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163"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 KELLEY MILLET</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0"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-3738880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-3155950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-2710180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-2126615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-1680845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-1235075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143"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420370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 KELLEY MILLET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This proxy statement (“</w:t>
      </w:r>
      <w:r>
        <w:rPr>
          <w:rFonts w:ascii="Arial" w:cs="Arial" w:eastAsia="Arial" w:hAnsi="Arial"/>
          <w:sz w:val="17"/>
          <w:szCs w:val="17"/>
          <w:u w:val="single" w:color="auto"/>
          <w:color w:val="auto"/>
        </w:rPr>
        <w:t>Proxy Statement</w:t>
      </w:r>
      <w:r>
        <w:rPr>
          <w:rFonts w:ascii="Arial" w:cs="Arial" w:eastAsia="Arial" w:hAnsi="Arial"/>
          <w:sz w:val="17"/>
          <w:szCs w:val="17"/>
          <w:color w:val="auto"/>
        </w:rPr>
        <w:t xml:space="preserve">”) and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are being furnished to the stockholders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by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in connection with the solicitation of proxies from you, the holders (the “</w:t>
      </w:r>
      <w:r>
        <w:rPr>
          <w:rFonts w:ascii="Arial" w:cs="Arial" w:eastAsia="Arial" w:hAnsi="Arial"/>
          <w:sz w:val="17"/>
          <w:szCs w:val="17"/>
          <w:u w:val="single" w:color="auto"/>
          <w:color w:val="auto"/>
        </w:rPr>
        <w:t>Stockholders</w:t>
      </w:r>
      <w:r>
        <w:rPr>
          <w:rFonts w:ascii="Arial" w:cs="Arial" w:eastAsia="Arial" w:hAnsi="Arial"/>
          <w:sz w:val="17"/>
          <w:szCs w:val="17"/>
          <w:color w:val="auto"/>
        </w:rPr>
        <w:t>”) of common stock, par value $0.01 per share, of the Company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be exercised at the 2016 annual meeting of Stockholders, including any and all postponements, adjournments, continuations or reschedulings thereof, or any other meeting of Stockholders held in lieu thereof (the “</w:t>
      </w:r>
      <w:r>
        <w:rPr>
          <w:rFonts w:ascii="Arial" w:cs="Arial" w:eastAsia="Arial" w:hAnsi="Arial"/>
          <w:sz w:val="17"/>
          <w:szCs w:val="17"/>
          <w:u w:val="single" w:color="auto"/>
          <w:color w:val="auto"/>
        </w:rPr>
        <w:t>2016 Annual Meeting</w:t>
      </w:r>
      <w:r>
        <w:rPr>
          <w:rFonts w:ascii="Arial" w:cs="Arial" w:eastAsia="Arial" w:hAnsi="Arial"/>
          <w:sz w:val="17"/>
          <w:szCs w:val="17"/>
          <w:color w:val="auto"/>
        </w:rPr>
        <w:t xml:space="preserve">”). Unless the context requires otherwise, we use the terms “we,” “our” or “us” throughout this Proxy Statement to refer to TSLX. TICC has not yet publicly disclosed the date, time or location of the 2016 Annual Meeting. Once TICC publicly discloses such date, time and location, TSLX will supplement the enclosed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include such information and file revised definitive proxy materials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w:t>
      </w:r>
    </w:p>
    <w:p>
      <w:pPr>
        <w:spacing w:after="0" w:line="38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THIS SOLICITATION IS BEING MADE BY TSLX AND NOT ON</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BEHALF OF THE BOARD OF DIRECTORS OF THE COMPANY</w:t>
      </w:r>
    </w:p>
    <w:p>
      <w:pPr>
        <w:spacing w:after="0" w:line="207" w:lineRule="exact"/>
        <w:rPr>
          <w:sz w:val="20"/>
          <w:szCs w:val="20"/>
          <w:color w:val="auto"/>
        </w:rPr>
      </w:pPr>
    </w:p>
    <w:p>
      <w:pPr>
        <w:ind w:right="960" w:firstLine="456"/>
        <w:spacing w:after="0" w:line="282" w:lineRule="auto"/>
        <w:rPr>
          <w:sz w:val="20"/>
          <w:szCs w:val="20"/>
          <w:color w:val="auto"/>
        </w:rPr>
      </w:pPr>
      <w:r>
        <w:rPr>
          <w:rFonts w:ascii="Arial" w:cs="Arial" w:eastAsia="Arial" w:hAnsi="Arial"/>
          <w:sz w:val="18"/>
          <w:szCs w:val="18"/>
          <w:color w:val="auto"/>
        </w:rPr>
        <w:t xml:space="preserve">This solicitation is dated June 20, 2016, and this Proxy Statement and the accompanying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sent or given to Stockholders on or about June 20, 2016.</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intend to vote all proxies solicited by us at the 2016 Annual Meeting as follows and to vote proxies in our discretion with respect to such other business as may properly come before the 2016 Annual Meeting:</w:t>
      </w:r>
    </w:p>
    <w:p>
      <w:pPr>
        <w:spacing w:after="0" w:line="166" w:lineRule="exact"/>
        <w:rPr>
          <w:sz w:val="20"/>
          <w:szCs w:val="20"/>
          <w:color w:val="auto"/>
        </w:rPr>
      </w:pPr>
    </w:p>
    <w:p>
      <w:pPr>
        <w:ind w:right="12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(the “</w:t>
      </w:r>
      <w:r>
        <w:rPr>
          <w:rFonts w:ascii="Arial" w:cs="Arial" w:eastAsia="Arial" w:hAnsi="Arial"/>
          <w:sz w:val="18"/>
          <w:szCs w:val="18"/>
          <w:u w:val="single" w:color="auto"/>
          <w:color w:val="auto"/>
        </w:rPr>
        <w:t>Nominee</w:t>
      </w:r>
      <w:r>
        <w:rPr>
          <w:rFonts w:ascii="Arial" w:cs="Arial" w:eastAsia="Arial" w:hAnsi="Arial"/>
          <w:sz w:val="18"/>
          <w:szCs w:val="18"/>
          <w:color w:val="auto"/>
        </w:rPr>
        <w:t>”) to serve as a director until the 2019 annual meeting of Stockholders and until his successor is duly elected and qualified;</w:t>
      </w:r>
    </w:p>
    <w:p>
      <w:pPr>
        <w:spacing w:after="0" w:line="161" w:lineRule="exact"/>
        <w:rPr>
          <w:rFonts w:ascii="Arial" w:cs="Arial" w:eastAsia="Arial" w:hAnsi="Arial"/>
          <w:sz w:val="18"/>
          <w:szCs w:val="18"/>
          <w:color w:val="auto"/>
        </w:rPr>
      </w:pPr>
    </w:p>
    <w:p>
      <w:pPr>
        <w:ind w:right="200" w:firstLine="464"/>
        <w:spacing w:after="0" w:line="266"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dated as of July 1, 2011, by and between the Company and TICC Management, LLC (“</w:t>
      </w:r>
      <w:r>
        <w:rPr>
          <w:rFonts w:ascii="Arial" w:cs="Arial" w:eastAsia="Arial" w:hAnsi="Arial"/>
          <w:sz w:val="18"/>
          <w:szCs w:val="18"/>
          <w:u w:val="single" w:color="auto"/>
          <w:color w:val="auto"/>
        </w:rPr>
        <w:t>TICC Management</w:t>
      </w:r>
      <w:r>
        <w:rPr>
          <w:rFonts w:ascii="Arial" w:cs="Arial" w:eastAsia="Arial" w:hAnsi="Arial"/>
          <w:sz w:val="18"/>
          <w:szCs w:val="18"/>
          <w:color w:val="auto"/>
        </w:rPr>
        <w:t>” or the “</w:t>
      </w:r>
      <w:r>
        <w:rPr>
          <w:rFonts w:ascii="Arial" w:cs="Arial" w:eastAsia="Arial" w:hAnsi="Arial"/>
          <w:sz w:val="18"/>
          <w:szCs w:val="18"/>
          <w:u w:val="single" w:color="auto"/>
          <w:color w:val="auto"/>
        </w:rPr>
        <w:t>Existing Adviser</w:t>
      </w:r>
      <w:r>
        <w:rPr>
          <w:rFonts w:ascii="Arial" w:cs="Arial" w:eastAsia="Arial" w:hAnsi="Arial"/>
          <w:sz w:val="18"/>
          <w:szCs w:val="18"/>
          <w:color w:val="auto"/>
        </w:rPr>
        <w:t>”) (such agreement, the “</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as contemplated by Section 15(a)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right="12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Company’s proposal to ratify the appointment of PricewaterhouseCoopers LLP to serve as the independent registered public accounting firm for the Company for the fiscal year ending December 31, 2016 (the “</w:t>
      </w:r>
      <w:r>
        <w:rPr>
          <w:rFonts w:ascii="Arial" w:cs="Arial" w:eastAsia="Arial" w:hAnsi="Arial"/>
          <w:sz w:val="18"/>
          <w:szCs w:val="18"/>
          <w:u w:val="single" w:color="auto"/>
          <w:color w:val="auto"/>
        </w:rPr>
        <w:t>Accountant Ratification Proposal</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Company’s proposal to approve the adjournment of the 2016 Annual Meeting (the “</w:t>
      </w:r>
      <w:r>
        <w:rPr>
          <w:rFonts w:ascii="Arial" w:cs="Arial" w:eastAsia="Arial" w:hAnsi="Arial"/>
          <w:sz w:val="18"/>
          <w:szCs w:val="18"/>
          <w:u w:val="single" w:color="auto"/>
          <w:color w:val="auto"/>
        </w:rPr>
        <w:t>Adjournment Proposal</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TSLX URGES YOU TO VOTE THE GOLD PROXY CARD (1) “FOR” THE ELECTION OF TSLX’S NOMINEE, T. KELLEY MILLET, (2) “FOR” TSLX’S PROPOSAL TO TERMINATE THE INVESTMENT ADVISORY AGREEMENT, (3) “FOR” THE ACCOUNTANT RATIFICATION PROPOSAL AND (4) “AGAINST” THE ADJOURNMENT PROPOSAL.</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TSLX is a specialty finance company that has elected to be regulated as a business development company (“</w:t>
      </w:r>
      <w:r>
        <w:rPr>
          <w:rFonts w:ascii="Arial" w:cs="Arial" w:eastAsia="Arial" w:hAnsi="Arial"/>
          <w:sz w:val="17"/>
          <w:szCs w:val="17"/>
          <w:u w:val="single" w:color="auto"/>
          <w:color w:val="auto"/>
        </w:rPr>
        <w:t>BDC</w:t>
      </w:r>
      <w:r>
        <w:rPr>
          <w:rFonts w:ascii="Arial" w:cs="Arial" w:eastAsia="Arial" w:hAnsi="Arial"/>
          <w:sz w:val="17"/>
          <w:szCs w:val="17"/>
          <w:color w:val="auto"/>
        </w:rPr>
        <w:t>”)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 TSLX is externally managed by TSL Advisers, LLC, a registered investment adviser with the SEC under the 1940 Act.</w:t>
      </w:r>
    </w:p>
    <w:p>
      <w:pPr>
        <w:spacing w:after="0" w:line="17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For additional information concerning TSLX and the other participants in this proxy solicitation, please refer to the information set forth in the section entitled “Information About the Participants.” This Proxy Statement and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furnished to Stockholders on or about June 20, 2016.</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TICC has not yet publicly disclosed the date, time or location of the 2016 Annual Meeting or the record date for determining Stockholders entitled to notice of and to vote at the 2016 Annual Meeting (the “</w:t>
      </w:r>
      <w:r>
        <w:rPr>
          <w:rFonts w:ascii="Arial" w:cs="Arial" w:eastAsia="Arial" w:hAnsi="Arial"/>
          <w:sz w:val="17"/>
          <w:szCs w:val="17"/>
          <w:u w:val="single" w:color="auto"/>
          <w:color w:val="auto"/>
        </w:rPr>
        <w:t>Record Date</w:t>
      </w:r>
      <w:r>
        <w:rPr>
          <w:rFonts w:ascii="Arial" w:cs="Arial" w:eastAsia="Arial" w:hAnsi="Arial"/>
          <w:sz w:val="17"/>
          <w:szCs w:val="17"/>
          <w:color w:val="auto"/>
        </w:rPr>
        <w:t>”) or filed a proxy statement for the 2016 Annual Meeting with the SEC. However, we understand that TICC has notified Broadridge Financial Solutions, Inc. of a possible July 15, 2016 record date, with a meeting date to be determined. Once TICC publicly discloses the date, time and location of the 2016 Annual Meeting and the Record Date and files a proxy statement for the 2016 Annual Meeting (the “</w:t>
      </w:r>
      <w:r>
        <w:rPr>
          <w:rFonts w:ascii="Arial" w:cs="Arial" w:eastAsia="Arial" w:hAnsi="Arial"/>
          <w:sz w:val="17"/>
          <w:szCs w:val="17"/>
          <w:u w:val="single" w:color="auto"/>
          <w:color w:val="auto"/>
        </w:rPr>
        <w:t>TICC 2016 Proxy Statement</w:t>
      </w:r>
      <w:r>
        <w:rPr>
          <w:rFonts w:ascii="Arial" w:cs="Arial" w:eastAsia="Arial" w:hAnsi="Arial"/>
          <w:sz w:val="17"/>
          <w:szCs w:val="17"/>
          <w:color w:val="auto"/>
        </w:rPr>
        <w:t xml:space="preserve">”), TSLX will supplement this Proxy Statement to include any relevant additional or revised information from the TICC 2016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file revised definitive proxy materials with the SEC. The principal executive offices of TICC are located at 8 Sound Shore Drive, Suite 255, Greenwich, Connecticut 06830. Stockholders of record on the Record Date will be entitled to vote at the 2016 Annual Meeting. As of the date of this Proxy Statement, TSLX is the beneficial owner of an aggregate 1,633,719 shares of Common Stock, which represents approximately 3.2% of the shares of Common Stock outstanding, 1,059 of which are also owned of record by TSLX.</w:t>
      </w:r>
      <w:r>
        <w:rPr>
          <w:rFonts w:ascii="Arial" w:cs="Arial" w:eastAsia="Arial" w:hAnsi="Arial"/>
          <w:sz w:val="14"/>
          <w:szCs w:val="14"/>
          <w:color w:val="auto"/>
        </w:rPr>
        <w:t>1</w:t>
      </w:r>
      <w:r>
        <w:rPr>
          <w:rFonts w:ascii="Arial" w:cs="Arial" w:eastAsia="Arial" w:hAnsi="Arial"/>
          <w:sz w:val="17"/>
          <w:szCs w:val="17"/>
          <w:color w:val="auto"/>
        </w:rPr>
        <w:t xml:space="preserve"> TSLX intends to hold all of such shares through the Record Date and to vote or cause such shares to be voted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Mr. Millet,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and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 In order to be eligible to make nominations for election to the board of directors of TICC (the “</w:t>
      </w:r>
      <w:r>
        <w:rPr>
          <w:rFonts w:ascii="Arial" w:cs="Arial" w:eastAsia="Arial" w:hAnsi="Arial"/>
          <w:sz w:val="17"/>
          <w:szCs w:val="17"/>
          <w:u w:val="single" w:color="auto"/>
          <w:color w:val="auto"/>
        </w:rPr>
        <w:t>Board</w:t>
      </w:r>
      <w:r>
        <w:rPr>
          <w:rFonts w:ascii="Arial" w:cs="Arial" w:eastAsia="Arial" w:hAnsi="Arial"/>
          <w:sz w:val="17"/>
          <w:szCs w:val="17"/>
          <w:color w:val="auto"/>
        </w:rPr>
        <w:t>”), a Stockholder and its proposed nominee must comply with the advance notice and other provisions of Article II, Section 11 of the Company’s Second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TSLX timely submitted a notice of nomination and related documentation to TICC on February 3, 2016.</w:t>
      </w:r>
    </w:p>
    <w:p>
      <w:pPr>
        <w:spacing w:after="0" w:line="18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As of the date of this Proxy Statement, the Nominee owns no shares of Common Stock, either beneficially or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4" w:lineRule="exact"/>
        <w:rPr>
          <w:sz w:val="20"/>
          <w:szCs w:val="20"/>
          <w:color w:val="auto"/>
        </w:rPr>
      </w:pPr>
    </w:p>
    <w:p>
      <w:pPr>
        <w:ind w:left="460" w:hanging="452"/>
        <w:spacing w:after="0" w:line="273"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7"/>
          <w:szCs w:val="17"/>
          <w:color w:val="auto"/>
        </w:rPr>
        <w:t>Because TICC has not yet publicly disclosed the number of shares of Common Stock outstanding as of the Record Date, all percentages set forth in this Proxy Statement relating to beneficial ownership of Common Stock are based upon 51,479,409 shares of Common Stock outstanding, which was the total number of shares of Common Stock outstanding as of May 4, 2016, as reported in TICC’s quarterly report on Form 10-Q for the quarter ended March 31, 2016. Once TICC publicly discloses the number of shares of Common Stock outstanding as of the Record Date, TSLX will supplement this Proxy Statement to include such information and calculate all percentages set forth in this Proxy Statement relating to beneficial ownership of Common Stock based on such information, and file revised definitive proxy materials with the SEC.</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18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2016 ANNUAL MEETING. SHOULD OTHER MATTERS BE BROUGHT BEFORE THE 2016 ANNUAL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WHETHER OR NOT YOU INTEND TO ATTEND THE 2016 ANNUAL MEETING, YOUR PROMPT ACTION IS IMPORTANT. MAKE YOUR VIEWS CLEAR TO THE COMPANY BY MARKING,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NO MATTER HOW MANY SHARES OF COMMON STOCK YOU OWN.</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IF YOU HAVE ALREADY SENT A PROXY CARD FURNISHED BY TICC OR ANY OTHER PERSON, YOU MAY REVOKE THAT PROXY BY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LATEST DATED PROXY IS THE ONLY ONE THAT COUNTS. IF YOUR SHARES OF COMMON STOCK ARE HELD IN YOUR OWN NAME, YOU MAY REVOKE YOUR PROXY BY DELIVERING A WRITTEN NOTICE OF REVOCATION OR A LATER-DATED PROXY FOR THE 2016 ANNUAL MEETING TO TSLX, C/O MACKENZIE PARTNERS, INC., WHICH IS ASSISTING IN THIS SOLICITATION, OR TO TICC, C/O BROADRIDGE FINANCIAL SOLUTIONS, INC., OR BY VOTING IN PERSON AT THE 2016 ANNUAL MEETING. ATTENDANCE AT THE ANNUAL MEETING WILL NOT, BY ITSELF, REVOKE A PROPERLY EXECUTED PROXY. IF YOU HOLD YOUR SHARES OF COMMON STOCK IN STREET NAME WITH A BANK, BROKERAGE FIRM, DEALER, TRUST COMPANY OR OTHER NOMINEE, PLEASE FOLLOW THE VOTING INSTRUCTIONS PROVIDED BY THE HOLDER OF YOUR COMMON STOCK REGARDING HOW TO REVOKE YOUR PROXY.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VOTING INFORMATION</w:t>
      </w:r>
    </w:p>
    <w:p>
      <w:pPr>
        <w:spacing w:after="0" w:line="225"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color w:val="auto"/>
        </w:rPr>
        <w:t xml:space="preserve">If your shares of Common Stock are held in your own name, please authorize a proxy to vote by marking, signing and dating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returning it in the postage-paid envelope provided to you by us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you hold your shares of Common Stock in street name with a bank, brokerage firm, dealer, trust company or other nominee, only they can exercise your right to vote with respect to your shares of Common Stock and only upon receipt of your specific instructions. Accordingly, it is critical that you promptly give instructions to your bank, brokerage firm, dealer, trust company or other nominee to ensure that a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is submitted on your behalf. Please follow the instructions to authorize a proxy to vote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provided to you by us. If your bank, brokerage firm, dealer, trust company or other nominee provides for voting instructions to be delivered to them by telephone or Internet, instructions will be included with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We urge you to confirm in writing your instructions to the person responsible for your account and to provide a copy of those instructions to us, c/o MacKenzie Partners, Inc., 105 Madison</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Avenue, New York, New York 10016, or by email at TPG@mackenziepartners.com, so that we may be aware of all instructions given and can attempt to ensure that such instructions are followed.</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ELECTION OF THE NOMINEE IS, IN OUR VIEW, AN IMPORTANT STEP IN ENSURING THAT YOU HAVE A BOARD THAT WE BELIEVE WILL, CONSISTENT WITH ITS DUTIES, EXERCISE INDEPENDENT JUDGMENT, ACT IN YOUR BEST INTERESTS AND PROMPTLY EXPLORE ALL ALTERNATIVES FOR MAXIMIZING STOCKHOLDER VALUE, WHICH MAY INCLUDE SELLING TICC TO TSLX, SELLING TICC TO A THIRD PARTY OR REMAINING INDEPENDENT.</w:t>
      </w:r>
    </w:p>
    <w:p>
      <w:pPr>
        <w:spacing w:after="0" w:line="18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ARE NOT SOLICITING PROXIES TO APPROVE A SALE TRANSACTION INVOLVING TICC. YOUR VOTE FOR THE ELECTION OF THE INDEPENDENT CANDIDATE NOMINATED BY US DOES NOT OBLIGATE YOU OR THE NOMINEE TO APPROVE ANY SUCH SALE.</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PLEASE DO NOT RETURN ANY WHITE (OR OTHER COLOR) PROXY CARD YOU MAY RECEIVE FROM THE COMPANY OR OTHERWISE AUTHORIZE ANY OTHER PROXY TO VOTE YOUR SHARES OF COMMON STOCK AT THE 2016 ANNUAL MEETING, NOT EVEN AS A SIGN OF PROTEST. IF YOU HAVE ALREADY RETURNED A WHITE (OR OTHER COLOR</w:t>
      </w:r>
      <w:r>
        <w:rPr>
          <w:rFonts w:ascii="Arial" w:cs="Arial" w:eastAsia="Arial" w:hAnsi="Arial"/>
          <w:sz w:val="18"/>
          <w:szCs w:val="18"/>
          <w:b w:val="1"/>
          <w:bCs w:val="1"/>
          <w:color w:val="auto"/>
        </w:rPr>
        <w:t>)</w:t>
      </w:r>
      <w:r>
        <w:rPr>
          <w:rFonts w:ascii="Arial" w:cs="Arial" w:eastAsia="Arial" w:hAnsi="Arial"/>
          <w:sz w:val="18"/>
          <w:szCs w:val="18"/>
          <w:color w:val="auto"/>
        </w:rPr>
        <w:t xml:space="preserve"> PROXY CARD TO THE COMPANY OR OTHERWISE AUTHORIZED ANY OTHER PROXY TO VOTE YOUR SHARES OF COMMON STOCK AT THE 2016 ANNUAL MEETING, IT IS NOT TOO LATE TO CHANGE YOUR VOTE. TO REVOKE YOUR PRIOR PROXY AND CHANGE YOUR VOTE, SIMPLY MARK, SIGN AND DATE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 IT IN THE POSTAGE-PAID ENVELOPE PROVIDED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 ONLY YOUR LATEST DATED PROXY WILL BE COUNTED.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the Record Date are entitled to receive notice of and vote at the 2016 Annual Meeting.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MacKenzie Partners, Inc. is assisting TSLX with its effort to solicit proxies. If you have any questions or require assistance in authorizing a proxy or voting your shares of Common Stock,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76465" cy="1341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ind w:left="5660" w:right="4600" w:hanging="1010"/>
        <w:spacing w:after="0" w:line="250" w:lineRule="auto"/>
        <w:tabs>
          <w:tab w:leader="none" w:pos="5093"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929-5500 (Call Collect) 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TPG@mackenziepartners.com</w:t>
      </w:r>
    </w:p>
    <w:p>
      <w:pPr>
        <w:spacing w:after="0" w:line="29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It is important that your shares of Common Stock be represented and voted at the 2016 Annual Meeting. Accordingly, regardless of whether you plan to attend the 2016 Annual Meeting in person, please mark, 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has been provided to you by us (and NOT the WHITE (or other color) proxy card that may have been provided to you by the Company or any other proxy card or form that may be provided to you) and authorize a proxy to vote (1)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T. Kelley Millet, (2)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(3)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and (4)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14"/>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RELATING TO THIS PROXY STATEMENT</w:t>
              </w:r>
            </w:hyperlink>
          </w:p>
        </w:tc>
        <w:tc>
          <w:tcPr>
            <w:tcW w:w="5240" w:type="dxa"/>
            <w:vAlign w:val="bottom"/>
            <w:gridSpan w:val="5"/>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5740" w:type="dxa"/>
            <w:vAlign w:val="bottom"/>
            <w:tcBorders>
              <w:bottom w:val="single" w:sz="8" w:color="0000EE"/>
            </w:tcBorders>
            <w:gridSpan w:val="14"/>
            <w:vMerge w:val="continue"/>
          </w:tcPr>
          <w:p>
            <w:pPr>
              <w:spacing w:after="0"/>
              <w:rPr>
                <w:sz w:val="13"/>
                <w:szCs w:val="13"/>
                <w:color w:val="auto"/>
              </w:rPr>
            </w:pPr>
          </w:p>
        </w:tc>
        <w:tc>
          <w:tcPr>
            <w:tcW w:w="5240" w:type="dxa"/>
            <w:vAlign w:val="bottom"/>
            <w:gridSpan w:val="5"/>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8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OF THE SOLICITATION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REASONS FOR THE SOLICITATION</w:t>
              </w:r>
            </w:hyperlink>
          </w:p>
        </w:tc>
        <w:tc>
          <w:tcPr>
            <w:tcW w:w="320" w:type="dxa"/>
            <w:vAlign w:val="bottom"/>
            <w:tcBorders>
              <w:top w:val="single" w:sz="8" w:color="0000EE"/>
            </w:tcBorders>
            <w:gridSpan w:val="3"/>
          </w:tcPr>
          <w:p>
            <w:pPr>
              <w:spacing w:after="0"/>
              <w:rPr>
                <w:sz w:val="17"/>
                <w:szCs w:val="17"/>
                <w:color w:val="auto"/>
              </w:rPr>
            </w:pPr>
          </w:p>
        </w:tc>
        <w:tc>
          <w:tcPr>
            <w:tcW w:w="778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PROPOSAL NO. 1: ELECTION OF DIRECTOR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PROPOSAL NO. 2: TSLX’S PROPOSAL TO TERMINATE THE INVESTMENT ADVISORY AGREEMENT</w:t>
              </w:r>
            </w:hyperlink>
          </w:p>
        </w:tc>
        <w:tc>
          <w:tcPr>
            <w:tcW w:w="284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PROPOSAL NO. 3: THE COMPANY’S PROPOSAL TO RATIFY THE APPOINTMENT OF PRICEWATERHOUSECOOPERS LLP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78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PROPOSAL NO. 4: THE COMPANY’S PROPOSAL TO APPROVE THE ADJOURNMENT OF THE 2016 ANNUAL MEETING</w:t>
              </w:r>
            </w:hyperlink>
          </w:p>
        </w:tc>
        <w:tc>
          <w:tcPr>
            <w:tcW w:w="12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OTHER MATTERS</w:t>
              </w:r>
            </w:hyperlink>
          </w:p>
        </w:tc>
        <w:tc>
          <w:tcPr>
            <w:tcW w:w="8100" w:type="dxa"/>
            <w:vAlign w:val="bottom"/>
            <w:tcBorders>
              <w:top w:val="single" w:sz="8" w:color="0000EE"/>
            </w:tcBorders>
            <w:gridSpan w:val="15"/>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NO APPRAISAL OR DISSENTER’S RIGHTS</w:t>
              </w:r>
            </w:hyperlink>
          </w:p>
        </w:tc>
        <w:tc>
          <w:tcPr>
            <w:tcW w:w="752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AUDITORS</w:t>
              </w:r>
            </w:hyperlink>
          </w:p>
        </w:tc>
        <w:tc>
          <w:tcPr>
            <w:tcW w:w="1006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SOLICITATION OF PROXIES</w:t>
              </w:r>
            </w:hyperlink>
          </w:p>
        </w:tc>
        <w:tc>
          <w:tcPr>
            <w:tcW w:w="868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INFORMATION ABOUT THE PARTICIPANTS</w:t>
              </w:r>
            </w:hyperlink>
          </w:p>
        </w:tc>
        <w:tc>
          <w:tcPr>
            <w:tcW w:w="738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INFORMATION REGARDING TICC</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CERTAIN ADDITIONAL INFORMATION</w:t>
              </w:r>
            </w:hyperlink>
          </w:p>
        </w:tc>
        <w:tc>
          <w:tcPr>
            <w:tcW w:w="776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STOCKHOLDER PROPOSALS</w:t>
              </w:r>
            </w:hyperlink>
          </w:p>
        </w:tc>
        <w:tc>
          <w:tcPr>
            <w:tcW w:w="85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FORWARD-LOOKING STATEMENTS</w:t>
              </w:r>
            </w:hyperlink>
          </w:p>
        </w:tc>
        <w:tc>
          <w:tcPr>
            <w:tcW w:w="804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INFORMATION ABOUT THE PARTICIPANTS</w:t>
              </w:r>
            </w:hyperlink>
          </w:p>
        </w:tc>
        <w:tc>
          <w:tcPr>
            <w:tcW w:w="738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FORM OF NOMINATION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3140" w:type="dxa"/>
            <w:vAlign w:val="bottom"/>
            <w:gridSpan w:val="8"/>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SECURITY OWNERSHIP OF CERTAIN BENEFICIAL OWNERS AND MANAGEMENT</w:t>
              </w:r>
            </w:hyperlink>
          </w:p>
        </w:tc>
        <w:tc>
          <w:tcPr>
            <w:tcW w:w="42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RECONCILIATION OF CERTAIN NON-GAAP FINANCIAL MEASURES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RELATING TO THIS PROXY STATEMENT</w:t>
      </w:r>
    </w:p>
    <w:p>
      <w:pPr>
        <w:spacing w:after="0" w:line="229"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following are some of the questions you may have as a Stockholder, as well as the answers to those questions. The following is not a substitute for the information contained elsewhere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TSLX is making this solicitation of proxies for the election of the Nominee and to approve a proposal to terminate the Investment Advisory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TSLX and the other participants in the solicitation, please see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you to vote on the following matters at the 2016 Annual Meeting:</w:t>
      </w:r>
    </w:p>
    <w:p>
      <w:pPr>
        <w:spacing w:after="0" w:line="117" w:lineRule="exact"/>
        <w:rPr>
          <w:sz w:val="20"/>
          <w:szCs w:val="20"/>
          <w:color w:val="auto"/>
        </w:rPr>
      </w:pPr>
    </w:p>
    <w:p>
      <w:pPr>
        <w:ind w:right="2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TSLX’s nominee, T. Kelley Millet, to serve as a director until the 2019 annual meeting of Stockholders and until his successor is duly elected and qualified;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w:t>
      </w:r>
    </w:p>
    <w:p>
      <w:pPr>
        <w:spacing w:after="0" w:line="225" w:lineRule="exact"/>
        <w:rPr>
          <w:rFonts w:ascii="Arial" w:cs="Arial" w:eastAsia="Arial" w:hAnsi="Arial"/>
          <w:sz w:val="18"/>
          <w:szCs w:val="18"/>
          <w:color w:val="auto"/>
        </w:rPr>
      </w:pPr>
    </w:p>
    <w:p>
      <w:pPr>
        <w:ind w:right="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ratify the appointment of PricewaterhouseCoopers LLP to serve as the independent registered public accounting firm for the Company for the fiscal year ending December 31, 2016; and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2016 Annual Meeting.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TSLX URGES YOU TO VOTE THE GOLD PROXY CARD (1) “FOR” THE ELECTION OF TSLX’S NOMINEE, T. KELLEY MILLET,</w:t>
      </w:r>
    </w:p>
    <w:p>
      <w:pPr>
        <w:spacing w:after="0" w:line="27" w:lineRule="exact"/>
        <w:rPr>
          <w:sz w:val="20"/>
          <w:szCs w:val="20"/>
          <w:color w:val="auto"/>
        </w:rPr>
      </w:pPr>
    </w:p>
    <w:p>
      <w:pPr>
        <w:ind w:right="920" w:firstLine="8"/>
        <w:spacing w:after="0" w:line="261" w:lineRule="auto"/>
        <w:tabs>
          <w:tab w:leader="none" w:pos="2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“FOR” TSLX’S PROPOSAL TO TERMINATE THE INVESTMENT ADVISORY AGREEMENT, (3) “FOR” THE ACCOUNTANT RATIFICATION PROPOSAL AND (4) “AGAINST” THE ADJOURNMENT PROPOSAL.</w:t>
      </w:r>
    </w:p>
    <w:p>
      <w:pPr>
        <w:spacing w:after="0" w:line="184"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Please refer to the sections entitled “Proposal No. 1: Election of Director,” “Proposal No. 2: TSLX’s Proposal to Terminate the Investment Advisory Agreement,” “Proposal No. 3: The Company’s Proposal to Ratify the Appointment of PricewaterhouseCoopers LLP” and “Proposal No. 4: The Company’s Proposal to Approve the Adjournment of the 2016 Annual Meeting” for a more complete description of these proposals.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vote?</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Nominee?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are proposing that T. Kelley Millet be elected as director of the Company to serve on the Board until the 2019 annual meeting of Stockholders and until his successor is duly elected and qualified.</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Set forth below is a brief discussion of the specific experience, qualifications, attributes or skills that led to our determining that the Nominee should serve as a director for the Company as of the date hereof, in light of the Company’s business and structure. This information has been furnished to us by the Nominee. Additional information about the Nominee can also be found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Business Address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 Kelley Millet</w:t>
      </w:r>
    </w:p>
    <w:p>
      <w:pPr>
        <w:spacing w:after="0" w:line="256" w:lineRule="exact"/>
        <w:rPr>
          <w:sz w:val="20"/>
          <w:szCs w:val="20"/>
          <w:color w:val="auto"/>
        </w:rPr>
      </w:pPr>
    </w:p>
    <w:p>
      <w:pPr>
        <w:jc w:val="center"/>
        <w:ind w:left="502"/>
        <w:spacing w:after="0"/>
        <w:rPr>
          <w:sz w:val="20"/>
          <w:szCs w:val="20"/>
          <w:color w:val="auto"/>
        </w:rPr>
      </w:pPr>
      <w:r>
        <w:rPr>
          <w:rFonts w:ascii="Arial" w:cs="Arial" w:eastAsia="Arial" w:hAnsi="Arial"/>
          <w:sz w:val="18"/>
          <w:szCs w:val="18"/>
          <w:color w:val="auto"/>
        </w:rPr>
        <w:t>1 William Street,</w:t>
      </w:r>
    </w:p>
    <w:p>
      <w:pPr>
        <w:spacing w:after="0" w:line="23" w:lineRule="exact"/>
        <w:rPr>
          <w:sz w:val="20"/>
          <w:szCs w:val="20"/>
          <w:color w:val="auto"/>
        </w:rPr>
      </w:pPr>
    </w:p>
    <w:p>
      <w:pPr>
        <w:jc w:val="center"/>
        <w:ind w:left="502"/>
        <w:spacing w:after="0"/>
        <w:rPr>
          <w:sz w:val="20"/>
          <w:szCs w:val="20"/>
          <w:color w:val="auto"/>
        </w:rPr>
      </w:pPr>
      <w:r>
        <w:rPr>
          <w:rFonts w:ascii="Arial" w:cs="Arial" w:eastAsia="Arial" w:hAnsi="Arial"/>
          <w:sz w:val="16"/>
          <w:szCs w:val="16"/>
          <w:color w:val="auto"/>
        </w:rPr>
        <w:t>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97790</wp:posOffset>
            </wp:positionV>
            <wp:extent cx="1483360" cy="2178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3360" cy="2178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61"/>
        </w:trPr>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7520" w:type="dxa"/>
            <w:vAlign w:val="bottom"/>
            <w:gridSpan w:val="3"/>
          </w:tcPr>
          <w:p>
            <w:pPr>
              <w:ind w:left="2820"/>
              <w:spacing w:after="0"/>
              <w:rPr>
                <w:sz w:val="20"/>
                <w:szCs w:val="20"/>
                <w:color w:val="auto"/>
              </w:rPr>
            </w:pPr>
            <w:r>
              <w:rPr>
                <w:rFonts w:ascii="Arial" w:cs="Arial" w:eastAsia="Arial" w:hAnsi="Arial"/>
                <w:sz w:val="14"/>
                <w:szCs w:val="14"/>
                <w:b w:val="1"/>
                <w:bCs w:val="1"/>
                <w:color w:val="auto"/>
              </w:rPr>
              <w:t>Principal Occupation for Past</w:t>
            </w:r>
          </w:p>
        </w:tc>
        <w:tc>
          <w:tcPr>
            <w:tcW w:w="0" w:type="dxa"/>
            <w:vAlign w:val="bottom"/>
          </w:tcPr>
          <w:p>
            <w:pPr>
              <w:spacing w:after="0"/>
              <w:rPr>
                <w:sz w:val="1"/>
                <w:szCs w:val="1"/>
                <w:color w:val="auto"/>
              </w:rPr>
            </w:pPr>
          </w:p>
        </w:tc>
      </w:tr>
      <w:tr>
        <w:trPr>
          <w:trHeight w:val="185"/>
        </w:trPr>
        <w:tc>
          <w:tcPr>
            <w:tcW w:w="460" w:type="dxa"/>
            <w:vAlign w:val="bottom"/>
            <w:gridSpan w:val="2"/>
            <w:vMerge w:val="continue"/>
          </w:tcPr>
          <w:p>
            <w:pPr>
              <w:spacing w:after="0"/>
              <w:rPr>
                <w:sz w:val="16"/>
                <w:szCs w:val="16"/>
                <w:color w:val="auto"/>
              </w:rPr>
            </w:pPr>
          </w:p>
        </w:tc>
        <w:tc>
          <w:tcPr>
            <w:tcW w:w="7520" w:type="dxa"/>
            <w:vAlign w:val="bottom"/>
            <w:gridSpan w:val="3"/>
          </w:tcPr>
          <w:p>
            <w:pPr>
              <w:ind w:left="2880"/>
              <w:spacing w:after="0"/>
              <w:rPr>
                <w:sz w:val="20"/>
                <w:szCs w:val="20"/>
                <w:color w:val="auto"/>
              </w:rPr>
            </w:pPr>
            <w:r>
              <w:rPr>
                <w:rFonts w:ascii="Arial" w:cs="Arial" w:eastAsia="Arial" w:hAnsi="Arial"/>
                <w:sz w:val="14"/>
                <w:szCs w:val="14"/>
                <w:b w:val="1"/>
                <w:bCs w:val="1"/>
                <w:color w:val="auto"/>
              </w:rPr>
              <w:t>Five Years and Directorships</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52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color w:val="auto"/>
                <w:w w:val="94"/>
              </w:rPr>
              <w:t>T. Kelley Millet is the Chief Executive Officer (“CEO”), Vice Chairman, Treasurer and member of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board of directors of Banca IMI Securities Corp., a provider of banking and brokerage services to</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institutional investors. In addition, Mr. Millet currently serves on the board of directors of Investment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2"/>
              </w:rPr>
              <w:t>Technology Group, Inc., where he is also a member of the Audit, Capital and Technology Committees.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From 2012 until 2016, Mr. Millet served on the board of The Mutual Fund Store, a provider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personalized financial planning and money management services. From 2013 to 2014, Mr. Millet served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as a consultant to Investment Technology Group, Inc.’s CEO and board of directors. Previously, (a)</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from 2012 until 2013, Mr. Millet served as Co-President, Partner and a member of the board of directors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of Pierpont Securities LLC, a fixed income broker-dealer, (b) from 2011 until 2012, Mr. Millet was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3"/>
              </w:rPr>
              <w:t>CEO and a member of the board of directors of the broker-dealer, Cortview Capital Holdings Inc. and</w:t>
            </w:r>
          </w:p>
        </w:tc>
        <w:tc>
          <w:tcPr>
            <w:tcW w:w="0" w:type="dxa"/>
            <w:vAlign w:val="bottom"/>
          </w:tcPr>
          <w:p>
            <w:pPr>
              <w:spacing w:after="0"/>
              <w:rPr>
                <w:sz w:val="1"/>
                <w:szCs w:val="1"/>
                <w:color w:val="auto"/>
              </w:rPr>
            </w:pPr>
          </w:p>
        </w:tc>
      </w:tr>
    </w:tbl>
    <w:p>
      <w:pPr>
        <w:ind w:left="462" w:right="40" w:hanging="462"/>
        <w:spacing w:after="0" w:line="253" w:lineRule="auto"/>
        <w:tabs>
          <w:tab w:leader="none" w:pos="462" w:val="left"/>
        </w:tabs>
        <w:numPr>
          <w:ilvl w:val="0"/>
          <w:numId w:val="12"/>
        </w:numPr>
        <w:rPr>
          <w:rFonts w:ascii="Arial" w:cs="Arial" w:eastAsia="Arial" w:hAnsi="Arial"/>
          <w:sz w:val="31"/>
          <w:szCs w:val="31"/>
          <w:color w:val="auto"/>
          <w:vertAlign w:val="subscript"/>
        </w:rPr>
      </w:pPr>
      <w:r>
        <w:rPr>
          <w:rFonts w:ascii="Arial" w:cs="Arial" w:eastAsia="Arial" w:hAnsi="Arial"/>
          <w:sz w:val="16"/>
          <w:szCs w:val="16"/>
          <w:color w:val="auto"/>
        </w:rPr>
        <w:t>(c)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200" w:lineRule="exact"/>
        <w:rPr>
          <w:sz w:val="20"/>
          <w:szCs w:val="20"/>
          <w:color w:val="auto"/>
        </w:rPr>
      </w:pPr>
    </w:p>
    <w:p>
      <w:pPr>
        <w:sectPr>
          <w:pgSz w:w="11900" w:h="16838" w:orient="portrait"/>
          <w:cols w:equalWidth="0" w:num="2">
            <w:col w:w="2718" w:space="720"/>
            <w:col w:w="7982"/>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is currently composed of five directors—two interested directors and three independent directors. One of the independent directors, Tonia L. Pankopf, is up for election at the 2016 Annual Meeting. TSLX, through this Proxy Statement, is soliciting proxies to elect Mr. Millet to serve as a director to replace Ms. Pankopf.</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corporate governance guidelines of the Company provide that determinations of independence shall be made in accordance with the criteria for independence required by the NASDAQ Stock Market. The following information regarding director independence has also been reproduced from the Form 10-K/A filed by the Company with the SEC on April 29, 2016:</w:t>
      </w:r>
    </w:p>
    <w:p>
      <w:pPr>
        <w:spacing w:after="0" w:line="73" w:lineRule="exact"/>
        <w:rPr>
          <w:sz w:val="20"/>
          <w:szCs w:val="20"/>
          <w:color w:val="auto"/>
        </w:rPr>
      </w:pPr>
    </w:p>
    <w:p>
      <w:pPr>
        <w:ind w:left="460" w:right="60"/>
        <w:spacing w:after="0" w:line="308" w:lineRule="auto"/>
        <w:rPr>
          <w:sz w:val="20"/>
          <w:szCs w:val="20"/>
          <w:color w:val="auto"/>
        </w:rPr>
      </w:pPr>
      <w:r>
        <w:rPr>
          <w:rFonts w:ascii="Arial" w:cs="Arial" w:eastAsia="Arial" w:hAnsi="Arial"/>
          <w:sz w:val="17"/>
          <w:szCs w:val="17"/>
          <w:color w:val="auto"/>
        </w:rPr>
        <w:t>In accordance with rules of the NASDAQ Stock Market, our Board of Directors annually determines each director’s independence. We do not consider a director independent unless our Board of Directors has determined that he or she has no material relationship with us. . . .</w:t>
      </w:r>
    </w:p>
    <w:p>
      <w:pPr>
        <w:spacing w:after="0" w:line="38" w:lineRule="exact"/>
        <w:rPr>
          <w:sz w:val="20"/>
          <w:szCs w:val="20"/>
          <w:color w:val="auto"/>
        </w:rPr>
      </w:pPr>
    </w:p>
    <w:p>
      <w:pPr>
        <w:jc w:val="both"/>
        <w:ind w:left="460" w:right="220"/>
        <w:spacing w:after="0" w:line="264" w:lineRule="auto"/>
        <w:rPr>
          <w:sz w:val="20"/>
          <w:szCs w:val="20"/>
          <w:color w:val="auto"/>
        </w:rPr>
      </w:pPr>
      <w:r>
        <w:rPr>
          <w:rFonts w:ascii="Arial" w:cs="Arial" w:eastAsia="Arial" w:hAnsi="Arial"/>
          <w:sz w:val="18"/>
          <w:szCs w:val="18"/>
          <w:color w:val="auto"/>
        </w:rPr>
        <w:t>In order to evaluate the materiality of any such relationship, our Board of Directors uses the definition of director independence set forth in the rules promulgated by the NASDAQ Stock Market. Rule 5605(a)(2) provides that a director of a BDC, shall be considered to be independent if he or she is not an “interested person” of TICC, as defined in Section 2(a)(19) of the 1940 Act.</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the information furnished by the Nominee, TSLX believes that the Nominee is independent and is not an interested person under such standards and TSLX has no knowledge of any facts that would prevent a determination that the Nominee is independent or is not an interested person under such standards.</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You should refer to the TICC 2016 Proxy Statement, when available, for the name, background, qualifications and other information concerning the Company’s nominee.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2016 Annual Meeting?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Holders of record of shares of Common Stock at the close of business on the Record Date will be entitled to vote at the 2016 Annual Meeting. Stockholders as of the Record Date are entitled to cast one vote for as many individuals as there are directors to be elected at the 2016 Annual Meeting and to cast one vote on each other matter presented at the 2016 Annual Meeting for each share of Common Stock held on the Record Date. Stockholders may not cumulate their votes in the election of directors. It is anticipated that the TICC 2016 Proxy Statement will state the number of shares of Common Stock issued and outstanding as of the Record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proxies work?</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TSLX is asking you to appoint Joshua Easterly and Ian Simmonds, and each of them, as your proxy holders to vote your shares of Common Stock at the 2016 Annual Meeting. You may authorize a proxy by (1) marking, signing and dating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returning it in the enclosed postage-paid envelope or (2) telephone or Internet by following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Submitting your proxy means you authorize the proxy holders to vote your shares at the 2016 Annual Meeting, according to the directions you provide. Whether or not you are able to attend the 2016 Annual Meeting, you are urged to mark, sign and date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 it in the enclosed postage-paid envelope or follow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authorize a proxy by telephone or Internet. All valid proxies received prior to the 2016 Annual Meeting will be voted. If you specify a choice with respect to any item by marking the appropriate box on the proxy, your shares of Common Stock will be voted in accordance with that specification. IF NO SPECIFICATION IS MADE, BUT YOU SIGN AND RETURN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YOUR SHARES OF COMMON STOCK WILL BE VOTED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 xml:space="preserve">We do not know of any other matters to be presented for approval by Stockholders at the 2016 Annual Meeting. Unless you indicate otherwise on the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or through the telephone or Internet voting procedures, your appointment also authorizes your proxy holders to vote your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their discretion on any matters that may be properly presented for action by Stockholders at the 2016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attend the 2016 Annual Meeting?</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TICC has not yet publicly disclosed the date, time or location of the 2016 Annual Meeting. Once TICC publicly discloses such date, time and location, TSLX will supplement this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include such information and file revised definitive proxy materials with the SEC. If you are a Stockholder of record, your name will be verified against the list of Stockholders of record prior to admittance to the 2016 Annual Meeting. If you are a beneficial owner, you must provide proof of beneficial ownership on the Record Date, such as a brokerage account statement showing that you owned your shares of Common Stock as of the Record Date, a copy of the voting instruction form provided by your bank, brokerage firm, dealer, trust company or other nominee, or other similar evidence of ownership. You do not need to attend the 2016 Annual Meeting to vote. Even if you plan to attend the 2016 Annual Meeting, please authorize your vote in advance as instructed in this Proxy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2016 Annual Meeting?</w:t>
      </w:r>
    </w:p>
    <w:p>
      <w:pPr>
        <w:spacing w:after="0" w:line="12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A quorum must be present at the 2016 Annual Meeting for any business to be conducted. The presence at the 2016 Annual Meeting, in person or by proxy, of the holders of a majority of the shares of Common Stock outstanding on the Record Date will constitute a quorum. Abstentions and broker non-votes (as defined below), if any, will be counted as shares present for purposes of determining whether a quorum exists for the transaction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broker non-vote is a vote that is not cast on a non-routine matter because the shares entitled to cast the vote are held in street name, the broker lacks discretionary authority to vote the shares and the broker has not received voting instructions from the beneficial owner. Proposal No. 1: Election of Director, Proposal No. 2: TSLX’s Proposal to Terminate the Investment Advisory Agreement and Proposal No. 4: The Company’s Proposal to Approve the Adjournment of the 2016 Annual Meeting are considered non-routine matters. Accordingly, if you hold your shares of Common Stock in street name with a bank, brokerage firm, dealer, trust company or other nominee, they can only exercise your right to vote with respect to these matters if they receive instructions from you.</w:t>
      </w:r>
    </w:p>
    <w:p>
      <w:pPr>
        <w:spacing w:after="0" w:line="19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If your shares are held of record by a bank, brokerage firm, dealer, trust company or other nominee, we urge you to give instructions to your bank, brokerage firm, dealer, trust company or other nominee as to how you wish your shares to be voted so you may participate in the stockholder voting on the important matters to be presented at the 2016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Nominee?</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election of a director requires the affirmative vote of a plurality of the votes cast at the 2016 Annual Meeting in person or by proxy. Stockholders may not cumulate their votes. This means that the nominee who receives the greatest number of “</w:t>
      </w:r>
      <w:r>
        <w:rPr>
          <w:rFonts w:ascii="Arial" w:cs="Arial" w:eastAsia="Arial" w:hAnsi="Arial"/>
          <w:sz w:val="18"/>
          <w:szCs w:val="18"/>
          <w:b w:val="1"/>
          <w:bCs w:val="1"/>
          <w:color w:val="auto"/>
        </w:rPr>
        <w:t>FOR</w:t>
      </w:r>
      <w:r>
        <w:rPr>
          <w:rFonts w:ascii="Arial" w:cs="Arial" w:eastAsia="Arial" w:hAnsi="Arial"/>
          <w:sz w:val="18"/>
          <w:szCs w:val="18"/>
          <w:color w:val="auto"/>
        </w:rPr>
        <w:t>” votes cast will be elected. Neither broker non-votes nor votes marked “</w:t>
      </w:r>
      <w:r>
        <w:rPr>
          <w:rFonts w:ascii="Arial" w:cs="Arial" w:eastAsia="Arial" w:hAnsi="Arial"/>
          <w:sz w:val="18"/>
          <w:szCs w:val="18"/>
          <w:b w:val="1"/>
          <w:bCs w:val="1"/>
          <w:color w:val="auto"/>
        </w:rPr>
        <w:t>WITHHOLD AUTHORITY</w:t>
      </w:r>
      <w:r>
        <w:rPr>
          <w:rFonts w:ascii="Arial" w:cs="Arial" w:eastAsia="Arial" w:hAnsi="Arial"/>
          <w:sz w:val="18"/>
          <w:szCs w:val="18"/>
          <w:color w:val="auto"/>
        </w:rPr>
        <w:t>” will have an effect on the result of the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TSLX’s Proposal to Terminate the Investment Advisory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approval of TSLX’s proposal to terminate the Investment Advisory Agreement requires the affirmative vote of “a majority of the Company’s outstanding voting securities” entitled to vote at the 2016 Annual Meeting, as defined under the 1940 Act. For purposes of approval of TSLX’s proposal to terminate the Investment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Advisory Agreement, “a majority of the Company’s outstanding voting securities” is the lesser of: (i) 67% or more of the shares of Common Stock present at the 2016 Annual Meeting, if the holders of more than 50% of the outstanding shares of Common Stock are present or represented by proxy or (ii) more than 50% of the outstanding shares of Common Stock. Abstentions and broker non-votes, if any,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this proposal.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other proposals described in this Proxy Statement?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approval of the Accountant Ratification Proposal requires the affirmative vote of a majority of the votes cast at the 2016 Annual Meeting in person or by proxy on the proposal. Abstentions will have no effect on this proposal. Brokers are entitled to vote on the Accountant Ratification Proposal even if no instructions are received from the beneficial holder of shares of Common Stock.</w:t>
      </w:r>
    </w:p>
    <w:p>
      <w:pPr>
        <w:spacing w:after="0" w:line="18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at the 2016 Annual Meeting in person or by proxy. Abstentions and broker non-votes, if any, will not be included in determining the number of votes cast and, as a result, will have no effect on this proposal.</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other matters are properly brought before the 2016 Annual Meeting, the vote required will be determined in accordance with applicable law, the NASDAQ Listing Rules and the Company’s Charter and Bylaws, as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in order to vote for the Nominee and the other proposals?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If your shares of Common Stock are held of record in your own name, please authorize a proxy to vote by marking, signing and dating the enclosed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 and returning it in the postage-paid envelope provided to you by us or follow the instructions on the</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to authorize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telephone or Internet.</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provided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your bank, brokerage firm, dealer, trust company or other nominee provides for voting instructions to be delivered to them by telephone or Internet, instructions will be included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your instructions in writing to the person responsible for your account and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 If you do not plan to attend the 2016 Annual Meeting, we encourage you to read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mark, sign and date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prior to the 2016 Annual Meeting so that your shares of Common Stock will be represented and voted in accordance with your instructions. Even if you plan to attend the 2016 Annual Meeting in person, we recommend that you authorize a proxy to vote your shares of Common Stock in advance as described above so that your vote will be counted if you later decide not to attend the 2016 Annual Meeting. To ensure that your vote is counted, please remember to authorize a proxy to vote your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GOLD proxy card at or about the same time?</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 xml:space="preserve">It generally means you hold shares registered in more than one account. In order to authorize a proxy to vote all of your shares, please mark, sign, date and return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authorize a proxy by telephone or Internet, please authorize a proxy for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you receive.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deadline for submitting proxies?</w:t>
      </w:r>
    </w:p>
    <w:p>
      <w:pPr>
        <w:spacing w:after="0" w:line="121"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Internet:  Proxies submitted electronically via the Internet must be received by 11:59 p.m. Eastern Time on the day before the 2016 Annual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Meeting.</w:t>
      </w:r>
    </w:p>
    <w:p>
      <w:pPr>
        <w:spacing w:after="0" w:line="210" w:lineRule="exact"/>
        <w:rPr>
          <w:rFonts w:ascii="Arial" w:cs="Arial" w:eastAsia="Arial" w:hAnsi="Arial"/>
          <w:sz w:val="17"/>
          <w:szCs w:val="17"/>
          <w:color w:val="auto"/>
        </w:rPr>
      </w:pPr>
    </w:p>
    <w:p>
      <w:pPr>
        <w:ind w:left="720" w:hanging="256"/>
        <w:spacing w:after="0"/>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Telephone:  Proxies submitted electronically by telephone must be received by 11:59 p.m. Eastern Time on the day before the 2016 Annual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Meeting.</w:t>
      </w:r>
    </w:p>
    <w:p>
      <w:pPr>
        <w:spacing w:after="0" w:line="210" w:lineRule="exact"/>
        <w:rPr>
          <w:rFonts w:ascii="Arial" w:cs="Arial" w:eastAsia="Arial" w:hAnsi="Arial"/>
          <w:sz w:val="17"/>
          <w:szCs w:val="17"/>
          <w:color w:val="auto"/>
        </w:rPr>
      </w:pPr>
    </w:p>
    <w:p>
      <w:pPr>
        <w:ind w:right="40" w:firstLine="464"/>
        <w:spacing w:after="0" w:line="277"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Mail: Proxies submitted by mail via written proxy must be returned in sufficient time to be received and counted prior to the closing of the polls at the 2016 Annual Meeting.</w:t>
      </w:r>
    </w:p>
    <w:p>
      <w:pPr>
        <w:spacing w:after="0" w:line="170" w:lineRule="exact"/>
        <w:rPr>
          <w:rFonts w:ascii="Arial" w:cs="Arial" w:eastAsia="Arial" w:hAnsi="Arial"/>
          <w:sz w:val="18"/>
          <w:szCs w:val="18"/>
          <w:color w:val="auto"/>
        </w:rPr>
      </w:pPr>
    </w:p>
    <w:p>
      <w:pPr>
        <w:ind w:right="80" w:firstLine="464"/>
        <w:spacing w:after="0" w:line="286" w:lineRule="auto"/>
        <w:tabs>
          <w:tab w:leader="none" w:pos="7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Person: All Stockholders of record as of the Record Date will be entitled to vote in person at the 2016 Annual Meeting. If you hold your shares of Common Stock in street name with a bank, brokerage firm, dealer, trust company or other nominee, you will need to request a “legal proxy” from such entity to vote in person at the 2016 Annual Meeting, a process which you must initiate and which may take several days.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a proxy?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Any Stockholder has the power to revoke a previously authorized proxy at any time before it is exercised. If you are a registered holder of Common Stock, you may revoke a previously authorized proxy by:</w:t>
      </w:r>
    </w:p>
    <w:p>
      <w:pPr>
        <w:spacing w:after="0" w:line="72" w:lineRule="exact"/>
        <w:rPr>
          <w:sz w:val="20"/>
          <w:szCs w:val="20"/>
          <w:color w:val="auto"/>
        </w:rPr>
      </w:pPr>
    </w:p>
    <w:p>
      <w:pPr>
        <w:ind w:left="900" w:right="220" w:hanging="325"/>
        <w:spacing w:after="0" w:line="28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authorizing a proxy over the Internet or by telephone at a later time in the manner provided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(or other color) proxy card or any other later-dated proxy;</w:t>
      </w:r>
    </w:p>
    <w:p>
      <w:pPr>
        <w:spacing w:after="0" w:line="67" w:lineRule="exact"/>
        <w:rPr>
          <w:rFonts w:ascii="Arial" w:cs="Arial" w:eastAsia="Arial" w:hAnsi="Arial"/>
          <w:sz w:val="18"/>
          <w:szCs w:val="18"/>
          <w:color w:val="auto"/>
        </w:rPr>
      </w:pPr>
    </w:p>
    <w:p>
      <w:pPr>
        <w:ind w:left="900" w:right="320" w:hanging="325"/>
        <w:spacing w:after="0" w:line="28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marking,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(or other color) proxy card or any other later-dated proxy in the postage-paid envelope provided;</w:t>
      </w:r>
    </w:p>
    <w:p>
      <w:pPr>
        <w:spacing w:after="0" w:line="71"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revocation to the Corporate Secretary of the Company, c/o Broadridge Financial Solutions, Inc., 51 Mercedes Way, Edgewood, New York 11717;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2016 Annual Meeting and voting in person.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Please note, however, that only your last-dated proxy will count. Any proxy may be revoked at any time prior to its exercise at the 2016 Annual</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Meeting as described in this Proxy Statement. Attending the 2016 Annual Meeting alone without taking one of the actions above will not revoke your proxy.</w:t>
      </w:r>
    </w:p>
    <w:p>
      <w:pPr>
        <w:spacing w:after="0" w:line="23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In addition, please note that if you submit, or have already submitted, a WHITE (or other color) proxy card you may revoke it at any time by submitting a later-dated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w:t>
      </w:r>
    </w:p>
    <w:p>
      <w:pPr>
        <w:spacing w:after="0" w:line="170"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Stockholders who hold their shares of Common Stock in street name with a bank, brokerage firm, dealer, trust company or other nominee will need to notify the person responsible for their account to revoke or withdraw previously given instructions. Unless revoked in the manner set forth above and subject to the foregoing, duly authorized proxies in the form enclosed will be voted at the 2016 Annual Meeting in accordance with your instructions. We request that a copy of any revocation sent to the Company or any revocation notification sent to the person responsible for a bank or brokerage account also be sent to us, c/o MacKenzie Partners, Inc., at the address listed above, so that we may be aware of any revocation of a proxy.</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PLEASE DO NOT RETURN ANY WHITE (OR OTHER COLOR) PROXY CARD YOU MAY RECEIVE FROM THE COMPANY OR OTHERWISE AUTHORIZE A PROXY TO VOTE YOUR SHARES OF COMMON STOCK AT THE 2016 ANNUAL MEETING, NOT EVEN AS A SIGN OF PROTEST. IF YOU HAVE ALREADY RETURNED A WHITE (OR OTHER COLOR) PROXY CARD TO THE COMPANY OR OTHERWISE AUTHORIZED A PROXY TO VOTE YOUR SHARES OF COMMON STOCK AT THE 2016 ANNUAL MEETING, IT IS NOT TOO LATE TO CHANGE YOUR VOTE. TO REVOKE YOUR PRIOR PROXY AND CHANGE YOUR VOTE, SIMPLY MARK, SIGN AND DATE THE ENCLOSED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 AND RETURN IT IN THE POSTAGE-PAID ENVELOPE PROVIDED OR USE THE</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TO AUTHORIZE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TELEPHONE OR INTERNET. ONLY YOUR LATEST DATED PROXY WILL BE COUNTED.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TSLX?</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TSLX will pay all costs of the solicitation of proxies on behalf of TSLX and the other participants described in the section entitled “Information About the Participants.” If the Nominee is elected, TSLX may seek reimbursement of those costs from the Company, subject to any restrictions based on applicable law or in the Company’s Charter or Bylaws.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you have any questions, or need assistance in voting your shares of Common Stock, please call our proxy solicitor, MacKenzie Partners, Inc., toll-free at (800) 322-2885 or contact MacKenzie Partners, Inc. by email at TPG@mackenziepartners.com.</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YOUR VOTE IS IMPORTANT, NO MATTER HOW MANY SHARES YOU OWN. TSLX URGES YOU TO MARK, SIGN, DATE AND RETURN THE ENCLOSED GOLD PROXY CARD TODAY TO VOTE (1) “FOR” THE ELECTION OF TSLX’S NOMINEE, T. KELLEY MILLET, (2) “FOR” TSLX’S PROPOSAL TO TERMINATE THE INVESTMENT ADVISORY AGREEMENT, (3) “FOR” THE ACCOUNTANT RATIFICATION PROPOSAL AND (4) “AGAINST” THE ADJOURNMENT PROPOSAL.</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2016 Annual Meeting: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proxy materials are available at http://www.stockholderdocs.com/tpg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August 4, 2015, TICC issued a press release announcing that members of TICC Management had entered into an agreement with Benefit Street Partners L.L.C. (“</w:t>
      </w:r>
      <w:r>
        <w:rPr>
          <w:rFonts w:ascii="Arial" w:cs="Arial" w:eastAsia="Arial" w:hAnsi="Arial"/>
          <w:sz w:val="18"/>
          <w:szCs w:val="18"/>
          <w:u w:val="single" w:color="auto"/>
          <w:color w:val="auto"/>
        </w:rPr>
        <w:t>BSP</w:t>
      </w:r>
      <w:r>
        <w:rPr>
          <w:rFonts w:ascii="Arial" w:cs="Arial" w:eastAsia="Arial" w:hAnsi="Arial"/>
          <w:sz w:val="18"/>
          <w:szCs w:val="18"/>
          <w:color w:val="auto"/>
        </w:rPr>
        <w:t>”), pursuant to which an affiliate of BSP would acquire TICC Management and enter into a new investment advisory agreement with TICC Management (the “</w:t>
      </w:r>
      <w:r>
        <w:rPr>
          <w:rFonts w:ascii="Arial" w:cs="Arial" w:eastAsia="Arial" w:hAnsi="Arial"/>
          <w:sz w:val="18"/>
          <w:szCs w:val="18"/>
          <w:u w:val="single" w:color="auto"/>
          <w:color w:val="auto"/>
        </w:rPr>
        <w:t>New Advisory Agreement</w:t>
      </w:r>
      <w:r>
        <w:rPr>
          <w:rFonts w:ascii="Arial" w:cs="Arial" w:eastAsia="Arial" w:hAnsi="Arial"/>
          <w:sz w:val="18"/>
          <w:szCs w:val="18"/>
          <w:color w:val="auto"/>
        </w:rPr>
        <w:t>”) on the same terms as the Investment Advisory Agreement, subject to approval at a special meeting of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In connection with this sale, BSP also proposed to expand the size of the Board to accommodate the addition of four new independent directors selected by BSP for election at the Special Meeting and to replace the two existing interested directors on the Board with affiliates of BSP.</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August 5 to August 24, 2015, TSLX acquired 1,633,719 shares of Common Stock through purchases in the open market, which represented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2.72% of the number of shares of Common Stock outstanding as of August 6, 2015 and 3.2% of the number of shares of Common Stock outstanding as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this Proxy Statement.</w:t>
      </w:r>
      <w:r>
        <w:rPr>
          <w:rFonts w:ascii="Arial" w:cs="Arial" w:eastAsia="Arial" w:hAnsi="Arial"/>
          <w:sz w:val="15"/>
          <w:szCs w:val="15"/>
          <w:color w:val="auto"/>
        </w:rPr>
        <w:t>2</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August 11, 2015, according to a press release issued on August 19, NexPoint Advisors, L.P. (“</w:t>
      </w:r>
      <w:r>
        <w:rPr>
          <w:rFonts w:ascii="Arial" w:cs="Arial" w:eastAsia="Arial" w:hAnsi="Arial"/>
          <w:sz w:val="18"/>
          <w:szCs w:val="18"/>
          <w:u w:val="single" w:color="auto"/>
          <w:color w:val="auto"/>
        </w:rPr>
        <w:t>NexPoint</w:t>
      </w:r>
      <w:r>
        <w:rPr>
          <w:rFonts w:ascii="Arial" w:cs="Arial" w:eastAsia="Arial" w:hAnsi="Arial"/>
          <w:sz w:val="18"/>
          <w:szCs w:val="18"/>
          <w:color w:val="auto"/>
        </w:rPr>
        <w:t>”) proposed to the Board that it be selected as a replacement for the Existing Adviser instead of the BSP affiliate. According to TICC’s proxy statement for the Special Meeting, following receipt of NexPoint’s proposal, the Board formed a special committee consisting of TICC’s three independent directors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in order to evaluate NexPoint’s proposal.</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September 3, 2015, TICC rejected NexPoint’s proposal and instead announced that BSP had agreed to revise the New Advisory Agreement to provide for lower fees and other commitments.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the Chairman of the Special Committee, to convey TSLX’s interest in acquiring TICC. Prior to September 2015, TSLX had not proactively initiated contact with TICC with respect to any potential transaction between the parties. Following the call, Mr. Easterly delivered to the Special Committee a letter setting forth a non-binding proposal for TSLX to acquire TICC in an all-stock transaction that would result in Stockholders receiving a number of shares of TSLX common stock that would result in Stockholders receiving $7.50 in market value per share as of the signing date of a definitive agreement. On September 16, 2015, TSLX issued a press release publicizing this proposal.</w:t>
      </w:r>
    </w:p>
    <w:p>
      <w:pPr>
        <w:spacing w:after="0" w:line="193"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On September 15, 2015, after requesting only background information based on publicly available information from TSLX, Mr. Novak called Mr. Easterly to convey that TICC was not interested in pursuing TSLX’s proposal and that the Special Committee would continue to support the BSP transaction.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and to solicit proxies to vote against the proposals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5660" w:right="2900" w:hanging="5652"/>
        <w:spacing w:after="0" w:line="449" w:lineRule="auto"/>
        <w:tabs>
          <w:tab w:leader="none" w:pos="215" w:val="left"/>
        </w:tabs>
        <w:numPr>
          <w:ilvl w:val="0"/>
          <w:numId w:val="15"/>
        </w:numPr>
        <w:rPr>
          <w:rFonts w:ascii="Arial" w:cs="Arial" w:eastAsia="Arial" w:hAnsi="Arial"/>
          <w:sz w:val="15"/>
          <w:szCs w:val="15"/>
          <w:color w:val="auto"/>
        </w:rPr>
      </w:pPr>
      <w:r>
        <w:rPr>
          <w:rFonts w:ascii="Arial" w:cs="Arial" w:eastAsia="Arial" w:hAnsi="Arial"/>
          <w:sz w:val="18"/>
          <w:szCs w:val="18"/>
          <w:color w:val="auto"/>
        </w:rPr>
        <w:t>On March 31, 2016, TSLX also acquired 59 shares of Common Stock through TICC’s dividend reinvestment plan. 8</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October 8, 2015, after TICC refused to confirm that NexPoint’s slate would be placed on the ballot, NexPoint filed a request for a preliminary injunction in the U.S. District Court for the District of Connecticut (the “</w:t>
      </w:r>
      <w:r>
        <w:rPr>
          <w:rFonts w:ascii="Arial" w:cs="Arial" w:eastAsia="Arial" w:hAnsi="Arial"/>
          <w:sz w:val="18"/>
          <w:szCs w:val="18"/>
          <w:u w:val="single" w:color="auto"/>
          <w:color w:val="auto"/>
        </w:rPr>
        <w:t>District Court</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October 23, 2015, the District Court issued a ruling (i) enjoining the Special Meeting from being held as scheduled on October 27, 2015, (ii) finding that TICC had likely violated federal securities laws by failing to disclose the amount of payments to be made under the BSP deal to its interested directors and requiring new disclosure from TICC to mitigate this failure and (iii) finding that NexPoint was not entitled to nominate a slate at the Special Meeting.</w:t>
      </w:r>
    </w:p>
    <w:p>
      <w:pPr>
        <w:spacing w:after="0" w:line="14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November 2, 2015, TSLX revised its non-binding proposal such that Stockholders would receive a number of shares of TSLX stock that would result in their receiving 90% of TICC’s net asset value (“</w:t>
      </w:r>
      <w:r>
        <w:rPr>
          <w:rFonts w:ascii="Arial" w:cs="Arial" w:eastAsia="Arial" w:hAnsi="Arial"/>
          <w:sz w:val="18"/>
          <w:szCs w:val="18"/>
          <w:u w:val="single" w:color="auto"/>
          <w:color w:val="auto"/>
        </w:rPr>
        <w:t>NAV</w:t>
      </w:r>
      <w:r>
        <w:rPr>
          <w:rFonts w:ascii="Arial" w:cs="Arial" w:eastAsia="Arial" w:hAnsi="Arial"/>
          <w:sz w:val="18"/>
          <w:szCs w:val="18"/>
          <w:color w:val="auto"/>
        </w:rPr>
        <w:t>”) per share as of the date of an agreement (i.e., $7.74 per share based on the then latest available NAV).</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December 2 and 3, 2015, respectively, NexPoint appealed to the United States Court of Appeals for the Second Circuit and sought a stay from the District Court for the duration of its appeal. On December 4, 2015, TICC nonetheless announced that the Special Meeting would be held on December 22,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9, 2015, the District Court denied NexPoint’s motion for a stay, allowing the Special Meeting to proceed as rescheduled.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December 22, 2015, the Special Meeting was held, with 63.6% of TICC’s shares present and voting. Despite beginning their solicitation in early September 2015, TICC was only able to garner the support of approximately 34.5% of all outstanding TICC shares for the BSP proposal—and as a result the proposal did not pass.</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For the next several weeks, despite a clear mandate for change, TICC failed to engage with TSLX and failed to take any actions to improve the status quo. As a result, on February 3, 2016, TSLX delivered a notice to the Company nominating Mr. Millet for election as a director at the 2016 Annual Meeting. The notice also stated TSLX’s intent to bring a proposal before the 2016 Annual Meeting to terminate the Investment Advisory Agreement. The following morning, TSLX issued a press release announcing the same. TSLX submitted this notice to the Company because we believe that the Company can and should do significantly more to improve its performance and generate value for all Stockholders.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8, 2016, NexPoint issued a press release announcing the nomination of its own director candidate for election at the 2016 Annual Meeting.</w:t>
      </w:r>
    </w:p>
    <w:p>
      <w:pPr>
        <w:spacing w:after="0" w:line="248"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On March 9, 2016, TICC announced its entry into a new investment advisory fee waiver arrangement with TICC Management and also named Mr. Novak as Chairman of the Board. On March 17, 2016, TSLX issued a press release responding to these announcements.</w:t>
      </w:r>
    </w:p>
    <w:p>
      <w:pPr>
        <w:spacing w:after="0" w:line="14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April 22, 2016, at the invitation of TICC’s Chairman, Mr. Millet met with TICC’s independent directors to discuss the Company, its prospects and strategy, and to ask questions of those present about their views of the Company’s prospects, strategy and strategic alternatives.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May 2, 2016, in anticipation of the release of the Company’s earnings for the first quarter of 2016, TSLX issued a press release raising fundamental questions about the future of TICC.</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May 17, 2016, TSLX sent a letter to the independent members of the Board questioning recent actions taken by members of the Board that TSLX believes to have been self-interested, which was filed with the SEC on the same day.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June 7, 2016, TSLX sent a letter to the Chairman of the Board in response to a private letter TSLX received from Mr. Novak on May 25, 2016, which was filed with the SEC on the same day.</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June 20, 2016, TSLX and Mr. Millet filed with the SEC a definitive proxy statement related to TSLX and Mr. Millet’s solicitation of proxies from Stockholders with respect to the election of Mr. Millet to the Board and Proposals No. 2, 3 and 4 described below.</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According to TICC’s proxy statement for the 2015 annual meeting of Stockholders (the “</w:t>
      </w:r>
      <w:r>
        <w:rPr>
          <w:rFonts w:ascii="Arial" w:cs="Arial" w:eastAsia="Arial" w:hAnsi="Arial"/>
          <w:sz w:val="18"/>
          <w:szCs w:val="18"/>
          <w:u w:val="single" w:color="auto"/>
          <w:color w:val="auto"/>
        </w:rPr>
        <w:t>2015 Annual Meeting</w:t>
      </w:r>
      <w:r>
        <w:rPr>
          <w:rFonts w:ascii="Arial" w:cs="Arial" w:eastAsia="Arial" w:hAnsi="Arial"/>
          <w:sz w:val="18"/>
          <w:szCs w:val="18"/>
          <w:color w:val="auto"/>
        </w:rPr>
        <w:t>”), the 2016 Annual Meeting is expected to be held in June 2016. As of the date hereof, however, the Company had yet to schedule the 2016 Annual Meeting, despite having announced the date of every prior annual meeting in the last 11 years by no later than May 2 of that year.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FOR THE SOLICITATION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making this solicitation as the largest Stockholder of TICC and in the greater interest of all Stockholders. As of the date of this Proxy Statement, TSLX is the beneficial and economic owner of approximately 3.2% of the outstanding shares of Common Stock.</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By nearly every measure imaginable, TICC and its Existing Adviser have consistently failed Stockholders. Since TICC’s initial public offering in 2003, the Company has delivered total returns of just 53.9% versus 224.4% for the BDC Composite.</w:t>
      </w:r>
      <w:r>
        <w:rPr>
          <w:rFonts w:ascii="Arial" w:cs="Arial" w:eastAsia="Arial" w:hAnsi="Arial"/>
          <w:sz w:val="13"/>
          <w:szCs w:val="13"/>
          <w:color w:val="auto"/>
        </w:rPr>
        <w:t>3</w:t>
      </w:r>
      <w:r>
        <w:rPr>
          <w:rFonts w:ascii="Arial" w:cs="Arial" w:eastAsia="Arial" w:hAnsi="Arial"/>
          <w:sz w:val="16"/>
          <w:szCs w:val="16"/>
          <w:color w:val="auto"/>
        </w:rPr>
        <w:t xml:space="preserve"> Even more disturbing, TICC has underperformed the return of U.S. Treasuries over the last year and the last three years, as well as since its initial public offering. Since Stockholders blocked the flawed BSP transaction backed by management on December 22, 2015, Stockholders have suffered further value destruction, with TICC’s stock down 4.3% since that date.</w:t>
      </w:r>
      <w:r>
        <w:rPr>
          <w:rFonts w:ascii="Arial" w:cs="Arial" w:eastAsia="Arial" w:hAnsi="Arial"/>
          <w:sz w:val="13"/>
          <w:szCs w:val="13"/>
          <w:color w:val="auto"/>
        </w:rPr>
        <w:t>4</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As we approach the 2016 Annual Meeting, TICC has made it clear that, once again, it does not intend to take meaningful actions to deliver Stockholder value. That is why on February 3, 2016, we delivered a formal notice of our nomination of a highly qualified and independent candidate—Mr. Millet—for election to the Board at the 2016 Annual Meeting. As part of our formal notice, we also submitted a proposal for Stockholders to vote on the termination of the Investment Advisory Agreement. Under the 1940 Act, Stockholders have the power to terminate the Existing Adviser </w:t>
      </w:r>
      <w:r>
        <w:rPr>
          <w:rFonts w:ascii="Arial" w:cs="Arial" w:eastAsia="Arial" w:hAnsi="Arial"/>
          <w:sz w:val="16"/>
          <w:szCs w:val="16"/>
          <w:i w:val="1"/>
          <w:iCs w:val="1"/>
          <w:color w:val="auto"/>
        </w:rPr>
        <w:t>at no cost to Stockholders</w:t>
      </w:r>
      <w:r>
        <w:rPr>
          <w:rFonts w:ascii="Arial" w:cs="Arial" w:eastAsia="Arial" w:hAnsi="Arial"/>
          <w:sz w:val="16"/>
          <w:szCs w:val="16"/>
          <w:color w:val="auto"/>
        </w:rPr>
        <w:t>.</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We have taken these actions because we are gravely concerned that the Board’s leadership and the Existing Adviser’s actions will continue to destroy Stockholder value. The need for an independent, highly qualified voice in the boardroom is overwhelmingly clear and the Existing Adviser’s </w:t>
      </w:r>
      <w:r>
        <w:rPr>
          <w:rFonts w:ascii="Arial" w:cs="Arial" w:eastAsia="Arial" w:hAnsi="Arial"/>
          <w:sz w:val="18"/>
          <w:szCs w:val="18"/>
          <w:i w:val="1"/>
          <w:iCs w:val="1"/>
          <w:color w:val="auto"/>
        </w:rPr>
        <w:t>decade</w:t>
      </w:r>
      <w:r>
        <w:rPr>
          <w:rFonts w:ascii="Arial" w:cs="Arial" w:eastAsia="Arial" w:hAnsi="Arial"/>
          <w:sz w:val="18"/>
          <w:szCs w:val="18"/>
          <w:color w:val="auto"/>
        </w:rPr>
        <w:t xml:space="preserve"> of failed returns demands immediate change.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proposed actions would positively impact Stockholders by:</w:t>
      </w:r>
    </w:p>
    <w:p>
      <w:pPr>
        <w:spacing w:after="0" w:line="131" w:lineRule="exact"/>
        <w:rPr>
          <w:sz w:val="20"/>
          <w:szCs w:val="20"/>
          <w:color w:val="auto"/>
        </w:rPr>
      </w:pPr>
    </w:p>
    <w:p>
      <w:pPr>
        <w:ind w:left="900" w:right="60" w:hanging="325"/>
        <w:spacing w:after="0" w:line="29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Bringing a new, independent perspective to the boardroom by adding Mr. Millet to the Board. His more than 30 years of proven industry expertise across the financial sector and particularly in credit markets coupled with his proven leadership as a director make him the ideal candidate to effect change at TICC. Of note, Mr. Millet, currently CEO of Banca IMI Securities, has guided companies in CEO and senior executive roles across the financial sector, including roles with Pierpont Securities LLC (2012-2013), Cortview Capital Holdings Inc. (2011-2012), MarketAxess Holdings Inc. (2006-2011), Bear Stearns &amp; Co. Inc. (2001-2006) and JPMorgan Chase &amp; Co. (1982-2001). He also brings board experience that spans public financial technology companies to private equity-backed financial services companies to equity trading firms. He has a track record of success in reinvigorating companies, driving growth, prioritizing stockholder interests and protecting their investments.</w:t>
      </w:r>
    </w:p>
    <w:p>
      <w:pPr>
        <w:spacing w:after="0" w:line="72"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Once and for all severing ties with a failed Existing Adviser that has not only delivered shockingly terrible Stockholder returns but pursued a strategy that has impaired TICC’s financial future and served to enrich itself to the detriment of Stockholders.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an opportunity and a path for TICC to fully and thoroughly explore its strategic alternatives with a view to maximizing value for all Stockholders.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is not our preferred course of action, but the Board’s failure to take meaningful action leaves us no choice. We feel strongly that change is needed at TICC for the reasons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100" w:hanging="452"/>
        <w:spacing w:after="0" w:line="342"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TICC and benchmark returns indexed to November 21, 2003. Total return calculation includes share price appreciation and cumulative dividends paid. BDC Composite comprised of ACAS, AINV, ARCC, BKCC, FSC, GBDC, HTGC, MAIN, MCC, NMFC, PNNT, PSEC, SLRC, TCAP, and TCRD.</w:t>
      </w:r>
    </w:p>
    <w:p>
      <w:pPr>
        <w:spacing w:after="0" w:line="124" w:lineRule="exact"/>
        <w:rPr>
          <w:sz w:val="20"/>
          <w:szCs w:val="20"/>
          <w:color w:val="auto"/>
        </w:rPr>
      </w:pPr>
    </w:p>
    <w:p>
      <w:pPr>
        <w:ind w:left="5620" w:right="2260" w:hanging="5612"/>
        <w:spacing w:after="0" w:line="449" w:lineRule="auto"/>
        <w:tabs>
          <w:tab w:leader="none" w:pos="447" w:val="left"/>
        </w:tabs>
        <w:numPr>
          <w:ilvl w:val="0"/>
          <w:numId w:val="18"/>
        </w:numPr>
        <w:rPr>
          <w:rFonts w:ascii="Arial" w:cs="Arial" w:eastAsia="Arial" w:hAnsi="Arial"/>
          <w:sz w:val="15"/>
          <w:szCs w:val="15"/>
          <w:color w:val="auto"/>
        </w:rPr>
      </w:pPr>
      <w:r>
        <w:rPr>
          <w:rFonts w:ascii="Arial" w:cs="Arial" w:eastAsia="Arial" w:hAnsi="Arial"/>
          <w:sz w:val="18"/>
          <w:szCs w:val="18"/>
          <w:color w:val="auto"/>
        </w:rPr>
        <w:t>Calculated based on TICC’s closing price of $5.73 on June 10, 2016 and a closing price of $5.99 on December 22, 2015. 11</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APPALLING PERFORMANCE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Since its inception in 2003—and over almost any measurement period since—TICC has woefully underperformed all relevant benchmarks. In the hands of the Existing Adviser and the Board, the total return on the Company’s stock has underperformed </w:t>
      </w:r>
      <w:r>
        <w:rPr>
          <w:rFonts w:ascii="Arial" w:cs="Arial" w:eastAsia="Arial" w:hAnsi="Arial"/>
          <w:sz w:val="18"/>
          <w:szCs w:val="18"/>
          <w:i w:val="1"/>
          <w:iCs w:val="1"/>
          <w:color w:val="auto"/>
        </w:rPr>
        <w:t>nearly every significant measure imaginable</w:t>
      </w:r>
      <w:r>
        <w:rPr>
          <w:rFonts w:ascii="Arial" w:cs="Arial" w:eastAsia="Arial" w:hAnsi="Arial"/>
          <w:sz w:val="18"/>
          <w:szCs w:val="18"/>
          <w:color w:val="auto"/>
        </w:rPr>
        <w:t>— including relative performance compared to the BDC Composite, S&amp;P 500, Investment Grade Debt, High Yield Debt and even U.S. Treasuries—over the past 12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unacceptable that, in a historically low interest rate environment, a Stockholder would have generated higher returns by investing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Treasuries than by holding TICC stock.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Poor Stewardship has Resulted in Drastic Long-Term Underperformance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169545</wp:posOffset>
            </wp:positionV>
            <wp:extent cx="4553585" cy="2418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5358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Since</w:t>
            </w: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Since IPO</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TICC Relative Underperformance</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9"/>
              </w:rPr>
              <w:t>Total Return (%)</w:t>
            </w:r>
            <w:r>
              <w:rPr>
                <w:rFonts w:ascii="Arial" w:cs="Arial" w:eastAsia="Arial" w:hAnsi="Arial"/>
                <w:sz w:val="12"/>
                <w:szCs w:val="12"/>
                <w:b w:val="1"/>
                <w:bCs w:val="1"/>
                <w:color w:val="auto"/>
                <w:w w:val="99"/>
              </w:rPr>
              <w:t>(</w:t>
            </w:r>
            <w:r>
              <w:rPr>
                <w:rFonts w:ascii="Arial" w:cs="Arial" w:eastAsia="Arial" w:hAnsi="Arial"/>
                <w:sz w:val="14"/>
                <w:szCs w:val="14"/>
                <w:b w:val="1"/>
                <w:bCs w:val="1"/>
                <w:color w:val="auto"/>
                <w:w w:val="99"/>
              </w:rPr>
              <w:t>¹</w:t>
            </w:r>
            <w:r>
              <w:rPr>
                <w:rFonts w:ascii="Arial" w:cs="Arial" w:eastAsia="Arial" w:hAnsi="Arial"/>
                <w:sz w:val="12"/>
                <w:szCs w:val="12"/>
                <w:b w:val="1"/>
                <w:bCs w:val="1"/>
                <w:color w:val="auto"/>
                <w:w w:val="99"/>
              </w:rPr>
              <w:t>)</w:t>
            </w:r>
          </w:p>
        </w:tc>
        <w:tc>
          <w:tcPr>
            <w:tcW w:w="1400" w:type="dxa"/>
            <w:vAlign w:val="bottom"/>
            <w:vMerge w:val="restart"/>
          </w:tcPr>
          <w:p>
            <w:pPr>
              <w:spacing w:after="0"/>
              <w:rPr>
                <w:sz w:val="10"/>
                <w:szCs w:val="10"/>
                <w:color w:val="auto"/>
              </w:rPr>
            </w:pPr>
          </w:p>
        </w:tc>
        <w:tc>
          <w:tcPr>
            <w:tcW w:w="7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YTD</w:t>
            </w:r>
          </w:p>
        </w:tc>
        <w:tc>
          <w:tcPr>
            <w:tcW w:w="7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1Y</w:t>
            </w:r>
          </w:p>
        </w:tc>
        <w:tc>
          <w:tcPr>
            <w:tcW w:w="8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3Y</w:t>
            </w:r>
          </w:p>
        </w:tc>
        <w:tc>
          <w:tcPr>
            <w:tcW w:w="8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YTD</w:t>
            </w:r>
          </w:p>
        </w:tc>
        <w:tc>
          <w:tcPr>
            <w:tcW w:w="8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1Y</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3Y</w:t>
            </w:r>
          </w:p>
        </w:tc>
        <w:tc>
          <w:tcPr>
            <w:tcW w:w="9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2"/>
              </w:rPr>
              <w:t>Since</w:t>
            </w:r>
          </w:p>
        </w:tc>
        <w:tc>
          <w:tcPr>
            <w:tcW w:w="84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Since IPO</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Annualized</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Annualized</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4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TICC</w:t>
            </w:r>
          </w:p>
        </w:tc>
        <w:tc>
          <w:tcPr>
            <w:tcW w:w="140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(0.2)%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(1.9)%</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(9.1)%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53.9%</w:t>
            </w:r>
          </w:p>
        </w:tc>
        <w:tc>
          <w:tcPr>
            <w:tcW w:w="1260" w:type="dxa"/>
            <w:vAlign w:val="bottom"/>
            <w:gridSpan w:val="2"/>
            <w:shd w:val="clear" w:color="auto" w:fill="CCEEFF"/>
          </w:tcPr>
          <w:p>
            <w:pPr>
              <w:ind w:left="640"/>
              <w:spacing w:after="0"/>
              <w:rPr>
                <w:sz w:val="20"/>
                <w:szCs w:val="20"/>
                <w:color w:val="auto"/>
              </w:rPr>
            </w:pPr>
            <w:r>
              <w:rPr>
                <w:rFonts w:ascii="Arial" w:cs="Arial" w:eastAsia="Arial" w:hAnsi="Arial"/>
                <w:sz w:val="16"/>
                <w:szCs w:val="16"/>
                <w:b w:val="1"/>
                <w:bCs w:val="1"/>
                <w:color w:val="auto"/>
              </w:rPr>
              <w:t>3.5%</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4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4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4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w:t>
            </w:r>
          </w:p>
        </w:tc>
        <w:tc>
          <w:tcPr>
            <w:tcW w:w="4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line="202" w:lineRule="exact"/>
              <w:rPr>
                <w:sz w:val="20"/>
                <w:szCs w:val="20"/>
                <w:color w:val="auto"/>
              </w:rPr>
            </w:pPr>
            <w:r>
              <w:rPr>
                <w:rFonts w:ascii="Arial" w:cs="Arial" w:eastAsia="Arial" w:hAnsi="Arial"/>
                <w:sz w:val="14"/>
                <w:szCs w:val="14"/>
                <w:color w:val="auto"/>
              </w:rPr>
              <w:t>BDC Composite</w:t>
            </w:r>
            <w:r>
              <w:rPr>
                <w:rFonts w:ascii="Arial" w:cs="Arial" w:eastAsia="Arial" w:hAnsi="Arial"/>
                <w:sz w:val="23"/>
                <w:szCs w:val="23"/>
                <w:color w:val="auto"/>
                <w:vertAlign w:val="superscript"/>
              </w:rPr>
              <w:t>(</w:t>
            </w:r>
            <w:r>
              <w:rPr>
                <w:rFonts w:ascii="Arial" w:cs="Arial" w:eastAsia="Arial" w:hAnsi="Arial"/>
                <w:sz w:val="14"/>
                <w:szCs w:val="14"/>
                <w:color w:val="auto"/>
              </w:rPr>
              <w:t>³</w:t>
            </w:r>
            <w:r>
              <w:rPr>
                <w:rFonts w:ascii="Arial" w:cs="Arial" w:eastAsia="Arial" w:hAnsi="Arial"/>
                <w:sz w:val="23"/>
                <w:szCs w:val="23"/>
                <w:color w:val="auto"/>
                <w:vertAlign w:val="superscript"/>
              </w:rPr>
              <w:t>)</w:t>
            </w:r>
          </w:p>
        </w:tc>
        <w:tc>
          <w:tcPr>
            <w:tcW w:w="780" w:type="dxa"/>
            <w:vAlign w:val="bottom"/>
            <w:gridSpan w:val="2"/>
          </w:tcPr>
          <w:p>
            <w:pPr>
              <w:jc w:val="right"/>
              <w:ind w:right="480"/>
              <w:spacing w:after="0"/>
              <w:rPr>
                <w:sz w:val="20"/>
                <w:szCs w:val="20"/>
                <w:color w:val="auto"/>
              </w:rPr>
            </w:pPr>
            <w:r>
              <w:rPr>
                <w:rFonts w:ascii="Arial" w:cs="Arial" w:eastAsia="Arial" w:hAnsi="Arial"/>
                <w:sz w:val="16"/>
                <w:szCs w:val="16"/>
                <w:color w:val="auto"/>
              </w:rPr>
              <w:t>5.1</w:t>
            </w: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(1.7)</w:t>
            </w:r>
          </w:p>
        </w:tc>
        <w:tc>
          <w:tcPr>
            <w:tcW w:w="800" w:type="dxa"/>
            <w:vAlign w:val="bottom"/>
            <w:gridSpan w:val="2"/>
          </w:tcPr>
          <w:p>
            <w:pPr>
              <w:jc w:val="right"/>
              <w:ind w:right="460"/>
              <w:spacing w:after="0"/>
              <w:rPr>
                <w:sz w:val="20"/>
                <w:szCs w:val="20"/>
                <w:color w:val="auto"/>
              </w:rPr>
            </w:pPr>
            <w:r>
              <w:rPr>
                <w:rFonts w:ascii="Arial" w:cs="Arial" w:eastAsia="Arial" w:hAnsi="Arial"/>
                <w:sz w:val="16"/>
                <w:szCs w:val="16"/>
                <w:color w:val="auto"/>
              </w:rPr>
              <w:t>3.4</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224.4</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9.8</w:t>
            </w:r>
          </w:p>
        </w:tc>
        <w:tc>
          <w:tcPr>
            <w:tcW w:w="4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(5.3)%</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(0.2)%</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(12.5)%</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(170.5)%</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w w:val="97"/>
              </w:rPr>
              <w:t>(6.3)%</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S&amp;P 500</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3.6</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1.8</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35.9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162.5</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8.0</w:t>
            </w: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(3.8)</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(45.0)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8"/>
              </w:rPr>
              <w:t>(108.6)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6"/>
                <w:szCs w:val="16"/>
                <w:color w:val="auto"/>
              </w:rPr>
              <w:t>U.S. Treasuries</w:t>
            </w:r>
          </w:p>
        </w:tc>
        <w:tc>
          <w:tcPr>
            <w:tcW w:w="780" w:type="dxa"/>
            <w:vAlign w:val="bottom"/>
            <w:gridSpan w:val="2"/>
          </w:tcPr>
          <w:p>
            <w:pPr>
              <w:jc w:val="right"/>
              <w:ind w:right="480"/>
              <w:spacing w:after="0"/>
              <w:rPr>
                <w:sz w:val="20"/>
                <w:szCs w:val="20"/>
                <w:color w:val="auto"/>
              </w:rPr>
            </w:pPr>
            <w:r>
              <w:rPr>
                <w:rFonts w:ascii="Arial" w:cs="Arial" w:eastAsia="Arial" w:hAnsi="Arial"/>
                <w:sz w:val="16"/>
                <w:szCs w:val="16"/>
                <w:color w:val="auto"/>
              </w:rPr>
              <w:t>4.5</w:t>
            </w:r>
          </w:p>
        </w:tc>
        <w:tc>
          <w:tcPr>
            <w:tcW w:w="760" w:type="dxa"/>
            <w:vAlign w:val="bottom"/>
            <w:gridSpan w:val="2"/>
          </w:tcPr>
          <w:p>
            <w:pPr>
              <w:jc w:val="right"/>
              <w:ind w:right="460"/>
              <w:spacing w:after="0"/>
              <w:rPr>
                <w:sz w:val="20"/>
                <w:szCs w:val="20"/>
                <w:color w:val="auto"/>
              </w:rPr>
            </w:pPr>
            <w:r>
              <w:rPr>
                <w:rFonts w:ascii="Arial" w:cs="Arial" w:eastAsia="Arial" w:hAnsi="Arial"/>
                <w:sz w:val="16"/>
                <w:szCs w:val="16"/>
                <w:color w:val="auto"/>
              </w:rPr>
              <w:t>5.9</w:t>
            </w:r>
          </w:p>
        </w:tc>
        <w:tc>
          <w:tcPr>
            <w:tcW w:w="800" w:type="dxa"/>
            <w:vAlign w:val="bottom"/>
            <w:gridSpan w:val="2"/>
          </w:tcPr>
          <w:p>
            <w:pPr>
              <w:jc w:val="right"/>
              <w:ind w:right="460"/>
              <w:spacing w:after="0"/>
              <w:rPr>
                <w:sz w:val="20"/>
                <w:szCs w:val="20"/>
                <w:color w:val="auto"/>
              </w:rPr>
            </w:pPr>
            <w:r>
              <w:rPr>
                <w:rFonts w:ascii="Arial" w:cs="Arial" w:eastAsia="Arial" w:hAnsi="Arial"/>
                <w:sz w:val="16"/>
                <w:szCs w:val="16"/>
                <w:color w:val="auto"/>
              </w:rPr>
              <w:t>9.3</w:t>
            </w:r>
          </w:p>
        </w:tc>
        <w:tc>
          <w:tcPr>
            <w:tcW w:w="400" w:type="dxa"/>
            <w:vAlign w:val="bottom"/>
          </w:tcPr>
          <w:p>
            <w:pPr>
              <w:jc w:val="right"/>
              <w:spacing w:after="0"/>
              <w:rPr>
                <w:sz w:val="20"/>
                <w:szCs w:val="20"/>
                <w:color w:val="auto"/>
              </w:rPr>
            </w:pPr>
            <w:r>
              <w:rPr>
                <w:rFonts w:ascii="Arial" w:cs="Arial" w:eastAsia="Arial" w:hAnsi="Arial"/>
                <w:sz w:val="16"/>
                <w:szCs w:val="16"/>
                <w:color w:val="auto"/>
              </w:rPr>
              <w:t>68.0</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4.2</w:t>
            </w:r>
          </w:p>
        </w:tc>
        <w:tc>
          <w:tcPr>
            <w:tcW w:w="4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(4.7)</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(7.8)</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(18.4)</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(14.1)</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Grade Debt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8.0</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8.6</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15.7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5.7</w:t>
            </w: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(8.1)</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(10.4)</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(24.8)</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(45.9)</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6"/>
        </w:trPr>
        <w:tc>
          <w:tcPr>
            <w:tcW w:w="2620" w:type="dxa"/>
            <w:vAlign w:val="bottom"/>
            <w:gridSpan w:val="2"/>
          </w:tcPr>
          <w:p>
            <w:pPr>
              <w:spacing w:after="0"/>
              <w:rPr>
                <w:sz w:val="20"/>
                <w:szCs w:val="20"/>
                <w:color w:val="auto"/>
              </w:rPr>
            </w:pPr>
            <w:r>
              <w:rPr>
                <w:rFonts w:ascii="Arial" w:cs="Arial" w:eastAsia="Arial" w:hAnsi="Arial"/>
                <w:sz w:val="16"/>
                <w:szCs w:val="16"/>
                <w:color w:val="auto"/>
              </w:rPr>
              <w:t>High Yield Debt</w:t>
            </w:r>
          </w:p>
        </w:tc>
        <w:tc>
          <w:tcPr>
            <w:tcW w:w="780" w:type="dxa"/>
            <w:vAlign w:val="bottom"/>
            <w:gridSpan w:val="2"/>
          </w:tcPr>
          <w:p>
            <w:pPr>
              <w:jc w:val="right"/>
              <w:ind w:right="480"/>
              <w:spacing w:after="0"/>
              <w:rPr>
                <w:sz w:val="20"/>
                <w:szCs w:val="20"/>
                <w:color w:val="auto"/>
              </w:rPr>
            </w:pPr>
            <w:r>
              <w:rPr>
                <w:rFonts w:ascii="Arial" w:cs="Arial" w:eastAsia="Arial" w:hAnsi="Arial"/>
                <w:sz w:val="16"/>
                <w:szCs w:val="16"/>
                <w:color w:val="auto"/>
              </w:rPr>
              <w:t>8.1</w:t>
            </w:r>
          </w:p>
        </w:tc>
        <w:tc>
          <w:tcPr>
            <w:tcW w:w="760" w:type="dxa"/>
            <w:vAlign w:val="bottom"/>
            <w:gridSpan w:val="2"/>
          </w:tcPr>
          <w:p>
            <w:pPr>
              <w:jc w:val="right"/>
              <w:ind w:right="460"/>
              <w:spacing w:after="0"/>
              <w:rPr>
                <w:sz w:val="20"/>
                <w:szCs w:val="20"/>
                <w:color w:val="auto"/>
              </w:rPr>
            </w:pPr>
            <w:r>
              <w:rPr>
                <w:rFonts w:ascii="Arial" w:cs="Arial" w:eastAsia="Arial" w:hAnsi="Arial"/>
                <w:sz w:val="16"/>
                <w:szCs w:val="16"/>
                <w:color w:val="auto"/>
              </w:rPr>
              <w:t>0.5</w:t>
            </w:r>
          </w:p>
        </w:tc>
        <w:tc>
          <w:tcPr>
            <w:tcW w:w="800" w:type="dxa"/>
            <w:vAlign w:val="bottom"/>
            <w:gridSpan w:val="2"/>
          </w:tcPr>
          <w:p>
            <w:pPr>
              <w:jc w:val="right"/>
              <w:ind w:right="460"/>
              <w:spacing w:after="0"/>
              <w:rPr>
                <w:sz w:val="20"/>
                <w:szCs w:val="20"/>
                <w:color w:val="auto"/>
              </w:rPr>
            </w:pPr>
            <w:r>
              <w:rPr>
                <w:rFonts w:ascii="Arial" w:cs="Arial" w:eastAsia="Arial" w:hAnsi="Arial"/>
                <w:sz w:val="16"/>
                <w:szCs w:val="16"/>
                <w:color w:val="auto"/>
              </w:rPr>
              <w:t>8.8</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111.1</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6.1</w:t>
            </w:r>
          </w:p>
        </w:tc>
        <w:tc>
          <w:tcPr>
            <w:tcW w:w="4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(8.3)</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(2.3)</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(17.9)</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(57.2)</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return calculation includes share price appreciation and cumulative dividends paid.</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TICC and benchmark returns indexed to November 21, 2003.</w:t>
      </w:r>
    </w:p>
    <w:p>
      <w:pPr>
        <w:spacing w:after="0" w:line="9" w:lineRule="exact"/>
        <w:rPr>
          <w:rFonts w:ascii="Arial" w:cs="Arial" w:eastAsia="Arial" w:hAnsi="Arial"/>
          <w:sz w:val="18"/>
          <w:szCs w:val="18"/>
          <w:i w:val="1"/>
          <w:iCs w:val="1"/>
          <w:color w:val="auto"/>
        </w:rPr>
      </w:pPr>
    </w:p>
    <w:p>
      <w:pPr>
        <w:ind w:right="620" w:firstLine="8"/>
        <w:spacing w:after="0" w:line="250" w:lineRule="auto"/>
        <w:tabs>
          <w:tab w:leader="none" w:pos="446"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BDC Composite comprised of ACAS, AINV, ARCC, BKCC, FSC, GBDC, HTGC, MAIN, MCC, NMFC, PNNT, PSEC, SLRC, TCAP, and TCRD. Note: Market data as of June 10, 2016</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Source: Bloomberg, fixed income benchmark data from Markit iBoxx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a result, the Company’s NAV per share has rapidly deteriorated, and we believe this trend will continue under the Board’s current investment and capital allocation policies. NAV per share has declined from $9.78 as of March 31, 2014 to $5.89 as of March 31, 2016—a decline of 40% over only two years—and we anticipate that this value destruction will continue absent meaningful change in the composition of the Board, the Existing Adviser and the Company’s investment strategy. It is no surprise then that Stockholders continue to suffer from a stock price that has closed below NAV per share for the past 640 consecutive days</w:t>
      </w:r>
      <w:r>
        <w:rPr>
          <w:rFonts w:ascii="Arial" w:cs="Arial" w:eastAsia="Arial" w:hAnsi="Arial"/>
          <w:sz w:val="15"/>
          <w:szCs w:val="15"/>
          <w:color w:val="auto"/>
        </w:rPr>
        <w:t>5</w:t>
      </w:r>
      <w:r>
        <w:rPr>
          <w:rFonts w:ascii="Arial" w:cs="Arial" w:eastAsia="Arial" w:hAnsi="Arial"/>
          <w:sz w:val="18"/>
          <w:szCs w:val="18"/>
          <w:color w:val="auto"/>
        </w:rPr>
        <w:t xml:space="preserve"> and now trades at 97.3% of NAV</w:t>
      </w:r>
      <w:r>
        <w:rPr>
          <w:rFonts w:ascii="Arial" w:cs="Arial" w:eastAsia="Arial" w:hAnsi="Arial"/>
          <w:sz w:val="15"/>
          <w:szCs w:val="15"/>
          <w:color w:val="auto"/>
        </w:rPr>
        <w:t>6</w:t>
      </w:r>
      <w:r>
        <w:rPr>
          <w:rFonts w:ascii="Arial" w:cs="Arial" w:eastAsia="Arial" w:hAnsi="Arial"/>
          <w:sz w:val="18"/>
          <w:szCs w:val="18"/>
          <w:color w:val="auto"/>
        </w:rPr>
        <w:t xml:space="preserve"> per share.</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The Board has yet to offer any credible plan to address this value destruction. Although we applaud TICC’s willingness to repurchase shares during the fourth quarter of 2015 and during 2016, </w:t>
      </w:r>
      <w:r>
        <w:rPr>
          <w:rFonts w:ascii="Arial" w:cs="Arial" w:eastAsia="Arial" w:hAnsi="Arial"/>
          <w:sz w:val="16"/>
          <w:szCs w:val="16"/>
          <w:i w:val="1"/>
          <w:iCs w:val="1"/>
          <w:color w:val="auto"/>
        </w:rPr>
        <w:t>it is not lost on us nor on other Stockholders that TICC has refused to commit to continuing this strategy</w:t>
      </w:r>
      <w:r>
        <w:rPr>
          <w:rFonts w:ascii="Arial" w:cs="Arial" w:eastAsia="Arial" w:hAnsi="Arial"/>
          <w:sz w:val="16"/>
          <w:szCs w:val="16"/>
          <w:color w:val="auto"/>
        </w:rPr>
        <w:t>. It is unacceptable that TICC is not continuing to buy back stock at a 2.7% discount to NAV.</w:t>
      </w:r>
      <w:r>
        <w:rPr>
          <w:rFonts w:ascii="Arial" w:cs="Arial" w:eastAsia="Arial" w:hAnsi="Arial"/>
          <w:sz w:val="13"/>
          <w:szCs w:val="13"/>
          <w:color w:val="auto"/>
        </w:rPr>
        <w:t>7</w:t>
      </w:r>
      <w:r>
        <w:rPr>
          <w:rFonts w:ascii="Arial" w:cs="Arial" w:eastAsia="Arial" w:hAnsi="Arial"/>
          <w:sz w:val="16"/>
          <w:szCs w:val="16"/>
          <w:color w:val="auto"/>
        </w:rPr>
        <w:t xml:space="preserve"> Our estimate is that the 2016 repurchases have added approximately $0.12 to NAV per share. One must ask: why not continue these value-creation measures? It leads one to wonder whether the Board is more concerned with protecting the asset base on which the Existing Adviser earns its revenue stream than interested in creating value for Stockholders.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RAPID DETERIORATION OF CLO INVESTMENT VALUE</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These consistently poor returns and the ongoing deterioration of NAV per share are in part a result of a failed investment strategy into collateralized loan obligation (“</w:t>
      </w:r>
      <w:r>
        <w:rPr>
          <w:rFonts w:ascii="Arial" w:cs="Arial" w:eastAsia="Arial" w:hAnsi="Arial"/>
          <w:sz w:val="16"/>
          <w:szCs w:val="16"/>
          <w:u w:val="single" w:color="auto"/>
          <w:color w:val="auto"/>
        </w:rPr>
        <w:t>CLO</w:t>
      </w:r>
      <w:r>
        <w:rPr>
          <w:rFonts w:ascii="Arial" w:cs="Arial" w:eastAsia="Arial" w:hAnsi="Arial"/>
          <w:sz w:val="16"/>
          <w:szCs w:val="16"/>
          <w:color w:val="auto"/>
        </w:rPr>
        <w:t>”) equity. This not only distorts management fees but also contributes to the unsustainable nature of TICC’s dividend.</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The reality of the CLO market debunks TICC’s claim that the dividend can be supported by the cash flows from the Company’s CLO investments. The facts are clear. As illustrated in </w:t>
      </w:r>
      <w:r>
        <w:rPr>
          <w:rFonts w:ascii="Arial" w:cs="Arial" w:eastAsia="Arial" w:hAnsi="Arial"/>
          <w:sz w:val="18"/>
          <w:szCs w:val="18"/>
          <w:u w:val="single" w:color="auto"/>
          <w:color w:val="auto"/>
        </w:rPr>
        <w:t>Appendix A</w:t>
      </w:r>
      <w:r>
        <w:rPr>
          <w:rFonts w:ascii="Arial" w:cs="Arial" w:eastAsia="Arial" w:hAnsi="Arial"/>
          <w:sz w:val="18"/>
          <w:szCs w:val="18"/>
          <w:color w:val="auto"/>
        </w:rPr>
        <w:t>, cash-on-cash distributions have been decreasing on a significant proportion of TICC’s CLO equity portfolio, with an astounding decline of almost 10% quarter over quarter. Further, over-collateralization cushions in TICC’s CLO investments have compressed, creating additional risk to future distributions. This will only lead to further pressure on TICC and only serves to emphasize that its current dividend policy is unsustainable.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TICC’s management has given lip service to moving the portfolio into bespoke, directly originated credit investments, TICC has failed to follow through on this proposal. Instead, the portfolio remains overweight on CLO investments. And yet—in addition to causing the problems noted above— the Existing Adviser continues to reap significant fees that are excessive and inappropriate for the existing portfolio of assets, which we will discuss further below.</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VALUE-DESTRUCTIVE DIVIDEND POLICY AND POOR CAPITAL MANAGEMENT</w:t>
      </w:r>
    </w:p>
    <w:p>
      <w:pPr>
        <w:spacing w:after="0" w:line="2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Contributing to the erosion of NAV is also a flawed and value-destructive capital allocation strategy. By TICC’s own admission, its past dividends are in part a return of investor capital which, as five independent analysts have noted, is unsustainable. TICC has under-earned its dividend by a cumulative</w:t>
      </w:r>
    </w:p>
    <w:p>
      <w:pPr>
        <w:ind w:right="60"/>
        <w:spacing w:after="0" w:line="261" w:lineRule="auto"/>
        <w:rPr>
          <w:sz w:val="20"/>
          <w:szCs w:val="20"/>
          <w:color w:val="auto"/>
        </w:rPr>
      </w:pPr>
      <w:r>
        <w:rPr>
          <w:rFonts w:ascii="Arial" w:cs="Arial" w:eastAsia="Arial" w:hAnsi="Arial"/>
          <w:sz w:val="18"/>
          <w:szCs w:val="18"/>
          <w:color w:val="auto"/>
        </w:rPr>
        <w:t>45.3% in the six most recent quarters (and likely would have under-earned its dividend in previous quarters if not for an accounting error made by TICC that was disclosed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3" w:lineRule="exact"/>
        <w:rPr>
          <w:sz w:val="20"/>
          <w:szCs w:val="20"/>
          <w:color w:val="auto"/>
        </w:rPr>
      </w:pPr>
    </w:p>
    <w:p>
      <w:pPr>
        <w:ind w:left="460" w:right="280" w:hanging="452"/>
        <w:spacing w:after="0" w:line="258"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Calculated as of June 10, 2016, based on TICC’s daily closing price as a percentage of the then latest reported net asset value per share. Calculation includes both trading and non-trading days.</w:t>
      </w: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7"/>
          <w:szCs w:val="17"/>
          <w:color w:val="auto"/>
        </w:rPr>
        <w:t>Calculated based on TICC’s closing price of $5.73 per share on June 10, 2016 and TICC’s last reported net asset value of $5.89 per share as of</w:t>
      </w:r>
    </w:p>
    <w:p>
      <w:pPr>
        <w:spacing w:after="0" w:line="224" w:lineRule="exact"/>
        <w:rPr>
          <w:sz w:val="20"/>
          <w:szCs w:val="20"/>
          <w:color w:val="auto"/>
        </w:rPr>
      </w:pPr>
    </w:p>
    <w:p>
      <w:pPr>
        <w:ind w:left="460" w:right="640" w:hanging="452"/>
        <w:spacing w:after="0" w:line="27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Calculated based on TICC’s closing price of $5.73 per share on June 10, 2016 and TICC’s last reported net asset value of $5.89 per share as of March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TICC has Consistently Under-earned its Dividend and Eroded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169545</wp:posOffset>
            </wp:positionV>
            <wp:extent cx="5068570" cy="3129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6857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 TICC has issued equity in the public markets ten times since its initial public offering and once even issued equity below NAV (in June 2008), notwithstanding the dilutive effect such an offering would have on Stockholders. These equity raises have served only to increase the asset base and resulting revenue stream for the Existing Adviser; TICC has been unable to deploy this incremental capital in ways that improve returns for investors relative to the BDC Composite.</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actions by management—combined with the precipitous decline in NAV per share under its watch and the resulting high debt-to-equity ratio of 1.15x—now severely limit TICC’s ability to raise additional capital or repurchase shares because of regulations that effectively limit BDCs to debt-to-equity ratios of 1.0x. Thus, the Existing Adviser’s actions have not only delivered abysmal results but have resulted in a situation that severely limits the ability of any manager to rescue Stockholder investments.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ADVISER HAS BEEN SIGNIFICANTLY OVERCOMPENSATED HISTORICALLY</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Perhaps most egregious—particularly in light of the performance noted above and the composition of TICC’s portfolio—is that management has taken a disproportionate share of Total Economics of Stockholders’ investment.</w:t>
      </w:r>
      <w:r>
        <w:rPr>
          <w:rFonts w:ascii="Arial" w:cs="Arial" w:eastAsia="Arial" w:hAnsi="Arial"/>
          <w:sz w:val="15"/>
          <w:szCs w:val="15"/>
          <w:color w:val="auto"/>
        </w:rPr>
        <w:t>8</w:t>
      </w:r>
      <w:r>
        <w:rPr>
          <w:rFonts w:ascii="Arial" w:cs="Arial" w:eastAsia="Arial" w:hAnsi="Arial"/>
          <w:sz w:val="18"/>
          <w:szCs w:val="18"/>
          <w:color w:val="auto"/>
        </w:rPr>
        <w:t xml:space="preserve"> TICC’s total Stockholder fees and expenses have been well above the BDC Composite median since 2012.</w:t>
      </w:r>
      <w:r>
        <w:rPr>
          <w:rFonts w:ascii="Arial" w:cs="Arial" w:eastAsia="Arial" w:hAnsi="Arial"/>
          <w:sz w:val="15"/>
          <w:szCs w:val="15"/>
          <w:color w:val="auto"/>
        </w:rPr>
        <w:t>9</w:t>
      </w:r>
      <w:r>
        <w:rPr>
          <w:rFonts w:ascii="Arial" w:cs="Arial" w:eastAsia="Arial" w:hAnsi="Arial"/>
          <w:sz w:val="18"/>
          <w:szCs w:val="18"/>
          <w:color w:val="auto"/>
        </w:rPr>
        <w:t xml:space="preserve"> The numbers show that, since 2012, for every $1.00 of Total Economics created, Stockholders have incurred $1.44 of fees and expenses, the vast majority of which have gone to the Existing Adviser.</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Moreover, TICC’s management is also vastly overcompensated given that its portfolio—overweight with broadly syndicated CLO investments—is largely the same as a class of mutual funds that charges far lower fees for the same service. In this sense, according to certain industry analysts, TICC has charged approximately six times the fees it should properly be entitled to.</w:t>
      </w:r>
      <w:r>
        <w:rPr>
          <w:rFonts w:ascii="Arial" w:cs="Arial" w:eastAsia="Arial" w:hAnsi="Arial"/>
          <w:sz w:val="15"/>
          <w:szCs w:val="15"/>
          <w:color w:val="auto"/>
        </w:rPr>
        <w:t>10</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When considering the nature of TICC’s assets and incorporating the expected return, the bottom line is that one dollar invested with TICC is immediately and automatically worth notably less than one dollar for Stockholders. It’s clear that TICC provides Stockholders with exposure to assets that can otherwise be accessed significantly less expensively, all in an effort to maximize management returns to the detriment of Stockholders.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HIGHLY CONCERNING CONFLICTS OF INTEREST AND POOR CORPORATE GOVERNANCE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light of the dismal performance, flawed investment strategy and poor capital management, one might think the Board would have cut ties with the Existing Adviser by now. Not so. The current Board has renewed the Existing Adviser’s contract annually for the last 12 years, enabling the Existing Adviser to inflict more than a decade of mismanagement on Stockholders. This is a result of a static, entrenched Board that is conflicted and in dire need of new, independent views.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extent of the Board’s conflict was revealed this past fall when the Board advocated passionately—for several months—in favor of a transaction that was initially estimated to result in the Existing Adviser receiving as much as $60 million from a third-party buyer to take over the Company’s advisory contract. This was despite the fact that the Board had—and has—the power to terminate the Existing Adviser’s contract at any time on 60 days’ notice—a move that would have cost Stockholders nothing and permitted the Board to negotiate for some of those amounts to be redirected to Stockholders in the form of reduced fees. Recall that this was a Board-approved transaction in which:</w:t>
      </w:r>
    </w:p>
    <w:p>
      <w:pPr>
        <w:spacing w:after="0" w:line="94" w:lineRule="exact"/>
        <w:rPr>
          <w:sz w:val="20"/>
          <w:szCs w:val="20"/>
          <w:color w:val="auto"/>
        </w:rPr>
      </w:pPr>
    </w:p>
    <w:p>
      <w:pPr>
        <w:ind w:left="900" w:right="5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refused to meaningfully engage in any alternative proposals and instead pursued a transaction in which Board members stood to personally make millions of dollars;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one “independent” Board member approved the transaction despite glaring personal conflicts of interest, notably being paid $280,000 per year by businesses associated with another conflicted Board member and the owner of the Existing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80" w:hanging="452"/>
        <w:spacing w:after="0" w:line="284"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 xml:space="preserve">Total Economics defined as Economic Profit + Shareholder Value Gained / (Lost) due to change in Premium / (Discount) to Average NAV. Economic Profit equals Net Increase in Net Assets as a Result of Operations + Total Shareholder Fees &amp; Expenses. Shareholder Value Gained / (Lost) due to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 See the table in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entitled “Reconciliation of Certain Non-GAAP Financial Measures” for a reconciliation to the most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recent comparable financial measures presented in accordance with GAAP. Source: Company Filings. Capital IQ, Financial data as of 3/31/16.</w:t>
      </w:r>
    </w:p>
    <w:p>
      <w:pPr>
        <w:spacing w:after="0" w:line="19" w:lineRule="exact"/>
        <w:rPr>
          <w:sz w:val="20"/>
          <w:szCs w:val="20"/>
          <w:color w:val="auto"/>
        </w:rPr>
      </w:pPr>
    </w:p>
    <w:p>
      <w:pPr>
        <w:jc w:val="both"/>
        <w:ind w:left="460" w:right="800" w:hanging="452"/>
        <w:spacing w:after="0" w:line="282"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 xml:space="preserve">TSLX believes that Total Shareholder Fees &amp; Expenses and Total Economics for each company in the BDC Composite were calculated on a substantially equivalent basis to the methodology shown for TICC in </w:t>
      </w:r>
      <w:r>
        <w:rPr>
          <w:rFonts w:ascii="Arial" w:cs="Arial" w:eastAsia="Arial" w:hAnsi="Arial"/>
          <w:sz w:val="16"/>
          <w:szCs w:val="16"/>
          <w:u w:val="single" w:color="auto"/>
          <w:color w:val="auto"/>
        </w:rPr>
        <w:t>Annex D</w:t>
      </w:r>
      <w:r>
        <w:rPr>
          <w:rFonts w:ascii="Arial" w:cs="Arial" w:eastAsia="Arial" w:hAnsi="Arial"/>
          <w:sz w:val="16"/>
          <w:szCs w:val="16"/>
          <w:color w:val="auto"/>
        </w:rPr>
        <w:t>, including pro forma adjustments to exclude the effects of 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or incentive fee waiver, where applicable. Source: Company Filings. Capital IQ, Financial data as of 3/31/16.</w:t>
      </w:r>
    </w:p>
    <w:p>
      <w:pPr>
        <w:spacing w:after="0" w:line="8" w:lineRule="exact"/>
        <w:rPr>
          <w:sz w:val="20"/>
          <w:szCs w:val="20"/>
          <w:color w:val="auto"/>
        </w:rPr>
      </w:pPr>
    </w:p>
    <w:p>
      <w:pPr>
        <w:ind w:left="5620" w:right="5280" w:hanging="5612"/>
        <w:spacing w:after="0" w:line="519" w:lineRule="auto"/>
        <w:tabs>
          <w:tab w:leader="none" w:pos="45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15</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Existing Adviser recut the transaction several times while under pressure and consistent criticism from Stockholders, equity analysts and market commentators;</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Three independent proxy advisory firms recommended that Stockholders vote against the transaction—with one of these firms ultimately changing its recommendation in favor of the transaction in large part due to the potentially adverse consequences for Stockholders if the Existing Adviser continued to advise the Company;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Five of the six equity analysts covering TICC expressed their opposition to the deal publicly;</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TICC and the Board were found by a federal judge to have likely violated federal securities laws by, among other things, omitting the amount to be paid to the interested directors of TICC in their disclosure to Stockholders;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TICC itself told Stockholders that if they voted down the deal it would result in Stockholders left with the “same adviser” and “same Board.”</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12 years, the Board has gone unchanged and overseen drastic underperformance and management enrichment, while each TICC director has received hundreds of thousands of dollars in compensation. TICC’s Chairman alone has received over $1.0 million in compensation from the Company over the course of his tenure. We have grave concerns that these actions indicate the current Board is either unwilling or incapable of acting independently to protect Stockholder value. The lack of reasonable business judgment demonstrated by the Board this past fall demands a new, independent voice in the boardroom to protect Stockholder interests.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WOEFULLY INADEQUATE RECENT EFFORTS</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“fee waiver” and appointment of a new Chairman of the Board announced on March 9, 2016 are empty gestures and a transparent attempt to escape the resounding defeat TICC experienced when Stockholders refused to approve the conflicted transaction at the Special Meeting in late December.</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surprised to hear TICC say on its fourth quarter earnings call held on March 10, 2016 that, in January, the Board “commenced [a] shareholder outreach program and contacted the 20 largest institutional holders.” As its then third largest Stockholder, we did sit down with TICC, but it was just two days prior to the announcements referenced above. It was clear from the very short notice and confirmed in the meeting that TICC’s objective was an attempt to garner our support for an already fully-baked plan and input from Stockholders was not being entertained. This was not a genuine effort to discuss an appropriate path to Stockholder value-creation. If all of TICC’s outreach meetings were as unconstructive as ours, we suspect TICC’s other Stockholders were just as underwhelmed and disappointed as we were.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far as the proposed course of action: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Reduction in Fees</w:t>
      </w:r>
      <w:r>
        <w:rPr>
          <w:rFonts w:ascii="Arial" w:cs="Arial" w:eastAsia="Arial" w:hAnsi="Arial"/>
          <w:sz w:val="18"/>
          <w:szCs w:val="18"/>
          <w:color w:val="auto"/>
        </w:rPr>
        <w:t>—As part of the March 9 announcement, TICC announced a fee waiver it had entered into with its Existing Adviser.</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However, after years of terrible performance, including underperforming the BDC Composite by 170.5 percentage points since TICC’s initial public offering on a total returns basis, a whopping 6.3 percentage points per year of under-performance, the only appropriate response from the Board would have been to terminate the management contract with the Existing Adviser. Again, TICC’s net total return for investors was approximately 0.7% per year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than if a Stockholder had invested in risk-free U.S. Treasuries. As we have said time and again, our issues with TICC are broad and systemic. While important, a simplistic focus on fees distorts the core problems at TICC as easily manipulated and misleading headlines. Paying the Existing Adviser </w:t>
      </w:r>
      <w:r>
        <w:rPr>
          <w:rFonts w:ascii="Arial" w:cs="Arial" w:eastAsia="Arial" w:hAnsi="Arial"/>
          <w:sz w:val="17"/>
          <w:szCs w:val="17"/>
          <w:i w:val="1"/>
          <w:iCs w:val="1"/>
          <w:color w:val="auto"/>
        </w:rPr>
        <w:t>anything</w:t>
      </w:r>
      <w:r>
        <w:rPr>
          <w:rFonts w:ascii="Arial" w:cs="Arial" w:eastAsia="Arial" w:hAnsi="Arial"/>
          <w:sz w:val="17"/>
          <w:szCs w:val="17"/>
          <w:color w:val="auto"/>
        </w:rPr>
        <w:t xml:space="preserve"> is paying it too much, given TICC’s massive and consistent underperformance.</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find Mr. Novak’s characterization of the reduced fee structure as “best in class” laughable. Fees and compensation should be a function of management’s ability to add value and drive return on equity—not metrics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be viewed in isolation and certainly not ones to be determined against a barely comparable group of other BDCs (particularly a group that conveniently ignores the underlying nature of the assets they own).</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our review of BDC peers, we believe TICC has failed to recognize the unique nature of its own portfolio of broadly syndicated securities (versus a greater focus on bespoke, directly originated transactions by other participants in the BDC industry). In our view, the most appropriate fee structure against which to compare TICC is that adopted by American Capital Senior Floating, Ltd. (“</w:t>
      </w:r>
      <w:r>
        <w:rPr>
          <w:rFonts w:ascii="Arial" w:cs="Arial" w:eastAsia="Arial" w:hAnsi="Arial"/>
          <w:sz w:val="16"/>
          <w:szCs w:val="16"/>
          <w:u w:val="single" w:color="auto"/>
          <w:color w:val="auto"/>
        </w:rPr>
        <w:t>ACSF</w:t>
      </w:r>
      <w:r>
        <w:rPr>
          <w:rFonts w:ascii="Arial" w:cs="Arial" w:eastAsia="Arial" w:hAnsi="Arial"/>
          <w:sz w:val="16"/>
          <w:szCs w:val="16"/>
          <w:color w:val="auto"/>
        </w:rPr>
        <w:t>”). The composition of ACSF’s portfolio is nearly identical to TICC’s: ACSF has a portfolio composed of 84.3% senior secured broadly syndicated debt and 15.7% CLO equity and TICC has a portfolio composed of</w:t>
      </w:r>
    </w:p>
    <w:p>
      <w:pPr>
        <w:jc w:val="both"/>
        <w:ind w:right="60"/>
        <w:spacing w:after="0" w:line="272" w:lineRule="auto"/>
        <w:rPr>
          <w:sz w:val="20"/>
          <w:szCs w:val="20"/>
          <w:color w:val="auto"/>
        </w:rPr>
      </w:pPr>
      <w:r>
        <w:rPr>
          <w:rFonts w:ascii="Arial" w:cs="Arial" w:eastAsia="Arial" w:hAnsi="Arial"/>
          <w:sz w:val="17"/>
          <w:szCs w:val="17"/>
          <w:color w:val="auto"/>
        </w:rPr>
        <w:t>72.0% senior secured broadly syndicated debt and 25.6% CLO equity.</w:t>
      </w:r>
      <w:r>
        <w:rPr>
          <w:rFonts w:ascii="Arial" w:cs="Arial" w:eastAsia="Arial" w:hAnsi="Arial"/>
          <w:sz w:val="14"/>
          <w:szCs w:val="14"/>
          <w:color w:val="auto"/>
        </w:rPr>
        <w:t>11</w:t>
      </w:r>
      <w:r>
        <w:rPr>
          <w:rFonts w:ascii="Arial" w:cs="Arial" w:eastAsia="Arial" w:hAnsi="Arial"/>
          <w:sz w:val="17"/>
          <w:szCs w:val="17"/>
          <w:color w:val="auto"/>
        </w:rPr>
        <w:t xml:space="preserve"> For its efforts, ACSF charges a management fee of 80 basis points on assets under management and no incentive fee. By comparison, TICC’s </w:t>
      </w:r>
      <w:r>
        <w:rPr>
          <w:rFonts w:ascii="Arial" w:cs="Arial" w:eastAsia="Arial" w:hAnsi="Arial"/>
          <w:sz w:val="17"/>
          <w:szCs w:val="17"/>
          <w:i w:val="1"/>
          <w:iCs w:val="1"/>
          <w:color w:val="auto"/>
        </w:rPr>
        <w:t>new</w:t>
      </w:r>
      <w:r>
        <w:rPr>
          <w:rFonts w:ascii="Arial" w:cs="Arial" w:eastAsia="Arial" w:hAnsi="Arial"/>
          <w:sz w:val="17"/>
          <w:szCs w:val="17"/>
          <w:color w:val="auto"/>
        </w:rPr>
        <w:t xml:space="preserve"> fee structure—which includes a 1.5% base management fee and a 20% incentive fee—looks rich indeed. In other words, TICC’s new fee structure is approximately 265% higher than ACSF’s fee structure, after taking into account the incentive fee. It should also be noted that ACSF trades at approximately 89.6% of book value, even with its lower fee structure.</w:t>
      </w:r>
      <w:r>
        <w:rPr>
          <w:rFonts w:ascii="Arial" w:cs="Arial" w:eastAsia="Arial" w:hAnsi="Arial"/>
          <w:sz w:val="14"/>
          <w:szCs w:val="14"/>
          <w:color w:val="auto"/>
        </w:rPr>
        <w:t>12</w:t>
      </w:r>
      <w:r>
        <w:rPr>
          <w:rFonts w:ascii="Arial" w:cs="Arial" w:eastAsia="Arial" w:hAnsi="Arial"/>
          <w:sz w:val="17"/>
          <w:szCs w:val="17"/>
          <w:color w:val="auto"/>
        </w:rPr>
        <w:t xml:space="preserve"> The sobering reality in our view is that any notion of TICC shares trading at NAV without implementing more significant changes is a distant reality.</w:t>
      </w:r>
    </w:p>
    <w:p>
      <w:pPr>
        <w:spacing w:after="0" w:line="17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Furthermore, rewarding the same management team through marginally reduced fees does not address the core problem of poor performance. A change in the manager was passionately advocated by the Board and the current management team in connection with the now failed BSP transaction. Simply put, after 12 years of underperformance across all time periods, the answer shouldn’t be a reduction in the Existing Adviser’s compensation. </w:t>
      </w:r>
      <w:r>
        <w:rPr>
          <w:rFonts w:ascii="Arial" w:cs="Arial" w:eastAsia="Arial" w:hAnsi="Arial"/>
          <w:sz w:val="16"/>
          <w:szCs w:val="16"/>
          <w:i w:val="1"/>
          <w:iCs w:val="1"/>
          <w:color w:val="auto"/>
        </w:rPr>
        <w:t>The answer, as the</w:t>
      </w:r>
      <w:r>
        <w:rPr>
          <w:rFonts w:ascii="Arial" w:cs="Arial" w:eastAsia="Arial" w:hAnsi="Arial"/>
          <w:sz w:val="16"/>
          <w:szCs w:val="16"/>
          <w:color w:val="auto"/>
        </w:rPr>
        <w:t xml:space="preserve"> </w:t>
      </w:r>
      <w:r>
        <w:rPr>
          <w:rFonts w:ascii="Arial" w:cs="Arial" w:eastAsia="Arial" w:hAnsi="Arial"/>
          <w:sz w:val="16"/>
          <w:szCs w:val="16"/>
          <w:i w:val="1"/>
          <w:iCs w:val="1"/>
          <w:color w:val="auto"/>
        </w:rPr>
        <w:t>Board had previously advocated, is real change—change in management and the Existing Adviser, as well as a change in investment strategy</w:t>
      </w:r>
      <w:r>
        <w:rPr>
          <w:rFonts w:ascii="Arial" w:cs="Arial" w:eastAsia="Arial" w:hAnsi="Arial"/>
          <w:sz w:val="16"/>
          <w:szCs w:val="16"/>
          <w:color w:val="auto"/>
        </w:rPr>
        <w:t>.</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New Chairman</w:t>
      </w:r>
      <w:r>
        <w:rPr>
          <w:rFonts w:ascii="Arial" w:cs="Arial" w:eastAsia="Arial" w:hAnsi="Arial"/>
          <w:sz w:val="18"/>
          <w:szCs w:val="18"/>
          <w:color w:val="auto"/>
        </w:rPr>
        <w:t>—TICC’s March 9 announcement also reported that Mr. Novak had been appointed as the “independent” Chairman of the Board,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disappointing to us given the lack of alignment Mr. Novak has exhibited with Stockholder interests.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Stockholders to consider these simple facts about Mr. Novak:</w:t>
      </w:r>
    </w:p>
    <w:p>
      <w:pPr>
        <w:spacing w:after="0" w:line="131" w:lineRule="exact"/>
        <w:rPr>
          <w:sz w:val="20"/>
          <w:szCs w:val="20"/>
          <w:color w:val="auto"/>
        </w:rPr>
      </w:pPr>
    </w:p>
    <w:p>
      <w:pPr>
        <w:ind w:left="900" w:right="260" w:hanging="325"/>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Novak’s 19,474 shares of Common Stock have a current market value of approximately $111,586, representing a mere 11.1% of the more than $1.0 million in aggregate compensation he has received from TICC during his 12-year tenure as a director.</w:t>
      </w:r>
      <w:r>
        <w:rPr>
          <w:rFonts w:ascii="Arial" w:cs="Arial" w:eastAsia="Arial" w:hAnsi="Arial"/>
          <w:sz w:val="14"/>
          <w:szCs w:val="14"/>
          <w:color w:val="auto"/>
        </w:rPr>
        <w:t>13</w:t>
      </w:r>
    </w:p>
    <w:p>
      <w:pPr>
        <w:spacing w:after="0" w:line="51" w:lineRule="exact"/>
        <w:rPr>
          <w:rFonts w:ascii="Arial" w:cs="Arial" w:eastAsia="Arial" w:hAnsi="Arial"/>
          <w:sz w:val="17"/>
          <w:szCs w:val="17"/>
          <w:color w:val="auto"/>
        </w:rPr>
      </w:pPr>
    </w:p>
    <w:p>
      <w:pPr>
        <w:ind w:left="900" w:right="7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annual compensation as a director has grown at a compound annual rate of 24.3% since 2010, while over the same period Stockholders have seen their shares underperform the BDC Composite by 9.2% on an annualized basis.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 was even awarded $50,000 for his role as Chairman of the Special Committee that oversaw the attempt to have Stockholders approve the conflicted transaction with BSP, even though that transaction was overwhelmingly rejected by Stockholders and the Board was admonished by a federal judge for misleading Stockholders in connection with its solicitation efforts.</w:t>
      </w:r>
    </w:p>
    <w:p>
      <w:pPr>
        <w:spacing w:after="0" w:line="166"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informed Mr. Novak on October 7, 2015 that we would be willing to discontinue our proxy solicitation efforts against the conflicted BSP transaction if the Board agreed to facilitate change at the Company by terminating the Existing Adviser’s contract and redirecting the proceeds of the proposed transaction to replace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March 31, 2016 by fair value.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June 10, 2016, based on ACSF’s closing price of $10.50 per share and a March 31, 2016 NAV of $11.72 per share.</w:t>
      </w:r>
    </w:p>
    <w:p>
      <w:pPr>
        <w:spacing w:after="0" w:line="9" w:lineRule="exact"/>
        <w:rPr>
          <w:rFonts w:ascii="Arial" w:cs="Arial" w:eastAsia="Arial" w:hAnsi="Arial"/>
          <w:sz w:val="15"/>
          <w:szCs w:val="15"/>
          <w:color w:val="auto"/>
        </w:rPr>
      </w:pPr>
    </w:p>
    <w:p>
      <w:pPr>
        <w:ind w:left="460" w:right="120" w:hanging="452"/>
        <w:spacing w:after="0" w:line="261"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based on TICC’s closing price of $5.00 on June 10, 2016. Steven P. Novak has received approximately $1,005,125 in compensation for his role as a director from the Company’s inception through December 31, 2015. Source: Company filings.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Existing Adviser to Stockholders. We believe any party willing to offer a cash payment and future economic interest to the failed Existing Adviser would have readily offered the same consideration through reduced fees to Stockholders if the Board demanded it do so instead of compensating the failed Existing Adviser. The Board instead advocated for a conflicted transaction that would have resulted in members of the Board receiving millions of dollars. As a result, we are now faced with a second costly proxy contest that will only be an additional expense to Stockholders so that the Company can continue to desperately protect its failing Existing Adviser and self-interested directors.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These recent “actions” by TICC are wholly inadequate. </w:t>
      </w:r>
      <w:r>
        <w:rPr>
          <w:rFonts w:ascii="Arial" w:cs="Arial" w:eastAsia="Arial" w:hAnsi="Arial"/>
          <w:sz w:val="18"/>
          <w:szCs w:val="18"/>
          <w:i w:val="1"/>
          <w:iCs w:val="1"/>
          <w:color w:val="auto"/>
        </w:rPr>
        <w:t>Most alarmingly, despite TICC describing these actions as the product of a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the Company has not acknowledged whether the Special Committee considered a sale or liquidation, which were direct requests from TSLX and other Stockholders. </w:t>
      </w:r>
      <w:r>
        <w:rPr>
          <w:rFonts w:ascii="Arial" w:cs="Arial" w:eastAsia="Arial" w:hAnsi="Arial"/>
          <w:sz w:val="18"/>
          <w:szCs w:val="18"/>
          <w:color w:val="auto"/>
        </w:rPr>
        <w:t>Any genuine “comprehensive” review would have required an honest and rigorous review, not empty gestures to fiddle with fees and shuffle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faces around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FAILURE TO SCHEDULE STOCKHOLDER MEETING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Historically, TICC has held its annual meeting no later than June 18 and has announced the date of each of its annual meetings in the last 11 years by no later than May 2 of that year. The fact that TICC has not set the date for its 2016 Annual Meeting or filed its proxy statement for the 2016 Annual Meeting within 120 days of the end of its fiscal year (and as a result was obligated to file a supplement to its Annual Report on Form 10-K for the year ended December 31, 2015) is another blatant abuse of Stockholders.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By delaying the 2016 Annual Meeting, TICC has, to date, denied Stockholders the opportunity to voice their concerns at the 2016 Annual Meeting and to exercise their right to vote on critical proposals that directly affect their company. Simply put, we believe that the Board is delaying the 2016 Annual Meeting to prevent Stockholders from having the opportunity to vote in favor of our highly qualified director nominee and our proposal to terminate the contract of the failed Existing Adviser.</w:t>
      </w:r>
    </w:p>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believe the Board is clearly stalling, which indicates to us that it is more interested in entrenching itself and the failed Existing Adviser than providing Stockholders with the opportunity to vote on important matters concerning their investment.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TIME FOR CHANGE IS NOW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Despite the Board’s own admission that change was needed, we have been shocked by the lack of meaningful action—particularly since the failed Stockholder vote held in December 2015—and by the Board’s efforts to frustrate Stockholders’ ability to take these actions on their own. As outlined in our November 29, 2015 letter to the Board, we expected it to take meaningful actions regardless of the success or failure of the conflicted transaction. The clear path for change includes:</w:t>
      </w:r>
    </w:p>
    <w:p>
      <w:pPr>
        <w:spacing w:after="0" w:line="92" w:lineRule="exact"/>
        <w:rPr>
          <w:sz w:val="20"/>
          <w:szCs w:val="20"/>
          <w:color w:val="auto"/>
        </w:rPr>
      </w:pPr>
    </w:p>
    <w:p>
      <w:pPr>
        <w:ind w:left="900" w:right="2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seating Mr. Millet on the Board and further refreshing the Board with a new slate of independent directors, in consultation with us and other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terminating the existing Investment Advisory Agreement;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Promptly following the reconstitution of the Board, conducting a comprehensive strategic review process to identify the best path forward to deliver value to Stockholders.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Time is overdue for TICC to become a professionally governed public company with a focus on maximizing Stockholder value. Given the poor financial performance, the deterioration of NAV per share, declining values in the CLO equity portfolio, and an overall lack of transparency, TICC needs to act now to prioritize Stockholders’ interests over their 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urge the Board to schedule the 2016 Annual Meeting promptly so that Stockholders have the opportunity to vote on our Nominee and on terminating the Investment Advisory Agreement.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always, we stand ready and willing to immediately engage in a constructive dialogue with the Company. Once the aforementioned issues are addressed, we believe there is a brighter path ahead for TICC and its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 for change is now.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40"/>
          </w:cols>
          <w:pgMar w:left="240" w:top="459" w:right="8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Statistics, TICC CLO Equity Portfolio (Selected Constituents)</w:t>
      </w:r>
      <w:r>
        <w:rPr>
          <w:rFonts w:ascii="Arial" w:cs="Arial" w:eastAsia="Arial" w:hAnsi="Arial"/>
          <w:sz w:val="15"/>
          <w:szCs w:val="15"/>
          <w:color w:val="auto"/>
        </w:rPr>
        <w:t>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12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280" w:type="dxa"/>
            <w:vAlign w:val="bottom"/>
            <w:gridSpan w:val="3"/>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0"/>
              </w:rPr>
              <w:t>Weighted Average</w:t>
            </w:r>
          </w:p>
        </w:tc>
        <w:tc>
          <w:tcPr>
            <w:tcW w:w="498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of Selected Constituents</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AMMC CLO XII, Ltd. – $6,460,715 Fair Value</w:t>
            </w:r>
            <w:r>
              <w:rPr>
                <w:rFonts w:ascii="Arial" w:cs="Arial" w:eastAsia="Arial" w:hAnsi="Arial"/>
                <w:sz w:val="15"/>
                <w:szCs w:val="15"/>
                <w:b w:val="1"/>
                <w:bCs w:val="1"/>
                <w:color w:val="auto"/>
              </w:rPr>
              <w:t>16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r>
              <w:rPr>
                <w:rFonts w:ascii="Arial" w:cs="Arial" w:eastAsia="Arial" w:hAnsi="Arial"/>
                <w:sz w:val="15"/>
                <w:szCs w:val="15"/>
                <w:i w:val="1"/>
                <w:iCs w:val="1"/>
                <w:color w:val="auto"/>
              </w:rPr>
              <w:t>17</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41.0%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r>
              <w:rPr>
                <w:rFonts w:ascii="Arial" w:cs="Arial" w:eastAsia="Arial" w:hAnsi="Arial"/>
                <w:sz w:val="15"/>
                <w:szCs w:val="15"/>
                <w:i w:val="1"/>
                <w:iCs w:val="1"/>
                <w:color w:val="auto"/>
              </w:rPr>
              <w:t>18</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XXV CLO Ltd. – $6,975,000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(20.9)</w:t>
            </w: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(40.0)%</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Ares XXVI CLO Ltd. – $4,229,521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(25.9)%</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XXIX CLO Ltd. – $5,284,986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Benefit Street Partners CLO II, Ltd. – $15,380,095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(33.5)%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Carlyle GMS CLO 2013-2, Ltd. – $5,932,128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(14.3)%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Carlyle GMS CLO 2014-4, Ltd. – $14,914,501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11.7%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(64.0)%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Catamaran CLO 2012-1 Ltd. – $5,500,000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Catamaran CLO 2013-1 Ltd. – $4,900,000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(13.4)%</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Source: Intex Solutions.</w:t>
      </w:r>
    </w:p>
    <w:p>
      <w:pPr>
        <w:spacing w:after="0" w:line="23" w:lineRule="exact"/>
        <w:rPr>
          <w:rFonts w:ascii="Arial" w:cs="Arial" w:eastAsia="Arial" w:hAnsi="Arial"/>
          <w:sz w:val="15"/>
          <w:szCs w:val="15"/>
          <w:color w:val="auto"/>
        </w:rPr>
      </w:pPr>
    </w:p>
    <w:p>
      <w:pPr>
        <w:ind w:left="460" w:right="320" w:hanging="452"/>
        <w:spacing w:after="0" w:line="25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Q1 represents CLO distributions made in February, March, or April, depending on each structure’s payment schedule. Subsequent periods represent each successive three month increment from Q1.</w:t>
      </w: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Fair value amounts as of December 31, 2015. Source: Company filings.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Cash on Cash Distribution calculated as quarterly payment divided by the original notional balance of the equity tranche.</w:t>
      </w:r>
    </w:p>
    <w:p>
      <w:pPr>
        <w:spacing w:after="0" w:line="9" w:lineRule="exact"/>
        <w:rPr>
          <w:rFonts w:ascii="Arial" w:cs="Arial" w:eastAsia="Arial" w:hAnsi="Arial"/>
          <w:sz w:val="15"/>
          <w:szCs w:val="15"/>
          <w:color w:val="auto"/>
        </w:rPr>
      </w:pPr>
    </w:p>
    <w:p>
      <w:pPr>
        <w:jc w:val="both"/>
        <w:ind w:left="460" w:hanging="452"/>
        <w:spacing w:after="0" w:line="27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7"/>
          <w:szCs w:val="17"/>
          <w:color w:val="auto"/>
        </w:rPr>
        <w:t>Junior overcollateralization cushion represents coverage for the most junior debt in each CLO as of the test date. The overcollateralization test measures the principal balance of the assets held by a CLO against each of the various classes of its liability structure. A failure to satisfy the overcollateralization test could result in the redirection of cash flows to the more senior classes of securities until the tests are satisfied.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Cedar Funding II CLO, Ltd. – $10,125,000 Fair Value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CIFC Funding 2012-1, Ltd. – $5,610,000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(15.3)%</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Halcyon Loan Advisors Funding 2012-2 Ltd. – $3,450,000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(39.2)%</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Hull Street CLO Ltd. – $2,350,000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8.5%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(37.9)%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Ivy Hill Middle Market Credit Fund VII, Ltd. – $10,181,692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Marea CLO, Ltd. – $4,816,787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(29.2)%</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MidOcean Credit CLO IV – $6,840,000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(9.1)%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(42.5)%</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Mountain Hawk III CLO, Ltd. – $4,530,618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9.7%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Shackleton 2013-IV CLO, Ltd. – $8,269,561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Telos CLO 2013-3, Ltd. – $5,416,666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Telos CLO 2013-4, Ltd.– $4,600,445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Windriver 2012-1 CLO, Ltd. – $4,277,998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60" w:type="dxa"/>
            <w:vAlign w:val="bottom"/>
          </w:tcPr>
          <w:p>
            <w:pPr>
              <w:jc w:val="right"/>
              <w:ind w:right="5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1: ELECTION OF DIRECTOR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reasons set forth in the section entitled “Reasons for the Solicitation,” we are seeking your support at the 2016 Annual Meeting to elect T. Kelley Millet as a director of the Company. The Board is currently composed of five directors—two interested directors and three independent directors. One of the independent directors, Tonia L. Pankopf, is up for election at the 2016 Annual Meeting.</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Nominee, if elected at the 2016 Annual Meeting, would replace Ms. Pankopf as a member of the Board and would serve until the 2019 annual meeting of Stockholders and until his successor has been duly elected and qualified. Mr. Millet has consented to being named as the Nominee in this Proxy Statement and the form of proxy and, if elected, to serving as a director of the Company.</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believe that the Nominee is highly qualified to serve as a director of TICC and that, if elected as a director of the Company, the Nominee would be considered an “independent director” under the applicable corporate governance guidelines and NASDAQ Stock Market listing standards and would not be considered an “interested person” within the meaning of Section 2(a)(19) of the 1940 Act, based on the information furnished by the Nominee. TSLX has no knowledge of any facts that would prevent a determination that the Nominee is independent or is not an interested person under such standards.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Nominee understands that, if elected as a director, the Nominee will have duties to the Company and its Stockholders as a director. The Nominee has made a commitment to, if elected, act in the best interests of the Company and its Stockholders and to exercise his independent judgment in accordance with his duties in all matters that come before the Board.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 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TSLX does not expect that the Nominee will be unable to stand for election, but reserves the right to nominate substitute or additional persons as nominees for any reason, including in the event that (1) the Board is expanded beyond its current size and/or (2) the Nominee is unable for any reason, including by reason of the taking or announcement of any action by the Company that has, or if consummated would have, the effect of disqualifying the Nominee to serve as a director or for good cause shown will not serve as a director. In any such case, we will file an amended proxy statement that identifies any such substitute or additional nominee, discloses that any such substitute or additional nominee has consented to being named in our amended proxy statement and to serve as a director of the Company if elected and includes the information with respect to such substitute or additional nominee required to be disclosed under the proxy rules. In the event that the Company refuses to permit a substitute or additional nominee as contemplated by this paragraph by reason of the Bylaws or otherwise, we reserve the right to challenge the Bylaws or the application of the Bylaws to such substitute or additional nominees, or such other action in an appropriate legal proceeding. In the event that the Nominee is unable to serve (or for good cause will not serve) as a director or additional persons are nominated by TSLX as nominees, the shares of Common Stock represented by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for the substitute nominee(s) of TSLX in compliance with SEC rules and any other applicable requirements.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Information pertaining to the Nominee, including his name, age, present principal occupation, business address and business experience for the past five years and certain other information, is set forth in the question and answer section of this Proxy Statement under the question entitled “Who is the Nominee?”, which we urge you to read. Additional information regarding the Nominee can also be found in </w:t>
      </w:r>
      <w:r>
        <w:rPr>
          <w:rFonts w:ascii="Arial" w:cs="Arial" w:eastAsia="Arial" w:hAnsi="Arial"/>
          <w:sz w:val="16"/>
          <w:szCs w:val="16"/>
          <w:u w:val="single" w:color="auto"/>
          <w:color w:val="auto"/>
        </w:rPr>
        <w:t>Annex A</w:t>
      </w:r>
      <w:r>
        <w:rPr>
          <w:rFonts w:ascii="Arial" w:cs="Arial" w:eastAsia="Arial" w:hAnsi="Arial"/>
          <w:sz w:val="16"/>
          <w:szCs w:val="16"/>
          <w:color w:val="auto"/>
        </w:rPr>
        <w:t>. This information has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been furnished to TSLX by the Nominee. Other than as disclosed in this Proxy Statement, there is no arrangement or understanding between the Nominee and any other person(s) pursuant to which the Nominee was or is to be selected as a director or nominee of the Company.</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You should refer to the TICC 2016 Proxy Statement, when available, for the name, background, qualifications and other information concerning the Company’s nominee.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TSLX and the Nominee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consideration of the substantial time and effort that the nomination and election process will require of the Nominee, TSLX and the Nominee have entered into an agreement (the “</w:t>
      </w:r>
      <w:r>
        <w:rPr>
          <w:rFonts w:ascii="Arial" w:cs="Arial" w:eastAsia="Arial" w:hAnsi="Arial"/>
          <w:sz w:val="17"/>
          <w:szCs w:val="17"/>
          <w:u w:val="single" w:color="auto"/>
          <w:color w:val="auto"/>
        </w:rPr>
        <w:t>Nomination Agreement</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Annex B</w:t>
      </w:r>
      <w:r>
        <w:rPr>
          <w:rFonts w:ascii="Arial" w:cs="Arial" w:eastAsia="Arial" w:hAnsi="Arial"/>
          <w:sz w:val="17"/>
          <w:szCs w:val="17"/>
          <w:color w:val="auto"/>
        </w:rPr>
        <w:t>. Pursuant to this agreement, TSLX agreed to: (i) pay to Mr. Millet a one-time, non-refundable fee in the amount of $40,000, (ii) reimburse Mr. Millet for all reasonable and documented expenses (including any necessary travel and lodging) incurred in the performance of his responsibilities as the Nominee, (iii) directly pay for the reasonable and documented legal fees and expenses incurred by one independent legal counsel of his choosing to advise and represent him in connection with his entry into the above-referenced Nomination Agreement and (iv) indemnify Mr. Millet in connection with losses arising from the solicitation of proxies for his election at the 2016 Annual Meeting or his being named the Nominee, subject to certain customary exceptions.</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The above description of the terms and conditions of the Nomination Agreement is qualified in its entirety by reference to the form of Nomination Agreement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incorporated herein by reference. We urge you to read the full form of Nomination Agreement, which includes the detailed terms, conditions and definitions applicable to the arrangements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Company’s Directors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Except as set forth above or in </w:t>
      </w:r>
      <w:r>
        <w:rPr>
          <w:rFonts w:ascii="Arial" w:cs="Arial" w:eastAsia="Arial" w:hAnsi="Arial"/>
          <w:sz w:val="18"/>
          <w:szCs w:val="18"/>
          <w:u w:val="single" w:color="auto"/>
          <w:color w:val="auto"/>
        </w:rPr>
        <w:t>Annex A</w:t>
      </w:r>
      <w:r>
        <w:rPr>
          <w:rFonts w:ascii="Arial" w:cs="Arial" w:eastAsia="Arial" w:hAnsi="Arial"/>
          <w:sz w:val="18"/>
          <w:szCs w:val="18"/>
          <w:color w:val="auto"/>
        </w:rPr>
        <w:t>, the Nominee will not receive any compensation from TSLX to serve as the Nominee for election and, if elected, as a director of the Company.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He will, however, receive whatever compensation the Board has established for non-employee directors of the Company unless and until the Board determines to change such compensation. The following discussion summarizes the Company’s compensation and indemnification of directors based solely on the Form 10-K/A filed by the Company with the SEC on April 29,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of TICC’s directors for the year ended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Fees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Earned</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72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2"/>
                <w:szCs w:val="12"/>
                <w:b w:val="1"/>
                <w:bCs w:val="1"/>
                <w:color w:val="auto"/>
                <w:w w:val="93"/>
              </w:rPr>
              <w:t>(1)</w:t>
            </w:r>
          </w:p>
        </w:tc>
        <w:tc>
          <w:tcPr>
            <w:tcW w:w="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Jonathan H. Cohen</w:t>
            </w: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Charles M. Royce</w:t>
            </w: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Steven P. Novak</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$191,250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$191,250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G. Peter O’Brien</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Tonia L. Pankopf</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For a discussion of the independent directors’ compensation, see below.</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TICC does not maintain a stock or option plan, non-equity incentive plan or pension plan for its directors.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Each independent director receives an annual fee of $75,000. Effective as of March 1, 2016, the Chairman of the Board receives an additional annual fee of $30,000 for his service as Chairman of the Board. In addition,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independent directors receive $2,000 plus reimbursement of reasonable out-of-pocket expenses incurred in connection with attending each Board meeting, $1,500 plus reimbursement of reasonable out-of-pocket expenses incurred in connection with attending each Valuation Committee meeting, $1,500 plus reimbursement of reasonable out-of-pocket expenses incurred in connection with attending each Audit Committee meeting, $1,000 plus reimbursement of reasonable out-of-pocket expenses incurred in connection with attending each Nominating and Corporate Governance Committee meeting, $1,000 plus reimbursement of reasonable out-of-pocket expenses incurred in connection with attending each Compensation Committee meeting and $1,500 plus reimbursement of reasonable out-of-pocket expenses incurred in connection with attending each Special Committee meeting. The Chairman of the Audit Committee also receives an additional annual fee of $7,500 for his service as chair of the Audit Committee. The Chairman of the Valuation Committee also receives an additional annual fee of $7,500 for his service as chair of the Valuation Committee. The Chairman of the Nominating and Corporate Governance Committee also receives an additional annual fee of $3,000 for his service as chair of the Nominating and Corporate Governance Committee. The Chairman of the Compensation Committee also receives an additional annual fee of $3,000 for her service as chair of the Compensation Committee. The Chairman of the Special Committee receives an annual fee of $50,000 for his service as chair of the Special Committee. No compensation was paid to directors who are interested persons of TICC as defined under the 1940 Act.</w:t>
      </w:r>
    </w:p>
    <w:p>
      <w:pPr>
        <w:spacing w:after="0" w:line="18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would be entitled to any other benefits made available to the independent directors of the Company.</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Neither the Nominee, nor any associate of the Nominee, has received any cash compensation, cash bonuses, deferred compensation, compensation pursuant to plans or other compensation, from, or in respect of, services rendered on behalf of the Company, that is required to be disclosed pursuant to Item 402 of Regulation S-K promulgated under the Securities Act of 1933, as amended (“</w:t>
      </w:r>
      <w:r>
        <w:rPr>
          <w:rFonts w:ascii="Arial" w:cs="Arial" w:eastAsia="Arial" w:hAnsi="Arial"/>
          <w:sz w:val="18"/>
          <w:szCs w:val="18"/>
          <w:u w:val="single" w:color="auto"/>
          <w:color w:val="auto"/>
        </w:rPr>
        <w:t>Regulation S-K</w:t>
      </w:r>
      <w:r>
        <w:rPr>
          <w:rFonts w:ascii="Arial" w:cs="Arial" w:eastAsia="Arial" w:hAnsi="Arial"/>
          <w:sz w:val="18"/>
          <w:szCs w:val="18"/>
          <w:color w:val="auto"/>
        </w:rPr>
        <w:t>”), or is otherwise subject to any arrangement described in Item 402 of Regulation S-K.</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Nominee has not held any position or office with the Company, and no occupation or employment with which the Nominee has been involved during the past five years was carried on with the Company or any corporation or organization that is a parent, subsidiary or other affiliate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the Nominee, if elected, will be: (i) entitled to receive compensation customarily paid by the Company to its independent directors,</w:t>
      </w:r>
    </w:p>
    <w:p>
      <w:pPr>
        <w:spacing w:after="0" w:line="35" w:lineRule="exact"/>
        <w:rPr>
          <w:sz w:val="20"/>
          <w:szCs w:val="20"/>
          <w:color w:val="auto"/>
        </w:rPr>
      </w:pPr>
    </w:p>
    <w:p>
      <w:pPr>
        <w:ind w:right="8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indemnified for service as a director of the Company to the same extent indemnification is provided to the current directors of the Company, (iii) covered by the Company’s director’s and officer’s liability insurance, if any, to the same extent as the other directors of the Company and (iv) entitled to any other benefits made available to the independent directors of the Company.</w:t>
      </w:r>
    </w:p>
    <w:p>
      <w:pPr>
        <w:spacing w:after="0" w:line="1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Nominee may be deemed to have an interest in his nomination for election to the Board by virtue of the compensation the Nominee will receive from the Company as a director, if elected to the Board, and as described elsewhere in this Proxy Statement.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Information as to any substantial interest, direct or indirect, through security holdings or otherwise, in any matter to be acted upon at the 2016 Annual Meeting is set forth herein. Other than as described in this Proxy Statement, none of the persons listed on </w:t>
      </w:r>
      <w:r>
        <w:rPr>
          <w:rFonts w:ascii="Arial" w:cs="Arial" w:eastAsia="Arial" w:hAnsi="Arial"/>
          <w:sz w:val="18"/>
          <w:szCs w:val="18"/>
          <w:u w:val="single" w:color="auto"/>
          <w:color w:val="auto"/>
        </w:rPr>
        <w:t>Annex A</w:t>
      </w:r>
      <w:r>
        <w:rPr>
          <w:rFonts w:ascii="Arial" w:cs="Arial" w:eastAsia="Arial" w:hAnsi="Arial"/>
          <w:sz w:val="18"/>
          <w:szCs w:val="18"/>
          <w:color w:val="auto"/>
        </w:rPr>
        <w:t>, including the Nominee or any associate of the foregoing persons has any substantial interest, direct or indirect, through security holdings or otherwise, in any matter to be acted upon at the 2016 Annual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 has furnished the additional information with respect to himself located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WE STRONGLY URGE YOU TO VOTE “FOR” THE ELECTION OF TSLX’S NOMINEE, T. KELLEY MILLET,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ELECTION OF TSLX’S NOMINEE, T. KELLEY MILLET.</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Please do not return any WHITE (or other color) proxy card you may receive from the Company or otherwise authorize a proxy to vote your shares of Common Stock for the Company’s nominee. If you have already submitted a WHITE (or other color) proxy card that may have been sent to you by the Company or otherwise authorized a proxy to vote your shares of Common Stock for the Company’s nominee, it is not too late to change your vote. To revoke your prior proxy and change your vote, simply mark, sign and date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 it in the postage-paid envelope provided to you by us or follow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authorize a proxy by telephone or Internet. Only your latest dated proxy will be counted.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TSLX’S PROPOSAL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TERMINATE THE INVESTMENT ADVISORY AGREEMENT</w:t>
      </w:r>
    </w:p>
    <w:p>
      <w:pPr>
        <w:spacing w:after="0" w:line="2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reasons set forth in the section entitled “Reasons for the Solicitation,” after years of underperformance by the Company and the Existing Adviser, TSLX believes that it is in the best interest of Stockholders to terminate the Investment Advisory Agreement. TSLX is seeking Stockholder approval to terminate the Investment Advisory Agreement in accordance with the provisions of Section 9 thereof. Under Section 9 of the Investment Advisory Agreement, the Investment Advisory Agreement may be terminated at any time, without the payment of any penalty, upon 60 days’ written notice, by the vote of a “majority of the Company’s outstanding voting securities.” For these purposes, the vote of a “majority of the Company’s outstanding voting securities” means the vote, at the 2016 Annual Meeting, of the lesser of: (i) 67% or more of shares of the Common Stock present at such meeting, if the holders of more than 50% of the outstanding shares of Common Stock are present or represented by proxy or (ii) more than 50% of the outstanding shares of Common Stock.</w:t>
      </w:r>
    </w:p>
    <w:p>
      <w:pPr>
        <w:spacing w:after="0" w:line="19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1940 Act provides a temporary exemption to the approval requirements of an investment advisory agreement, in the event that a prior advisory contract is terminated, which allows the Board (including a majority of the independent directors) to approve an interim investment advisory contract. Such an interim contract is required to be approved within ten business days after the termination of the prior advisory contract becomes effective, with the compensation received under the interim contract to be no greater than the compensation the adviser would have received under the previous contract. The Board would then have 150 days to obtain Stockholder approval for that new investment advisory contract at a subsequent meeting of Stockholders (which would be the subject of a separate proxy solicitation). Although the failure to approve an interim or permanent investment advisory agreement could potentially require the Company to become internally managed (which it might not be prepared to do at that time), we believe any reasonably designed process to select a new manager would identify a number of suitable, alternative advisers willing to advise the Company on attractive terms.</w:t>
      </w:r>
    </w:p>
    <w:p>
      <w:pPr>
        <w:spacing w:after="0" w:line="166"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If TSLX’s proposal to terminate the Investment Advisory Agreement is approved, the Board will be able to seek a new investment adviser that we believe will put the Company on the right path to value-creation for Stockholders. In that case, our existing investment adviser, TSL Advisers, LLC, may offer its services as a new adviser to the Company. Because it would be the Board’s prerogative to select and evaluate potential candidates subject to the procedures described above, however, TSLX has not, to date, considered other candidates that it might propose as a replacement for the Existing Adviser. In the event that TSL Advisers, LLC were to become the new adviser to the Company, it is possible that our adviser may ultimately propose that the Company and TSLX be combined, on terms and conditions acceptable to the independent directors of each of the Company and TSLX, as contemplated by the 1940 Act. Note that voting for TSLX’s proposal to terminate the Investment Advisory Agreement is not equivalent to voting in favor of a combination of the Company with TSLX, which would need to be voted on at a separate meeting of Stockholders. It is important to note that Stockholders will not have an opportunity to consider and approve any combination of the Company with TSLX unless and until it is approved by the Board. There can be no assurances that such a transaction will be pursued or approved, or that it would prove to be more favorable to Stockholders than the status quo. The approval of this proposal alone will not require TICC to pursue a transaction with TSLX, but will prevent the further compensation of the Existing Adviser, which has overseen a history of meaningful underperformance.</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TSLX believes that the Company should dissociate itself from its current investment adviser because the Existing Adviser’s long-term performance has been abysmal. Although a change in adviser may result in some amount of lost time or incremental expense, we believe this cost is far outweighed by the potential benefits of replacing the Existing Adviser. By soliciting votes in favor of the BSP transaction, the Company has itself acknowledged that another potential advisory arrangement exists that is preferable to the current arrangement with the Existing Adviser. Although in that solicitation, the Special Committee indicated it believed “[n]o alternative currently exists that the Special Committee would approve or recommend because no current proposal is preferable to the status quo other than the approval of BSP as the new manager,” we do not believe that to be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case and we note that, as part of its advocacy in favor of that solicitation, the Company told Stockholders that failing to approve the BSP transaction would result in Stockholders being left with the “[s]tatus quo: </w:t>
      </w:r>
      <w:r>
        <w:rPr>
          <w:rFonts w:ascii="Arial" w:cs="Arial" w:eastAsia="Arial" w:hAnsi="Arial"/>
          <w:sz w:val="18"/>
          <w:szCs w:val="18"/>
          <w:b w:val="1"/>
          <w:bCs w:val="1"/>
          <w:color w:val="auto"/>
        </w:rPr>
        <w:t>higher</w:t>
      </w:r>
      <w:r>
        <w:rPr>
          <w:rFonts w:ascii="Arial" w:cs="Arial" w:eastAsia="Arial" w:hAnsi="Arial"/>
          <w:sz w:val="18"/>
          <w:szCs w:val="18"/>
          <w:color w:val="auto"/>
        </w:rPr>
        <w:t xml:space="preserve"> fee structure . . . [the] same advisor, and [the] same Board.” TSLX believes that, now that the Board has acknowledged that another, more favorable alternative advisory arrangement exists, it should follow through by terminating the Existing Adviser and exploring the full range of alternatives that we believe are available to the Company.</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Please refer to the section entitled “Reasons for the Solicitation” for additional information about our reasons for bringing this proposal to terminate the Investment Advisory Agreement.</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VOTE “FOR” TSLX’S PROPOSAL TO TERMINATE THE INVESTMENT ADVISORY AGREEMENT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TSLX’S PROPOSAL TO TERMINATE THE INVESTMENT ADVISORY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3: THE COMPANY’S PROPOSAL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PRICEWATERHOUSECOOPERS LLP</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anticipate that the Company will ask Stockholders to consider and vote upon the ratification of the appointment of PricewaterhouseCoopers LLP as the Company’s independent registered public accounting firm for the fiscal year ending December 31, 2016. Please refer to the section entitled “Auditors” for further information regarding PricewaterhouseCoopers LLP.</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3. Please refer to the TICC 2016 Proxy Statement, when available,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3. If you do not indicate how you wish to vote your shares,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WE STRONGLY URGE YOU TO VOTE “FOR” AND USE THE GOLD PROXY CARD TO AUTHORIZE A PROXY TO VOTE “FOR” PROPOSAL NO. 3 BY MARKING, SIGNING AND DATING THE ENCLOSED GOLD PROXY CARD AND RETURNING IT IN THE POSTAGE-PAID ENVELOPE PROVIDED TO YOU WITH THIS PROXY STATEMENT OR BY USING THE GOLD PROXY CARD TO AUTHORIZE A PROXY BY TELEPHONE OR INTERNET.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4: THE COMPANY’S PROPOSAL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APPROVE THE ADJOURNMENT OF THE 2016 ANNUAL MEETING</w:t>
      </w:r>
    </w:p>
    <w:p>
      <w:pPr>
        <w:spacing w:after="0" w:line="21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anticipate that the Company will ask Stockholders to approve a proposal to grant the Company authority to vote your shares of Common Stock to adjourn the 2016 Annual Meeting, if necessary, to provide additional time to solicit additional proxies if there are insufficient votes at the time of the 2016 Annual Meeting to adopt any or all of the other proposals set forth in the TICC 2016 Proxy Statement.</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4. Please refer to the TICC 2016 Proxy Statement, when available, for a discussion of such proposal. TSLX intends to vote, and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Proposal No. 4. If you do not indicate how you wish to vote your shares, TSLX will vote them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177"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Although TSLX is soliciting proxies to vote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 TSLX may determine to vote shares represented by the proxies of Stockholders it holds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if necessary, to ensure a quorum is achieved at the 2016 Annual Meeting.</w:t>
      </w:r>
    </w:p>
    <w:p>
      <w:pPr>
        <w:spacing w:after="0" w:line="13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WE STRONGLY URGE YOU TO VOTE “AGAINST” AND USE THE GOLD PROXY CARD TO AUTHORIZE A PROXY TO VOTE “AGAINST” PROPOSAL NO. 4 BY MARKING, SIGNING AND DATING THE ENCLOSED GOLD PROXY CARD AND RETURNING IT IN THE POSTAGE-PAID ENVELOPE PROVIDED TO YOU WITH THIS PROXY STATEMENT OR BY USING THE GOLD PROXY CARD TO AUTHORIZE A PROXY BY TELEPHONE OR INTERNET.</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Except for the matters discussed above, TSLX is not aware of any other matters to be presented for approval at the 2016 Annual Meeting. However, should other matters be brought before the 2016 Annual Meeting, the persons named as proxies on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on such matters in accordance with their best judgment in relation to such additional matters pursuant to the discretionary authority granted in the accompanying proxy card.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APPRAISAL OR DISSENTER’S RIGHTS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Stockholders will not have rights of appraisal or similar dissenter’s rights with respect to any matters identified in this Proxy Statement to be acted upon at the 2016 Annual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According to information we anticipate will be contained in the TICC 2016 Proxy Statement, the Audit Committee of the Board will likely appoint PricewaterhouseCoopers LLP as the Company’s independent registered public accounting firm to examine the books, records and accounts of the Company and its subsidiaries for the fiscal year ending December 31, 2016, subject to ratification by Stockholders at the 2016 Annual Meeting. We would anticipate that a member of PricewaterhouseCoopers LLP will be present at the 2016 Annual Meeting to make a statement if he or she desires to do so and will be available to respond to appropriate questions.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information concerning PricewaterhouseCoopers LLP has been reproduced from the Form 10-K/A filed by the Company with the SEC on April 29, 2016:</w:t>
      </w:r>
    </w:p>
    <w:p>
      <w:pPr>
        <w:spacing w:after="0" w:line="62" w:lineRule="exact"/>
        <w:rPr>
          <w:sz w:val="20"/>
          <w:szCs w:val="20"/>
          <w:color w:val="auto"/>
        </w:rPr>
      </w:pPr>
    </w:p>
    <w:p>
      <w:pPr>
        <w:jc w:val="both"/>
        <w:ind w:left="460" w:right="420"/>
        <w:spacing w:after="0" w:line="264" w:lineRule="auto"/>
        <w:rPr>
          <w:sz w:val="20"/>
          <w:szCs w:val="20"/>
          <w:color w:val="auto"/>
        </w:rPr>
      </w:pPr>
      <w:r>
        <w:rPr>
          <w:rFonts w:ascii="Arial" w:cs="Arial" w:eastAsia="Arial" w:hAnsi="Arial"/>
          <w:sz w:val="18"/>
          <w:szCs w:val="18"/>
          <w:color w:val="auto"/>
        </w:rPr>
        <w:t>PricewaterhouseCoopers LLP served as the Company’s independent registered public accounting firm for the years ended December 31, 2015 and December 31, 2014. PricewaterhouseCoopers LLP has advised us that neither the firm nor any present member or associate of it has any material financial interest, direct or indirect, in the Company or its affiliates.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2015 and December 31, 2014, the Company incurred the following fees for services provided 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including expenses: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20" w:type="dxa"/>
            <w:vAlign w:val="bottom"/>
          </w:tcPr>
          <w:p>
            <w:pPr>
              <w:spacing w:after="0"/>
              <w:rPr>
                <w:sz w:val="14"/>
                <w:szCs w:val="14"/>
                <w:color w:val="auto"/>
              </w:rPr>
            </w:pPr>
          </w:p>
        </w:tc>
        <w:tc>
          <w:tcPr>
            <w:tcW w:w="4100" w:type="dxa"/>
            <w:vAlign w:val="bottom"/>
            <w:gridSpan w:val="2"/>
          </w:tcPr>
          <w:p>
            <w:pPr>
              <w:jc w:val="center"/>
              <w:ind w:left="3176"/>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11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3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$ 1,729,161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$ 1,952,244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(1)</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74,736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All Other Fees</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Fees: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$ 1,803,897</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$ 2,007,444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380" w:hanging="446"/>
        <w:spacing w:after="0" w:line="277" w:lineRule="auto"/>
        <w:tabs>
          <w:tab w:leader="none" w:pos="9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of $127,000 previously disclosed as “audit-related fees” for the fiscal year ended December 31, 2014 was reclassified as “audit fees” to conform to the classification for the fiscal year ended December 31, 2015.</w:t>
      </w:r>
    </w:p>
    <w:p>
      <w:pPr>
        <w:spacing w:after="0" w:line="62"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including reviews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statements, and services that are normally provided by PricewaterhouseCoopers LLP in connection with statutory and regulatory filings and services provided in connection with securities offerings.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73"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would include fees for products and services other than the services reported above.</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Pre-Approval Policy</w:t>
      </w:r>
      <w:r>
        <w:rPr>
          <w:rFonts w:ascii="Arial" w:cs="Arial" w:eastAsia="Arial" w:hAnsi="Arial"/>
          <w:sz w:val="18"/>
          <w:szCs w:val="18"/>
          <w:color w:val="auto"/>
        </w:rPr>
        <w:t>. The Audit Committee has established a pre-approval policy that describes the permitted audit, audit-related, tax and other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provided by PricewaterhouseCoopers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79"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8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During the year ended December 31, 2015, the Audit Committee pre-approved 100% of non-audit services in accordance with the pre-approval policy described above.</w:t>
      </w:r>
    </w:p>
    <w:p>
      <w:pPr>
        <w:spacing w:after="0" w:line="166"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TSLX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as the Company’s independent registered public accounting firm for the fiscal year ending December 31, 2016. Please refer to the section entitled “Proposal No. 3: The Company’s Proposal to Ratify the Appointment of PricewaterhouseCoopers LLP” for additional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The solicitation of proxies pursuant to this Proxy Statement is being made by TSLX. Proxies may be solicited by mail, facsimile, telephone, telegraph, Internet, in person and by advertisements. Solicitations may also be made by certain of the respective directors, officers, members and employees of TSLX, none of whom will, except as described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elsewhere in this Proxy Statement, receive additional compensation for such solicitation. The Nominee may make solicitations of proxies but, except as described herein, will not receive compensation for acting as the Nominee.</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retained MacKenzie Partners, Inc. for solicitation and advisory services in connection with solicitations relating to the 2016 Annual Meeting. MacKenzie Partners, Inc. is to receive a fee of up to approximately $350,000, inclusive of reimbursement for its reasonable out-of-pocket expenses, for its services to TSLX in connection with the solicitation.</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MacKenzie Partners, Inc. will solicit proxies from individuals, brokers, banks, bank nominees and other institutional holders. TSLX has requested banks, brokerage houses and other custodians, nominees and fiduciaries to forward all solicitation materials to the beneficial owners of the shares of Common Stock they hold of record. TSLX will reimburse these record holders for their reasonable out-of-pocket expenses in so doing. It is anticipated that MacKenzie Partners, Inc. will employ approximately 35 persons to solicit Stockholders for the 2016 Annual Meeting.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We will request brokerage firms, banks and other nominees and fiduciaries to forward all materials related to this proxy solicitation to the beneficial owners of shares of Common Stock held of record. TSLX may reimburse these record holders for their reasonable out-of-pocket expenses in so doing.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entire expense of soliciting proxies for the 2016 Annual Meeting by TSLX, or on TSLX’s behalf, is being borne by TSLX. Although no precise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estimate can be made at the present time, the total expenditures in furtherance of, or in connection with, this solicitation are estimated to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As of the date hereof, TSLX has incurred approximately $500,000 of total expenditures in furtherance of, or in connection with, this solicitation.</w:t>
      </w:r>
    </w:p>
    <w:p>
      <w:pPr>
        <w:spacing w:after="0" w:line="234"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TSLX may seek reimbursement for its expenses incurred in connection with this solicitation if the Nominee is elected as a director of TICC or if TSLX is successful in its solicitation of proxies to terminate the Investment Advisory Agreement. The question of such reimbursement must be approved by a majority of the independent directors of the Board pursuant to the 1940 Act, and will not be submitted to a vote of Stockholders. TSLX does not expect that Mr. Millet would recuse himself from that vote, in light of his independence from TSLX. The Maryland General Corporation Law does not impose on a Maryland corporation any obligation to reimburse the successful bidder in a proxy contest, and the Board may deny a request for such reimbursement.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TSLX and Mr.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may also be deemed participants in this solicitation. Information concerning TSLX, Mr. Millet and other persons who may also be deemed to be participants is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is incorporated into this Proxy Statement by reference.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TSLX anticipates that the TICC 2016 Proxy Statement, when available, will contain certain information and disclosure required by applicable law as well as other information and disclosure including, among other things, securities of the Company held by the Company’s directors, nominees, management and 5% Stockholders, certain biographical information on the Company’s directors and executive officers, information concerning all matters requiring the approval of Stockholders, including the election of a director, information concerning executive compensation, information concerning the Company’s procedures for nominating directors, information concerning the committees of the Board, other information concerning the Board and procedures for submitting proposals for the next annual meeting of Stockholders and information on how to obtain directions to be able to attend the 2016 Annual Meeting and vote in person. Stockholders should refer to the Company’s public filings in order to review this disclosure when available. TSLX has no knowledge of, or responsibility for, the accuracy of the Company’s disclosures in its proxy materials.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According to TICC’s proxy statement for the 2015 Annual Meeting, TICC is a Maryland corporation with its principal executive office located at 8 Sound Shore Drive, Suite 255, Greenwich, Connecticut 06830.</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TICC is subject to the informational requirements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and in accordance therewith is required to file reports, proxy statements and other information with the SEC. Reports, registration statements, proxy statements and other information filed by TICC with the SEC, including the TICC 2016 Proxy Statement, when available, are and will be publicly available at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for information regarding persons who beneficially own more than 5% of the Common Stock and the ownership of the Common Stock by the management and directors of TICC.</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ADDITIONAL INFORMATION</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TSLX will promptly deliver a separate copy of the document to you if you write to our proxy solicitor, MacKenzie Partners, Inc., at the following address: 105 Madison Avenue, New York, New York 10016, call toll free at (800) 322-2885, or email TPG@mackenziepartners.com.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7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Nominee or TSLX is given only to the knowledge of TSLX.</w:t>
      </w:r>
    </w:p>
    <w:p>
      <w:pPr>
        <w:spacing w:after="0" w:line="158"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This Proxy Statement is dated June 20, 2016. You should not assume that the information contained in this Proxy Statement is accurate as of any date other than such date, and the mailing of this Proxy Statement to Stockholders shall not create any implication to the contrary.</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YOUR VOTE IS IMPORTANT, NO MATTER HOW MANY SHARES YOU OWN. TSLX URGES YOU TO MARK, SIGN, DATE AND RETURN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TODAY TO AUTHORIZE A PROXY TO VOTE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description of the requirements for submitting Stockholder proposals for the 2016 Annual Meeting has been reproduced from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proxy statement for the 2015 Annual Meeting:</w:t>
      </w:r>
    </w:p>
    <w:p>
      <w:pPr>
        <w:spacing w:after="0" w:line="103" w:lineRule="exact"/>
        <w:rPr>
          <w:sz w:val="20"/>
          <w:szCs w:val="20"/>
          <w:color w:val="auto"/>
        </w:rPr>
      </w:pPr>
    </w:p>
    <w:p>
      <w:pPr>
        <w:ind w:left="460" w:right="160"/>
        <w:spacing w:after="0" w:line="257" w:lineRule="auto"/>
        <w:rPr>
          <w:sz w:val="20"/>
          <w:szCs w:val="20"/>
          <w:color w:val="auto"/>
        </w:rPr>
      </w:pPr>
      <w:r>
        <w:rPr>
          <w:rFonts w:ascii="Arial" w:cs="Arial" w:eastAsia="Arial" w:hAnsi="Arial"/>
          <w:sz w:val="18"/>
          <w:szCs w:val="18"/>
          <w:color w:val="auto"/>
        </w:rPr>
        <w:t>The Company expects that the 2016 Annual Meeting will be held in June 2016, but the exact date, time, and location of such meeting have yet to be determined. A stockholder who intends to present a proposal at the 2016 Annual Meeting must submit the proposal in writing to the Company at its business address, and the Company must receive the proposal no later than January 5, 2016, in order for the proposal to be considered for inclusion in the Company’s proxy statement for that meeting. The submission of a proposal does not guarantee its inclusion in the Company’s proxy statement or presentation at the meeting.</w:t>
      </w:r>
    </w:p>
    <w:p>
      <w:pPr>
        <w:spacing w:after="0" w:line="80" w:lineRule="exact"/>
        <w:rPr>
          <w:sz w:val="20"/>
          <w:szCs w:val="20"/>
          <w:color w:val="auto"/>
        </w:rPr>
      </w:pPr>
    </w:p>
    <w:p>
      <w:pPr>
        <w:jc w:val="both"/>
        <w:ind w:left="460"/>
        <w:spacing w:after="0" w:line="302" w:lineRule="auto"/>
        <w:rPr>
          <w:sz w:val="20"/>
          <w:szCs w:val="20"/>
          <w:color w:val="auto"/>
        </w:rPr>
      </w:pPr>
      <w:r>
        <w:rPr>
          <w:rFonts w:ascii="Arial" w:cs="Arial" w:eastAsia="Arial" w:hAnsi="Arial"/>
          <w:sz w:val="16"/>
          <w:szCs w:val="16"/>
          <w:color w:val="auto"/>
        </w:rPr>
        <w:t>For any proposal that is not submitted for inclusion in next year’s proxy statement (as described in the preceding paragraph) but is instead sought to be presented directly at the 2016 Annual Meeting, SEC rules permit management to vote proxies in its discretion if (a) the Company receives notice of the proposal before the close of business on March 20, 2016 and advises stockholders in next year’s proxy statement about the nature of the matter and how management intends to vote on such matter, or (b) does not receive notice of the proposal prior to the close of business on March 20, 2016.</w:t>
      </w:r>
    </w:p>
    <w:p>
      <w:pPr>
        <w:spacing w:after="0" w:line="46"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Notices of intention to present proposals at the 2016 Annual Meeting should be addressed to Corporate Secretary, TICC Capital Corp., 8 Sound Shore Drive, Suite 255, Greenwich, Connecticut 06830. The Company reserves the right to reject, rule out of order, or take other appropriate action with respect to any proposal that does not comply with these and other applicable requirements.</w:t>
      </w:r>
    </w:p>
    <w:p>
      <w:pPr>
        <w:spacing w:after="0" w:line="18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expect that the deadlines for submitting nominees and Stockholders proposals for inclusion in the Company’s proxy statement and form of proxy for the 2017 annual meeting of Stockholders (as well as the date after which notice of a Stockholder proposal submitted outside the process of Rule 14a-8 under the Exchange Act will be considered untimely) will be included in the TICC 2016 Proxy Statement, when available. Once TICC has publicly disclosed such deadlines, TSLX will supplement this Proxy Statement to include such information and file revised definitive proxy materials with the SEC. The incorporation of this information in this Proxy Statement should not be construed as an admission by TSLX that such procedures are legal, valid or binding.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2015, as amended, its Quarterly Report on Form 10-Q for the first quarter of 2016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June 20,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TSLX and T. Kelley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may also be deemed participants in this solicitation. Solicitation in the manner set forth in this Proxy Statement may be made by the participants, none of whom will receive any additional or special compensation in connection with such solicitation, except with respect to the Nominee as described elsewhere in this Proxy Statement. Information concerning TSLX, Mr. Millet and other persons who may also be deemed to be participants is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TPG Specialty Lending, Inc.</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 The principal occupation and business address of each of the directors and officers of TSLX is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address of the principal business and the address of the principal office of TSLX is TPG Specialty Lending, Inc., 301 Commerce Street, Suite 3300, Fort Worth, Texas 76102. More information about TSLX can be found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None of the information available on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shall be deemed incorporated by reference into this Proxy Statement.</w:t>
      </w:r>
    </w:p>
    <w:p>
      <w:pPr>
        <w:spacing w:after="0" w:line="19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of this Proxy Statement, TSLX beneficially owns 1,633,719 shares of Common Stock, 1,059 of which are also owned of record. 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The address of each of TSL Advisers, LLC and TSSP HoldCo Management, LLC is 301 Commerce Street, Suite 3300, Fort Worth, Texas 76102. The address of each of Messrs. David Bonderman, James Coulter and Alan Waxman is c/o TSL Advisers, LLC, 301 Commerce Street, Suite 3300, Fort Worth, Texas 76102.</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Except as described herein or in the Proxy Statement, after reasonable inquiry,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the record or beneficial owner, directly or indirectly, of any securities of the Company or any parent or subsidiary of the Company, and none of their associates is a beneficial owner, directly or indirectly, of any securities of the Company.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are transactions in the Company’s securities effected by TSLX within the past two years. No part of the purchase price or market value of these securities is represented by funds borrowed or otherwise obtained for the purpose of acquiring or holding such securities. Other than as set forth in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effected any transaction in any securities of the Company within the last two years.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been convicted in a criminal proceeding or has been named the subject of a pending criminal proceeding (excluding traffic violations or similar misdemeanors).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Except for the engagement of MacKenzie Partners, Inc. as proxy solicitor for TSLX, as further described herein under the section entitled “Solicitation of Proxies” and in connection with the Special Meeting,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8"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 xml:space="preserve">Since the beginning of the Company’s last fiscal year,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or immediate family members, has had or will have any material interest, direct or indirect, in any transaction, or any currently proposed transaction, to which the Company or any of its subsidiaries was or is to be a participant and in which the amount involved exceeds $120,000.</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substantial interest, direct or indirect, through security holdings or otherwise, in any matter to be acted upon at the 2016 Annual Meeting. 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arrangement or understanding with any person with respect to any future employment by the Company or its affiliates, or with respect to any future transactions to which the Company or any of its affiliates will or may be a party.</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our proposal to terminate the Investment Advisory Agreement is approved, our existing investment adviser, TSL Advisers, LLC, may offer its services as a new adviser to the Company. Because it would be the Board’s prerogative to select and evaluate potential candidates subject to the procedures described in the section entitled “Proposal No. 2,” however, TSLX has not, to date, considered other candidates that it might propose as a replacement for the Existing Adviser. In the event that TSL Advisers, LLC were to become the new adviser to the Company, it would presumably be compensated for its services on market terms, and it is also possible that our adviser may ultimately propose that the Company and TSLX be combined, on terms and conditions acceptable to the independent directors of each of the Company and TSLX, as contemplated by the 1940 Act. In addition, we are the beneficial owner of 1,633,719 shares of Common Stock, and expect that approval of our proposal to terminate the Investment Advisory Agreement will have a positive effect on the value of such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As of the date of this Proxy Statement, Mr. Millet owns no shares, either beneficially or of record, of Common Stock or other securities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Mr. Millet, age 56, is the CEO, Vice Chairman, Treasurer and member of the board of directors of Banca IMI Securities Corp., a provider of banking and brokerage services to institutional investors. In addition, Mr. Millet currently serves on the board of directors of Investment Technology Group, Inc., where he is also a member of the Audit, Capital and Technology Committees. From 2012 until 2016, Mr. Millet served on the board of The Mutual Fund Store, a provider of personalized financial planning and money management services. From 2013 to 2014, Mr. Millet served as a consultant to Investment Technology Group, Inc.’s CEO and board of directors. Previously, (a) from 2012 until 2013, Mr. Millet served as Co-President, Partner and a member of the board of directors of Pierpont Securities LLC, a fixed income broker-dealer, (b) from 2011 until 2012, Mr. Millet was CEO and a member of the board of directors of the broker-dealer, Cortview Capital Holdings Inc. and (c)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Portfolios in</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Position(s)</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Term of Office</w:t>
            </w:r>
          </w:p>
        </w:tc>
        <w:tc>
          <w:tcPr>
            <w:tcW w:w="124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be Overseen</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Other Directorships Held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1"/>
              </w:rPr>
              <w:t>Name, Address and Age</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Held with the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Past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by Nominee if</w:t>
            </w: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Time Served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Five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Elected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by Nominee</w:t>
            </w:r>
          </w:p>
        </w:tc>
        <w:tc>
          <w:tcPr>
            <w:tcW w:w="0" w:type="dxa"/>
            <w:vAlign w:val="bottom"/>
          </w:tcPr>
          <w:p>
            <w:pPr>
              <w:spacing w:after="0"/>
              <w:rPr>
                <w:sz w:val="1"/>
                <w:szCs w:val="1"/>
                <w:color w:val="auto"/>
              </w:rPr>
            </w:pPr>
          </w:p>
        </w:tc>
      </w:tr>
      <w:tr>
        <w:trPr>
          <w:trHeight w:val="182"/>
        </w:trPr>
        <w:tc>
          <w:tcPr>
            <w:tcW w:w="14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T. Kelley Millet,</w:t>
            </w:r>
          </w:p>
        </w:tc>
        <w:tc>
          <w:tcPr>
            <w:tcW w:w="114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3"/>
              </w:rPr>
              <w:t>See above</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One (TICC</w:t>
            </w: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Banca IMI Securities Corp.;</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age 56,</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Capital Corp.)</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62 Hoaglands Lane,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Technology Group, Inc.</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8"/>
              </w:rPr>
              <w:t>Old Brookville,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New York 11545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Other than as indicated above, Mr. Millet does not hold, nor has held during the past five years, any other directorship in any company with a class of securities registered pursuant to Section 12 of the Exchange Act or subject to the requirements of Section 15(d) of the Exchange Act or any company registered as an investment company under the 1940 Act.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Mr. Millet has agreed to be nominated as a director by TSLX. TSLX and Mr. Millet have signed a letter agreement, pursuant to which TSLX has agreed to (i) pay to Mr. Millet a one-time, non-refundable fee in the amount of $40,000, (ii) reimburse Mr. Millet for all reasonable and documented expenses (including any necessary travel and lodging) incurred in the performance of his responsibilities as the Nominee and (iii) directly pay for the reasonable and documented legal fees and expenses incurred by one independent legal counsel of his choosing to advise and represent him in connection with his entry into the above-referenced letter agreement. Pursuant to the same letter agreement, TSLX has also agreed to indemnify Mr. Millet in connection with losses arising from the solicitation of proxies for his election at the 2016 Annual Meeting or his being named the Nominee, subject to certain customary exceptions.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be entitled to any other benefits made available to the independent directors of the Company. Other than as described in the Company’s publicly filed documents, Mr. Millet is not aware of any arrangements pursuant to which outside directors of the Company were to be compensated for services during the Company’s last fiscal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Other than as described above, Mr. Millet has no material relationship or agreement with TSLX and there are no arrangements or understandings between Mr. Millet and any other party pursuant to which Mr. Millet was or is to be selected as a director or nominee to the Board.</w:t>
      </w:r>
    </w:p>
    <w:p>
      <w:pPr>
        <w:spacing w:after="0" w:line="124"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During the past ten years, Mr. Millet has not been convicted in any criminal proceeding nor has been named the subject of a pending criminal proceeding (excluding traffic violations or similar misdemeanors).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Within the past ten years, Mr. Millet has not been involved in any legal or other proceeding that would be required to be disclosed under Item 401(f) of Regulation S-K.</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Mr. Millet does not own beneficially, directly or indirectly, or of record any shares of Common Stock or other securities of the Company or Oxford Lane Capital Corp. (“</w:t>
      </w:r>
      <w:r>
        <w:rPr>
          <w:rFonts w:ascii="Arial" w:cs="Arial" w:eastAsia="Arial" w:hAnsi="Arial"/>
          <w:sz w:val="17"/>
          <w:szCs w:val="17"/>
          <w:u w:val="single" w:color="auto"/>
          <w:color w:val="auto"/>
        </w:rPr>
        <w:t>OXLC</w:t>
      </w:r>
      <w:r>
        <w:rPr>
          <w:rFonts w:ascii="Arial" w:cs="Arial" w:eastAsia="Arial" w:hAnsi="Arial"/>
          <w:sz w:val="17"/>
          <w:szCs w:val="17"/>
          <w:color w:val="auto"/>
        </w:rPr>
        <w:t>”), nor has Mr. Millet purchased or sold any securities of the Company or OXLC in the past two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Millet does not own beneficially, directly or indirectly, any shares of Common Stock or other securities of any parent or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None of Mr. Millet’s associates owns beneficially, directly or indirectly, any shares of Common Stock or other securities of the Company or OXLC.</w:t>
      </w:r>
    </w:p>
    <w:p>
      <w:pPr>
        <w:spacing w:after="0" w:line="222"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Mr. Millet is not, and within the past year has not been a party to, any contracts,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Neither Mr. Millet nor any of his associates has any arrangement or understanding with any person (i) with respect to any future employment by the Company or any affiliated person thereof or (ii) with respect to any future transactions to which the Company or any affiliated person thereof will or may be a party.</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Neither Mr. Millet nor any of his associates is involved in any material legal proceeding in which he or they is or are a party adverse to the Company or any of its subsidiaries or has a material interest adverse to the Company or any of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Millet does not hold any positions or offices with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company or organization with which Mr. Millet has been employed in the past five years is a parent, subsidiary or other affiliate of the Company.</w:t>
      </w:r>
    </w:p>
    <w:p>
      <w:pPr>
        <w:spacing w:after="0" w:line="24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There are no family relationships (as defined in Item 401(d) of Regulation S-K) between Mr. Millet and any director or executive officer of the Company or any person nominated or chosen by the Company to become a director or executive officer of the Company.</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Mr. Millet is not a current or former officer of the Company and Mr. Millet was not an employee of the Company during fiscal year 2015. During fiscal year 2015, no executive officer of the Company served as a member of the compensation committee (or other board committee performing equivalent functions or, in the absence of any such committee, the entire board of directors) of another entity of which Mr. Millet was an executive officer.</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None of Mr. Millet, any member of his immediate family or any of his associates had, or expects to have, a direct or indirect material interest in any transaction, since the beginning of the Company’s last fiscal year, or any currently proposed transaction, in which the Company was or is to be a participant and the amount involved exceeds $120,000.</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Mr. Millet does not have a substantial interest, direct or indirect, by securities holdings or otherwise, in any matter to be acted on at the 2016 Annual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the information furnished by Mr. Millet, TSLX believes that, if elected as a director of the Company, Mr. Millet would be considered an “independent director” under the applicable corporate governance guidelines and NASDAQ Stock Market listing standards and would not be considered an “interested person” within the meaning of Section 2(a)(19) of the 1940 Act. TSLX has no knowledge of any facts that would prevent a determination that Mr. Millet is independent or is not an interested person under such standards.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as stated elsewhere in this Proxy Statement, there are no agreements, arrangements or understandings between TSLX or any of its affiliates, associates and advisors, and Mr. Millet or any other person or persons pursuant to which the nominations described herein are to be made, and TSLX and its affiliates, associates and advisors have no material interest in such nomination, including any anticipated benefit therefrom to TSLX or any of its affiliates, associates or advisors.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Mr. Millet was not at any time during the Company’s last fiscal year a director, officer, beneficial owner of more than ten percent of any class of equity securities of the Company registered pursuant to Section 12 of the Exchange Act or otherwise subject to Section 16 of the Exchange Act with respect to the Company because of the requirements of Section 30 of the 1940 Act that failed to file on a timely basis reports required by Section 16(a) of the Exchange Act (including any report on Form 3, Form 4 or Form 5 or any amendment thereto) during the Company’s last fiscal year or prior fiscal years.</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Mr. Millet nor any spouse of Mr. Millet, child residing in Mr. Millet’s household (including step and adoptive children), nor any dependent, as defined in Section 152 of the Internal Revenue Code, of Mr. Millet (an “</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currently or during the past five years has any direct or indirect interest, the value of which exceeds $60,000, in: (i) an investment adviser or principal underwriter of the Company or (ii) a person (other than a registered investment company) directly or indirectly controlling, or controlled by, or under common control with, an investment adviser or principal underwriter of the Company.</w:t>
      </w:r>
    </w:p>
    <w:p>
      <w:pPr>
        <w:spacing w:after="0" w:line="188"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During the past five years, neither Mr. Millet nor any Immediate Family Member has had any material interest, direct or indirect, in any transaction or series of similar transactions in which the amount involved exceeds $60,000 and to which any of the following persons was or is to be a party: (i) the Company, (ii) an officer of the Company, (iii)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(iv) an officer of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(v) an investment adviser or principal underwriter of the Company, (vi) an officer of an investment adviser or principal underwriter of the Company, (vii) a person directly or indirectly controlling, controlled by, or under common control with an investment adviser or principal underwriter of the Company or (viii) an officer of a person directly or indirectly controlling, controlled by, or under common control with an investment adviser or principal underwriter of the Company.</w:t>
      </w:r>
    </w:p>
    <w:p>
      <w:pPr>
        <w:spacing w:after="0" w:line="18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Neither Mr. Millet nor any Immediate Family Member has any direct or indirect relationship, in which the amount involved exceeds $60,000, that exists, or has existed at any time since the beginning of the last two completed fiscal years of the Company, or is currently proposed, with any of the persons specified in the immediately preceding paragraph, including (i) payments for property or services to or from any such person, (ii) provision of legal services to any such person, (iii) provision of investment banking services to any such person, other than as a participating underwriter in a syndicate and (iv) any consulting or other relationship that is substantially similar in nature and scope to such relationships with any such person.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officer of an investment adviser or principal underwriter of the Company, or an officer of a person directly or indirectly controlling, controlled by, or under common control with an investment adviser, or principal underwriter of the Company, serves, or has served since the beginning of the last two completed fiscal years of the Company, on the board of directors of a company where Mr. Millet or an Immediate Family Member is, or was since the beginning of the last two completed fiscal years of the Company, an officer.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Company’s business, to which Mr. Millet or an affiliated person of Mr. Millet is a party adverse to the Company or subsidiaries or any of its affiliated persons or has a material interest adverse to the Company or subsidiaries or any of its affiliated persons.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24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Directors and Executive Officers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is a list of the directors and executive officers of TSLX, setting forth the present principal occupation or employment and the name, principal business and address of any corporation or other organization in which such employment is conducted for each such person. The current business address of each such person is TPG Specialty Lending, Inc., 301 Commerce Street, Suite 3300, Fort Worth, Texas 76102. Each of the persons listed below is a citizen of the United States, except for Ian Simmonds who is a citizen of both Australia and the United Kingdom.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and Chairman of the Board of Directors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Co-Chief Executive Officer, TPG Specialty</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Executive Officer and Director, TPG</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65"/>
        </w:trPr>
        <w:tc>
          <w:tcPr>
            <w:tcW w:w="362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37"/>
        </w:trPr>
        <w:tc>
          <w:tcPr>
            <w:tcW w:w="362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Principal Accounting Officer,</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TPG Specialty Lending, Inc.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Secretary,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Deputy Chief Operating Officer, TPG Special</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Risk Officer, 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Committee Member, TPG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3"/>
          </w:tcPr>
          <w:p>
            <w:pPr>
              <w:ind w:left="1960"/>
              <w:spacing w:after="0"/>
              <w:rPr>
                <w:sz w:val="20"/>
                <w:szCs w:val="20"/>
                <w:color w:val="auto"/>
              </w:rPr>
            </w:pPr>
            <w:r>
              <w:rPr>
                <w:rFonts w:ascii="Arial" w:cs="Arial" w:eastAsia="Arial" w:hAnsi="Arial"/>
                <w:sz w:val="18"/>
                <w:szCs w:val="18"/>
                <w:color w:val="auto"/>
              </w:rPr>
              <w:t>A-7</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Purchases of Shares of Common Stock</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past two years, TSLX purchased shares of Common Stock in open market transactions as indicated below. No indebtedness was incurred by TSLX for the purpose of acquiring or holding these shares of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20"/>
                <w:szCs w:val="20"/>
                <w:color w:val="auto"/>
              </w:rPr>
            </w:pPr>
            <w:r>
              <w:rPr>
                <w:rFonts w:ascii="Arial" w:cs="Arial" w:eastAsia="Arial" w:hAnsi="Arial"/>
                <w:sz w:val="14"/>
                <w:szCs w:val="14"/>
                <w:b w:val="1"/>
                <w:bCs w:val="1"/>
                <w:color w:val="auto"/>
                <w:w w:val="93"/>
              </w:rPr>
              <w:t>Date of Transaction</w:t>
            </w:r>
          </w:p>
        </w:tc>
        <w:tc>
          <w:tcPr>
            <w:tcW w:w="7280" w:type="dxa"/>
            <w:vAlign w:val="bottom"/>
          </w:tcPr>
          <w:p>
            <w:pPr>
              <w:spacing w:after="0"/>
              <w:rPr>
                <w:sz w:val="16"/>
                <w:szCs w:val="16"/>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5"/>
              </w:rPr>
              <w:t>Identity of</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 of Shares of</w:t>
            </w:r>
          </w:p>
        </w:tc>
      </w:tr>
      <w:tr>
        <w:trPr>
          <w:trHeight w:val="149"/>
        </w:trPr>
        <w:tc>
          <w:tcPr>
            <w:tcW w:w="12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(Trade Settle)</w:t>
            </w:r>
          </w:p>
        </w:tc>
        <w:tc>
          <w:tcPr>
            <w:tcW w:w="7280" w:type="dxa"/>
            <w:vAlign w:val="bottom"/>
          </w:tcPr>
          <w:p>
            <w:pPr>
              <w:spacing w:after="0"/>
              <w:rPr>
                <w:sz w:val="12"/>
                <w:szCs w:val="12"/>
                <w:color w:val="auto"/>
              </w:rPr>
            </w:pPr>
          </w:p>
        </w:tc>
        <w:tc>
          <w:tcPr>
            <w:tcW w:w="150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90"/>
              </w:rPr>
              <w:t>Purchaser</w:t>
            </w:r>
          </w:p>
        </w:tc>
        <w:tc>
          <w:tcPr>
            <w:tcW w:w="14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Common Stock</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7"/>
        </w:trPr>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8/5/2015</w:t>
            </w:r>
          </w:p>
        </w:tc>
        <w:tc>
          <w:tcPr>
            <w:tcW w:w="7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TSLX</w:t>
            </w: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234,000</w:t>
            </w:r>
          </w:p>
        </w:tc>
        <w:tc>
          <w:tcPr>
            <w:tcW w:w="140" w:type="dxa"/>
            <w:vAlign w:val="bottom"/>
            <w:shd w:val="clear" w:color="auto" w:fill="CCEEFF"/>
          </w:tcPr>
          <w:p>
            <w:pPr>
              <w:spacing w:after="0"/>
              <w:rPr>
                <w:sz w:val="17"/>
                <w:szCs w:val="17"/>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8/6/2015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8/12/2015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4,660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8/18/2015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3/31/2016</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Shares acquired through dividend reinvestment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NOMINATION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[Nominee]:</w:t>
      </w:r>
    </w:p>
    <w:p>
      <w:pPr>
        <w:spacing w:after="0" w:line="117" w:lineRule="exact"/>
        <w:rPr>
          <w:sz w:val="20"/>
          <w:szCs w:val="20"/>
          <w:color w:val="auto"/>
        </w:rPr>
      </w:pPr>
    </w:p>
    <w:p>
      <w:pPr>
        <w:ind w:right="400" w:firstLine="456"/>
        <w:spacing w:after="0" w:line="276" w:lineRule="auto"/>
        <w:rPr>
          <w:sz w:val="20"/>
          <w:szCs w:val="20"/>
          <w:color w:val="auto"/>
        </w:rPr>
      </w:pPr>
      <w:r>
        <w:rPr>
          <w:rFonts w:ascii="Arial" w:cs="Arial" w:eastAsia="Arial" w:hAnsi="Arial"/>
          <w:sz w:val="17"/>
          <w:szCs w:val="17"/>
          <w:color w:val="auto"/>
        </w:rPr>
        <w:t>This letter agreement, dated [●] (this “</w:t>
      </w:r>
      <w:r>
        <w:rPr>
          <w:rFonts w:ascii="Arial" w:cs="Arial" w:eastAsia="Arial" w:hAnsi="Arial"/>
          <w:sz w:val="17"/>
          <w:szCs w:val="17"/>
          <w:u w:val="single" w:color="auto"/>
          <w:color w:val="auto"/>
        </w:rPr>
        <w:t>Agreement</w:t>
      </w:r>
      <w:r>
        <w:rPr>
          <w:rFonts w:ascii="Arial" w:cs="Arial" w:eastAsia="Arial" w:hAnsi="Arial"/>
          <w:sz w:val="17"/>
          <w:szCs w:val="17"/>
          <w:color w:val="auto"/>
        </w:rPr>
        <w:t>”), is with reference to your agreement to become a nominee (a “</w:t>
      </w:r>
      <w:r>
        <w:rPr>
          <w:rFonts w:ascii="Arial" w:cs="Arial" w:eastAsia="Arial" w:hAnsi="Arial"/>
          <w:sz w:val="17"/>
          <w:szCs w:val="17"/>
          <w:u w:val="single" w:color="auto"/>
          <w:color w:val="auto"/>
        </w:rPr>
        <w:t>Nominee</w:t>
      </w:r>
      <w:r>
        <w:rPr>
          <w:rFonts w:ascii="Arial" w:cs="Arial" w:eastAsia="Arial" w:hAnsi="Arial"/>
          <w:sz w:val="17"/>
          <w:szCs w:val="17"/>
          <w:color w:val="auto"/>
        </w:rPr>
        <w:t>”) of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for election to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stockholders’ meeting of TICC, or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If TSLX determines to proceed, it expects that it would solicit proxies in favor of your election to the Board of TICC in connection with the Annual Meeting (the “</w:t>
      </w:r>
      <w:r>
        <w:rPr>
          <w:rFonts w:ascii="Arial" w:cs="Arial" w:eastAsia="Arial" w:hAnsi="Arial"/>
          <w:sz w:val="17"/>
          <w:szCs w:val="17"/>
          <w:u w:val="single" w:color="auto"/>
          <w:color w:val="auto"/>
        </w:rPr>
        <w:t>Solicitation</w:t>
      </w:r>
      <w:r>
        <w:rPr>
          <w:rFonts w:ascii="Arial" w:cs="Arial" w:eastAsia="Arial" w:hAnsi="Arial"/>
          <w:sz w:val="17"/>
          <w:szCs w:val="17"/>
          <w:color w:val="auto"/>
        </w:rPr>
        <w:t>”).</w:t>
      </w:r>
    </w:p>
    <w:p>
      <w:pPr>
        <w:spacing w:after="0" w:line="173"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Responsibilities of Nominee</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0" w:lineRule="auto"/>
        <w:tabs>
          <w:tab w:leader="none" w:pos="7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agree (a) to be named as a Nominee in any and all solicitation materials prepared by TSLX in connection with the Solicitation, (b) to provide true and complete information concerning your background, experience, abilities and integrity as may be reasonably requested from time to time by TSLX (including, without limitation, all information required under the Securities Exchange Act of 1934, as amended, and the rules and regulations promulgated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to be disclosed in any proxy statement or other materials prepared by TSLX in connection with the Solicitation (collectively, the “</w:t>
      </w:r>
      <w:r>
        <w:rPr>
          <w:rFonts w:ascii="Arial" w:cs="Arial" w:eastAsia="Arial" w:hAnsi="Arial"/>
          <w:sz w:val="17"/>
          <w:szCs w:val="17"/>
          <w:u w:val="single" w:color="auto"/>
          <w:color w:val="auto"/>
        </w:rPr>
        <w:t>Solicitation Materials</w:t>
      </w:r>
      <w:r>
        <w:rPr>
          <w:rFonts w:ascii="Arial" w:cs="Arial" w:eastAsia="Arial" w:hAnsi="Arial"/>
          <w:sz w:val="17"/>
          <w:szCs w:val="17"/>
          <w:color w:val="auto"/>
        </w:rPr>
        <w:t xml:space="preserve">”)), and not to omit information that is material to an understanding of your background, experience, abilities and integrity, (c) that your agreement to be a Nominee, and the information referred to in clause (b) of this paragraph (1) may be disclosed by TSLX, in the Solicitation Materials and (d) if elected, to serve as a director of TICC, and in that capacity to act in the best interests of TICC and its stockholders and to exercise your independent judgment in accordance with your fiduciary duties in all matters that come before the Board. You also agree to sign the form of consent in favor of TICC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In addition, if requested by TSLX, you agree to attend one or more meetings with the proxy advisory firm, Institutional Shareholder Services Inc., also referred to as ISS.</w:t>
      </w:r>
    </w:p>
    <w:p>
      <w:pPr>
        <w:spacing w:after="0" w:line="177" w:lineRule="exact"/>
        <w:rPr>
          <w:rFonts w:ascii="Arial" w:cs="Arial" w:eastAsia="Arial" w:hAnsi="Arial"/>
          <w:sz w:val="17"/>
          <w:szCs w:val="17"/>
          <w:color w:val="auto"/>
        </w:rPr>
      </w:pPr>
    </w:p>
    <w:p>
      <w:pPr>
        <w:ind w:right="120" w:firstLine="464"/>
        <w:spacing w:after="0" w:line="255" w:lineRule="auto"/>
        <w:tabs>
          <w:tab w:leader="none" w:pos="7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period starting from the date of this Agreement and ending at the earlier of (a) your election to the Board (or if the election or qualification of members to the Board is contested on any grounds, such later date that such contest is resolved) and (b) the date you have been notified by TSLX that it will not commence the Solicitation or has abandoned the Solicitation or will not nominate you to the Board or that the requisite number of votes for your election to the Board has not been obtained (the “</w:t>
      </w:r>
      <w:r>
        <w:rPr>
          <w:rFonts w:ascii="Arial" w:cs="Arial" w:eastAsia="Arial" w:hAnsi="Arial"/>
          <w:sz w:val="18"/>
          <w:szCs w:val="18"/>
          <w:u w:val="single" w:color="auto"/>
          <w:color w:val="auto"/>
        </w:rPr>
        <w:t>Nomination Period</w:t>
      </w:r>
      <w:r>
        <w:rPr>
          <w:rFonts w:ascii="Arial" w:cs="Arial" w:eastAsia="Arial" w:hAnsi="Arial"/>
          <w:sz w:val="18"/>
          <w:szCs w:val="18"/>
          <w:color w:val="auto"/>
        </w:rPr>
        <w:t>”), you shall consult with TSLX concerning, and to the extent practicable preview for TSLX the content of, any public statement (written or oral), disclosure or announcement with respect to the Solicitation, the matters before the Annual Meeting, this Agreement or the actions contemplated hereby.</w:t>
      </w:r>
    </w:p>
    <w:p>
      <w:pPr>
        <w:spacing w:after="0" w:line="193" w:lineRule="exact"/>
        <w:rPr>
          <w:rFonts w:ascii="Arial" w:cs="Arial" w:eastAsia="Arial" w:hAnsi="Arial"/>
          <w:sz w:val="18"/>
          <w:szCs w:val="18"/>
          <w:color w:val="auto"/>
        </w:rPr>
      </w:pPr>
    </w:p>
    <w:p>
      <w:pPr>
        <w:ind w:right="80" w:firstLine="464"/>
        <w:spacing w:after="0" w:line="297" w:lineRule="auto"/>
        <w:tabs>
          <w:tab w:leader="none" w:pos="7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parties acknowledge and agree that you are not an employee or an agent or otherwise a representative of TSLX, that you are independent of, and not controlled by or acting at the direction of, TSLX, that you are not an “interested person” of TSLX or TICC, as defined in the Investment Company Act of 1940, as amended, that, if elected, you will be acting as a director of TICC, on behalf of TICC and all of the stockholders of TICC and will in no way be controlled by or acting at the direction of TSLX and that, as a result, there is, and can be, no agreement between you and TSLX that governs any decisions you may make as a member of the Board. You shall have no authority to act as an agent of TSLX and you shall not represent the contrary to any person.</w:t>
      </w:r>
    </w:p>
    <w:p>
      <w:pPr>
        <w:spacing w:after="0" w:line="158" w:lineRule="exact"/>
        <w:rPr>
          <w:sz w:val="20"/>
          <w:szCs w:val="20"/>
          <w:color w:val="auto"/>
        </w:rPr>
      </w:pPr>
    </w:p>
    <w:p>
      <w:pPr>
        <w:ind w:right="260" w:firstLine="464"/>
        <w:spacing w:after="0" w:line="264"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Responsibilities of TSLX</w:t>
      </w:r>
      <w:r>
        <w:rPr>
          <w:rFonts w:ascii="Arial" w:cs="Arial" w:eastAsia="Arial" w:hAnsi="Arial"/>
          <w:sz w:val="18"/>
          <w:szCs w:val="18"/>
          <w:color w:val="auto"/>
        </w:rPr>
        <w:t>. Notwithstanding anything in this Agreement to the contrary, TSLX is not obligated to nominate you to the Board or to commence or complete the Solicitation. TSLX may withdraw your candidacy or abandon or terminate the Solicitation at any time, for any reason or no reason.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of your agreement to become a Nominee and to be named in the Solicitation Materials, on or promptly following the date hereof, TSLX shall pay to you a one-time, non-refundable fee in the amount of $40,000 by wire transfer of immediately available funds to an account designated by you.</w:t>
      </w:r>
    </w:p>
    <w:p>
      <w:pPr>
        <w:spacing w:after="0" w:line="181" w:lineRule="exact"/>
        <w:rPr>
          <w:rFonts w:ascii="Arial" w:cs="Arial" w:eastAsia="Arial" w:hAnsi="Arial"/>
          <w:sz w:val="18"/>
          <w:szCs w:val="18"/>
          <w:color w:val="auto"/>
        </w:rPr>
      </w:pPr>
    </w:p>
    <w:p>
      <w:pPr>
        <w:ind w:right="300" w:firstLine="464"/>
        <w:spacing w:after="0" w:line="257" w:lineRule="auto"/>
        <w:tabs>
          <w:tab w:leader="none" w:pos="72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TSLX agrees that for duration of the Nomination Period, TSLX will (1) promptly reimburse you for all reasonable and documented expenses (including any necessary travel and lodging) incurred in the performance of your responsibilities as a Nominee and (2) directly pay for the reasonable and documented legal fees and expenses incurred by one independent legal counsel of your choosing to advise and represent you in connection with your entry into this Agreement. The foregoing right to reimbursement and payment shall be in addition to your rights of indemnification and advancement of expenses set forth in this Agreement.</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Advancement of Expenses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9" w:lineRule="auto"/>
        <w:tabs>
          <w:tab w:leader="none" w:pos="7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a material inducement to you to become a Nominee, TSLX hereby agrees to indemnify, defend and hold you harmless from and against any and all losses, claims and other costs and expenses, including, without limitation, all damages, liabilities, judgments, amounts paid or payable in settlement and other expenses (including reasonable and documented fees and disbursements of counsel and costs of investigation)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you may become subject or which you may incur in connection with being made, or threatened with being made, a party or witness (or in any other capacity) to any proceeding at law or in equity or before any governmental agency or board or any other body whatsoever (whether arbitral, civil, criminal, trial, appeal, administrative, formal, informal, investigative or other), arising out of, based upon or related to the Solicitation or your being a Nominee (an “</w:t>
      </w:r>
      <w:r>
        <w:rPr>
          <w:rFonts w:ascii="Arial" w:cs="Arial" w:eastAsia="Arial" w:hAnsi="Arial"/>
          <w:sz w:val="16"/>
          <w:szCs w:val="16"/>
          <w:u w:val="single" w:color="auto"/>
          <w:color w:val="auto"/>
        </w:rPr>
        <w:t>Action</w:t>
      </w:r>
      <w:r>
        <w:rPr>
          <w:rFonts w:ascii="Arial" w:cs="Arial" w:eastAsia="Arial" w:hAnsi="Arial"/>
          <w:sz w:val="16"/>
          <w:szCs w:val="16"/>
          <w:color w:val="auto"/>
        </w:rPr>
        <w:t>”), except to the extent it is finally determined that such Loss arises or results from your gross negligence, bad faith or willful misconduct or any untrue statement of a material fact or omission of a material fact made by you or made by TSLX in reliance upon and in conformity with information furnished by you in the questionnaire provided to you by TSLX or otherwise in connection with the Annual Meeting, the Solicitation or in response to a request from TICC.</w:t>
      </w:r>
    </w:p>
    <w:p>
      <w:pPr>
        <w:spacing w:after="0" w:line="166" w:lineRule="exact"/>
        <w:rPr>
          <w:rFonts w:ascii="Arial" w:cs="Arial" w:eastAsia="Arial" w:hAnsi="Arial"/>
          <w:sz w:val="16"/>
          <w:szCs w:val="16"/>
          <w:color w:val="auto"/>
        </w:rPr>
      </w:pPr>
    </w:p>
    <w:p>
      <w:pPr>
        <w:ind w:right="100" w:firstLine="464"/>
        <w:spacing w:after="0" w:line="273"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the commencement or threatened commencement of any Action in respect of which you may seek indemnification from TSLX hereunder, you will give prompt written notice thereof to TSLX; provided that the failure to so provide prompt notice shall not relieve TSLX of its indemnification obligations hereunder except to the extent that TSLX is materially prejudiced as a result thereof. TSLX will be entitled to participate therein, including, without limitation, the negotiation and approval of any settlement of such Action and, to the extent that TSLX may wish, to assume the defense thereof, with counsel reasonably satisfactory to you. TSLX shall in no event be liable for any settlement by you of any such Action effected without the prior written consent of TSLX, which consent shall not be unreasonably withheld, conditioned or delayed.</w:t>
      </w:r>
    </w:p>
    <w:p>
      <w:pPr>
        <w:spacing w:after="0" w:line="178" w:lineRule="exact"/>
        <w:rPr>
          <w:rFonts w:ascii="Arial" w:cs="Arial" w:eastAsia="Arial" w:hAnsi="Arial"/>
          <w:sz w:val="17"/>
          <w:szCs w:val="17"/>
          <w:color w:val="auto"/>
        </w:rPr>
      </w:pPr>
    </w:p>
    <w:p>
      <w:pPr>
        <w:ind w:right="60" w:firstLine="464"/>
        <w:spacing w:after="0" w:line="264"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TSLX shall not settle, without your prior written consent, any Action in any manner that would impose any penalty, obligation or limitation on you (other than monetary damages for which TSLX agrees to be wholly responsible) or that would contain any language that could reasonably be viewed as an acknowledgement of wrongdoing on your part or otherwise as detrimental to your reputation.</w:t>
      </w:r>
    </w:p>
    <w:p>
      <w:pPr>
        <w:spacing w:after="0" w:line="181" w:lineRule="exact"/>
        <w:rPr>
          <w:rFonts w:ascii="Arial" w:cs="Arial" w:eastAsia="Arial" w:hAnsi="Arial"/>
          <w:sz w:val="18"/>
          <w:szCs w:val="18"/>
          <w:color w:val="auto"/>
        </w:rPr>
      </w:pPr>
    </w:p>
    <w:p>
      <w:pPr>
        <w:ind w:right="280" w:firstLine="464"/>
        <w:spacing w:after="0" w:line="277"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rights to indemnification under this Agreement shall include the right to be advanced any and all expenses incurred in connection with any Action as such expenses are incurred.</w:t>
      </w:r>
    </w:p>
    <w:p>
      <w:pPr>
        <w:spacing w:after="0" w:line="170" w:lineRule="exact"/>
        <w:rPr>
          <w:rFonts w:ascii="Arial" w:cs="Arial" w:eastAsia="Arial" w:hAnsi="Arial"/>
          <w:sz w:val="18"/>
          <w:szCs w:val="18"/>
          <w:color w:val="auto"/>
        </w:rPr>
      </w:pPr>
    </w:p>
    <w:p>
      <w:pPr>
        <w:ind w:right="120" w:firstLine="464"/>
        <w:spacing w:after="0" w:line="279"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extent TSLX makes any payments to you pursuant to this Section E, TSLX shall be subrogated to all rights, if any, that you may have to obtain payments for the same from TICC or any insurance carrier of TICC. You will take reasonable steps to obtain the benefit of such other remedies and if you recover any amounts under any indemnification agreement or entitlement or directors’ insurance coverage of TICC that were based upon Losses already reimbursed by TSLX in accordance with this Agreement, you shall promptly pay such amounts over to TSLX.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87"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other communications under this Agreement shall be in writing and delivered by a nationally-recognized overnight courier with tracking capability, if mailed to you, then to the address set forth above under your name, and, if mailed to TSLX, then to the address indicated above in the letterhead. The failure of a party to insist upon strict adherence to any term contained herein shall not be deemed to be a waiver of such party’s rights thereafter to insist upon strict adherence to that term or to any other term contained herein. In the event that any one or more provisions of this Agreement are deemed to be invalid, illegal or unenforceable by a court of competent jurisdiction, then such provision(s) shall be deemed severed to the least extent possible without affecting the validity, legality and enforceability of the remainder of this Agreement. This Agreement (i) shall be governed by and construed in accordance with the laws of the State of Delaware, without regard to its conflict of laws principles; (ii) contains the entire understanding of the parties with respect to the subject matter contained herein and may not be modified or amended except by mutual written consent; (iii) shall not be assignable by Nominee or TSLX; (iv) shall inure to the benefit of and be binding upon the parties and their respective heirs, representatives, successors and assigns and (v) may be executed in counterparts and delivery of an executed counterpart by electronic means shall be treated as an original. Any action brought in connection with this Agreement shall be brought exclusively in the Court of Chancery of the State of Delaware (or if such court declines to accept jurisdiction over such matter, any state or federal court within the State of Delaware), and the parties hereto hereby irrevocably consent to the jurisdiction of such courts.</w:t>
      </w:r>
    </w:p>
    <w:p>
      <w:pPr>
        <w:spacing w:after="0" w:line="168" w:lineRule="exact"/>
        <w:rPr>
          <w:rFonts w:ascii="Arial" w:cs="Arial" w:eastAsia="Arial" w:hAnsi="Arial"/>
          <w:sz w:val="16"/>
          <w:szCs w:val="16"/>
          <w:color w:val="auto"/>
        </w:rPr>
      </w:pPr>
    </w:p>
    <w:p>
      <w:pPr>
        <w:ind w:right="120" w:firstLine="464"/>
        <w:spacing w:after="0" w:line="286" w:lineRule="auto"/>
        <w:tabs>
          <w:tab w:leader="none" w:pos="72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terms of this Agreement shall survive your becoming a director of TICC, and shall remain effective indefinitely thereafter, but only with respect to actions occurring prior to your becoming a director and you shall not be entitled to indemnification or other rights under this Agreement with respect to any action or inaction by you as a director of TICC or any of its subsidiaries or in any related or similar capacity.</w:t>
      </w:r>
    </w:p>
    <w:p>
      <w:pPr>
        <w:spacing w:after="0" w:line="165" w:lineRule="exact"/>
        <w:rPr>
          <w:rFonts w:ascii="Arial" w:cs="Arial" w:eastAsia="Arial" w:hAnsi="Arial"/>
          <w:sz w:val="17"/>
          <w:szCs w:val="17"/>
          <w:color w:val="auto"/>
        </w:rPr>
      </w:pPr>
    </w:p>
    <w:p>
      <w:pPr>
        <w:ind w:right="320" w:firstLine="464"/>
        <w:spacing w:after="0" w:line="264" w:lineRule="auto"/>
        <w:tabs>
          <w:tab w:leader="none" w:pos="7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Nominee shall be solely responsible for the withholding and/or payment of any federal, state or local income or payroll taxes, and, to the extent consistent with applicable law, TSLX will not withhold any amounts therefrom as federal income tax withholding from wages or as employee contributions under the Federal Insurance Contributions Act or any other state or federal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in agreement with the foregoing, please so indicate by signing and returning one copy of this Agreement.</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in Favor of TICC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are hereby notified that the undersigned consents to (i) being named as a nominee in the notice provided by TPG Specialty Lending, Inc. (“</w:t>
      </w:r>
      <w:r>
        <w:rPr>
          <w:rFonts w:ascii="Arial" w:cs="Arial" w:eastAsia="Arial" w:hAnsi="Arial"/>
          <w:sz w:val="17"/>
          <w:szCs w:val="17"/>
          <w:u w:val="single" w:color="auto"/>
          <w:color w:val="auto"/>
        </w:rPr>
        <w:t>TSLX</w:t>
      </w:r>
      <w:r>
        <w:rPr>
          <w:rFonts w:ascii="Arial" w:cs="Arial" w:eastAsia="Arial" w:hAnsi="Arial"/>
          <w:sz w:val="17"/>
          <w:szCs w:val="17"/>
          <w:color w:val="auto"/>
        </w:rPr>
        <w:t>”) of its intention to nominate the undersigned as a director of TICC Capital Corp.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meeting of stockholders (including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(ii) being named in the proxy statement as a nominee, and (iii) serving as a director of TICC if elected at the Annual Meeting.</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469265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According to the Form 10-K/A filed by the Company with the SEC on April 29, 2016, the following table sets forth as of April 28, 2016 the beneficial ownership of each current director, the director nominees, the Company’s executive officers, each person known to the Company to beneficially own 5% or more of the outstanding shares of Common Stock, and the executive officers and directors as a group. TICC has not yet publicly filed the TICC 2016 Proxy Statement with the SEC. Once TICC publicly files such a proxy statement, TSLX will supplement this Proxy Statement to include any relevant additional or revised information from the TICC 2016 Proxy Statement and file revised definitive proxy materials with the SEC.</w:t>
      </w:r>
    </w:p>
    <w:p>
      <w:pPr>
        <w:spacing w:after="0" w:line="158"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Common Stock is based upon Schedule 13G filings by such persons with the SEC and other information obtained from such persons, if available.</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below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Number of Common</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40" w:type="dxa"/>
            <w:vAlign w:val="bottom"/>
            <w:gridSpan w:val="2"/>
            <w:vMerge w:val="continue"/>
          </w:tcPr>
          <w:p>
            <w:pPr>
              <w:spacing w:after="0"/>
              <w:rPr>
                <w:sz w:val="14"/>
                <w:szCs w:val="14"/>
                <w:color w:val="auto"/>
              </w:rPr>
            </w:pPr>
          </w:p>
        </w:tc>
        <w:tc>
          <w:tcPr>
            <w:tcW w:w="2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Beneficially</w:t>
            </w:r>
            <w:r>
              <w:rPr>
                <w:rFonts w:ascii="Arial" w:cs="Arial" w:eastAsia="Arial" w:hAnsi="Arial"/>
                <w:sz w:val="12"/>
                <w:szCs w:val="12"/>
                <w:b w:val="1"/>
                <w:bCs w:val="1"/>
                <w:color w:val="auto"/>
                <w:w w:val="95"/>
              </w:rPr>
              <w:t>(1)</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196"/>
        </w:trPr>
        <w:tc>
          <w:tcPr>
            <w:tcW w:w="2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48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Jonathan H. Cohen</w:t>
            </w:r>
            <w:r>
              <w:rPr>
                <w:rFonts w:ascii="Arial" w:cs="Arial" w:eastAsia="Arial" w:hAnsi="Arial"/>
                <w:sz w:val="15"/>
                <w:szCs w:val="15"/>
                <w:color w:val="auto"/>
              </w:rPr>
              <w:t>(3)</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310,407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r>
              <w:rPr>
                <w:rFonts w:ascii="Arial" w:cs="Arial" w:eastAsia="Arial" w:hAnsi="Arial"/>
                <w:sz w:val="15"/>
                <w:szCs w:val="15"/>
                <w:color w:val="auto"/>
              </w:rPr>
              <w:t>(4)</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610,383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14,474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66,510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15,937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w:t>
            </w:r>
            <w:r>
              <w:rPr>
                <w:rFonts w:ascii="Arial" w:cs="Arial" w:eastAsia="Arial" w:hAnsi="Arial"/>
                <w:sz w:val="15"/>
                <w:szCs w:val="15"/>
                <w:color w:val="auto"/>
              </w:rPr>
              <w:t>(3)</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107,544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Bruce L. Rubin</w:t>
            </w:r>
            <w:r>
              <w:rPr>
                <w:rFonts w:ascii="Arial" w:cs="Arial" w:eastAsia="Arial" w:hAnsi="Arial"/>
                <w:sz w:val="15"/>
                <w:szCs w:val="15"/>
                <w:color w:val="auto"/>
              </w:rPr>
              <w:t>(5)</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8,900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Cummins</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 as a Group</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1,134,155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7200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less than one percent.</w:t>
      </w:r>
    </w:p>
    <w:p>
      <w:pPr>
        <w:spacing w:after="0" w:line="23" w:lineRule="exact"/>
        <w:rPr>
          <w:sz w:val="20"/>
          <w:szCs w:val="20"/>
          <w:color w:val="auto"/>
        </w:rPr>
      </w:pPr>
    </w:p>
    <w:p>
      <w:pPr>
        <w:ind w:left="90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Beneficial ownership has been determined in accordance with Rule 13d-3 under the Exchange Act. Assumes no other purchases or sales of shares of Common Stock since the information most recently available to TICC. This assumption has been made under the rules and regulations of the SEC and does not reflect any knowledge that TICC has with regard to the present intent of the beneficial owners of shares of Common Stock listed in this table.</w:t>
      </w:r>
    </w:p>
    <w:p>
      <w:pPr>
        <w:spacing w:after="0" w:line="1" w:lineRule="exact"/>
        <w:rPr>
          <w:rFonts w:ascii="Arial" w:cs="Arial" w:eastAsia="Arial" w:hAnsi="Arial"/>
          <w:sz w:val="18"/>
          <w:szCs w:val="18"/>
          <w:i w:val="1"/>
          <w:iCs w:val="1"/>
          <w:color w:val="auto"/>
        </w:rPr>
      </w:pPr>
    </w:p>
    <w:p>
      <w:pPr>
        <w:ind w:left="900" w:hanging="446"/>
        <w:spacing w:after="0"/>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Based on a total of 51,479,409 shares of Common Stock issued and outstanding on April 28, 2016.</w:t>
      </w:r>
    </w:p>
    <w:p>
      <w:pPr>
        <w:spacing w:after="0" w:line="9" w:lineRule="exact"/>
        <w:rPr>
          <w:rFonts w:ascii="Arial" w:cs="Arial" w:eastAsia="Arial" w:hAnsi="Arial"/>
          <w:sz w:val="18"/>
          <w:szCs w:val="18"/>
          <w:i w:val="1"/>
          <w:iCs w:val="1"/>
          <w:color w:val="auto"/>
        </w:rPr>
      </w:pPr>
    </w:p>
    <w:p>
      <w:pPr>
        <w:ind w:left="900" w:right="32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407 shares held by BDC Partners, LLC which may be deemed to be beneficially owned by Messrs. Cohen and Rosenthal by virtue of their ownership interests therein.</w:t>
      </w:r>
    </w:p>
    <w:p>
      <w:pPr>
        <w:ind w:left="900" w:right="4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Mr. Royce may be deemed to beneficially own 432,821 shares held by Royce Family Investments, LLC and 62,001 shares held by Royce Family Fund, Inc. Mr. Royce disclaims beneficial ownership of any shares directly held by Royce Family Fund, Inc. The address for both of these entities is 745 Fifth Avenue, New York, New York 10151.</w:t>
      </w:r>
    </w:p>
    <w:p>
      <w:pPr>
        <w:spacing w:after="0" w:line="1" w:lineRule="exact"/>
        <w:rPr>
          <w:rFonts w:ascii="Arial" w:cs="Arial" w:eastAsia="Arial" w:hAnsi="Arial"/>
          <w:sz w:val="18"/>
          <w:szCs w:val="18"/>
          <w:i w:val="1"/>
          <w:iCs w:val="1"/>
          <w:color w:val="auto"/>
        </w:rPr>
      </w:pPr>
    </w:p>
    <w:p>
      <w:pPr>
        <w:ind w:left="900" w:right="280" w:hanging="446"/>
        <w:spacing w:after="0" w:line="261"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Mr. Rubin may be deemed to beneficially own 688 shares held by his children. Mr. Rubin disclaims beneficial ownership of any shares directly held by his children.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April 28, 2016.</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480" w:type="dxa"/>
            <w:vAlign w:val="bottom"/>
            <w:vMerge w:val="restart"/>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6480" w:type="dxa"/>
            <w:vAlign w:val="bottom"/>
            <w:tcBorders>
              <w:bottom w:val="single" w:sz="8" w:color="CCEEFF"/>
            </w:tcBorders>
            <w:vMerge w:val="continue"/>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rFonts w:ascii="Arial" w:cs="Arial" w:eastAsia="Arial" w:hAnsi="Arial"/>
          <w:sz w:val="18"/>
          <w:szCs w:val="18"/>
          <w:i w:val="1"/>
          <w:iCs w:val="1"/>
          <w:color w:val="auto"/>
        </w:rPr>
      </w:pPr>
    </w:p>
    <w:p>
      <w:pPr>
        <w:ind w:left="1480" w:hanging="567"/>
        <w:spacing w:after="0" w:line="255" w:lineRule="auto"/>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 of equity securities beneficially owned in TICC is based on the closing price for shares of Common Stock of $5.22 on April 28, 2016 on the NASDAQ Global Select Market. Beneficial ownership has been determined in accordance with Rule 16a-1(a)(2) of the Exchange Act.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FINANCIAL MEASURES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Fees as a portion of Total Economics of your investment, as set forth in this Proxy Statement, may be considered a non-GAAP financial measure. TSLX provides this information to Stockholders because TSLX believes it enhances Stockholders’ understanding of the relative costs Stockholders bear in relation to the assets generated by operations of TICC and comparable companies included in the BDC Composite as defined above,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Economics = Economic Profit + Shareholder Value Gained / (Lost) due to the Change in Premium / (Discount) to Average NAV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Economic Profit = Increase in Net Assets Resulting from Operations + Total Shareholder Fees &amp; Expenses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Shareholder Value Gained / (Lost) Due to the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table that follows illustrates the reconciliation of the net increase in net assets resulting from operations since 2012 to Economic Profit and the calculation of the ratio of Total Shareholder Fees and Expenses to Total Economics for TICC.</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TSLX believes that Total Shareholder Fees and Expenses and Total Economics for each company in the BDC Composite was calculated on a substantially equivalent basis to the methodology shown for TICC.</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companies that reported management or incentive fee waivers in the periods subsequent to 12/31/2011, including AINV, FSC and NMFC, which are included in the BDC Composite, Total Shareholder Fees &amp; Expenses and Economic Profit are calculated pro forma as if (i) the fee waivers had not been applied and (ii) the corresponding reduction in pre-incentive fee net investment income resulted in a reduction in incentive fees (calculated by multiplying the amount of management fees waived by the incentive fee rate for each company). No pro forma adjustments were made to NAV per share in the calculation of Shareholder Value Gained / (Lost) Due to Change in Premium / (Discount) to Average NAV.</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(through</w:t>
            </w:r>
          </w:p>
        </w:tc>
        <w:tc>
          <w:tcPr>
            <w:tcW w:w="12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 in thousands, except per share amounts and where noted)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 (GAAP)</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68,323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58,945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(3,348)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(66,134)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(17,114)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(GAAP)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Investment advisory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19,096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21,150</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Insurance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Directors’ Fees (GAAP)</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Transfer agent and custodian fees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Net investment income incentive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gains incentive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(3,873)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Total 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26,735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30,339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28,959</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27,946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120,844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Economic Profit (Net Increase in Net Assets Resulting from Operations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Shareholder Fees &amp;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95,058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89,284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25,611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(38,188)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(10,249)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161,515</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12/31/2011 (Released 3/15/2012)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3/16/2012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3/31/16 (Released 5/3/2016)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5/4/2016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Change in Premium / (Discount) to NAV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Shareholder Value Gained / (Lost) due to Change in Premium / (Disc.) to</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NAV</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(77,699)</w:t>
            </w:r>
          </w:p>
        </w:tc>
        <w:tc>
          <w:tcPr>
            <w:tcW w:w="0" w:type="dxa"/>
            <w:vAlign w:val="bottom"/>
          </w:tcPr>
          <w:p>
            <w:pPr>
              <w:spacing w:after="0"/>
              <w:rPr>
                <w:sz w:val="1"/>
                <w:szCs w:val="1"/>
                <w:color w:val="auto"/>
              </w:rPr>
            </w:pPr>
          </w:p>
        </w:tc>
      </w:tr>
      <w:tr>
        <w:trPr>
          <w:trHeight w:val="30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w w:val="94"/>
              </w:rPr>
              <w:t>Total Economics (Economic Profit + Shareholder Value Gained / (Lost)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due to Change in Premium / (Disc.) to Average NAV)</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83,816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Total Shareholder Fees &amp; Expenses to Total Economics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7"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For the quarter ended March 31, 2016, directors’ fees, insurance, and transfer agent and custodian fees, which are separately reported annually but not quarterly, were included in “General and administrative.”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Tell your Board what you think! Your vote is important. No matter how many shares of Common Stock you own, please authorize your proxy by taking three steps:</w:t>
      </w:r>
    </w:p>
    <w:p>
      <w:pPr>
        <w:spacing w:after="0" w:line="7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also authorize your proxy by telephone or Internet in accordance with the directions included in the accompanying voting instructions form.</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If any of your shares of Common Stock are held in the name of a brokerage firm, bank, bank nominee or other institution, only it can vote such shares of Common Stock.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of Common Stock. TSLX urges you to confirm in writing your instructions to TSLX in care of MacKenzie Partners, Inc. at the address provided below so that TSLX will be aware of all instructions given and can attempt to ensure that such instructions are followed.</w:t>
      </w:r>
    </w:p>
    <w:p>
      <w:pPr>
        <w:spacing w:after="0" w:line="16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TSLX RECOMMENDS THAT YOU VOTE (1) “FOR” THE ELECTION OF TSLX’S NOMINEE, T. KELLEY MILLET, (2) “FOR” TSLX’S PROPOSAL TO TERMINATE THE INVESTMENT ADVISORY AGREEMENT, (3) “FOR” THE ACCOUNTANT RATIFICATION PROPOSAL AND (4) “AGAINST” THE ADJOURNMENT PROPOSAL.</w:t>
      </w:r>
    </w:p>
    <w:p>
      <w:pPr>
        <w:spacing w:after="0" w:line="1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Inc.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ind w:left="5640" w:right="4600" w:hanging="1002"/>
        <w:spacing w:after="0" w:line="250" w:lineRule="auto"/>
        <w:tabs>
          <w:tab w:leader="none" w:pos="5073"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929-5500 (Call Collect) 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TPG@mackenziepartners.com</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GOLD PROXY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 R O X 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undersigned stockholder of TICC Capital Corp.,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appoints Joshua Easterly and Ian Simmonds, and each of them, as proxies for the undersigned, with full power of substitution in each of them, to attend the 2016 annual meeting of stockholders of the Company, and including at any postponements or adjournments thereof and at any meeting called in lieu thereof (the “</w:t>
      </w:r>
      <w:r>
        <w:rPr>
          <w:rFonts w:ascii="Arial" w:cs="Arial" w:eastAsia="Arial" w:hAnsi="Arial"/>
          <w:sz w:val="17"/>
          <w:szCs w:val="17"/>
          <w:u w:val="single" w:color="auto"/>
          <w:color w:val="auto"/>
        </w:rPr>
        <w:t>2016 Annual Meeting</w:t>
      </w:r>
      <w:r>
        <w:rPr>
          <w:rFonts w:ascii="Arial" w:cs="Arial" w:eastAsia="Arial" w:hAnsi="Arial"/>
          <w:sz w:val="17"/>
          <w:szCs w:val="17"/>
          <w:color w:val="auto"/>
        </w:rPr>
        <w:t>”), to cast on behalf of the undersigned all votes that the undersigned is entitled to cast at the 2016 Annual Meeting and otherwise represent the undersigned at the 2016 Annual Meeting with all powers possessed by the undersigned if personally present at the 2016 Annual Meeting.</w:t>
      </w:r>
    </w:p>
    <w:p>
      <w:pPr>
        <w:spacing w:after="0" w:line="173"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actions the herein named proxies, their substitutes or any of them may lawfully take by virtue hereof.</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properly executed, this Proxy will be voted as directed on the reverse and in the discretion of the Proxy holder with respect to any other matters as may properly come before the 2016 Annual Meeting. IF NO DIRECTION IS INDICATED WITH RESPECT TO THE PROPOSALS ON THE REVERSE, THIS PROXY WILL BE VOTED “FOR” PROPOSALS NO. 1, 2 AND 3 AND “AGAINST” PROPOSAL NO. 4.</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2016 Annual Meeting.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20" w:hanging="212"/>
        <w:spacing w:after="0"/>
        <w:tabs>
          <w:tab w:leader="none" w:pos="220" w:val="left"/>
        </w:tabs>
        <w:numPr>
          <w:ilvl w:val="0"/>
          <w:numId w:val="48"/>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election of TPG Specialty Lending, Inc.’s (“</w:t>
      </w:r>
      <w:r>
        <w:rPr>
          <w:rFonts w:ascii="Arial" w:cs="Arial" w:eastAsia="Arial" w:hAnsi="Arial"/>
          <w:sz w:val="17"/>
          <w:szCs w:val="17"/>
          <w:u w:val="single" w:color="auto"/>
          <w:color w:val="auto"/>
        </w:rPr>
        <w:t>TSLX</w:t>
      </w:r>
      <w:r>
        <w:rPr>
          <w:rFonts w:ascii="Arial" w:cs="Arial" w:eastAsia="Arial" w:hAnsi="Arial"/>
          <w:sz w:val="17"/>
          <w:szCs w:val="17"/>
          <w:color w:val="auto"/>
        </w:rPr>
        <w:t>”) nominee, T. Kelley Millet, to serve as a director on the Company’s board of directors.</w:t>
      </w:r>
    </w:p>
    <w:p>
      <w:pPr>
        <w:spacing w:after="0" w:line="260"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WITHHOLD</w:t>
      </w:r>
    </w:p>
    <w:p>
      <w:pPr>
        <w:spacing w:after="0" w:line="27" w:lineRule="exact"/>
        <w:rPr>
          <w:sz w:val="20"/>
          <w:szCs w:val="20"/>
          <w:color w:val="auto"/>
        </w:rPr>
      </w:pPr>
    </w:p>
    <w:p>
      <w:pPr>
        <w:ind w:left="5500"/>
        <w:spacing w:after="0"/>
        <w:tabs>
          <w:tab w:leader="none" w:pos="74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AUTHORITY</w:t>
      </w:r>
    </w:p>
    <w:p>
      <w:pPr>
        <w:spacing w:after="0" w:line="18" w:lineRule="exact"/>
        <w:rPr>
          <w:sz w:val="20"/>
          <w:szCs w:val="20"/>
          <w:color w:val="auto"/>
        </w:rPr>
      </w:pPr>
    </w:p>
    <w:p>
      <w:pPr>
        <w:ind w:left="3280"/>
        <w:spacing w:after="0" w:line="207" w:lineRule="exact"/>
        <w:tabs>
          <w:tab w:leader="none" w:pos="5580" w:val="left"/>
          <w:tab w:leader="none" w:pos="7900" w:val="left"/>
        </w:tabs>
        <w:rPr>
          <w:sz w:val="20"/>
          <w:szCs w:val="20"/>
          <w:color w:val="auto"/>
        </w:rPr>
      </w:pPr>
      <w:r>
        <w:rPr>
          <w:rFonts w:ascii="Arial" w:cs="Arial" w:eastAsia="Arial" w:hAnsi="Arial"/>
          <w:sz w:val="18"/>
          <w:szCs w:val="18"/>
          <w:b w:val="1"/>
          <w:bCs w:val="1"/>
          <w:color w:val="auto"/>
        </w:rPr>
        <w:t>T. Kelley Millet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TSLX recommends a vote “FOR” the election of T. Kelley Millet.</w:t>
      </w:r>
    </w:p>
    <w:p>
      <w:pPr>
        <w:spacing w:after="0" w:line="256" w:lineRule="exact"/>
        <w:rPr>
          <w:sz w:val="20"/>
          <w:szCs w:val="20"/>
          <w:color w:val="auto"/>
        </w:rPr>
      </w:pPr>
    </w:p>
    <w:p>
      <w:pPr>
        <w:ind w:left="460" w:right="24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dated as of July 1, 2011, by and between the Company and TICC Management, LLC, as contemplated by Section 15(a) of the Investment Company Act of 1940, as amended.</w:t>
      </w:r>
    </w:p>
    <w:p>
      <w:pPr>
        <w:sectPr>
          <w:pgSz w:w="11900" w:h="16838" w:orient="portrait"/>
          <w:cols w:equalWidth="0" w:num="1">
            <w:col w:w="11320"/>
          </w:cols>
          <w:pgMar w:left="240" w:top="459" w:right="339" w:bottom="1440" w:gutter="0" w:footer="0" w:header="0"/>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2.</w:t>
      </w:r>
    </w:p>
    <w:p>
      <w:pPr>
        <w:spacing w:after="0" w:line="256" w:lineRule="exact"/>
        <w:rPr>
          <w:sz w:val="20"/>
          <w:szCs w:val="20"/>
          <w:color w:val="auto"/>
        </w:rPr>
      </w:pPr>
    </w:p>
    <w:p>
      <w:pPr>
        <w:ind w:left="46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proposal to ratify the appointment of PricewaterhouseCoopers LLP to serve as the independent registered public accounting firm for the Company for the fiscal year ending December 31, 2016.</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3.</w:t>
      </w:r>
    </w:p>
    <w:p>
      <w:pPr>
        <w:spacing w:after="0" w:line="25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proposal to approve the adjournment of the 2016 Annual Meeting, if necessary or appropriate, to solicit additional proxies.</w:t>
      </w:r>
    </w:p>
    <w:p>
      <w:pPr>
        <w:sectPr>
          <w:pgSz w:w="11900" w:h="16838" w:orient="portrait"/>
          <w:cols w:equalWidth="0" w:num="1">
            <w:col w:w="11320"/>
          </w:cols>
          <w:pgMar w:left="240" w:top="459" w:right="339" w:bottom="1440" w:gutter="0" w:footer="0" w:header="0"/>
          <w:type w:val="continuous"/>
        </w:sect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480" w:space="720"/>
            <w:col w:w="1700" w:space="720"/>
            <w:col w:w="3700"/>
          </w:cols>
          <w:pgMar w:left="240" w:top="459" w:right="339" w:bottom="1440" w:gutter="0" w:footer="0" w:header="0"/>
          <w:type w:val="continuous"/>
        </w:sectPr>
      </w:pPr>
    </w:p>
    <w:p>
      <w:pPr>
        <w:ind w:lef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5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20" w:space="720"/>
            <w:col w:w="1660" w:space="720"/>
            <w:col w:w="3400"/>
          </w:cols>
          <w:pgMar w:left="240" w:top="459" w:right="339" w:bottom="1440" w:gutter="0" w:footer="0" w:header="0"/>
          <w:type w:val="continuous"/>
        </w:sectPr>
      </w:pPr>
    </w:p>
    <w:p>
      <w:pPr>
        <w:spacing w:after="0" w:line="3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TSLX recommends a vote “AGAINST” Proposal No. 4.</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2016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if held jointly)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THEY ARE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2466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2)"/>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bullet"/>
      <w:start w:val="1"/>
    </w:lvl>
  </w:abstractNum>
  <w:abstractNum w:abstractNumId="8">
    <w:nsid w:val="1E7FF521"/>
    <w:multiLevelType w:val="hybridMultilevel"/>
    <w:lvl w:ilvl="0">
      <w:lvlJc w:val="left"/>
      <w:lvlText w:val="(%1)"/>
      <w:numFmt w:val="decimal"/>
      <w:start w:val="212"/>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1"/>
      <w:numFmt w:val="decimal"/>
      <w:start w:val="56"/>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2"/>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3"/>
      <w:numFmt w:val="bullet"/>
      <w:start w:val="1"/>
    </w:lvl>
  </w:abstractNum>
  <w:abstractNum w:abstractNumId="17">
    <w:nsid w:val="5577F8E1"/>
    <w:multiLevelType w:val="hybridMultilevel"/>
    <w:lvl w:ilvl="0">
      <w:lvlJc w:val="left"/>
      <w:lvlText w:val="4"/>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5"/>
      <w:numFmt w:val="bullet"/>
      <w:start w:val="1"/>
    </w:lvl>
  </w:abstractNum>
  <w:abstractNum w:abstractNumId="20">
    <w:nsid w:val="3804823E"/>
    <w:multiLevelType w:val="hybridMultilevel"/>
    <w:lvl w:ilvl="0">
      <w:lvlJc w:val="left"/>
      <w:lvlText w:val="6"/>
      <w:numFmt w:val="bullet"/>
      <w:start w:val="1"/>
    </w:lvl>
  </w:abstractNum>
  <w:abstractNum w:abstractNumId="21">
    <w:nsid w:val="77465F01"/>
    <w:multiLevelType w:val="hybridMultilevel"/>
    <w:lvl w:ilvl="0">
      <w:lvlJc w:val="left"/>
      <w:lvlText w:val="7"/>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8"/>
      <w:numFmt w:val="bullet"/>
      <w:start w:val="1"/>
    </w:lvl>
  </w:abstractNum>
  <w:abstractNum w:abstractNumId="24">
    <w:nsid w:val="2463B9EA"/>
    <w:multiLevelType w:val="hybridMultilevel"/>
    <w:lvl w:ilvl="0">
      <w:lvlJc w:val="left"/>
      <w:lvlText w:val="9"/>
      <w:numFmt w:val="bullet"/>
      <w:start w:val="1"/>
    </w:lvl>
  </w:abstractNum>
  <w:abstractNum w:abstractNumId="25">
    <w:nsid w:val="5E884ADC"/>
    <w:multiLevelType w:val="hybridMultilevel"/>
    <w:lvl w:ilvl="0">
      <w:lvlJc w:val="left"/>
      <w:lvlText w:val="%1"/>
      <w:numFmt w:val="decimal"/>
      <w:start w:val="10"/>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4"/>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lowerRoman"/>
      <w:start w:val="2"/>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upperLetter"/>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upperLetter"/>
      <w:start w:val="2"/>
    </w:lvl>
  </w:abstractNum>
  <w:abstractNum w:abstractNumId="38">
    <w:nsid w:val="7A6D8D3C"/>
    <w:multiLevelType w:val="hybridMultilevel"/>
    <w:lvl w:ilvl="0">
      <w:lvlJc w:val="left"/>
      <w:lvlText w:val="%1."/>
      <w:numFmt w:val="upperLetter"/>
      <w:start w:val="3"/>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upperLetter"/>
      <w:start w:val="6"/>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212"/>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decimal"/>
      <w:start w:val="3"/>
    </w:lvl>
  </w:abstractNum>
  <w:abstractNum w:abstractNumId="51">
    <w:nsid w:val="75C6C33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2019-12-18T17:33:38Z</dcterms:created>
  <dcterms:modified xsi:type="dcterms:W3CDTF">2019-12-18T17:33:38Z</dcterms:modified>
</cp:coreProperties>
</file>