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0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95"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0" w:lineRule="exact"/>
        <w:rPr>
          <w:sz w:val="24"/>
          <w:szCs w:val="24"/>
          <w:color w:val="auto"/>
        </w:rPr>
      </w:pPr>
    </w:p>
    <w:p>
      <w:pPr>
        <w:ind w:left="35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94615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9"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500" w:type="dxa"/>
            <w:vAlign w:val="bottom"/>
          </w:tcPr>
          <w:p>
            <w:pPr>
              <w:jc w:val="center"/>
              <w:ind w:right="1859"/>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50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5"/>
              </w:rPr>
              <w:t>Incorporation or Organization)</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6"/>
              </w:rPr>
              <w:t>Identification No.)</w:t>
            </w:r>
          </w:p>
        </w:tc>
      </w:tr>
      <w:tr>
        <w:trPr>
          <w:trHeight w:val="277"/>
        </w:trPr>
        <w:tc>
          <w:tcPr>
            <w:tcW w:w="4500" w:type="dxa"/>
            <w:vAlign w:val="bottom"/>
          </w:tcPr>
          <w:p>
            <w:pPr>
              <w:jc w:val="center"/>
              <w:ind w:right="1839"/>
              <w:spacing w:after="0"/>
              <w:rPr>
                <w:sz w:val="20"/>
                <w:szCs w:val="20"/>
                <w:color w:val="auto"/>
              </w:rPr>
            </w:pPr>
            <w:r>
              <w:rPr>
                <w:rFonts w:ascii="Arial" w:cs="Arial" w:eastAsia="Arial" w:hAnsi="Arial"/>
                <w:sz w:val="18"/>
                <w:szCs w:val="18"/>
                <w:b w:val="1"/>
                <w:bCs w:val="1"/>
                <w:color w:val="auto"/>
                <w:w w:val="89"/>
              </w:rPr>
              <w:t>301 Commerce Street, Suite 3300,</w:t>
            </w:r>
          </w:p>
        </w:tc>
        <w:tc>
          <w:tcPr>
            <w:tcW w:w="3060" w:type="dxa"/>
            <w:vAlign w:val="bottom"/>
          </w:tcPr>
          <w:p>
            <w:pPr>
              <w:spacing w:after="0"/>
              <w:rPr>
                <w:sz w:val="24"/>
                <w:szCs w:val="24"/>
                <w:color w:val="auto"/>
              </w:rPr>
            </w:pPr>
          </w:p>
        </w:tc>
      </w:tr>
      <w:tr>
        <w:trPr>
          <w:trHeight w:val="212"/>
        </w:trPr>
        <w:tc>
          <w:tcPr>
            <w:tcW w:w="4500" w:type="dxa"/>
            <w:vAlign w:val="bottom"/>
          </w:tcPr>
          <w:p>
            <w:pPr>
              <w:jc w:val="center"/>
              <w:ind w:right="1839"/>
              <w:spacing w:after="0"/>
              <w:rPr>
                <w:sz w:val="20"/>
                <w:szCs w:val="20"/>
                <w:color w:val="auto"/>
              </w:rPr>
            </w:pPr>
            <w:r>
              <w:rPr>
                <w:rFonts w:ascii="Arial" w:cs="Arial" w:eastAsia="Arial" w:hAnsi="Arial"/>
                <w:sz w:val="18"/>
                <w:szCs w:val="18"/>
                <w:b w:val="1"/>
                <w:bCs w:val="1"/>
                <w:color w:val="auto"/>
                <w:w w:val="97"/>
              </w:rPr>
              <w:t>Fort Worth, TX</w:t>
            </w:r>
          </w:p>
        </w:tc>
        <w:tc>
          <w:tcPr>
            <w:tcW w:w="306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5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6"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80"/>
        <w:spacing w:after="0" w:line="30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639" w:right="239" w:bottom="1440" w:gutter="0" w:footer="0" w:header="0"/>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0" w:lineRule="exact"/>
        <w:rPr>
          <w:sz w:val="24"/>
          <w:szCs w:val="24"/>
          <w:color w:val="auto"/>
        </w:rPr>
      </w:pPr>
    </w:p>
    <w:p>
      <w:pPr>
        <w:sectPr>
          <w:pgSz w:w="11900" w:h="16838" w:orient="portrait"/>
          <w:cols w:equalWidth="0" w:num="4">
            <w:col w:w="1800" w:space="720"/>
            <w:col w:w="4880" w:space="720"/>
            <w:col w:w="2320" w:space="720"/>
            <w:col w:w="260"/>
          </w:cols>
          <w:pgMar w:left="240" w:top="639"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0" w:lineRule="exact"/>
        <w:rPr>
          <w:sz w:val="24"/>
          <w:szCs w:val="24"/>
          <w:color w:val="auto"/>
        </w:rPr>
      </w:pPr>
    </w:p>
    <w:p>
      <w:pPr>
        <w:sectPr>
          <w:pgSz w:w="11900" w:h="16838" w:orient="portrait"/>
          <w:cols w:equalWidth="0" w:num="5">
            <w:col w:w="1800" w:space="720"/>
            <w:col w:w="160" w:space="100"/>
            <w:col w:w="4620" w:space="720"/>
            <w:col w:w="2320" w:space="720"/>
            <w:col w:w="260"/>
          </w:cols>
          <w:pgMar w:left="240" w:top="639" w:right="239" w:bottom="1440" w:gutter="0" w:footer="0" w:header="0"/>
          <w:type w:val="continuous"/>
        </w:sectPr>
      </w:pPr>
    </w:p>
    <w:p>
      <w:pPr>
        <w:spacing w:after="0" w:line="196" w:lineRule="exact"/>
        <w:tabs>
          <w:tab w:leader="none" w:pos="97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Securities Exchange Act of 1934).</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23" w:lineRule="exact"/>
        <w:rPr>
          <w:sz w:val="24"/>
          <w:szCs w:val="24"/>
          <w:color w:val="auto"/>
        </w:rPr>
      </w:pPr>
    </w:p>
    <w:p>
      <w:pPr>
        <w:sectPr>
          <w:pgSz w:w="11900" w:h="16838" w:orient="portrait"/>
          <w:cols w:equalWidth="0" w:num="2">
            <w:col w:w="10280" w:space="180"/>
            <w:col w:w="960"/>
          </w:cols>
          <w:pgMar w:left="240" w:top="639"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shares of the Registrant’s common stock, $.01 par value per share, outstanding at May 3, 2016 was 59,411,892.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916940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gridSpan w:val="7"/>
            <w:vMerge w:val="restart"/>
          </w:tcPr>
          <w:p>
            <w:pPr>
              <w:ind w:left="80"/>
              <w:spacing w:after="0"/>
              <w:rPr>
                <w:sz w:val="20"/>
                <w:szCs w:val="20"/>
                <w:color w:val="auto"/>
              </w:rPr>
            </w:pPr>
            <w:r>
              <w:rPr>
                <w:rFonts w:ascii="Arial" w:cs="Arial" w:eastAsia="Arial" w:hAnsi="Arial"/>
                <w:sz w:val="14"/>
                <w:szCs w:val="14"/>
                <w:b w:val="1"/>
                <w:bCs w:val="1"/>
                <w:color w:val="auto"/>
              </w:rPr>
              <w:t>INDEX</w:t>
            </w:r>
          </w:p>
        </w:tc>
        <w:tc>
          <w:tcPr>
            <w:tcW w:w="120" w:type="dxa"/>
            <w:vAlign w:val="bottom"/>
            <w:vMerge w:val="restart"/>
          </w:tcPr>
          <w:p>
            <w:pPr>
              <w:spacing w:after="0"/>
              <w:rPr>
                <w:sz w:val="14"/>
                <w:szCs w:val="14"/>
                <w:color w:val="auto"/>
              </w:rPr>
            </w:pPr>
          </w:p>
        </w:tc>
        <w:tc>
          <w:tcPr>
            <w:tcW w:w="90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980" w:type="dxa"/>
            <w:vAlign w:val="bottom"/>
            <w:tcBorders>
              <w:bottom w:val="single" w:sz="8" w:color="auto"/>
            </w:tcBorders>
            <w:gridSpan w:val="7"/>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PART I.</w:t>
            </w:r>
          </w:p>
        </w:tc>
        <w:tc>
          <w:tcPr>
            <w:tcW w:w="942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14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Financial Statements</w:t>
              </w:r>
            </w:hyperlink>
          </w:p>
        </w:tc>
        <w:tc>
          <w:tcPr>
            <w:tcW w:w="740" w:type="dxa"/>
            <w:vAlign w:val="bottom"/>
            <w:tcBorders>
              <w:top w:val="single" w:sz="8" w:color="0000EE"/>
            </w:tcBorders>
            <w:gridSpan w:val="4"/>
          </w:tcPr>
          <w:p>
            <w:pPr>
              <w:spacing w:after="0"/>
              <w:rPr>
                <w:sz w:val="24"/>
                <w:szCs w:val="24"/>
                <w:color w:val="auto"/>
              </w:rPr>
            </w:pPr>
          </w:p>
        </w:tc>
        <w:tc>
          <w:tcPr>
            <w:tcW w:w="722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942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March 31, 2016 and December 31, 2015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76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for the three months ended March 31, 2016 and 2015 (Unaudited)</w:t>
              </w:r>
            </w:hyperlink>
          </w:p>
        </w:tc>
        <w:tc>
          <w:tcPr>
            <w:tcW w:w="182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942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Schedules of Investments as of March 31, 2016 and December 31, 2015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9420" w:type="dxa"/>
            <w:vAlign w:val="bottom"/>
            <w:gridSpan w:val="21"/>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Consolidated Statements of Changes in Net Assets for the three months ended March 31, 2016 and 2015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766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Consolidated Statements of Cash Flows for the three months ended March 31, 2016 and 2015 (Unaudited)</w:t>
              </w:r>
            </w:hyperlink>
          </w:p>
        </w:tc>
        <w:tc>
          <w:tcPr>
            <w:tcW w:w="720" w:type="dxa"/>
            <w:vAlign w:val="bottom"/>
            <w:tcBorders>
              <w:top w:val="single" w:sz="8" w:color="0000EE"/>
            </w:tcBorders>
          </w:tcPr>
          <w:p>
            <w:pPr>
              <w:spacing w:after="0"/>
              <w:rPr>
                <w:sz w:val="24"/>
                <w:szCs w:val="24"/>
                <w:color w:val="auto"/>
              </w:rPr>
            </w:pPr>
          </w:p>
        </w:tc>
        <w:tc>
          <w:tcPr>
            <w:tcW w:w="104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40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Notes to Consolidated Financial Statements (Unaudited)</w:t>
              </w:r>
            </w:hyperlink>
          </w:p>
        </w:tc>
        <w:tc>
          <w:tcPr>
            <w:tcW w:w="540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2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02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59">
              <w:r>
                <w:rPr>
                  <w:rFonts w:ascii="Arial" w:cs="Arial" w:eastAsia="Arial" w:hAnsi="Arial"/>
                  <w:sz w:val="18"/>
                  <w:szCs w:val="18"/>
                  <w:color w:val="0000EE"/>
                  <w:w w:val="86"/>
                </w:rPr>
                <w:t>Controls and Procedures</w:t>
              </w:r>
            </w:hyperlink>
          </w:p>
        </w:tc>
        <w:tc>
          <w:tcPr>
            <w:tcW w:w="768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60">
              <w:r>
                <w:rPr>
                  <w:rFonts w:ascii="Arial" w:cs="Arial" w:eastAsia="Arial" w:hAnsi="Arial"/>
                  <w:sz w:val="18"/>
                  <w:szCs w:val="18"/>
                  <w:color w:val="0000EE"/>
                  <w:w w:val="93"/>
                </w:rPr>
                <w:t>OTHER INFORMATION</w:t>
              </w:r>
            </w:hyperlink>
          </w:p>
        </w:tc>
        <w:tc>
          <w:tcPr>
            <w:tcW w:w="758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21"/>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Legal Proceedings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8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3"/>
              </w:rPr>
            </w:pPr>
            <w:hyperlink w:anchor="page60">
              <w:r>
                <w:rPr>
                  <w:rFonts w:ascii="Arial" w:cs="Arial" w:eastAsia="Arial" w:hAnsi="Arial"/>
                  <w:sz w:val="18"/>
                  <w:szCs w:val="18"/>
                  <w:color w:val="0000EE"/>
                  <w:w w:val="83"/>
                </w:rPr>
                <w:t>Risk Factors</w:t>
              </w:r>
            </w:hyperlink>
          </w:p>
        </w:tc>
        <w:tc>
          <w:tcPr>
            <w:tcW w:w="420" w:type="dxa"/>
            <w:vAlign w:val="bottom"/>
            <w:tcBorders>
              <w:top w:val="single" w:sz="8" w:color="0000EE"/>
            </w:tcBorders>
            <w:gridSpan w:val="2"/>
          </w:tcPr>
          <w:p>
            <w:pPr>
              <w:spacing w:after="0"/>
              <w:rPr>
                <w:sz w:val="24"/>
                <w:szCs w:val="24"/>
                <w:color w:val="auto"/>
              </w:rPr>
            </w:pPr>
          </w:p>
        </w:tc>
        <w:tc>
          <w:tcPr>
            <w:tcW w:w="814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43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62">
              <w:r>
                <w:rPr>
                  <w:rFonts w:ascii="Arial" w:cs="Arial" w:eastAsia="Arial" w:hAnsi="Arial"/>
                  <w:sz w:val="18"/>
                  <w:szCs w:val="18"/>
                  <w:color w:val="0000EE"/>
                  <w:w w:val="88"/>
                </w:rPr>
                <w:t>Unregistered Sales of Equity Securities and Use of Proceeds</w:t>
              </w:r>
            </w:hyperlink>
          </w:p>
        </w:tc>
        <w:tc>
          <w:tcPr>
            <w:tcW w:w="512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22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62">
              <w:r>
                <w:rPr>
                  <w:rFonts w:ascii="Arial" w:cs="Arial" w:eastAsia="Arial" w:hAnsi="Arial"/>
                  <w:sz w:val="18"/>
                  <w:szCs w:val="18"/>
                  <w:color w:val="0000EE"/>
                  <w:w w:val="88"/>
                </w:rPr>
                <w:t>Defaults Upon Senior Securities</w:t>
              </w:r>
            </w:hyperlink>
          </w:p>
        </w:tc>
        <w:tc>
          <w:tcPr>
            <w:tcW w:w="714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62">
              <w:r>
                <w:rPr>
                  <w:rFonts w:ascii="Arial" w:cs="Arial" w:eastAsia="Arial" w:hAnsi="Arial"/>
                  <w:sz w:val="18"/>
                  <w:szCs w:val="18"/>
                  <w:color w:val="0000EE"/>
                  <w:w w:val="88"/>
                </w:rPr>
                <w:t>Mine Safety Disclosures</w:t>
              </w:r>
            </w:hyperlink>
          </w:p>
        </w:tc>
        <w:tc>
          <w:tcPr>
            <w:tcW w:w="770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9420" w:type="dxa"/>
            <w:vAlign w:val="bottom"/>
            <w:gridSpan w:val="21"/>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1260" w:type="dxa"/>
            <w:vAlign w:val="bottom"/>
            <w:tcBorders>
              <w:top w:val="single" w:sz="8" w:color="0000EE"/>
            </w:tcBorders>
            <w:gridSpan w:val="3"/>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Exhibits</w:t>
              </w:r>
            </w:hyperlink>
          </w:p>
        </w:tc>
        <w:tc>
          <w:tcPr>
            <w:tcW w:w="8160" w:type="dxa"/>
            <w:vAlign w:val="bottom"/>
            <w:gridSpan w:val="1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80" w:type="dxa"/>
            <w:vAlign w:val="bottom"/>
            <w:gridSpan w:val="2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520" w:type="dxa"/>
            <w:vAlign w:val="bottom"/>
            <w:gridSpan w:val="2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SIGNATURES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color w:val="auto"/>
        </w:rPr>
        <w:t>This report contains forward-looking statements that involve substantial risks and uncertainties. These forward-looking statements are not historical facts, but rather are based on current expectations, estimates and projections about us, our current or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are difficult to predict, that could cause actual results to differ materially from those expressed or forecasted in the forward-looking statements.</w:t>
      </w:r>
    </w:p>
    <w:p>
      <w:pPr>
        <w:spacing w:after="0" w:line="178" w:lineRule="exact"/>
        <w:rPr>
          <w:sz w:val="20"/>
          <w:szCs w:val="20"/>
          <w:color w:val="auto"/>
        </w:rPr>
      </w:pPr>
    </w:p>
    <w:p>
      <w:pPr>
        <w:ind w:right="340" w:firstLine="259"/>
        <w:spacing w:after="0" w:line="264"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or SEC, the following factors, among others, could cause actual results to differ materially from forward-looking statements or historical performance:</w:t>
      </w:r>
    </w:p>
    <w:p>
      <w:pPr>
        <w:spacing w:after="0" w:line="73" w:lineRule="exact"/>
        <w:rPr>
          <w:sz w:val="20"/>
          <w:szCs w:val="20"/>
          <w:color w:val="auto"/>
        </w:rPr>
      </w:pPr>
    </w:p>
    <w:p>
      <w:pPr>
        <w:ind w:left="520" w:right="620" w:hanging="255"/>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62" w:lineRule="exact"/>
        <w:rPr>
          <w:rFonts w:ascii="Arial" w:cs="Arial" w:eastAsia="Arial" w:hAnsi="Arial"/>
          <w:sz w:val="18"/>
          <w:szCs w:val="18"/>
          <w:color w:val="auto"/>
        </w:rPr>
      </w:pPr>
    </w:p>
    <w:p>
      <w:pPr>
        <w:ind w:left="520" w:right="420" w:hanging="255"/>
        <w:spacing w:after="0" w:line="342" w:lineRule="auto"/>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17" w:lineRule="exact"/>
        <w:rPr>
          <w:rFonts w:ascii="Arial" w:cs="Arial" w:eastAsia="Arial" w:hAnsi="Arial"/>
          <w:sz w:val="18"/>
          <w:szCs w:val="18"/>
          <w:color w:val="auto"/>
        </w:rPr>
      </w:pPr>
    </w:p>
    <w:p>
      <w:pPr>
        <w:ind w:left="520" w:right="240" w:hanging="255"/>
        <w:spacing w:after="0" w:line="308" w:lineRule="auto"/>
        <w:tabs>
          <w:tab w:leader="none" w:pos="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risks, uncertainties and other factors we identify in the section entitled “Risk Factors” in this report and in our Annual Report on Form 10-K for the year ended December 31, 2015, filed with the SEC on February 24, 2016, and elsewhere in our filings with the SEC.</w:t>
      </w:r>
    </w:p>
    <w:p>
      <w:pPr>
        <w:spacing w:after="0" w:line="147"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or the Exchange Act, which preclude civil liability for certain forward-looking statements, do not apply to the forward-looking statements in this report because we are an investment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86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 (amortized cost of $1,521,669</w:t>
            </w: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$1,443,017, respectively)</w:t>
            </w:r>
          </w:p>
        </w:tc>
        <w:tc>
          <w:tcPr>
            <w:tcW w:w="12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1,501,060</w:t>
            </w:r>
          </w:p>
        </w:tc>
        <w:tc>
          <w:tcPr>
            <w:tcW w:w="1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1,422,211</w:t>
            </w:r>
          </w:p>
        </w:tc>
        <w:tc>
          <w:tcPr>
            <w:tcW w:w="120" w:type="dxa"/>
            <w:vAlign w:val="bottom"/>
            <w:shd w:val="clear" w:color="auto" w:fill="CFF0FC"/>
          </w:tcPr>
          <w:p>
            <w:pPr>
              <w:spacing w:after="0"/>
              <w:rPr>
                <w:sz w:val="20"/>
                <w:szCs w:val="20"/>
                <w:color w:val="auto"/>
              </w:rPr>
            </w:pPr>
          </w:p>
        </w:tc>
      </w:tr>
      <w:tr>
        <w:trPr>
          <w:trHeight w:val="215"/>
        </w:trPr>
        <w:tc>
          <w:tcPr>
            <w:tcW w:w="6860" w:type="dxa"/>
            <w:vAlign w:val="bottom"/>
          </w:tcPr>
          <w:p>
            <w:pPr>
              <w:ind w:left="260"/>
              <w:spacing w:after="0"/>
              <w:rPr>
                <w:sz w:val="20"/>
                <w:szCs w:val="20"/>
                <w:color w:val="auto"/>
              </w:rPr>
            </w:pPr>
            <w:r>
              <w:rPr>
                <w:rFonts w:ascii="Arial" w:cs="Arial" w:eastAsia="Arial" w:hAnsi="Arial"/>
                <w:sz w:val="18"/>
                <w:szCs w:val="18"/>
                <w:color w:val="auto"/>
              </w:rPr>
              <w:t>Controlled, affiliated investments (amortized cost of $90,124 and $86,659,</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8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respectively)</w:t>
            </w:r>
          </w:p>
        </w:tc>
        <w:tc>
          <w:tcPr>
            <w:tcW w:w="10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62,604</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63,498</w:t>
            </w:r>
          </w:p>
        </w:tc>
        <w:tc>
          <w:tcPr>
            <w:tcW w:w="120" w:type="dxa"/>
            <w:vAlign w:val="bottom"/>
            <w:tcBorders>
              <w:bottom w:val="single" w:sz="8" w:color="CFF0FC"/>
            </w:tcBorders>
          </w:tcPr>
          <w:p>
            <w:pPr>
              <w:spacing w:after="0"/>
              <w:rPr>
                <w:sz w:val="20"/>
                <w:szCs w:val="20"/>
                <w:color w:val="auto"/>
              </w:rPr>
            </w:pPr>
          </w:p>
        </w:tc>
      </w:tr>
      <w:tr>
        <w:trPr>
          <w:trHeight w:val="20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Total investments at fair value (amortized cost of $1,611,793 and $1,529,676,</w:t>
            </w: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1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1,563,664</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1,485,709</w:t>
            </w:r>
          </w:p>
        </w:tc>
        <w:tc>
          <w:tcPr>
            <w:tcW w:w="120" w:type="dxa"/>
            <w:vAlign w:val="bottom"/>
            <w:shd w:val="clear" w:color="auto" w:fill="CFF0FC"/>
          </w:tcPr>
          <w:p>
            <w:pPr>
              <w:spacing w:after="0"/>
              <w:rPr>
                <w:sz w:val="20"/>
                <w:szCs w:val="20"/>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2,431</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Interest receivable</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10,146</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10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7,880</w:t>
            </w:r>
          </w:p>
        </w:tc>
        <w:tc>
          <w:tcPr>
            <w:tcW w:w="120" w:type="dxa"/>
            <w:vAlign w:val="bottom"/>
            <w:shd w:val="clear" w:color="auto" w:fill="CFF0FC"/>
          </w:tcPr>
          <w:p>
            <w:pPr>
              <w:spacing w:after="0"/>
              <w:rPr>
                <w:sz w:val="19"/>
                <w:szCs w:val="19"/>
                <w:color w:val="auto"/>
              </w:rPr>
            </w:pPr>
          </w:p>
        </w:tc>
      </w:tr>
      <w:tr>
        <w:trPr>
          <w:trHeight w:val="26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10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1,584,252</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1,506,568</w:t>
            </w:r>
          </w:p>
        </w:tc>
        <w:tc>
          <w:tcPr>
            <w:tcW w:w="120" w:type="dxa"/>
            <w:vAlign w:val="bottom"/>
            <w:tcBorders>
              <w:bottom w:val="single" w:sz="8" w:color="CFF0FC"/>
            </w:tcBorders>
          </w:tcPr>
          <w:p>
            <w:pPr>
              <w:spacing w:after="0"/>
              <w:rPr>
                <w:sz w:val="22"/>
                <w:szCs w:val="22"/>
                <w:color w:val="auto"/>
              </w:rPr>
            </w:pPr>
          </w:p>
        </w:tc>
      </w:tr>
      <w:tr>
        <w:trPr>
          <w:trHeight w:val="210"/>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Debt (net of deferred financing costs of $9,790 and $10,365, respectively)</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626,063</w:t>
            </w:r>
          </w:p>
        </w:tc>
        <w:tc>
          <w:tcPr>
            <w:tcW w:w="160" w:type="dxa"/>
            <w:vAlign w:val="bottom"/>
          </w:tcPr>
          <w:p>
            <w:pPr>
              <w:spacing w:after="0"/>
              <w:rPr>
                <w:sz w:val="19"/>
                <w:szCs w:val="19"/>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642,423</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4,915</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21,124</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22,045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4,435</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Payables to affiliate</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10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w:t>
            </w:r>
          </w:p>
        </w:tc>
        <w:tc>
          <w:tcPr>
            <w:tcW w:w="120" w:type="dxa"/>
            <w:vAlign w:val="bottom"/>
            <w:tcBorders>
              <w:bottom w:val="single" w:sz="8" w:color="CFF0FC"/>
            </w:tcBorders>
          </w:tcPr>
          <w:p>
            <w:pPr>
              <w:spacing w:after="0"/>
              <w:rPr>
                <w:sz w:val="19"/>
                <w:szCs w:val="19"/>
                <w:color w:val="auto"/>
              </w:rPr>
            </w:pPr>
          </w:p>
        </w:tc>
      </w:tr>
      <w:tr>
        <w:trPr>
          <w:trHeight w:val="223"/>
        </w:trPr>
        <w:tc>
          <w:tcPr>
            <w:tcW w:w="686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w:t>
            </w:r>
          </w:p>
        </w:tc>
        <w:tc>
          <w:tcPr>
            <w:tcW w:w="10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689,581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685,827</w:t>
            </w:r>
          </w:p>
        </w:tc>
        <w:tc>
          <w:tcPr>
            <w:tcW w:w="120" w:type="dxa"/>
            <w:vAlign w:val="bottom"/>
            <w:shd w:val="clear" w:color="auto" w:fill="CFF0FC"/>
          </w:tcPr>
          <w:p>
            <w:pPr>
              <w:spacing w:after="0"/>
              <w:rPr>
                <w:sz w:val="19"/>
                <w:szCs w:val="19"/>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Assets</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86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and outstanding</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 400,000,000 shares authorized, 59,314,768 and</w:t>
            </w: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54,166,959 shares issued, respectively; and 59,225,688 and 54,163,960 shares</w:t>
            </w: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 respectively</w:t>
            </w:r>
          </w:p>
        </w:tc>
        <w:tc>
          <w:tcPr>
            <w:tcW w:w="1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FF0FC"/>
          </w:tcPr>
          <w:p>
            <w:pPr>
              <w:spacing w:after="0"/>
              <w:rPr>
                <w:sz w:val="20"/>
                <w:szCs w:val="20"/>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892,675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812,586</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at cost; 89,080 and 2,999 shares held, respectively</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(1,359)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26,712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27,521</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losses</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(34,005)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(28,380)</w:t>
            </w:r>
          </w:p>
        </w:tc>
      </w:tr>
      <w:tr>
        <w:trPr>
          <w:trHeight w:val="230"/>
        </w:trPr>
        <w:tc>
          <w:tcPr>
            <w:tcW w:w="6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Undistributed net realized gains</w:t>
            </w:r>
          </w:p>
        </w:tc>
        <w:tc>
          <w:tcPr>
            <w:tcW w:w="10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8,502</w:t>
            </w:r>
          </w:p>
        </w:tc>
        <w:tc>
          <w:tcPr>
            <w:tcW w:w="120" w:type="dxa"/>
            <w:vAlign w:val="bottom"/>
            <w:tcBorders>
              <w:bottom w:val="single" w:sz="8" w:color="CFF0FC"/>
            </w:tcBorders>
          </w:tcPr>
          <w:p>
            <w:pPr>
              <w:spacing w:after="0"/>
              <w:rPr>
                <w:sz w:val="19"/>
                <w:szCs w:val="19"/>
                <w:color w:val="auto"/>
              </w:rPr>
            </w:pPr>
          </w:p>
        </w:tc>
      </w:tr>
      <w:tr>
        <w:trPr>
          <w:trHeight w:val="223"/>
        </w:trPr>
        <w:tc>
          <w:tcPr>
            <w:tcW w:w="686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Net Assets</w:t>
            </w:r>
          </w:p>
        </w:tc>
        <w:tc>
          <w:tcPr>
            <w:tcW w:w="10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894,671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820,741</w:t>
            </w:r>
          </w:p>
        </w:tc>
        <w:tc>
          <w:tcPr>
            <w:tcW w:w="120" w:type="dxa"/>
            <w:vAlign w:val="bottom"/>
            <w:shd w:val="clear" w:color="auto" w:fill="CFF0FC"/>
          </w:tcPr>
          <w:p>
            <w:pPr>
              <w:spacing w:after="0"/>
              <w:rPr>
                <w:sz w:val="19"/>
                <w:szCs w:val="19"/>
                <w:color w:val="auto"/>
              </w:rPr>
            </w:pPr>
          </w:p>
        </w:tc>
      </w:tr>
      <w:tr>
        <w:trPr>
          <w:trHeight w:val="26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10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1,584,252</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1,506,568</w:t>
            </w:r>
          </w:p>
        </w:tc>
        <w:tc>
          <w:tcPr>
            <w:tcW w:w="120" w:type="dxa"/>
            <w:vAlign w:val="bottom"/>
            <w:tcBorders>
              <w:bottom w:val="single" w:sz="8" w:color="CFF0FC"/>
            </w:tcBorders>
          </w:tcPr>
          <w:p>
            <w:pPr>
              <w:spacing w:after="0"/>
              <w:rPr>
                <w:sz w:val="22"/>
                <w:szCs w:val="22"/>
                <w:color w:val="auto"/>
              </w:rPr>
            </w:pPr>
          </w:p>
        </w:tc>
      </w:tr>
      <w:tr>
        <w:trPr>
          <w:trHeight w:val="210"/>
        </w:trPr>
        <w:tc>
          <w:tcPr>
            <w:tcW w:w="68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10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6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 2016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2015</w:t>
            </w:r>
          </w:p>
        </w:tc>
      </w:tr>
      <w:tr>
        <w:trPr>
          <w:trHeight w:val="223"/>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Income</w:t>
            </w:r>
          </w:p>
        </w:tc>
        <w:tc>
          <w:tcPr>
            <w:tcW w:w="1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from investments</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39,170</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32,879</w:t>
            </w:r>
          </w:p>
        </w:tc>
        <w:tc>
          <w:tcPr>
            <w:tcW w:w="100" w:type="dxa"/>
            <w:vAlign w:val="bottom"/>
            <w:shd w:val="clear" w:color="auto" w:fill="CFF0FC"/>
          </w:tcPr>
          <w:p>
            <w:pPr>
              <w:spacing w:after="0"/>
              <w:rPr>
                <w:sz w:val="19"/>
                <w:szCs w:val="19"/>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Dividend income</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1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3,377</w:t>
            </w:r>
          </w:p>
        </w:tc>
        <w:tc>
          <w:tcPr>
            <w:tcW w:w="100" w:type="dxa"/>
            <w:vAlign w:val="bottom"/>
            <w:shd w:val="clear" w:color="auto" w:fill="CFF0FC"/>
          </w:tcPr>
          <w:p>
            <w:pPr>
              <w:spacing w:after="0"/>
              <w:rPr>
                <w:sz w:val="19"/>
                <w:szCs w:val="19"/>
                <w:color w:val="auto"/>
              </w:rPr>
            </w:pPr>
          </w:p>
        </w:tc>
      </w:tr>
      <w:tr>
        <w:trPr>
          <w:trHeight w:val="209"/>
        </w:trPr>
        <w:tc>
          <w:tcPr>
            <w:tcW w:w="6620" w:type="dxa"/>
            <w:vAlign w:val="bottom"/>
          </w:tcPr>
          <w:p>
            <w:pPr>
              <w:ind w:left="500"/>
              <w:spacing w:after="0"/>
              <w:rPr>
                <w:sz w:val="20"/>
                <w:szCs w:val="20"/>
                <w:color w:val="auto"/>
              </w:rPr>
            </w:pPr>
            <w:r>
              <w:rPr>
                <w:rFonts w:ascii="Arial" w:cs="Arial" w:eastAsia="Arial" w:hAnsi="Arial"/>
                <w:sz w:val="18"/>
                <w:szCs w:val="18"/>
                <w:color w:val="auto"/>
              </w:rPr>
              <w:t>Total investment income from non-controlled, non-affiliated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620" w:type="dxa"/>
            <w:vAlign w:val="bottom"/>
          </w:tcPr>
          <w:p>
            <w:pPr>
              <w:ind w:left="640"/>
              <w:spacing w:after="0"/>
              <w:rPr>
                <w:sz w:val="20"/>
                <w:szCs w:val="20"/>
                <w:color w:val="auto"/>
              </w:rPr>
            </w:pPr>
            <w:r>
              <w:rPr>
                <w:rFonts w:ascii="Arial" w:cs="Arial" w:eastAsia="Arial" w:hAnsi="Arial"/>
                <w:sz w:val="18"/>
                <w:szCs w:val="18"/>
                <w:color w:val="auto"/>
              </w:rPr>
              <w:t>investments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40,367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36,256</w:t>
            </w:r>
          </w:p>
        </w:tc>
        <w:tc>
          <w:tcPr>
            <w:tcW w:w="100" w:type="dxa"/>
            <w:vAlign w:val="bottom"/>
          </w:tcPr>
          <w:p>
            <w:pPr>
              <w:spacing w:after="0"/>
              <w:rPr>
                <w:sz w:val="20"/>
                <w:szCs w:val="20"/>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 from controlled, affiliated investments:</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Interest from investments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19"/>
                <w:szCs w:val="19"/>
                <w:color w:val="auto"/>
              </w:rPr>
            </w:pP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1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9"/>
                <w:szCs w:val="19"/>
                <w:color w:val="auto"/>
              </w:rPr>
            </w:pPr>
          </w:p>
        </w:tc>
      </w:tr>
      <w:tr>
        <w:trPr>
          <w:trHeight w:val="223"/>
        </w:trPr>
        <w:tc>
          <w:tcPr>
            <w:tcW w:w="6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investment income from controlled, affiliated investments</w:t>
            </w:r>
          </w:p>
        </w:tc>
        <w:tc>
          <w:tcPr>
            <w:tcW w:w="1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FF0FC"/>
            </w:tcBorders>
          </w:tcPr>
          <w:p>
            <w:pPr>
              <w:spacing w:after="0"/>
              <w:rPr>
                <w:sz w:val="19"/>
                <w:szCs w:val="19"/>
                <w:color w:val="auto"/>
              </w:rPr>
            </w:pPr>
          </w:p>
        </w:tc>
      </w:tr>
      <w:tr>
        <w:trPr>
          <w:trHeight w:val="223"/>
        </w:trPr>
        <w:tc>
          <w:tcPr>
            <w:tcW w:w="662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Investment Income</w:t>
            </w:r>
          </w:p>
        </w:tc>
        <w:tc>
          <w:tcPr>
            <w:tcW w:w="1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42,751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37,730</w:t>
            </w:r>
          </w:p>
        </w:tc>
        <w:tc>
          <w:tcPr>
            <w:tcW w:w="100" w:type="dxa"/>
            <w:vAlign w:val="bottom"/>
            <w:shd w:val="clear" w:color="auto" w:fill="CFF0FC"/>
          </w:tcPr>
          <w:p>
            <w:pPr>
              <w:spacing w:after="0"/>
              <w:rPr>
                <w:sz w:val="19"/>
                <w:szCs w:val="19"/>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4,220</w:t>
            </w:r>
          </w:p>
        </w:tc>
        <w:tc>
          <w:tcPr>
            <w:tcW w:w="100" w:type="dxa"/>
            <w:vAlign w:val="bottom"/>
            <w:shd w:val="clear" w:color="auto" w:fill="CFF0FC"/>
          </w:tcPr>
          <w:p>
            <w:pPr>
              <w:spacing w:after="0"/>
              <w:rPr>
                <w:sz w:val="19"/>
                <w:szCs w:val="19"/>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Management fees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5,748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4,950</w:t>
            </w:r>
          </w:p>
        </w:tc>
        <w:tc>
          <w:tcPr>
            <w:tcW w:w="100" w:type="dxa"/>
            <w:vAlign w:val="bottom"/>
          </w:tcPr>
          <w:p>
            <w:pPr>
              <w:spacing w:after="0"/>
              <w:rPr>
                <w:sz w:val="19"/>
                <w:szCs w:val="19"/>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Incentive fees</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5,007</w:t>
            </w:r>
          </w:p>
        </w:tc>
        <w:tc>
          <w:tcPr>
            <w:tcW w:w="100" w:type="dxa"/>
            <w:vAlign w:val="bottom"/>
            <w:shd w:val="clear" w:color="auto" w:fill="CFF0FC"/>
          </w:tcPr>
          <w:p>
            <w:pPr>
              <w:spacing w:after="0"/>
              <w:rPr>
                <w:sz w:val="19"/>
                <w:szCs w:val="19"/>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Professional fees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9"/>
                <w:szCs w:val="19"/>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Directors’ fees</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19"/>
                <w:szCs w:val="19"/>
                <w:color w:val="auto"/>
              </w:rPr>
            </w:pPr>
          </w:p>
        </w:tc>
      </w:tr>
      <w:tr>
        <w:trPr>
          <w:trHeight w:val="230"/>
        </w:trPr>
        <w:tc>
          <w:tcPr>
            <w:tcW w:w="6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general and administrative</w:t>
            </w:r>
          </w:p>
        </w:tc>
        <w:tc>
          <w:tcPr>
            <w:tcW w:w="1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FF0FC"/>
            </w:tcBorders>
          </w:tcPr>
          <w:p>
            <w:pPr>
              <w:spacing w:after="0"/>
              <w:rPr>
                <w:sz w:val="19"/>
                <w:szCs w:val="19"/>
                <w:color w:val="auto"/>
              </w:rPr>
            </w:pPr>
          </w:p>
        </w:tc>
      </w:tr>
      <w:tr>
        <w:trPr>
          <w:trHeight w:val="223"/>
        </w:trPr>
        <w:tc>
          <w:tcPr>
            <w:tcW w:w="6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1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19,222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16,638</w:t>
            </w:r>
          </w:p>
        </w:tc>
        <w:tc>
          <w:tcPr>
            <w:tcW w:w="100" w:type="dxa"/>
            <w:vAlign w:val="bottom"/>
            <w:shd w:val="clear" w:color="auto" w:fill="CFF0FC"/>
          </w:tcPr>
          <w:p>
            <w:pPr>
              <w:spacing w:after="0"/>
              <w:rPr>
                <w:sz w:val="19"/>
                <w:szCs w:val="19"/>
                <w:color w:val="auto"/>
              </w:rPr>
            </w:pPr>
          </w:p>
        </w:tc>
      </w:tr>
      <w:tr>
        <w:trPr>
          <w:trHeight w:val="223"/>
        </w:trPr>
        <w:tc>
          <w:tcPr>
            <w:tcW w:w="6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Management and incentive fees waived (Note 3)</w:t>
            </w:r>
          </w:p>
        </w:tc>
        <w:tc>
          <w:tcPr>
            <w:tcW w:w="1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662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Net Expenses</w:t>
            </w:r>
          </w:p>
        </w:tc>
        <w:tc>
          <w:tcPr>
            <w:tcW w:w="1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19,124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16,638</w:t>
            </w:r>
          </w:p>
        </w:tc>
        <w:tc>
          <w:tcPr>
            <w:tcW w:w="100" w:type="dxa"/>
            <w:vAlign w:val="bottom"/>
            <w:shd w:val="clear" w:color="auto" w:fill="CFF0FC"/>
          </w:tcPr>
          <w:p>
            <w:pPr>
              <w:spacing w:after="0"/>
              <w:rPr>
                <w:sz w:val="19"/>
                <w:szCs w:val="19"/>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23,627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21,092</w:t>
            </w:r>
          </w:p>
        </w:tc>
        <w:tc>
          <w:tcPr>
            <w:tcW w:w="100" w:type="dxa"/>
            <w:vAlign w:val="bottom"/>
          </w:tcPr>
          <w:p>
            <w:pPr>
              <w:spacing w:after="0"/>
              <w:rPr>
                <w:sz w:val="19"/>
                <w:szCs w:val="19"/>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Income taxes, including excise taxes</w:t>
            </w:r>
          </w:p>
        </w:tc>
        <w:tc>
          <w:tcPr>
            <w:tcW w:w="1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FF0FC"/>
          </w:tcPr>
          <w:p>
            <w:pPr>
              <w:spacing w:after="0"/>
              <w:rPr>
                <w:sz w:val="19"/>
                <w:szCs w:val="19"/>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23,192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20,787</w:t>
            </w:r>
          </w:p>
        </w:tc>
        <w:tc>
          <w:tcPr>
            <w:tcW w:w="100" w:type="dxa"/>
            <w:vAlign w:val="bottom"/>
          </w:tcPr>
          <w:p>
            <w:pPr>
              <w:spacing w:after="0"/>
              <w:rPr>
                <w:sz w:val="19"/>
                <w:szCs w:val="19"/>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(5,907)</w:t>
            </w: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Controlled, affiliated investments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(4,359)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Translation of assets and liabilities in foreign currencies</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(2,703)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7,215</w:t>
            </w:r>
          </w:p>
        </w:tc>
        <w:tc>
          <w:tcPr>
            <w:tcW w:w="100" w:type="dxa"/>
            <w:vAlign w:val="bottom"/>
            <w:shd w:val="clear" w:color="auto" w:fill="CFF0FC"/>
          </w:tcPr>
          <w:p>
            <w:pPr>
              <w:spacing w:after="0"/>
              <w:rPr>
                <w:sz w:val="19"/>
                <w:szCs w:val="19"/>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Interest rate swaps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(353)</w:t>
            </w:r>
          </w:p>
        </w:tc>
      </w:tr>
      <w:tr>
        <w:trPr>
          <w:trHeight w:val="223"/>
        </w:trPr>
        <w:tc>
          <w:tcPr>
            <w:tcW w:w="66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net change in unrealized gains (losses)</w:t>
            </w:r>
          </w:p>
        </w:tc>
        <w:tc>
          <w:tcPr>
            <w:tcW w:w="1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(5,625)</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Realized gains: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FF0FC"/>
          </w:tcPr>
          <w:p>
            <w:pPr>
              <w:spacing w:after="0"/>
              <w:rPr>
                <w:sz w:val="19"/>
                <w:szCs w:val="19"/>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Interest rate swaps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19"/>
                <w:szCs w:val="19"/>
                <w:color w:val="auto"/>
              </w:rPr>
            </w:pP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transactions</w:t>
            </w:r>
          </w:p>
        </w:tc>
        <w:tc>
          <w:tcPr>
            <w:tcW w:w="1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r>
      <w:tr>
        <w:trPr>
          <w:trHeight w:val="223"/>
        </w:trPr>
        <w:tc>
          <w:tcPr>
            <w:tcW w:w="66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realized gains</w:t>
            </w:r>
          </w:p>
        </w:tc>
        <w:tc>
          <w:tcPr>
            <w:tcW w:w="1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100" w:type="dxa"/>
            <w:vAlign w:val="bottom"/>
            <w:tcBorders>
              <w:bottom w:val="single" w:sz="8" w:color="CFF0FC"/>
            </w:tcBorders>
          </w:tcPr>
          <w:p>
            <w:pPr>
              <w:spacing w:after="0"/>
              <w:rPr>
                <w:sz w:val="19"/>
                <w:szCs w:val="19"/>
                <w:color w:val="auto"/>
              </w:rPr>
            </w:pPr>
          </w:p>
        </w:tc>
      </w:tr>
      <w:tr>
        <w:trPr>
          <w:trHeight w:val="223"/>
        </w:trPr>
        <w:tc>
          <w:tcPr>
            <w:tcW w:w="6620" w:type="dxa"/>
            <w:vAlign w:val="bottom"/>
            <w:shd w:val="clear" w:color="auto" w:fill="CFF0FC"/>
          </w:tcPr>
          <w:p>
            <w:pPr>
              <w:ind w:left="1000"/>
              <w:spacing w:after="0"/>
              <w:rPr>
                <w:sz w:val="20"/>
                <w:szCs w:val="20"/>
                <w:color w:val="auto"/>
              </w:rPr>
            </w:pPr>
            <w:r>
              <w:rPr>
                <w:rFonts w:ascii="Arial" w:cs="Arial" w:eastAsia="Arial" w:hAnsi="Arial"/>
                <w:sz w:val="18"/>
                <w:szCs w:val="18"/>
                <w:b w:val="1"/>
                <w:bCs w:val="1"/>
                <w:color w:val="auto"/>
              </w:rPr>
              <w:t>Total Unrealized and Realized Gains (Losses)</w:t>
            </w:r>
          </w:p>
        </w:tc>
        <w:tc>
          <w:tcPr>
            <w:tcW w:w="1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3,681</w:t>
            </w:r>
          </w:p>
        </w:tc>
        <w:tc>
          <w:tcPr>
            <w:tcW w:w="100" w:type="dxa"/>
            <w:vAlign w:val="bottom"/>
            <w:shd w:val="clear" w:color="auto" w:fill="CFF0FC"/>
          </w:tcPr>
          <w:p>
            <w:pPr>
              <w:spacing w:after="0"/>
              <w:rPr>
                <w:sz w:val="19"/>
                <w:szCs w:val="19"/>
                <w:color w:val="auto"/>
              </w:rPr>
            </w:pPr>
          </w:p>
        </w:tc>
      </w:tr>
      <w:tr>
        <w:trPr>
          <w:trHeight w:val="263"/>
        </w:trPr>
        <w:tc>
          <w:tcPr>
            <w:tcW w:w="66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24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17,771</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24,468</w:t>
            </w:r>
          </w:p>
        </w:tc>
        <w:tc>
          <w:tcPr>
            <w:tcW w:w="100" w:type="dxa"/>
            <w:vAlign w:val="bottom"/>
            <w:tcBorders>
              <w:bottom w:val="single" w:sz="8" w:color="CFF0FC"/>
            </w:tcBorders>
          </w:tcPr>
          <w:p>
            <w:pPr>
              <w:spacing w:after="0"/>
              <w:rPr>
                <w:sz w:val="22"/>
                <w:szCs w:val="22"/>
                <w:color w:val="auto"/>
              </w:rPr>
            </w:pPr>
          </w:p>
        </w:tc>
      </w:tr>
      <w:tr>
        <w:trPr>
          <w:trHeight w:val="21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Earnings per common share—basic and diluted</w:t>
            </w:r>
          </w:p>
        </w:tc>
        <w:tc>
          <w:tcPr>
            <w:tcW w:w="1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FF0FC"/>
          </w:tcPr>
          <w:p>
            <w:pPr>
              <w:spacing w:after="0"/>
              <w:rPr>
                <w:sz w:val="18"/>
                <w:szCs w:val="18"/>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Weighted average shares of common stock outstanding—basic and diluted</w:t>
            </w:r>
          </w:p>
        </w:tc>
        <w:tc>
          <w:tcPr>
            <w:tcW w:w="1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55,802,270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53,902,074</w:t>
            </w:r>
          </w:p>
        </w:tc>
        <w:tc>
          <w:tcPr>
            <w:tcW w:w="100" w:type="dxa"/>
            <w:vAlign w:val="bottom"/>
          </w:tcPr>
          <w:p>
            <w:pPr>
              <w:spacing w:after="0"/>
              <w:rPr>
                <w:sz w:val="19"/>
                <w:szCs w:val="19"/>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Schedule of Investments as of March 31, 2016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Initial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Percentage</w:t>
            </w:r>
          </w:p>
        </w:tc>
        <w:tc>
          <w:tcPr>
            <w:tcW w:w="20" w:type="dxa"/>
            <w:vAlign w:val="bottom"/>
          </w:tcPr>
          <w:p>
            <w:pPr>
              <w:spacing w:after="0"/>
              <w:rPr>
                <w:sz w:val="14"/>
                <w:szCs w:val="14"/>
                <w:color w:val="auto"/>
              </w:rPr>
            </w:pPr>
          </w:p>
        </w:tc>
      </w:tr>
      <w:tr>
        <w:trPr>
          <w:trHeight w:val="171"/>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520" w:type="dxa"/>
            <w:vAlign w:val="bottom"/>
            <w:gridSpan w:val="2"/>
          </w:tcPr>
          <w:p>
            <w:pPr>
              <w:ind w:left="860"/>
              <w:spacing w:after="0"/>
              <w:rPr>
                <w:sz w:val="20"/>
                <w:szCs w:val="20"/>
                <w:color w:val="auto"/>
              </w:rPr>
            </w:pPr>
            <w:r>
              <w:rPr>
                <w:rFonts w:ascii="Arial" w:cs="Arial" w:eastAsia="Arial" w:hAnsi="Arial"/>
                <w:sz w:val="14"/>
                <w:szCs w:val="14"/>
                <w:b w:val="1"/>
                <w:bCs w:val="1"/>
                <w:color w:val="auto"/>
              </w:rPr>
              <w:t>Investment</w:t>
            </w:r>
          </w:p>
        </w:tc>
        <w:tc>
          <w:tcPr>
            <w:tcW w:w="14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Interest</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 xml:space="preserve">Cost </w:t>
            </w:r>
            <w:r>
              <w:rPr>
                <w:rFonts w:ascii="Arial" w:cs="Arial" w:eastAsia="Arial" w:hAnsi="Arial"/>
                <w:sz w:val="12"/>
                <w:szCs w:val="12"/>
                <w:b w:val="1"/>
                <w:bCs w:val="1"/>
                <w:color w:val="auto"/>
                <w:w w:val="96"/>
              </w:rPr>
              <w:t>(2)(8)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of Net Assets</w:t>
            </w:r>
          </w:p>
        </w:tc>
        <w:tc>
          <w:tcPr>
            <w:tcW w:w="20" w:type="dxa"/>
            <w:vAlign w:val="bottom"/>
          </w:tcPr>
          <w:p>
            <w:pPr>
              <w:spacing w:after="0"/>
              <w:rPr>
                <w:sz w:val="14"/>
                <w:szCs w:val="14"/>
                <w:color w:val="auto"/>
              </w:rPr>
            </w:pPr>
          </w:p>
        </w:tc>
      </w:tr>
      <w:tr>
        <w:trPr>
          <w:trHeight w:val="223"/>
        </w:trPr>
        <w:tc>
          <w:tcPr>
            <w:tcW w:w="3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Debt Investments</w:t>
            </w:r>
          </w:p>
        </w:tc>
        <w:tc>
          <w:tcPr>
            <w:tcW w:w="100" w:type="dxa"/>
            <w:vAlign w:val="bottom"/>
            <w:tcBorders>
              <w:top w:val="single" w:sz="8" w:color="CFF0FC"/>
            </w:tcBorders>
            <w:shd w:val="clear" w:color="auto" w:fill="CFF0FC"/>
          </w:tcPr>
          <w:p>
            <w:pPr>
              <w:spacing w:after="0"/>
              <w:rPr>
                <w:sz w:val="19"/>
                <w:szCs w:val="19"/>
                <w:color w:val="auto"/>
              </w:rPr>
            </w:pPr>
          </w:p>
        </w:tc>
        <w:tc>
          <w:tcPr>
            <w:tcW w:w="24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20" w:type="dxa"/>
            <w:vAlign w:val="bottom"/>
            <w:gridSpan w:val="2"/>
          </w:tcPr>
          <w:p>
            <w:pPr>
              <w:ind w:left="260"/>
              <w:spacing w:after="0"/>
              <w:rPr>
                <w:sz w:val="20"/>
                <w:szCs w:val="20"/>
                <w:color w:val="auto"/>
              </w:rPr>
            </w:pPr>
            <w:r>
              <w:rPr>
                <w:rFonts w:ascii="Arial" w:cs="Arial" w:eastAsia="Arial" w:hAnsi="Arial"/>
                <w:sz w:val="18"/>
                <w:szCs w:val="18"/>
                <w:b w:val="1"/>
                <w:bCs w:val="1"/>
                <w:color w:val="auto"/>
              </w:rPr>
              <w:t>Automotive</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Heartland Automotive Holdings,</w:t>
            </w:r>
          </w:p>
        </w:tc>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($30,887 par,</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1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w:t>
            </w:r>
          </w:p>
        </w:tc>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6/2017)</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9.75%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8/28/2012</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30,642</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30,269</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r>
      <w:tr>
        <w:trPr>
          <w:trHeight w:val="215"/>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First-lien revolving loan</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($1,472 par, due 6/2017)</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10.75%</w:t>
            </w:r>
          </w:p>
        </w:tc>
        <w:tc>
          <w:tcPr>
            <w:tcW w:w="960" w:type="dxa"/>
            <w:vAlign w:val="bottom"/>
          </w:tcPr>
          <w:p>
            <w:pPr>
              <w:jc w:val="right"/>
              <w:spacing w:after="0"/>
              <w:rPr>
                <w:sz w:val="20"/>
                <w:szCs w:val="20"/>
                <w:color w:val="auto"/>
              </w:rPr>
            </w:pPr>
            <w:r>
              <w:rPr>
                <w:rFonts w:ascii="Arial" w:cs="Arial" w:eastAsia="Arial" w:hAnsi="Arial"/>
                <w:sz w:val="18"/>
                <w:szCs w:val="18"/>
                <w:color w:val="auto"/>
              </w:rPr>
              <w:t>8/28/2012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1,361</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0"/>
                <w:szCs w:val="20"/>
                <w:color w:val="auto"/>
              </w:rPr>
            </w:pPr>
          </w:p>
        </w:tc>
      </w:tr>
      <w:tr>
        <w:trPr>
          <w:trHeight w:val="20"/>
        </w:trPr>
        <w:tc>
          <w:tcPr>
            <w:tcW w:w="30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32,075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31,630</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r>
      <w:tr>
        <w:trPr>
          <w:trHeight w:val="223"/>
        </w:trPr>
        <w:tc>
          <w:tcPr>
            <w:tcW w:w="3120" w:type="dxa"/>
            <w:vAlign w:val="bottom"/>
            <w:gridSpan w:val="2"/>
          </w:tcPr>
          <w:p>
            <w:pPr>
              <w:ind w:left="260"/>
              <w:spacing w:after="0"/>
              <w:rPr>
                <w:sz w:val="20"/>
                <w:szCs w:val="20"/>
                <w:color w:val="auto"/>
              </w:rPr>
            </w:pPr>
            <w:r>
              <w:rPr>
                <w:rFonts w:ascii="Arial" w:cs="Arial" w:eastAsia="Arial" w:hAnsi="Arial"/>
                <w:sz w:val="18"/>
                <w:szCs w:val="18"/>
                <w:b w:val="1"/>
                <w:bCs w:val="1"/>
                <w:color w:val="auto"/>
              </w:rPr>
              <w:t>Beverage, food and tobacco</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5"/>
                <w:szCs w:val="15"/>
                <w:color w:val="auto"/>
              </w:rPr>
              <w:t>(3)(5)</w:t>
            </w:r>
          </w:p>
        </w:tc>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($62,852 par,</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3/2020)</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8.75%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3/3/2014</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61,831</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62,066</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0"/>
                <w:szCs w:val="20"/>
                <w:color w:val="auto"/>
              </w:rPr>
            </w:pPr>
          </w:p>
        </w:tc>
      </w:tr>
      <w:tr>
        <w:trPr>
          <w:trHeight w:val="230"/>
        </w:trPr>
        <w:tc>
          <w:tcPr>
            <w:tcW w:w="3120" w:type="dxa"/>
            <w:vAlign w:val="bottom"/>
            <w:gridSpan w:val="2"/>
          </w:tcPr>
          <w:p>
            <w:pPr>
              <w:ind w:left="260"/>
              <w:spacing w:after="0"/>
              <w:rPr>
                <w:sz w:val="20"/>
                <w:szCs w:val="20"/>
                <w:color w:val="auto"/>
              </w:rPr>
            </w:pPr>
            <w:r>
              <w:rPr>
                <w:rFonts w:ascii="Arial" w:cs="Arial" w:eastAsia="Arial" w:hAnsi="Arial"/>
                <w:sz w:val="18"/>
                <w:szCs w:val="18"/>
                <w:b w:val="1"/>
                <w:bCs w:val="1"/>
                <w:color w:val="auto"/>
              </w:rPr>
              <w:t>Business services</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Actian Corporation </w:t>
            </w:r>
            <w:r>
              <w:rPr>
                <w:rFonts w:ascii="Arial" w:cs="Arial" w:eastAsia="Arial" w:hAnsi="Arial"/>
                <w:sz w:val="15"/>
                <w:szCs w:val="15"/>
                <w:color w:val="auto"/>
              </w:rPr>
              <w:t>(3)(5)</w:t>
            </w:r>
          </w:p>
        </w:tc>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($57,982 par,</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4/2018)</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7.50%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4/11/2013</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56,991</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60,591</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0"/>
                <w:szCs w:val="20"/>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Bullhorn, Inc. </w:t>
            </w:r>
            <w:r>
              <w:rPr>
                <w:rFonts w:ascii="Arial" w:cs="Arial" w:eastAsia="Arial" w:hAnsi="Arial"/>
                <w:sz w:val="15"/>
                <w:szCs w:val="15"/>
                <w:color w:val="auto"/>
              </w:rPr>
              <w:t>(3)(5)</w:t>
            </w:r>
          </w:p>
        </w:tc>
        <w:tc>
          <w:tcPr>
            <w:tcW w:w="2520" w:type="dxa"/>
            <w:vAlign w:val="bottom"/>
            <w:gridSpan w:val="2"/>
          </w:tcPr>
          <w:p>
            <w:pPr>
              <w:spacing w:after="0"/>
              <w:rPr>
                <w:sz w:val="20"/>
                <w:szCs w:val="20"/>
                <w:color w:val="auto"/>
              </w:rPr>
            </w:pPr>
            <w:r>
              <w:rPr>
                <w:rFonts w:ascii="Arial" w:cs="Arial" w:eastAsia="Arial" w:hAnsi="Arial"/>
                <w:sz w:val="18"/>
                <w:szCs w:val="18"/>
                <w:color w:val="auto"/>
              </w:rPr>
              <w:t>First-lien loan ($45,000 par,</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due 11/2020)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960" w:type="dxa"/>
            <w:vAlign w:val="bottom"/>
          </w:tcPr>
          <w:p>
            <w:pPr>
              <w:jc w:val="right"/>
              <w:spacing w:after="0"/>
              <w:rPr>
                <w:sz w:val="20"/>
                <w:szCs w:val="20"/>
                <w:color w:val="auto"/>
              </w:rPr>
            </w:pPr>
            <w:r>
              <w:rPr>
                <w:rFonts w:ascii="Arial" w:cs="Arial" w:eastAsia="Arial" w:hAnsi="Arial"/>
                <w:sz w:val="18"/>
                <w:szCs w:val="18"/>
                <w:color w:val="auto"/>
              </w:rPr>
              <w:t>11/12/2015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43,959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43,987</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0"/>
                <w:szCs w:val="20"/>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Clarabridge, Inc. </w:t>
            </w:r>
            <w:r>
              <w:rPr>
                <w:rFonts w:ascii="Arial" w:cs="Arial" w:eastAsia="Arial" w:hAnsi="Arial"/>
                <w:sz w:val="15"/>
                <w:szCs w:val="15"/>
                <w:color w:val="auto"/>
              </w:rPr>
              <w:t>(3)</w:t>
            </w:r>
          </w:p>
        </w:tc>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($22,331 par,</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4/2019)</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8.63%</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5/20/2015</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21,936</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21,400</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Idera, Inc. </w:t>
            </w:r>
            <w:r>
              <w:rPr>
                <w:rFonts w:ascii="Arial" w:cs="Arial" w:eastAsia="Arial" w:hAnsi="Arial"/>
                <w:sz w:val="15"/>
                <w:szCs w:val="15"/>
                <w:color w:val="auto"/>
              </w:rPr>
              <w:t>(3)</w:t>
            </w:r>
          </w:p>
        </w:tc>
        <w:tc>
          <w:tcPr>
            <w:tcW w:w="2520" w:type="dxa"/>
            <w:vAlign w:val="bottom"/>
            <w:gridSpan w:val="2"/>
          </w:tcPr>
          <w:p>
            <w:pPr>
              <w:spacing w:after="0"/>
              <w:rPr>
                <w:sz w:val="20"/>
                <w:szCs w:val="20"/>
                <w:color w:val="auto"/>
              </w:rPr>
            </w:pPr>
            <w:r>
              <w:rPr>
                <w:rFonts w:ascii="Arial" w:cs="Arial" w:eastAsia="Arial" w:hAnsi="Arial"/>
                <w:sz w:val="18"/>
                <w:szCs w:val="18"/>
                <w:color w:val="auto"/>
              </w:rPr>
              <w:t>First-lien loan ($62,344 par,</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due 4/2021)</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6.50%</w:t>
            </w:r>
          </w:p>
        </w:tc>
        <w:tc>
          <w:tcPr>
            <w:tcW w:w="960" w:type="dxa"/>
            <w:vAlign w:val="bottom"/>
          </w:tcPr>
          <w:p>
            <w:pPr>
              <w:jc w:val="right"/>
              <w:spacing w:after="0"/>
              <w:rPr>
                <w:sz w:val="20"/>
                <w:szCs w:val="20"/>
                <w:color w:val="auto"/>
              </w:rPr>
            </w:pPr>
            <w:r>
              <w:rPr>
                <w:rFonts w:ascii="Arial" w:cs="Arial" w:eastAsia="Arial" w:hAnsi="Arial"/>
                <w:sz w:val="18"/>
                <w:szCs w:val="18"/>
                <w:color w:val="auto"/>
              </w:rPr>
              <w:t>10/9/2015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56,533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55,798</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0"/>
                <w:szCs w:val="20"/>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Leaf US Holdings, Inc. </w:t>
            </w:r>
            <w:r>
              <w:rPr>
                <w:rFonts w:ascii="Arial" w:cs="Arial" w:eastAsia="Arial" w:hAnsi="Arial"/>
                <w:sz w:val="15"/>
                <w:szCs w:val="15"/>
                <w:color w:val="auto"/>
              </w:rPr>
              <w:t>(3)(4)</w:t>
            </w:r>
          </w:p>
        </w:tc>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7"/>
              </w:rPr>
              <w:t>First-lien loan ($28,196 par, due</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6/2019)</w:t>
            </w: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7.50%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6/30/2014</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27,752</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27,668</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Network Merchants, Inc. </w:t>
            </w:r>
            <w:r>
              <w:rPr>
                <w:rFonts w:ascii="Arial" w:cs="Arial" w:eastAsia="Arial" w:hAnsi="Arial"/>
                <w:sz w:val="15"/>
                <w:szCs w:val="15"/>
                <w:color w:val="auto"/>
              </w:rPr>
              <w:t>(3)</w:t>
            </w:r>
          </w:p>
        </w:tc>
        <w:tc>
          <w:tcPr>
            <w:tcW w:w="2520" w:type="dxa"/>
            <w:vAlign w:val="bottom"/>
            <w:gridSpan w:val="2"/>
          </w:tcPr>
          <w:p>
            <w:pPr>
              <w:spacing w:after="0"/>
              <w:rPr>
                <w:sz w:val="20"/>
                <w:szCs w:val="20"/>
                <w:color w:val="auto"/>
              </w:rPr>
            </w:pPr>
            <w:r>
              <w:rPr>
                <w:rFonts w:ascii="Arial" w:cs="Arial" w:eastAsia="Arial" w:hAnsi="Arial"/>
                <w:sz w:val="18"/>
                <w:szCs w:val="18"/>
                <w:color w:val="auto"/>
              </w:rPr>
              <w:t>First-lien loan ($25,782 par,</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due 9/2018)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7.75%</w:t>
            </w:r>
          </w:p>
        </w:tc>
        <w:tc>
          <w:tcPr>
            <w:tcW w:w="960" w:type="dxa"/>
            <w:vAlign w:val="bottom"/>
          </w:tcPr>
          <w:p>
            <w:pPr>
              <w:jc w:val="right"/>
              <w:spacing w:after="0"/>
              <w:rPr>
                <w:sz w:val="20"/>
                <w:szCs w:val="20"/>
                <w:color w:val="auto"/>
              </w:rPr>
            </w:pPr>
            <w:r>
              <w:rPr>
                <w:rFonts w:ascii="Arial" w:cs="Arial" w:eastAsia="Arial" w:hAnsi="Arial"/>
                <w:sz w:val="18"/>
                <w:szCs w:val="18"/>
                <w:color w:val="auto"/>
              </w:rPr>
              <w:t>9/12/2013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25,506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25,849</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ScentAir Technologies, Inc. </w:t>
            </w:r>
            <w:r>
              <w:rPr>
                <w:rFonts w:ascii="Arial" w:cs="Arial" w:eastAsia="Arial" w:hAnsi="Arial"/>
                <w:sz w:val="15"/>
                <w:szCs w:val="15"/>
                <w:color w:val="auto"/>
              </w:rPr>
              <w:t>(3)</w:t>
            </w:r>
          </w:p>
        </w:tc>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($19,714 par,</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12/2019)</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7.50%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12/30/2014</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19,381</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19,546</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252,058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254,839</w:t>
            </w:r>
          </w:p>
        </w:tc>
        <w:tc>
          <w:tcPr>
            <w:tcW w:w="2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9"/>
                <w:szCs w:val="19"/>
                <w:color w:val="auto"/>
              </w:rPr>
            </w:pPr>
          </w:p>
        </w:tc>
      </w:tr>
      <w:tr>
        <w:trPr>
          <w:trHeight w:val="223"/>
        </w:trPr>
        <w:tc>
          <w:tcPr>
            <w:tcW w:w="312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Chemicals</w:t>
            </w:r>
          </w:p>
        </w:tc>
        <w:tc>
          <w:tcPr>
            <w:tcW w:w="24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(3)(10)</w:t>
            </w:r>
          </w:p>
        </w:tc>
        <w:tc>
          <w:tcPr>
            <w:tcW w:w="2520" w:type="dxa"/>
            <w:vAlign w:val="bottom"/>
            <w:gridSpan w:val="2"/>
          </w:tcPr>
          <w:p>
            <w:pPr>
              <w:spacing w:after="0"/>
              <w:rPr>
                <w:sz w:val="20"/>
                <w:szCs w:val="20"/>
                <w:color w:val="auto"/>
              </w:rPr>
            </w:pPr>
            <w:r>
              <w:rPr>
                <w:rFonts w:ascii="Arial" w:cs="Arial" w:eastAsia="Arial" w:hAnsi="Arial"/>
                <w:sz w:val="18"/>
                <w:szCs w:val="18"/>
                <w:color w:val="auto"/>
              </w:rPr>
              <w:t>First-lien loan ($11,980 par,</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due 10/2019)</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960" w:type="dxa"/>
            <w:vAlign w:val="bottom"/>
          </w:tcPr>
          <w:p>
            <w:pPr>
              <w:jc w:val="right"/>
              <w:spacing w:after="0"/>
              <w:rPr>
                <w:sz w:val="20"/>
                <w:szCs w:val="20"/>
                <w:color w:val="auto"/>
              </w:rPr>
            </w:pPr>
            <w:r>
              <w:rPr>
                <w:rFonts w:ascii="Arial" w:cs="Arial" w:eastAsia="Arial" w:hAnsi="Arial"/>
                <w:sz w:val="18"/>
                <w:szCs w:val="18"/>
                <w:color w:val="auto"/>
              </w:rPr>
              <w:t>10/31/2014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10,879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7,008</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0"/>
                <w:szCs w:val="20"/>
                <w:color w:val="auto"/>
              </w:rPr>
            </w:pPr>
          </w:p>
        </w:tc>
      </w:tr>
      <w:tr>
        <w:trPr>
          <w:trHeight w:val="230"/>
        </w:trPr>
        <w:tc>
          <w:tcPr>
            <w:tcW w:w="3120" w:type="dxa"/>
            <w:vAlign w:val="bottom"/>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Education</w:t>
            </w:r>
          </w:p>
        </w:tc>
        <w:tc>
          <w:tcPr>
            <w:tcW w:w="2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Campus Management, Inc. </w:t>
            </w:r>
            <w:r>
              <w:rPr>
                <w:rFonts w:ascii="Arial" w:cs="Arial" w:eastAsia="Arial" w:hAnsi="Arial"/>
                <w:sz w:val="15"/>
                <w:szCs w:val="15"/>
                <w:color w:val="auto"/>
              </w:rPr>
              <w:t>(3)(5)</w:t>
            </w:r>
          </w:p>
        </w:tc>
        <w:tc>
          <w:tcPr>
            <w:tcW w:w="2520" w:type="dxa"/>
            <w:vAlign w:val="bottom"/>
            <w:gridSpan w:val="2"/>
          </w:tcPr>
          <w:p>
            <w:pPr>
              <w:spacing w:after="0"/>
              <w:rPr>
                <w:sz w:val="20"/>
                <w:szCs w:val="20"/>
                <w:color w:val="auto"/>
              </w:rPr>
            </w:pPr>
            <w:r>
              <w:rPr>
                <w:rFonts w:ascii="Arial" w:cs="Arial" w:eastAsia="Arial" w:hAnsi="Arial"/>
                <w:sz w:val="18"/>
                <w:szCs w:val="18"/>
                <w:color w:val="auto"/>
              </w:rPr>
              <w:t>First-lien loan ($26,277 par,</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due 9/2018)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8.75%</w:t>
            </w:r>
          </w:p>
        </w:tc>
        <w:tc>
          <w:tcPr>
            <w:tcW w:w="960" w:type="dxa"/>
            <w:vAlign w:val="bottom"/>
          </w:tcPr>
          <w:p>
            <w:pPr>
              <w:jc w:val="right"/>
              <w:spacing w:after="0"/>
              <w:rPr>
                <w:sz w:val="20"/>
                <w:szCs w:val="20"/>
                <w:color w:val="auto"/>
              </w:rPr>
            </w:pPr>
            <w:r>
              <w:rPr>
                <w:rFonts w:ascii="Arial" w:cs="Arial" w:eastAsia="Arial" w:hAnsi="Arial"/>
                <w:sz w:val="18"/>
                <w:szCs w:val="18"/>
                <w:color w:val="auto"/>
              </w:rPr>
              <w:t>9/30/2013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25,910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26,409</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r>
      <w:tr>
        <w:trPr>
          <w:trHeight w:val="230"/>
        </w:trPr>
        <w:tc>
          <w:tcPr>
            <w:tcW w:w="3120" w:type="dxa"/>
            <w:vAlign w:val="bottom"/>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Electronics</w:t>
            </w:r>
          </w:p>
        </w:tc>
        <w:tc>
          <w:tcPr>
            <w:tcW w:w="2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MyAlarm Center, LLC </w:t>
            </w:r>
            <w:r>
              <w:rPr>
                <w:rFonts w:ascii="Arial" w:cs="Arial" w:eastAsia="Arial" w:hAnsi="Arial"/>
                <w:sz w:val="15"/>
                <w:szCs w:val="15"/>
                <w:color w:val="auto"/>
              </w:rPr>
              <w:t>(3)</w:t>
            </w:r>
          </w:p>
        </w:tc>
        <w:tc>
          <w:tcPr>
            <w:tcW w:w="2520" w:type="dxa"/>
            <w:vAlign w:val="bottom"/>
            <w:gridSpan w:val="2"/>
          </w:tcPr>
          <w:p>
            <w:pPr>
              <w:spacing w:after="0"/>
              <w:rPr>
                <w:sz w:val="20"/>
                <w:szCs w:val="20"/>
                <w:color w:val="auto"/>
              </w:rPr>
            </w:pPr>
            <w:r>
              <w:rPr>
                <w:rFonts w:ascii="Arial" w:cs="Arial" w:eastAsia="Arial" w:hAnsi="Arial"/>
                <w:sz w:val="18"/>
                <w:szCs w:val="18"/>
                <w:color w:val="auto"/>
              </w:rPr>
              <w:t>First-lien loan ($62,803 par,</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due 1/2019)</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9.00%</w:t>
            </w:r>
          </w:p>
        </w:tc>
        <w:tc>
          <w:tcPr>
            <w:tcW w:w="960" w:type="dxa"/>
            <w:vAlign w:val="bottom"/>
          </w:tcPr>
          <w:p>
            <w:pPr>
              <w:jc w:val="right"/>
              <w:spacing w:after="0"/>
              <w:rPr>
                <w:sz w:val="20"/>
                <w:szCs w:val="20"/>
                <w:color w:val="auto"/>
              </w:rPr>
            </w:pPr>
            <w:r>
              <w:rPr>
                <w:rFonts w:ascii="Arial" w:cs="Arial" w:eastAsia="Arial" w:hAnsi="Arial"/>
                <w:sz w:val="18"/>
                <w:szCs w:val="18"/>
                <w:color w:val="auto"/>
              </w:rPr>
              <w:t>1/9/2014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62,244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62,158</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0"/>
                <w:szCs w:val="20"/>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APX Group Inc.</w:t>
            </w:r>
          </w:p>
        </w:tc>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notes 8.75% ($26,961</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par, due 12/2020)</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8.75%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12/11/2014</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23,563</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23,254</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85,807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85,412</w:t>
            </w:r>
          </w:p>
        </w:tc>
        <w:tc>
          <w:tcPr>
            <w:tcW w:w="2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9"/>
                <w:szCs w:val="19"/>
                <w:color w:val="auto"/>
              </w:rPr>
            </w:pPr>
          </w:p>
        </w:tc>
      </w:tr>
      <w:tr>
        <w:trPr>
          <w:trHeight w:val="223"/>
        </w:trPr>
        <w:tc>
          <w:tcPr>
            <w:tcW w:w="312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Financial services</w:t>
            </w:r>
          </w:p>
        </w:tc>
        <w:tc>
          <w:tcPr>
            <w:tcW w:w="24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AppStar Financial, LLC </w:t>
            </w:r>
            <w:r>
              <w:rPr>
                <w:rFonts w:ascii="Arial" w:cs="Arial" w:eastAsia="Arial" w:hAnsi="Arial"/>
                <w:sz w:val="15"/>
                <w:szCs w:val="15"/>
                <w:color w:val="auto"/>
              </w:rPr>
              <w:t>(3)</w:t>
            </w:r>
          </w:p>
        </w:tc>
        <w:tc>
          <w:tcPr>
            <w:tcW w:w="2520" w:type="dxa"/>
            <w:vAlign w:val="bottom"/>
            <w:gridSpan w:val="2"/>
          </w:tcPr>
          <w:p>
            <w:pPr>
              <w:spacing w:after="0"/>
              <w:rPr>
                <w:sz w:val="20"/>
                <w:szCs w:val="20"/>
                <w:color w:val="auto"/>
              </w:rPr>
            </w:pPr>
            <w:r>
              <w:rPr>
                <w:rFonts w:ascii="Arial" w:cs="Arial" w:eastAsia="Arial" w:hAnsi="Arial"/>
                <w:sz w:val="18"/>
                <w:szCs w:val="18"/>
                <w:color w:val="auto"/>
                <w:w w:val="97"/>
              </w:rPr>
              <w:t>First-lien loan ($23,100 par, due</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8/2020)</w:t>
            </w:r>
          </w:p>
        </w:tc>
        <w:tc>
          <w:tcPr>
            <w:tcW w:w="1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9.00%</w:t>
            </w:r>
          </w:p>
        </w:tc>
        <w:tc>
          <w:tcPr>
            <w:tcW w:w="960" w:type="dxa"/>
            <w:vAlign w:val="bottom"/>
          </w:tcPr>
          <w:p>
            <w:pPr>
              <w:jc w:val="right"/>
              <w:spacing w:after="0"/>
              <w:rPr>
                <w:sz w:val="20"/>
                <w:szCs w:val="20"/>
                <w:color w:val="auto"/>
              </w:rPr>
            </w:pPr>
            <w:r>
              <w:rPr>
                <w:rFonts w:ascii="Arial" w:cs="Arial" w:eastAsia="Arial" w:hAnsi="Arial"/>
                <w:sz w:val="18"/>
                <w:szCs w:val="18"/>
                <w:color w:val="auto"/>
              </w:rPr>
              <w:t>8/18/2015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22,592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22,473</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(3)</w:t>
            </w:r>
          </w:p>
        </w:tc>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Second-lien loan ($32,770 par,</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8/2020)</w:t>
            </w: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10.50% PIK</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8/7/2015</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32,281</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31,884</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PayLease, LLC </w:t>
            </w:r>
            <w:r>
              <w:rPr>
                <w:rFonts w:ascii="Arial" w:cs="Arial" w:eastAsia="Arial" w:hAnsi="Arial"/>
                <w:sz w:val="15"/>
                <w:szCs w:val="15"/>
                <w:color w:val="auto"/>
              </w:rPr>
              <w:t>(3)</w:t>
            </w:r>
          </w:p>
        </w:tc>
        <w:tc>
          <w:tcPr>
            <w:tcW w:w="2520" w:type="dxa"/>
            <w:vAlign w:val="bottom"/>
            <w:gridSpan w:val="2"/>
          </w:tcPr>
          <w:p>
            <w:pPr>
              <w:spacing w:after="0"/>
              <w:rPr>
                <w:sz w:val="20"/>
                <w:szCs w:val="20"/>
                <w:color w:val="auto"/>
              </w:rPr>
            </w:pPr>
            <w:r>
              <w:rPr>
                <w:rFonts w:ascii="Arial" w:cs="Arial" w:eastAsia="Arial" w:hAnsi="Arial"/>
                <w:sz w:val="18"/>
                <w:szCs w:val="18"/>
                <w:color w:val="auto"/>
              </w:rPr>
              <w:t>First-lien loan ($33,851 par,</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10.00% (incl.</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due 3/2020)</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2.50% PIK)</w:t>
            </w:r>
          </w:p>
        </w:tc>
        <w:tc>
          <w:tcPr>
            <w:tcW w:w="960" w:type="dxa"/>
            <w:vAlign w:val="bottom"/>
          </w:tcPr>
          <w:p>
            <w:pPr>
              <w:jc w:val="right"/>
              <w:spacing w:after="0"/>
              <w:rPr>
                <w:sz w:val="20"/>
                <w:szCs w:val="20"/>
                <w:color w:val="auto"/>
              </w:rPr>
            </w:pPr>
            <w:r>
              <w:rPr>
                <w:rFonts w:ascii="Arial" w:cs="Arial" w:eastAsia="Arial" w:hAnsi="Arial"/>
                <w:sz w:val="18"/>
                <w:szCs w:val="18"/>
                <w:color w:val="auto"/>
              </w:rPr>
              <w:t>3/6/2015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33,225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33,172</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0"/>
                <w:szCs w:val="20"/>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Smarsh, Inc. </w:t>
            </w:r>
            <w:r>
              <w:rPr>
                <w:rFonts w:ascii="Arial" w:cs="Arial" w:eastAsia="Arial" w:hAnsi="Arial"/>
                <w:sz w:val="15"/>
                <w:szCs w:val="15"/>
                <w:color w:val="auto"/>
              </w:rPr>
              <w:t>(3)(5)</w:t>
            </w:r>
          </w:p>
        </w:tc>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($30,000 par,</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1/2021)</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8.50%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1/7/2016</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29,252</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29,400</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991"/>
              <w:spacing w:after="0"/>
              <w:rPr>
                <w:sz w:val="20"/>
                <w:szCs w:val="20"/>
                <w:color w:val="auto"/>
              </w:rPr>
            </w:pPr>
            <w:r>
              <w:rPr>
                <w:rFonts w:ascii="Arial" w:cs="Arial" w:eastAsia="Arial" w:hAnsi="Arial"/>
                <w:sz w:val="18"/>
                <w:szCs w:val="18"/>
                <w:color w:val="auto"/>
                <w:w w:val="99"/>
              </w:rPr>
              <w:t>6</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 xml:space="preserve">Tibco Software </w:t>
            </w:r>
            <w:r>
              <w:rPr>
                <w:rFonts w:ascii="Arial" w:cs="Arial" w:eastAsia="Arial" w:hAnsi="Arial"/>
                <w:sz w:val="15"/>
                <w:szCs w:val="15"/>
                <w:color w:val="auto"/>
              </w:rPr>
              <w:t>(3)</w:t>
            </w:r>
          </w:p>
        </w:tc>
        <w:tc>
          <w:tcPr>
            <w:tcW w:w="2800" w:type="dxa"/>
            <w:vAlign w:val="bottom"/>
          </w:tcPr>
          <w:p>
            <w:pPr>
              <w:ind w:left="360"/>
              <w:spacing w:after="0"/>
              <w:rPr>
                <w:sz w:val="20"/>
                <w:szCs w:val="20"/>
                <w:color w:val="auto"/>
              </w:rPr>
            </w:pPr>
            <w:r>
              <w:rPr>
                <w:rFonts w:ascii="Arial" w:cs="Arial" w:eastAsia="Arial" w:hAnsi="Arial"/>
                <w:sz w:val="18"/>
                <w:szCs w:val="18"/>
                <w:color w:val="auto"/>
              </w:rPr>
              <w:t>First-lien loan ($249 par,</w:t>
            </w: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p>
        </w:tc>
        <w:tc>
          <w:tcPr>
            <w:tcW w:w="2800" w:type="dxa"/>
            <w:vAlign w:val="bottom"/>
          </w:tcPr>
          <w:p>
            <w:pPr>
              <w:ind w:left="360"/>
              <w:spacing w:after="0"/>
              <w:rPr>
                <w:sz w:val="20"/>
                <w:szCs w:val="20"/>
                <w:color w:val="auto"/>
              </w:rPr>
            </w:pPr>
            <w:r>
              <w:rPr>
                <w:rFonts w:ascii="Arial" w:cs="Arial" w:eastAsia="Arial" w:hAnsi="Arial"/>
                <w:sz w:val="18"/>
                <w:szCs w:val="18"/>
                <w:color w:val="auto"/>
              </w:rPr>
              <w:t>due 12/2020)</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6.50%</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1/26/2016</w:t>
            </w:r>
          </w:p>
        </w:tc>
        <w:tc>
          <w:tcPr>
            <w:tcW w:w="900" w:type="dxa"/>
            <w:vAlign w:val="bottom"/>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0"/>
        </w:trPr>
        <w:tc>
          <w:tcPr>
            <w:tcW w:w="2680" w:type="dxa"/>
            <w:vAlign w:val="bottom"/>
            <w:shd w:val="clear" w:color="auto" w:fill="CFF0FC"/>
          </w:tcPr>
          <w:p>
            <w:pPr>
              <w:spacing w:after="0" w:line="20" w:lineRule="exact"/>
              <w:rPr>
                <w:sz w:val="1"/>
                <w:szCs w:val="1"/>
                <w:color w:val="auto"/>
              </w:rPr>
            </w:pPr>
          </w:p>
        </w:tc>
        <w:tc>
          <w:tcPr>
            <w:tcW w:w="280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2680" w:type="dxa"/>
            <w:vAlign w:val="bottom"/>
            <w:shd w:val="clear" w:color="auto" w:fill="CFF0FC"/>
          </w:tcPr>
          <w:p>
            <w:pPr>
              <w:spacing w:after="0"/>
              <w:rPr>
                <w:sz w:val="19"/>
                <w:szCs w:val="19"/>
                <w:color w:val="auto"/>
              </w:rPr>
            </w:pPr>
          </w:p>
        </w:tc>
        <w:tc>
          <w:tcPr>
            <w:tcW w:w="28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117,566</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117,153</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13.1%</w:t>
            </w:r>
          </w:p>
        </w:tc>
      </w:tr>
      <w:tr>
        <w:trPr>
          <w:trHeight w:val="223"/>
        </w:trPr>
        <w:tc>
          <w:tcPr>
            <w:tcW w:w="2680" w:type="dxa"/>
            <w:vAlign w:val="bottom"/>
          </w:tcPr>
          <w:p>
            <w:pPr>
              <w:ind w:left="260"/>
              <w:spacing w:after="0"/>
              <w:rPr>
                <w:sz w:val="20"/>
                <w:szCs w:val="20"/>
                <w:color w:val="auto"/>
              </w:rPr>
            </w:pPr>
            <w:r>
              <w:rPr>
                <w:rFonts w:ascii="Arial" w:cs="Arial" w:eastAsia="Arial" w:hAnsi="Arial"/>
                <w:sz w:val="18"/>
                <w:szCs w:val="18"/>
                <w:b w:val="1"/>
                <w:bCs w:val="1"/>
                <w:color w:val="auto"/>
              </w:rPr>
              <w:t>Healthcare</w:t>
            </w:r>
          </w:p>
        </w:tc>
        <w:tc>
          <w:tcPr>
            <w:tcW w:w="28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(3)(4)</w:t>
            </w:r>
          </w:p>
        </w:tc>
        <w:tc>
          <w:tcPr>
            <w:tcW w:w="2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First-lien loan (EUR 35,686</w:t>
            </w:r>
          </w:p>
        </w:tc>
        <w:tc>
          <w:tcPr>
            <w:tcW w:w="14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42,394</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680" w:type="dxa"/>
            <w:vAlign w:val="bottom"/>
            <w:shd w:val="clear" w:color="auto" w:fill="CFF0FC"/>
          </w:tcPr>
          <w:p>
            <w:pPr>
              <w:spacing w:after="0"/>
              <w:rPr>
                <w:sz w:val="20"/>
                <w:szCs w:val="20"/>
                <w:color w:val="auto"/>
              </w:rPr>
            </w:pPr>
          </w:p>
        </w:tc>
        <w:tc>
          <w:tcPr>
            <w:tcW w:w="2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par, due 9/2019)</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11.50%</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9/30/2014</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42,204</w:t>
            </w:r>
          </w:p>
        </w:tc>
        <w:tc>
          <w:tcPr>
            <w:tcW w:w="2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6"/>
              </w:rPr>
              <w:t>(EUR 37,202)</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r>
      <w:tr>
        <w:trPr>
          <w:trHeight w:val="215"/>
        </w:trPr>
        <w:tc>
          <w:tcPr>
            <w:tcW w:w="2680" w:type="dxa"/>
            <w:vAlign w:val="bottom"/>
          </w:tcPr>
          <w:p>
            <w:pPr>
              <w:spacing w:after="0"/>
              <w:rPr>
                <w:sz w:val="18"/>
                <w:szCs w:val="18"/>
                <w:color w:val="auto"/>
              </w:rPr>
            </w:pPr>
          </w:p>
        </w:tc>
        <w:tc>
          <w:tcPr>
            <w:tcW w:w="2800" w:type="dxa"/>
            <w:vAlign w:val="bottom"/>
          </w:tcPr>
          <w:p>
            <w:pPr>
              <w:ind w:left="360"/>
              <w:spacing w:after="0"/>
              <w:rPr>
                <w:sz w:val="20"/>
                <w:szCs w:val="20"/>
                <w:color w:val="auto"/>
              </w:rPr>
            </w:pPr>
            <w:r>
              <w:rPr>
                <w:rFonts w:ascii="Arial" w:cs="Arial" w:eastAsia="Arial" w:hAnsi="Arial"/>
                <w:sz w:val="18"/>
                <w:szCs w:val="18"/>
                <w:color w:val="auto"/>
              </w:rPr>
              <w:t>First-lien revolving loan</w:t>
            </w: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463</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p>
        </w:tc>
        <w:tc>
          <w:tcPr>
            <w:tcW w:w="2800" w:type="dxa"/>
            <w:vAlign w:val="bottom"/>
          </w:tcPr>
          <w:p>
            <w:pPr>
              <w:ind w:left="360"/>
              <w:spacing w:after="0"/>
              <w:rPr>
                <w:sz w:val="20"/>
                <w:szCs w:val="20"/>
                <w:color w:val="auto"/>
              </w:rPr>
            </w:pPr>
            <w:r>
              <w:rPr>
                <w:rFonts w:ascii="Arial" w:cs="Arial" w:eastAsia="Arial" w:hAnsi="Arial"/>
                <w:sz w:val="18"/>
                <w:szCs w:val="18"/>
                <w:color w:val="auto"/>
              </w:rPr>
              <w:t>(EUR 300 par, due 9/2019)</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11.50%</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9/30/2014</w:t>
            </w:r>
          </w:p>
        </w:tc>
        <w:tc>
          <w:tcPr>
            <w:tcW w:w="900" w:type="dxa"/>
            <w:vAlign w:val="bottom"/>
          </w:tcPr>
          <w:p>
            <w:pPr>
              <w:jc w:val="right"/>
              <w:spacing w:after="0"/>
              <w:rPr>
                <w:sz w:val="20"/>
                <w:szCs w:val="20"/>
                <w:color w:val="auto"/>
              </w:rPr>
            </w:pPr>
            <w:r>
              <w:rPr>
                <w:rFonts w:ascii="Arial" w:cs="Arial" w:eastAsia="Arial" w:hAnsi="Arial"/>
                <w:sz w:val="18"/>
                <w:szCs w:val="18"/>
                <w:color w:val="auto"/>
              </w:rPr>
              <w:t>268</w:t>
            </w:r>
          </w:p>
        </w:tc>
        <w:tc>
          <w:tcPr>
            <w:tcW w:w="2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(EUR 406)</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r>
      <w:tr>
        <w:trPr>
          <w:trHeight w:val="215"/>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MatrixCare, Inc. </w:t>
            </w:r>
            <w:r>
              <w:rPr>
                <w:rFonts w:ascii="Arial" w:cs="Arial" w:eastAsia="Arial" w:hAnsi="Arial"/>
                <w:sz w:val="15"/>
                <w:szCs w:val="15"/>
                <w:color w:val="auto"/>
              </w:rPr>
              <w:t>(3)(5)</w:t>
            </w:r>
          </w:p>
        </w:tc>
        <w:tc>
          <w:tcPr>
            <w:tcW w:w="2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First-lien loan ($45,000 par,</w:t>
            </w:r>
          </w:p>
        </w:tc>
        <w:tc>
          <w:tcPr>
            <w:tcW w:w="14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680" w:type="dxa"/>
            <w:vAlign w:val="bottom"/>
            <w:shd w:val="clear" w:color="auto" w:fill="CFF0FC"/>
          </w:tcPr>
          <w:p>
            <w:pPr>
              <w:spacing w:after="0"/>
              <w:rPr>
                <w:sz w:val="20"/>
                <w:szCs w:val="20"/>
                <w:color w:val="auto"/>
              </w:rPr>
            </w:pPr>
          </w:p>
        </w:tc>
        <w:tc>
          <w:tcPr>
            <w:tcW w:w="2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due 12/2021)</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6.25%</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12/17/2015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44,210</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44,212</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w:t>
            </w:r>
          </w:p>
        </w:tc>
      </w:tr>
      <w:tr>
        <w:trPr>
          <w:trHeight w:val="215"/>
        </w:trPr>
        <w:tc>
          <w:tcPr>
            <w:tcW w:w="2680" w:type="dxa"/>
            <w:vAlign w:val="bottom"/>
          </w:tcPr>
          <w:p>
            <w:pPr>
              <w:spacing w:after="0"/>
              <w:rPr>
                <w:sz w:val="20"/>
                <w:szCs w:val="20"/>
                <w:color w:val="auto"/>
              </w:rPr>
            </w:pPr>
            <w:r>
              <w:rPr>
                <w:rFonts w:ascii="Arial" w:cs="Arial" w:eastAsia="Arial" w:hAnsi="Arial"/>
                <w:sz w:val="18"/>
                <w:szCs w:val="18"/>
                <w:color w:val="auto"/>
              </w:rPr>
              <w:t xml:space="preserve">MedeAnalytics, Inc. </w:t>
            </w:r>
            <w:r>
              <w:rPr>
                <w:rFonts w:ascii="Arial" w:cs="Arial" w:eastAsia="Arial" w:hAnsi="Arial"/>
                <w:sz w:val="15"/>
                <w:szCs w:val="15"/>
                <w:color w:val="auto"/>
              </w:rPr>
              <w:t>(3)(5)</w:t>
            </w:r>
          </w:p>
        </w:tc>
        <w:tc>
          <w:tcPr>
            <w:tcW w:w="2800" w:type="dxa"/>
            <w:vAlign w:val="bottom"/>
          </w:tcPr>
          <w:p>
            <w:pPr>
              <w:ind w:left="360"/>
              <w:spacing w:after="0"/>
              <w:rPr>
                <w:sz w:val="20"/>
                <w:szCs w:val="20"/>
                <w:color w:val="auto"/>
              </w:rPr>
            </w:pPr>
            <w:r>
              <w:rPr>
                <w:rFonts w:ascii="Arial" w:cs="Arial" w:eastAsia="Arial" w:hAnsi="Arial"/>
                <w:sz w:val="18"/>
                <w:szCs w:val="18"/>
                <w:color w:val="auto"/>
              </w:rPr>
              <w:t>First-lien loan ($45,820 par,</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9.13% (incl.</w:t>
            </w: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p>
        </w:tc>
        <w:tc>
          <w:tcPr>
            <w:tcW w:w="2800" w:type="dxa"/>
            <w:vAlign w:val="bottom"/>
          </w:tcPr>
          <w:p>
            <w:pPr>
              <w:ind w:left="360"/>
              <w:spacing w:after="0"/>
              <w:rPr>
                <w:sz w:val="20"/>
                <w:szCs w:val="20"/>
                <w:color w:val="auto"/>
              </w:rPr>
            </w:pPr>
            <w:r>
              <w:rPr>
                <w:rFonts w:ascii="Arial" w:cs="Arial" w:eastAsia="Arial" w:hAnsi="Arial"/>
                <w:sz w:val="18"/>
                <w:szCs w:val="18"/>
                <w:color w:val="auto"/>
              </w:rPr>
              <w:t>due 9/2020)</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2.50% PIK)</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9/30/2015</w:t>
            </w:r>
          </w:p>
        </w:tc>
        <w:tc>
          <w:tcPr>
            <w:tcW w:w="900" w:type="dxa"/>
            <w:vAlign w:val="bottom"/>
          </w:tcPr>
          <w:p>
            <w:pPr>
              <w:jc w:val="right"/>
              <w:spacing w:after="0"/>
              <w:rPr>
                <w:sz w:val="20"/>
                <w:szCs w:val="20"/>
                <w:color w:val="auto"/>
              </w:rPr>
            </w:pPr>
            <w:r>
              <w:rPr>
                <w:rFonts w:ascii="Arial" w:cs="Arial" w:eastAsia="Arial" w:hAnsi="Arial"/>
                <w:sz w:val="18"/>
                <w:szCs w:val="18"/>
                <w:color w:val="auto"/>
              </w:rPr>
              <w:t>44,489</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44,330</w:t>
            </w:r>
          </w:p>
        </w:tc>
        <w:tc>
          <w:tcPr>
            <w:tcW w:w="2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15"/>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Mediware Information Systems,</w:t>
            </w:r>
          </w:p>
        </w:tc>
        <w:tc>
          <w:tcPr>
            <w:tcW w:w="2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First-lien loan ($67,117 par,</w:t>
            </w:r>
          </w:p>
        </w:tc>
        <w:tc>
          <w:tcPr>
            <w:tcW w:w="14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(3)(5)</w:t>
            </w:r>
          </w:p>
        </w:tc>
        <w:tc>
          <w:tcPr>
            <w:tcW w:w="2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due 5/2018)</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7.00%</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11/9/2012</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66,353</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67,788</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w:t>
            </w:r>
          </w:p>
        </w:tc>
      </w:tr>
      <w:tr>
        <w:trPr>
          <w:trHeight w:val="215"/>
        </w:trPr>
        <w:tc>
          <w:tcPr>
            <w:tcW w:w="2680" w:type="dxa"/>
            <w:vAlign w:val="bottom"/>
          </w:tcPr>
          <w:p>
            <w:pPr>
              <w:spacing w:after="0"/>
              <w:rPr>
                <w:sz w:val="20"/>
                <w:szCs w:val="20"/>
                <w:color w:val="auto"/>
              </w:rPr>
            </w:pPr>
            <w:r>
              <w:rPr>
                <w:rFonts w:ascii="Arial" w:cs="Arial" w:eastAsia="Arial" w:hAnsi="Arial"/>
                <w:sz w:val="18"/>
                <w:szCs w:val="18"/>
                <w:color w:val="auto"/>
              </w:rPr>
              <w:t xml:space="preserve">Quantros, Inc. </w:t>
            </w:r>
            <w:r>
              <w:rPr>
                <w:rFonts w:ascii="Arial" w:cs="Arial" w:eastAsia="Arial" w:hAnsi="Arial"/>
                <w:sz w:val="15"/>
                <w:szCs w:val="15"/>
                <w:color w:val="auto"/>
              </w:rPr>
              <w:t>(3)(5)</w:t>
            </w:r>
          </w:p>
        </w:tc>
        <w:tc>
          <w:tcPr>
            <w:tcW w:w="2800" w:type="dxa"/>
            <w:vAlign w:val="bottom"/>
          </w:tcPr>
          <w:p>
            <w:pPr>
              <w:ind w:left="360"/>
              <w:spacing w:after="0"/>
              <w:rPr>
                <w:sz w:val="20"/>
                <w:szCs w:val="20"/>
                <w:color w:val="auto"/>
              </w:rPr>
            </w:pPr>
            <w:r>
              <w:rPr>
                <w:rFonts w:ascii="Arial" w:cs="Arial" w:eastAsia="Arial" w:hAnsi="Arial"/>
                <w:sz w:val="18"/>
                <w:szCs w:val="18"/>
                <w:color w:val="auto"/>
              </w:rPr>
              <w:t>First-lien loan ($30,000 par,</w:t>
            </w: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p>
        </w:tc>
        <w:tc>
          <w:tcPr>
            <w:tcW w:w="2800" w:type="dxa"/>
            <w:vAlign w:val="bottom"/>
          </w:tcPr>
          <w:p>
            <w:pPr>
              <w:ind w:left="360"/>
              <w:spacing w:after="0"/>
              <w:rPr>
                <w:sz w:val="20"/>
                <w:szCs w:val="20"/>
                <w:color w:val="auto"/>
              </w:rPr>
            </w:pPr>
            <w:r>
              <w:rPr>
                <w:rFonts w:ascii="Arial" w:cs="Arial" w:eastAsia="Arial" w:hAnsi="Arial"/>
                <w:sz w:val="18"/>
                <w:szCs w:val="18"/>
                <w:color w:val="auto"/>
              </w:rPr>
              <w:t>due 2/2021)</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8.75%</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2/29/2016</w:t>
            </w:r>
          </w:p>
        </w:tc>
        <w:tc>
          <w:tcPr>
            <w:tcW w:w="900" w:type="dxa"/>
            <w:vAlign w:val="bottom"/>
          </w:tcPr>
          <w:p>
            <w:pPr>
              <w:jc w:val="right"/>
              <w:spacing w:after="0"/>
              <w:rPr>
                <w:sz w:val="20"/>
                <w:szCs w:val="20"/>
                <w:color w:val="auto"/>
              </w:rPr>
            </w:pPr>
            <w:r>
              <w:rPr>
                <w:rFonts w:ascii="Arial" w:cs="Arial" w:eastAsia="Arial" w:hAnsi="Arial"/>
                <w:sz w:val="18"/>
                <w:szCs w:val="18"/>
                <w:color w:val="auto"/>
              </w:rPr>
              <w:t>28,997</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29,100</w:t>
            </w:r>
          </w:p>
        </w:tc>
        <w:tc>
          <w:tcPr>
            <w:tcW w:w="2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215"/>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5"/>
                <w:szCs w:val="15"/>
                <w:color w:val="auto"/>
              </w:rPr>
              <w:t>(3)</w:t>
            </w:r>
          </w:p>
        </w:tc>
        <w:tc>
          <w:tcPr>
            <w:tcW w:w="2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First-lien loan ($31,406 par,</w:t>
            </w:r>
          </w:p>
        </w:tc>
        <w:tc>
          <w:tcPr>
            <w:tcW w:w="14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680" w:type="dxa"/>
            <w:vAlign w:val="bottom"/>
            <w:shd w:val="clear" w:color="auto" w:fill="CFF0FC"/>
          </w:tcPr>
          <w:p>
            <w:pPr>
              <w:spacing w:after="0"/>
              <w:rPr>
                <w:sz w:val="20"/>
                <w:szCs w:val="20"/>
                <w:color w:val="auto"/>
              </w:rPr>
            </w:pPr>
          </w:p>
        </w:tc>
        <w:tc>
          <w:tcPr>
            <w:tcW w:w="2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due 12/2017)</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8.75%</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12/28/2012</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31,086</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31,092</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r>
      <w:tr>
        <w:trPr>
          <w:trHeight w:val="215"/>
        </w:trPr>
        <w:tc>
          <w:tcPr>
            <w:tcW w:w="2680" w:type="dxa"/>
            <w:vAlign w:val="bottom"/>
          </w:tcPr>
          <w:p>
            <w:pPr>
              <w:spacing w:after="0"/>
              <w:rPr>
                <w:sz w:val="18"/>
                <w:szCs w:val="18"/>
                <w:color w:val="auto"/>
              </w:rPr>
            </w:pPr>
          </w:p>
        </w:tc>
        <w:tc>
          <w:tcPr>
            <w:tcW w:w="2800" w:type="dxa"/>
            <w:vAlign w:val="bottom"/>
          </w:tcPr>
          <w:p>
            <w:pPr>
              <w:ind w:left="360"/>
              <w:spacing w:after="0"/>
              <w:rPr>
                <w:sz w:val="20"/>
                <w:szCs w:val="20"/>
                <w:color w:val="auto"/>
              </w:rPr>
            </w:pPr>
            <w:r>
              <w:rPr>
                <w:rFonts w:ascii="Arial" w:cs="Arial" w:eastAsia="Arial" w:hAnsi="Arial"/>
                <w:sz w:val="18"/>
                <w:szCs w:val="18"/>
                <w:color w:val="auto"/>
              </w:rPr>
              <w:t>First-lien revolving loan</w:t>
            </w: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p>
        </w:tc>
        <w:tc>
          <w:tcPr>
            <w:tcW w:w="2800" w:type="dxa"/>
            <w:vAlign w:val="bottom"/>
          </w:tcPr>
          <w:p>
            <w:pPr>
              <w:ind w:left="360"/>
              <w:spacing w:after="0"/>
              <w:rPr>
                <w:sz w:val="20"/>
                <w:szCs w:val="20"/>
                <w:color w:val="auto"/>
              </w:rPr>
            </w:pPr>
            <w:r>
              <w:rPr>
                <w:rFonts w:ascii="Arial" w:cs="Arial" w:eastAsia="Arial" w:hAnsi="Arial"/>
                <w:sz w:val="18"/>
                <w:szCs w:val="18"/>
                <w:color w:val="auto"/>
              </w:rPr>
              <w:t>($2,000 par, due 12/2017)</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8.75%</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12/28/2012</w:t>
            </w:r>
          </w:p>
        </w:tc>
        <w:tc>
          <w:tcPr>
            <w:tcW w:w="900" w:type="dxa"/>
            <w:vAlign w:val="bottom"/>
          </w:tcPr>
          <w:p>
            <w:pPr>
              <w:jc w:val="right"/>
              <w:spacing w:after="0"/>
              <w:rPr>
                <w:sz w:val="20"/>
                <w:szCs w:val="20"/>
                <w:color w:val="auto"/>
              </w:rPr>
            </w:pPr>
            <w:r>
              <w:rPr>
                <w:rFonts w:ascii="Arial" w:cs="Arial" w:eastAsia="Arial" w:hAnsi="Arial"/>
                <w:sz w:val="18"/>
                <w:szCs w:val="18"/>
                <w:color w:val="auto"/>
              </w:rPr>
              <w:t>1,961</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1,980</w:t>
            </w:r>
          </w:p>
        </w:tc>
        <w:tc>
          <w:tcPr>
            <w:tcW w:w="2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0"/>
        </w:trPr>
        <w:tc>
          <w:tcPr>
            <w:tcW w:w="2680" w:type="dxa"/>
            <w:vAlign w:val="bottom"/>
            <w:shd w:val="clear" w:color="auto" w:fill="CFF0FC"/>
          </w:tcPr>
          <w:p>
            <w:pPr>
              <w:spacing w:after="0" w:line="20" w:lineRule="exact"/>
              <w:rPr>
                <w:sz w:val="1"/>
                <w:szCs w:val="1"/>
                <w:color w:val="auto"/>
              </w:rPr>
            </w:pPr>
          </w:p>
        </w:tc>
        <w:tc>
          <w:tcPr>
            <w:tcW w:w="280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2680" w:type="dxa"/>
            <w:vAlign w:val="bottom"/>
            <w:shd w:val="clear" w:color="auto" w:fill="CFF0FC"/>
          </w:tcPr>
          <w:p>
            <w:pPr>
              <w:spacing w:after="0"/>
              <w:rPr>
                <w:sz w:val="19"/>
                <w:szCs w:val="19"/>
                <w:color w:val="auto"/>
              </w:rPr>
            </w:pPr>
          </w:p>
        </w:tc>
        <w:tc>
          <w:tcPr>
            <w:tcW w:w="28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259,568</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261,359</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29.3%</w:t>
            </w:r>
          </w:p>
        </w:tc>
      </w:tr>
      <w:tr>
        <w:trPr>
          <w:trHeight w:val="223"/>
        </w:trPr>
        <w:tc>
          <w:tcPr>
            <w:tcW w:w="2680" w:type="dxa"/>
            <w:vAlign w:val="bottom"/>
          </w:tcPr>
          <w:p>
            <w:pPr>
              <w:ind w:left="260"/>
              <w:spacing w:after="0"/>
              <w:rPr>
                <w:sz w:val="20"/>
                <w:szCs w:val="20"/>
                <w:color w:val="auto"/>
              </w:rPr>
            </w:pPr>
            <w:r>
              <w:rPr>
                <w:rFonts w:ascii="Arial" w:cs="Arial" w:eastAsia="Arial" w:hAnsi="Arial"/>
                <w:sz w:val="18"/>
                <w:szCs w:val="18"/>
                <w:b w:val="1"/>
                <w:bCs w:val="1"/>
                <w:color w:val="auto"/>
              </w:rPr>
              <w:t>Hotel, gaming, and leisure</w:t>
            </w:r>
          </w:p>
        </w:tc>
        <w:tc>
          <w:tcPr>
            <w:tcW w:w="28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CrunchTime Information</w:t>
            </w:r>
          </w:p>
        </w:tc>
        <w:tc>
          <w:tcPr>
            <w:tcW w:w="2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First-lien loan ($25,613 par,</w:t>
            </w:r>
          </w:p>
        </w:tc>
        <w:tc>
          <w:tcPr>
            <w:tcW w:w="146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9.13% (incl.</w:t>
            </w:r>
          </w:p>
        </w:tc>
        <w:tc>
          <w:tcPr>
            <w:tcW w:w="10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Systems, Inc. </w:t>
            </w:r>
            <w:r>
              <w:rPr>
                <w:rFonts w:ascii="Arial" w:cs="Arial" w:eastAsia="Arial" w:hAnsi="Arial"/>
                <w:sz w:val="15"/>
                <w:szCs w:val="15"/>
                <w:color w:val="auto"/>
              </w:rPr>
              <w:t>(3)</w:t>
            </w:r>
          </w:p>
        </w:tc>
        <w:tc>
          <w:tcPr>
            <w:tcW w:w="2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due 4/2020)</w:t>
            </w:r>
          </w:p>
        </w:tc>
        <w:tc>
          <w:tcPr>
            <w:tcW w:w="146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2.50% PIK)</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4/16/2015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25,062</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24,554</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r>
      <w:tr>
        <w:trPr>
          <w:trHeight w:val="215"/>
        </w:trPr>
        <w:tc>
          <w:tcPr>
            <w:tcW w:w="2680" w:type="dxa"/>
            <w:vAlign w:val="bottom"/>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(3)(7)</w:t>
            </w:r>
          </w:p>
        </w:tc>
        <w:tc>
          <w:tcPr>
            <w:tcW w:w="2800" w:type="dxa"/>
            <w:vAlign w:val="bottom"/>
          </w:tcPr>
          <w:p>
            <w:pPr>
              <w:ind w:left="360"/>
              <w:spacing w:after="0"/>
              <w:rPr>
                <w:sz w:val="20"/>
                <w:szCs w:val="20"/>
                <w:color w:val="auto"/>
              </w:rPr>
            </w:pPr>
            <w:r>
              <w:rPr>
                <w:rFonts w:ascii="Arial" w:cs="Arial" w:eastAsia="Arial" w:hAnsi="Arial"/>
                <w:sz w:val="18"/>
                <w:szCs w:val="18"/>
                <w:color w:val="auto"/>
              </w:rPr>
              <w:t>First-lien loan ($20,517 par,</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10.13% (incl.</w:t>
            </w: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p>
        </w:tc>
        <w:tc>
          <w:tcPr>
            <w:tcW w:w="2800" w:type="dxa"/>
            <w:vAlign w:val="bottom"/>
          </w:tcPr>
          <w:p>
            <w:pPr>
              <w:ind w:left="360"/>
              <w:spacing w:after="0"/>
              <w:rPr>
                <w:sz w:val="20"/>
                <w:szCs w:val="20"/>
                <w:color w:val="auto"/>
              </w:rPr>
            </w:pPr>
            <w:r>
              <w:rPr>
                <w:rFonts w:ascii="Arial" w:cs="Arial" w:eastAsia="Arial" w:hAnsi="Arial"/>
                <w:sz w:val="18"/>
                <w:szCs w:val="18"/>
                <w:color w:val="auto"/>
              </w:rPr>
              <w:t>due 9/2019)</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5.00% PIK)</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9/29/2015</w:t>
            </w:r>
          </w:p>
        </w:tc>
        <w:tc>
          <w:tcPr>
            <w:tcW w:w="900" w:type="dxa"/>
            <w:vAlign w:val="bottom"/>
          </w:tcPr>
          <w:p>
            <w:pPr>
              <w:jc w:val="right"/>
              <w:spacing w:after="0"/>
              <w:rPr>
                <w:sz w:val="20"/>
                <w:szCs w:val="20"/>
                <w:color w:val="auto"/>
              </w:rPr>
            </w:pPr>
            <w:r>
              <w:rPr>
                <w:rFonts w:ascii="Arial" w:cs="Arial" w:eastAsia="Arial" w:hAnsi="Arial"/>
                <w:sz w:val="18"/>
                <w:szCs w:val="18"/>
                <w:color w:val="auto"/>
              </w:rPr>
              <w:t>20,517</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19,850</w:t>
            </w:r>
          </w:p>
        </w:tc>
        <w:tc>
          <w:tcPr>
            <w:tcW w:w="2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15"/>
        </w:trPr>
        <w:tc>
          <w:tcPr>
            <w:tcW w:w="2680" w:type="dxa"/>
            <w:vAlign w:val="bottom"/>
            <w:shd w:val="clear" w:color="auto" w:fill="CFF0FC"/>
          </w:tcPr>
          <w:p>
            <w:pPr>
              <w:spacing w:after="0"/>
              <w:rPr>
                <w:sz w:val="18"/>
                <w:szCs w:val="18"/>
                <w:color w:val="auto"/>
              </w:rPr>
            </w:pPr>
          </w:p>
        </w:tc>
        <w:tc>
          <w:tcPr>
            <w:tcW w:w="2800" w:type="dxa"/>
            <w:vAlign w:val="bottom"/>
            <w:shd w:val="clear" w:color="auto" w:fill="CFF0FC"/>
          </w:tcPr>
          <w:p>
            <w:pPr>
              <w:ind w:left="360"/>
              <w:spacing w:after="0"/>
              <w:rPr>
                <w:sz w:val="20"/>
                <w:szCs w:val="20"/>
                <w:color w:val="auto"/>
              </w:rPr>
            </w:pPr>
            <w:r>
              <w:rPr>
                <w:rFonts w:ascii="Arial" w:cs="Arial" w:eastAsia="Arial" w:hAnsi="Arial"/>
                <w:sz w:val="18"/>
                <w:szCs w:val="18"/>
                <w:color w:val="auto"/>
                <w:w w:val="99"/>
              </w:rPr>
              <w:t>First-lien revolver loan ($8,819</w:t>
            </w:r>
          </w:p>
        </w:tc>
        <w:tc>
          <w:tcPr>
            <w:tcW w:w="146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10.13% (incl.</w:t>
            </w:r>
          </w:p>
        </w:tc>
        <w:tc>
          <w:tcPr>
            <w:tcW w:w="10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680" w:type="dxa"/>
            <w:vAlign w:val="bottom"/>
            <w:shd w:val="clear" w:color="auto" w:fill="CFF0FC"/>
          </w:tcPr>
          <w:p>
            <w:pPr>
              <w:spacing w:after="0"/>
              <w:rPr>
                <w:sz w:val="20"/>
                <w:szCs w:val="20"/>
                <w:color w:val="auto"/>
              </w:rPr>
            </w:pPr>
          </w:p>
        </w:tc>
        <w:tc>
          <w:tcPr>
            <w:tcW w:w="2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par, due 9/2019)</w:t>
            </w:r>
          </w:p>
        </w:tc>
        <w:tc>
          <w:tcPr>
            <w:tcW w:w="146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5.00% PIK)</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9/29/2015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8,819</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8,532</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r>
      <w:tr>
        <w:trPr>
          <w:trHeight w:val="215"/>
        </w:trPr>
        <w:tc>
          <w:tcPr>
            <w:tcW w:w="2680" w:type="dxa"/>
            <w:vAlign w:val="bottom"/>
          </w:tcPr>
          <w:p>
            <w:pPr>
              <w:spacing w:after="0"/>
              <w:rPr>
                <w:sz w:val="20"/>
                <w:szCs w:val="20"/>
                <w:color w:val="auto"/>
              </w:rPr>
            </w:pPr>
            <w:r>
              <w:rPr>
                <w:rFonts w:ascii="Arial" w:cs="Arial" w:eastAsia="Arial" w:hAnsi="Arial"/>
                <w:sz w:val="18"/>
                <w:szCs w:val="18"/>
                <w:color w:val="auto"/>
              </w:rPr>
              <w:t xml:space="preserve">Soho House </w:t>
            </w:r>
            <w:r>
              <w:rPr>
                <w:rFonts w:ascii="Arial" w:cs="Arial" w:eastAsia="Arial" w:hAnsi="Arial"/>
                <w:sz w:val="15"/>
                <w:szCs w:val="15"/>
                <w:color w:val="auto"/>
              </w:rPr>
              <w:t>(4)</w:t>
            </w:r>
          </w:p>
        </w:tc>
        <w:tc>
          <w:tcPr>
            <w:tcW w:w="2800" w:type="dxa"/>
            <w:vAlign w:val="bottom"/>
          </w:tcPr>
          <w:p>
            <w:pPr>
              <w:ind w:left="360"/>
              <w:spacing w:after="0"/>
              <w:rPr>
                <w:sz w:val="20"/>
                <w:szCs w:val="20"/>
                <w:color w:val="auto"/>
              </w:rPr>
            </w:pPr>
            <w:r>
              <w:rPr>
                <w:rFonts w:ascii="Arial" w:cs="Arial" w:eastAsia="Arial" w:hAnsi="Arial"/>
                <w:sz w:val="18"/>
                <w:szCs w:val="18"/>
                <w:color w:val="auto"/>
                <w:w w:val="97"/>
              </w:rPr>
              <w:t>Second-lien bond (GBP 20,375</w:t>
            </w: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29,468</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p>
        </w:tc>
        <w:tc>
          <w:tcPr>
            <w:tcW w:w="2800" w:type="dxa"/>
            <w:vAlign w:val="bottom"/>
          </w:tcPr>
          <w:p>
            <w:pPr>
              <w:ind w:left="360"/>
              <w:spacing w:after="0"/>
              <w:rPr>
                <w:sz w:val="20"/>
                <w:szCs w:val="20"/>
                <w:color w:val="auto"/>
              </w:rPr>
            </w:pPr>
            <w:r>
              <w:rPr>
                <w:rFonts w:ascii="Arial" w:cs="Arial" w:eastAsia="Arial" w:hAnsi="Arial"/>
                <w:sz w:val="18"/>
                <w:szCs w:val="18"/>
                <w:color w:val="auto"/>
              </w:rPr>
              <w:t>par, due 10/2018)</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9.13%</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9/20/2013</w:t>
            </w:r>
          </w:p>
        </w:tc>
        <w:tc>
          <w:tcPr>
            <w:tcW w:w="900" w:type="dxa"/>
            <w:vAlign w:val="bottom"/>
          </w:tcPr>
          <w:p>
            <w:pPr>
              <w:jc w:val="right"/>
              <w:spacing w:after="0"/>
              <w:rPr>
                <w:sz w:val="20"/>
                <w:szCs w:val="20"/>
                <w:color w:val="auto"/>
              </w:rPr>
            </w:pPr>
            <w:r>
              <w:rPr>
                <w:rFonts w:ascii="Arial" w:cs="Arial" w:eastAsia="Arial" w:hAnsi="Arial"/>
                <w:sz w:val="18"/>
                <w:szCs w:val="18"/>
                <w:color w:val="auto"/>
              </w:rPr>
              <w:t>32,991</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6"/>
              </w:rPr>
              <w:t>(GBP 20,502)</w:t>
            </w:r>
          </w:p>
        </w:tc>
        <w:tc>
          <w:tcPr>
            <w:tcW w:w="2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20"/>
        </w:trPr>
        <w:tc>
          <w:tcPr>
            <w:tcW w:w="2680" w:type="dxa"/>
            <w:vAlign w:val="bottom"/>
            <w:shd w:val="clear" w:color="auto" w:fill="CFF0FC"/>
          </w:tcPr>
          <w:p>
            <w:pPr>
              <w:spacing w:after="0" w:line="20" w:lineRule="exact"/>
              <w:rPr>
                <w:sz w:val="1"/>
                <w:szCs w:val="1"/>
                <w:color w:val="auto"/>
              </w:rPr>
            </w:pPr>
          </w:p>
        </w:tc>
        <w:tc>
          <w:tcPr>
            <w:tcW w:w="280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2680" w:type="dxa"/>
            <w:vAlign w:val="bottom"/>
            <w:shd w:val="clear" w:color="auto" w:fill="CFF0FC"/>
          </w:tcPr>
          <w:p>
            <w:pPr>
              <w:spacing w:after="0"/>
              <w:rPr>
                <w:sz w:val="19"/>
                <w:szCs w:val="19"/>
                <w:color w:val="auto"/>
              </w:rPr>
            </w:pPr>
          </w:p>
        </w:tc>
        <w:tc>
          <w:tcPr>
            <w:tcW w:w="28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87,389</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82,404</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w:t>
            </w:r>
          </w:p>
        </w:tc>
      </w:tr>
      <w:tr>
        <w:trPr>
          <w:trHeight w:val="205"/>
        </w:trPr>
        <w:tc>
          <w:tcPr>
            <w:tcW w:w="2680" w:type="dxa"/>
            <w:vAlign w:val="bottom"/>
          </w:tcPr>
          <w:p>
            <w:pPr>
              <w:ind w:left="260"/>
              <w:spacing w:after="0" w:line="205" w:lineRule="exact"/>
              <w:rPr>
                <w:sz w:val="20"/>
                <w:szCs w:val="20"/>
                <w:color w:val="auto"/>
              </w:rPr>
            </w:pPr>
            <w:r>
              <w:rPr>
                <w:rFonts w:ascii="Arial" w:cs="Arial" w:eastAsia="Arial" w:hAnsi="Arial"/>
                <w:sz w:val="18"/>
                <w:szCs w:val="18"/>
                <w:b w:val="1"/>
                <w:bCs w:val="1"/>
                <w:color w:val="auto"/>
              </w:rPr>
              <w:t>Human Resource Support</w:t>
            </w:r>
          </w:p>
        </w:tc>
        <w:tc>
          <w:tcPr>
            <w:tcW w:w="2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680" w:type="dxa"/>
            <w:vAlign w:val="bottom"/>
          </w:tcPr>
          <w:p>
            <w:pPr>
              <w:ind w:left="380"/>
              <w:spacing w:after="0"/>
              <w:rPr>
                <w:sz w:val="20"/>
                <w:szCs w:val="20"/>
                <w:color w:val="auto"/>
              </w:rPr>
            </w:pPr>
            <w:r>
              <w:rPr>
                <w:rFonts w:ascii="Arial" w:cs="Arial" w:eastAsia="Arial" w:hAnsi="Arial"/>
                <w:sz w:val="18"/>
                <w:szCs w:val="18"/>
                <w:b w:val="1"/>
                <w:bCs w:val="1"/>
                <w:color w:val="auto"/>
              </w:rPr>
              <w:t>Services</w:t>
            </w:r>
          </w:p>
        </w:tc>
        <w:tc>
          <w:tcPr>
            <w:tcW w:w="2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5"/>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Saba Software, Inc. </w:t>
            </w:r>
            <w:r>
              <w:rPr>
                <w:rFonts w:ascii="Arial" w:cs="Arial" w:eastAsia="Arial" w:hAnsi="Arial"/>
                <w:sz w:val="15"/>
                <w:szCs w:val="15"/>
                <w:color w:val="auto"/>
              </w:rPr>
              <w:t>(3)(5)</w:t>
            </w:r>
          </w:p>
        </w:tc>
        <w:tc>
          <w:tcPr>
            <w:tcW w:w="2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First-lien loan ($54,588 par,</w:t>
            </w:r>
          </w:p>
        </w:tc>
        <w:tc>
          <w:tcPr>
            <w:tcW w:w="14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680" w:type="dxa"/>
            <w:vAlign w:val="bottom"/>
            <w:shd w:val="clear" w:color="auto" w:fill="CFF0FC"/>
          </w:tcPr>
          <w:p>
            <w:pPr>
              <w:spacing w:after="0"/>
              <w:rPr>
                <w:sz w:val="20"/>
                <w:szCs w:val="20"/>
                <w:color w:val="auto"/>
              </w:rPr>
            </w:pPr>
          </w:p>
        </w:tc>
        <w:tc>
          <w:tcPr>
            <w:tcW w:w="2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due 3/2021)</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9.75%</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3/30/2015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54,025</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53,905</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r>
      <w:tr>
        <w:trPr>
          <w:trHeight w:val="215"/>
        </w:trPr>
        <w:tc>
          <w:tcPr>
            <w:tcW w:w="2680" w:type="dxa"/>
            <w:vAlign w:val="bottom"/>
          </w:tcPr>
          <w:p>
            <w:pPr>
              <w:spacing w:after="0"/>
              <w:rPr>
                <w:sz w:val="20"/>
                <w:szCs w:val="20"/>
                <w:color w:val="auto"/>
              </w:rPr>
            </w:pPr>
            <w:r>
              <w:rPr>
                <w:rFonts w:ascii="Arial" w:cs="Arial" w:eastAsia="Arial" w:hAnsi="Arial"/>
                <w:sz w:val="18"/>
                <w:szCs w:val="18"/>
                <w:color w:val="auto"/>
              </w:rPr>
              <w:t xml:space="preserve">Skillsoft </w:t>
            </w:r>
            <w:r>
              <w:rPr>
                <w:rFonts w:ascii="Arial" w:cs="Arial" w:eastAsia="Arial" w:hAnsi="Arial"/>
                <w:sz w:val="15"/>
                <w:szCs w:val="15"/>
                <w:color w:val="auto"/>
              </w:rPr>
              <w:t>(3)</w:t>
            </w:r>
          </w:p>
        </w:tc>
        <w:tc>
          <w:tcPr>
            <w:tcW w:w="2800" w:type="dxa"/>
            <w:vAlign w:val="bottom"/>
          </w:tcPr>
          <w:p>
            <w:pPr>
              <w:ind w:left="360"/>
              <w:spacing w:after="0"/>
              <w:rPr>
                <w:sz w:val="20"/>
                <w:szCs w:val="20"/>
                <w:color w:val="auto"/>
              </w:rPr>
            </w:pPr>
            <w:r>
              <w:rPr>
                <w:rFonts w:ascii="Arial" w:cs="Arial" w:eastAsia="Arial" w:hAnsi="Arial"/>
                <w:sz w:val="18"/>
                <w:szCs w:val="18"/>
                <w:color w:val="auto"/>
              </w:rPr>
              <w:t>First-lien loan ($21,804 par,</w:t>
            </w: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p>
        </w:tc>
        <w:tc>
          <w:tcPr>
            <w:tcW w:w="2800" w:type="dxa"/>
            <w:vAlign w:val="bottom"/>
          </w:tcPr>
          <w:p>
            <w:pPr>
              <w:ind w:left="360"/>
              <w:spacing w:after="0"/>
              <w:rPr>
                <w:sz w:val="20"/>
                <w:szCs w:val="20"/>
                <w:color w:val="auto"/>
              </w:rPr>
            </w:pPr>
            <w:r>
              <w:rPr>
                <w:rFonts w:ascii="Arial" w:cs="Arial" w:eastAsia="Arial" w:hAnsi="Arial"/>
                <w:sz w:val="18"/>
                <w:szCs w:val="18"/>
                <w:color w:val="auto"/>
              </w:rPr>
              <w:t>due 4/2021)</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5.75%</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11/5/2015</w:t>
            </w:r>
          </w:p>
        </w:tc>
        <w:tc>
          <w:tcPr>
            <w:tcW w:w="900" w:type="dxa"/>
            <w:vAlign w:val="bottom"/>
          </w:tcPr>
          <w:p>
            <w:pPr>
              <w:jc w:val="right"/>
              <w:spacing w:after="0"/>
              <w:rPr>
                <w:sz w:val="20"/>
                <w:szCs w:val="20"/>
                <w:color w:val="auto"/>
              </w:rPr>
            </w:pPr>
            <w:r>
              <w:rPr>
                <w:rFonts w:ascii="Arial" w:cs="Arial" w:eastAsia="Arial" w:hAnsi="Arial"/>
                <w:sz w:val="18"/>
                <w:szCs w:val="18"/>
                <w:color w:val="auto"/>
              </w:rPr>
              <w:t>17,271</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17,389</w:t>
            </w:r>
          </w:p>
        </w:tc>
        <w:tc>
          <w:tcPr>
            <w:tcW w:w="2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20"/>
        </w:trPr>
        <w:tc>
          <w:tcPr>
            <w:tcW w:w="2680" w:type="dxa"/>
            <w:vAlign w:val="bottom"/>
            <w:shd w:val="clear" w:color="auto" w:fill="CFF0FC"/>
          </w:tcPr>
          <w:p>
            <w:pPr>
              <w:spacing w:after="0" w:line="20" w:lineRule="exact"/>
              <w:rPr>
                <w:sz w:val="1"/>
                <w:szCs w:val="1"/>
                <w:color w:val="auto"/>
              </w:rPr>
            </w:pPr>
          </w:p>
        </w:tc>
        <w:tc>
          <w:tcPr>
            <w:tcW w:w="280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2680" w:type="dxa"/>
            <w:vAlign w:val="bottom"/>
            <w:shd w:val="clear" w:color="auto" w:fill="CFF0FC"/>
          </w:tcPr>
          <w:p>
            <w:pPr>
              <w:spacing w:after="0"/>
              <w:rPr>
                <w:sz w:val="19"/>
                <w:szCs w:val="19"/>
                <w:color w:val="auto"/>
              </w:rPr>
            </w:pPr>
          </w:p>
        </w:tc>
        <w:tc>
          <w:tcPr>
            <w:tcW w:w="28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71,296</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71,294</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w:t>
            </w:r>
          </w:p>
        </w:tc>
      </w:tr>
      <w:tr>
        <w:trPr>
          <w:trHeight w:val="223"/>
        </w:trPr>
        <w:tc>
          <w:tcPr>
            <w:tcW w:w="2680" w:type="dxa"/>
            <w:vAlign w:val="bottom"/>
          </w:tcPr>
          <w:p>
            <w:pPr>
              <w:ind w:left="260"/>
              <w:spacing w:after="0"/>
              <w:rPr>
                <w:sz w:val="20"/>
                <w:szCs w:val="20"/>
                <w:color w:val="auto"/>
              </w:rPr>
            </w:pPr>
            <w:r>
              <w:rPr>
                <w:rFonts w:ascii="Arial" w:cs="Arial" w:eastAsia="Arial" w:hAnsi="Arial"/>
                <w:sz w:val="18"/>
                <w:szCs w:val="18"/>
                <w:b w:val="1"/>
                <w:bCs w:val="1"/>
                <w:color w:val="auto"/>
              </w:rPr>
              <w:t>Insurance</w:t>
            </w:r>
          </w:p>
        </w:tc>
        <w:tc>
          <w:tcPr>
            <w:tcW w:w="28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Insurity, Inc. </w:t>
            </w:r>
            <w:r>
              <w:rPr>
                <w:rFonts w:ascii="Arial" w:cs="Arial" w:eastAsia="Arial" w:hAnsi="Arial"/>
                <w:sz w:val="15"/>
                <w:szCs w:val="15"/>
                <w:color w:val="auto"/>
              </w:rPr>
              <w:t>(3)(5)</w:t>
            </w:r>
          </w:p>
        </w:tc>
        <w:tc>
          <w:tcPr>
            <w:tcW w:w="2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First-lien loan ($65,452 par,</w:t>
            </w:r>
          </w:p>
        </w:tc>
        <w:tc>
          <w:tcPr>
            <w:tcW w:w="14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680" w:type="dxa"/>
            <w:vAlign w:val="bottom"/>
            <w:shd w:val="clear" w:color="auto" w:fill="CFF0FC"/>
          </w:tcPr>
          <w:p>
            <w:pPr>
              <w:spacing w:after="0"/>
              <w:rPr>
                <w:sz w:val="20"/>
                <w:szCs w:val="20"/>
                <w:color w:val="auto"/>
              </w:rPr>
            </w:pPr>
          </w:p>
        </w:tc>
        <w:tc>
          <w:tcPr>
            <w:tcW w:w="2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due 10/2020)</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7.75%</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10/31/2014</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64,809</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64,143</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w:t>
            </w:r>
          </w:p>
        </w:tc>
      </w:tr>
      <w:tr>
        <w:trPr>
          <w:trHeight w:val="230"/>
        </w:trPr>
        <w:tc>
          <w:tcPr>
            <w:tcW w:w="2680" w:type="dxa"/>
            <w:vAlign w:val="bottom"/>
          </w:tcPr>
          <w:p>
            <w:pPr>
              <w:ind w:left="260"/>
              <w:spacing w:after="0"/>
              <w:rPr>
                <w:sz w:val="20"/>
                <w:szCs w:val="20"/>
                <w:color w:val="auto"/>
              </w:rPr>
            </w:pPr>
            <w:r>
              <w:rPr>
                <w:rFonts w:ascii="Arial" w:cs="Arial" w:eastAsia="Arial" w:hAnsi="Arial"/>
                <w:sz w:val="18"/>
                <w:szCs w:val="18"/>
                <w:b w:val="1"/>
                <w:bCs w:val="1"/>
                <w:color w:val="auto"/>
              </w:rPr>
              <w:t>Internet Services</w:t>
            </w:r>
          </w:p>
        </w:tc>
        <w:tc>
          <w:tcPr>
            <w:tcW w:w="28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Highwinds Capital, Inc. </w:t>
            </w:r>
            <w:r>
              <w:rPr>
                <w:rFonts w:ascii="Arial" w:cs="Arial" w:eastAsia="Arial" w:hAnsi="Arial"/>
                <w:sz w:val="15"/>
                <w:szCs w:val="15"/>
                <w:color w:val="auto"/>
              </w:rPr>
              <w:t>(3)</w:t>
            </w:r>
          </w:p>
        </w:tc>
        <w:tc>
          <w:tcPr>
            <w:tcW w:w="2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First-lien loan ($50,503 par,</w:t>
            </w:r>
          </w:p>
        </w:tc>
        <w:tc>
          <w:tcPr>
            <w:tcW w:w="14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680" w:type="dxa"/>
            <w:vAlign w:val="bottom"/>
            <w:shd w:val="clear" w:color="auto" w:fill="CFF0FC"/>
          </w:tcPr>
          <w:p>
            <w:pPr>
              <w:spacing w:after="0"/>
              <w:rPr>
                <w:sz w:val="20"/>
                <w:szCs w:val="20"/>
                <w:color w:val="auto"/>
              </w:rPr>
            </w:pPr>
          </w:p>
        </w:tc>
        <w:tc>
          <w:tcPr>
            <w:tcW w:w="2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due 7/2018)</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9.00%</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3/7/2014</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50,039</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49,872</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r>
      <w:tr>
        <w:trPr>
          <w:trHeight w:val="215"/>
        </w:trPr>
        <w:tc>
          <w:tcPr>
            <w:tcW w:w="2680" w:type="dxa"/>
            <w:vAlign w:val="bottom"/>
          </w:tcPr>
          <w:p>
            <w:pPr>
              <w:spacing w:after="0"/>
              <w:rPr>
                <w:sz w:val="18"/>
                <w:szCs w:val="18"/>
                <w:color w:val="auto"/>
              </w:rPr>
            </w:pPr>
          </w:p>
        </w:tc>
        <w:tc>
          <w:tcPr>
            <w:tcW w:w="2800" w:type="dxa"/>
            <w:vAlign w:val="bottom"/>
          </w:tcPr>
          <w:p>
            <w:pPr>
              <w:ind w:left="360"/>
              <w:spacing w:after="0"/>
              <w:rPr>
                <w:sz w:val="20"/>
                <w:szCs w:val="20"/>
                <w:color w:val="auto"/>
              </w:rPr>
            </w:pPr>
            <w:r>
              <w:rPr>
                <w:rFonts w:ascii="Arial" w:cs="Arial" w:eastAsia="Arial" w:hAnsi="Arial"/>
                <w:sz w:val="18"/>
                <w:szCs w:val="18"/>
                <w:color w:val="auto"/>
              </w:rPr>
              <w:t>First-lien revolving loan</w:t>
            </w: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p>
        </w:tc>
        <w:tc>
          <w:tcPr>
            <w:tcW w:w="2800" w:type="dxa"/>
            <w:vAlign w:val="bottom"/>
          </w:tcPr>
          <w:p>
            <w:pPr>
              <w:ind w:left="360"/>
              <w:spacing w:after="0"/>
              <w:rPr>
                <w:sz w:val="20"/>
                <w:szCs w:val="20"/>
                <w:color w:val="auto"/>
              </w:rPr>
            </w:pPr>
            <w:r>
              <w:rPr>
                <w:rFonts w:ascii="Arial" w:cs="Arial" w:eastAsia="Arial" w:hAnsi="Arial"/>
                <w:sz w:val="18"/>
                <w:szCs w:val="18"/>
                <w:color w:val="auto"/>
              </w:rPr>
              <w:t>($2,600 par, due 7/2018)</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9.00%</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3/7/2014</w:t>
            </w:r>
          </w:p>
        </w:tc>
        <w:tc>
          <w:tcPr>
            <w:tcW w:w="900" w:type="dxa"/>
            <w:vAlign w:val="bottom"/>
          </w:tcPr>
          <w:p>
            <w:pPr>
              <w:jc w:val="right"/>
              <w:spacing w:after="0"/>
              <w:rPr>
                <w:sz w:val="20"/>
                <w:szCs w:val="20"/>
                <w:color w:val="auto"/>
              </w:rPr>
            </w:pPr>
            <w:r>
              <w:rPr>
                <w:rFonts w:ascii="Arial" w:cs="Arial" w:eastAsia="Arial" w:hAnsi="Arial"/>
                <w:sz w:val="18"/>
                <w:szCs w:val="18"/>
                <w:color w:val="auto"/>
              </w:rPr>
              <w:t>2,577</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2,563</w:t>
            </w:r>
          </w:p>
        </w:tc>
        <w:tc>
          <w:tcPr>
            <w:tcW w:w="2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r>
      <w:tr>
        <w:trPr>
          <w:trHeight w:val="20"/>
        </w:trPr>
        <w:tc>
          <w:tcPr>
            <w:tcW w:w="2680" w:type="dxa"/>
            <w:vAlign w:val="bottom"/>
            <w:shd w:val="clear" w:color="auto" w:fill="CFF0FC"/>
          </w:tcPr>
          <w:p>
            <w:pPr>
              <w:spacing w:after="0" w:line="20" w:lineRule="exact"/>
              <w:rPr>
                <w:sz w:val="1"/>
                <w:szCs w:val="1"/>
                <w:color w:val="auto"/>
              </w:rPr>
            </w:pPr>
          </w:p>
        </w:tc>
        <w:tc>
          <w:tcPr>
            <w:tcW w:w="280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2680" w:type="dxa"/>
            <w:vAlign w:val="bottom"/>
            <w:shd w:val="clear" w:color="auto" w:fill="CFF0FC"/>
          </w:tcPr>
          <w:p>
            <w:pPr>
              <w:spacing w:after="0"/>
              <w:rPr>
                <w:sz w:val="19"/>
                <w:szCs w:val="19"/>
                <w:color w:val="auto"/>
              </w:rPr>
            </w:pPr>
          </w:p>
        </w:tc>
        <w:tc>
          <w:tcPr>
            <w:tcW w:w="28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52,616</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52,435</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r>
      <w:tr>
        <w:trPr>
          <w:trHeight w:val="223"/>
        </w:trPr>
        <w:tc>
          <w:tcPr>
            <w:tcW w:w="2680" w:type="dxa"/>
            <w:vAlign w:val="bottom"/>
          </w:tcPr>
          <w:p>
            <w:pPr>
              <w:ind w:left="260"/>
              <w:spacing w:after="0"/>
              <w:rPr>
                <w:sz w:val="20"/>
                <w:szCs w:val="20"/>
                <w:color w:val="auto"/>
              </w:rPr>
            </w:pPr>
            <w:r>
              <w:rPr>
                <w:rFonts w:ascii="Arial" w:cs="Arial" w:eastAsia="Arial" w:hAnsi="Arial"/>
                <w:sz w:val="18"/>
                <w:szCs w:val="18"/>
                <w:b w:val="1"/>
                <w:bCs w:val="1"/>
                <w:color w:val="auto"/>
              </w:rPr>
              <w:t>Manufacturing</w:t>
            </w:r>
          </w:p>
        </w:tc>
        <w:tc>
          <w:tcPr>
            <w:tcW w:w="28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Jeeves Information Systems</w:t>
            </w:r>
          </w:p>
        </w:tc>
        <w:tc>
          <w:tcPr>
            <w:tcW w:w="2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First-lien loan (SEK 189,931</w:t>
            </w:r>
          </w:p>
        </w:tc>
        <w:tc>
          <w:tcPr>
            <w:tcW w:w="14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23,956</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AB </w:t>
            </w:r>
            <w:r>
              <w:rPr>
                <w:rFonts w:ascii="Arial" w:cs="Arial" w:eastAsia="Arial" w:hAnsi="Arial"/>
                <w:sz w:val="15"/>
                <w:szCs w:val="15"/>
                <w:color w:val="auto"/>
              </w:rPr>
              <w:t>(3)(4)(5)</w:t>
            </w:r>
          </w:p>
        </w:tc>
        <w:tc>
          <w:tcPr>
            <w:tcW w:w="2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par, due 3/2019)</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8.75%</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6/5/2013</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28,888</w:t>
            </w:r>
          </w:p>
        </w:tc>
        <w:tc>
          <w:tcPr>
            <w:tcW w:w="2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89"/>
              </w:rPr>
              <w:t>(SEK 194,205)</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r>
      <w:tr>
        <w:trPr>
          <w:trHeight w:val="230"/>
        </w:trPr>
        <w:tc>
          <w:tcPr>
            <w:tcW w:w="2680" w:type="dxa"/>
            <w:vAlign w:val="bottom"/>
          </w:tcPr>
          <w:p>
            <w:pPr>
              <w:ind w:left="260"/>
              <w:spacing w:after="0"/>
              <w:rPr>
                <w:sz w:val="20"/>
                <w:szCs w:val="20"/>
                <w:color w:val="auto"/>
              </w:rPr>
            </w:pPr>
            <w:r>
              <w:rPr>
                <w:rFonts w:ascii="Arial" w:cs="Arial" w:eastAsia="Arial" w:hAnsi="Arial"/>
                <w:sz w:val="18"/>
                <w:szCs w:val="18"/>
                <w:b w:val="1"/>
                <w:bCs w:val="1"/>
                <w:color w:val="auto"/>
              </w:rPr>
              <w:t>Office products</w:t>
            </w:r>
          </w:p>
        </w:tc>
        <w:tc>
          <w:tcPr>
            <w:tcW w:w="28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5"/>
                <w:szCs w:val="15"/>
                <w:color w:val="auto"/>
              </w:rPr>
              <w:t>(3)</w:t>
            </w:r>
          </w:p>
        </w:tc>
        <w:tc>
          <w:tcPr>
            <w:tcW w:w="2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First-lien loan ($36,811 par,</w:t>
            </w:r>
          </w:p>
        </w:tc>
        <w:tc>
          <w:tcPr>
            <w:tcW w:w="14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680" w:type="dxa"/>
            <w:vAlign w:val="bottom"/>
            <w:shd w:val="clear" w:color="auto" w:fill="CFF0FC"/>
          </w:tcPr>
          <w:p>
            <w:pPr>
              <w:spacing w:after="0"/>
              <w:rPr>
                <w:sz w:val="20"/>
                <w:szCs w:val="20"/>
                <w:color w:val="auto"/>
              </w:rPr>
            </w:pPr>
          </w:p>
        </w:tc>
        <w:tc>
          <w:tcPr>
            <w:tcW w:w="2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due 3/2019)</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7.25%</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3/11/2014</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36,596</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36,516</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w:t>
            </w:r>
          </w:p>
        </w:tc>
      </w:tr>
    </w:tbl>
    <w:p>
      <w:pPr>
        <w:ind w:left="260"/>
        <w:spacing w:after="0"/>
        <w:rPr>
          <w:sz w:val="20"/>
          <w:szCs w:val="20"/>
          <w:color w:val="auto"/>
        </w:rPr>
      </w:pPr>
      <w:r>
        <w:rPr>
          <w:rFonts w:ascii="Arial" w:cs="Arial" w:eastAsia="Arial" w:hAnsi="Arial"/>
          <w:sz w:val="18"/>
          <w:szCs w:val="18"/>
          <w:b w:val="1"/>
          <w:bCs w:val="1"/>
          <w:color w:val="auto"/>
        </w:rPr>
        <w:t>Oil, gas and consumable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fuels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5"/>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Key Energy Services </w:t>
            </w:r>
            <w:r>
              <w:rPr>
                <w:rFonts w:ascii="Arial" w:cs="Arial" w:eastAsia="Arial" w:hAnsi="Arial"/>
                <w:sz w:val="15"/>
                <w:szCs w:val="15"/>
                <w:color w:val="auto"/>
              </w:rPr>
              <w:t>(3)</w:t>
            </w:r>
          </w:p>
        </w:tc>
        <w:tc>
          <w:tcPr>
            <w:tcW w:w="25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First-lien loan ($13,470 par,</w:t>
            </w:r>
          </w:p>
        </w:tc>
        <w:tc>
          <w:tcPr>
            <w:tcW w:w="15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shd w:val="clear" w:color="auto" w:fill="CFF0FC"/>
          </w:tcPr>
          <w:p>
            <w:pPr>
              <w:spacing w:after="0"/>
              <w:rPr>
                <w:sz w:val="20"/>
                <w:szCs w:val="20"/>
                <w:color w:val="auto"/>
              </w:rPr>
            </w:pPr>
          </w:p>
        </w:tc>
        <w:tc>
          <w:tcPr>
            <w:tcW w:w="25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due 6/2020)</w:t>
            </w: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10.25%</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5/27/2015</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13,029</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10,416</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r>
      <w:tr>
        <w:trPr>
          <w:trHeight w:val="215"/>
        </w:trPr>
        <w:tc>
          <w:tcPr>
            <w:tcW w:w="3000" w:type="dxa"/>
            <w:vAlign w:val="bottom"/>
          </w:tcPr>
          <w:p>
            <w:pPr>
              <w:spacing w:after="0"/>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(3)(7)</w:t>
            </w:r>
          </w:p>
        </w:tc>
        <w:tc>
          <w:tcPr>
            <w:tcW w:w="2540" w:type="dxa"/>
            <w:vAlign w:val="bottom"/>
          </w:tcPr>
          <w:p>
            <w:pPr>
              <w:ind w:left="100"/>
              <w:spacing w:after="0"/>
              <w:rPr>
                <w:sz w:val="20"/>
                <w:szCs w:val="20"/>
                <w:color w:val="auto"/>
              </w:rPr>
            </w:pPr>
            <w:r>
              <w:rPr>
                <w:rFonts w:ascii="Arial" w:cs="Arial" w:eastAsia="Arial" w:hAnsi="Arial"/>
                <w:sz w:val="18"/>
                <w:szCs w:val="18"/>
                <w:color w:val="auto"/>
              </w:rPr>
              <w:t>First-lien loan ($48,505 par,</w:t>
            </w: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13.00% (incl.</w:t>
            </w: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due 6/2018)</w:t>
            </w: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1.50% PIK)</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6/4/2014</w:t>
            </w:r>
          </w:p>
        </w:tc>
        <w:tc>
          <w:tcPr>
            <w:tcW w:w="880" w:type="dxa"/>
            <w:vAlign w:val="bottom"/>
          </w:tcPr>
          <w:p>
            <w:pPr>
              <w:jc w:val="right"/>
              <w:spacing w:after="0"/>
              <w:rPr>
                <w:sz w:val="20"/>
                <w:szCs w:val="20"/>
                <w:color w:val="auto"/>
              </w:rPr>
            </w:pPr>
            <w:r>
              <w:rPr>
                <w:rFonts w:ascii="Arial" w:cs="Arial" w:eastAsia="Arial" w:hAnsi="Arial"/>
                <w:sz w:val="18"/>
                <w:szCs w:val="18"/>
                <w:color w:val="auto"/>
              </w:rPr>
              <w:t>47,918</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34,075</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0"/>
                <w:szCs w:val="20"/>
                <w:color w:val="auto"/>
              </w:rPr>
            </w:pPr>
          </w:p>
        </w:tc>
      </w:tr>
      <w:tr>
        <w:trPr>
          <w:trHeight w:val="20"/>
        </w:trPr>
        <w:tc>
          <w:tcPr>
            <w:tcW w:w="3000" w:type="dxa"/>
            <w:vAlign w:val="bottom"/>
            <w:shd w:val="clear" w:color="auto" w:fill="CFF0FC"/>
          </w:tcPr>
          <w:p>
            <w:pPr>
              <w:spacing w:after="0" w:line="20" w:lineRule="exact"/>
              <w:rPr>
                <w:sz w:val="1"/>
                <w:szCs w:val="1"/>
                <w:color w:val="auto"/>
              </w:rPr>
            </w:pPr>
          </w:p>
        </w:tc>
        <w:tc>
          <w:tcPr>
            <w:tcW w:w="254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000" w:type="dxa"/>
            <w:vAlign w:val="bottom"/>
            <w:shd w:val="clear" w:color="auto" w:fill="CFF0FC"/>
          </w:tcPr>
          <w:p>
            <w:pPr>
              <w:spacing w:after="0"/>
              <w:rPr>
                <w:sz w:val="19"/>
                <w:szCs w:val="19"/>
                <w:color w:val="auto"/>
              </w:rPr>
            </w:pPr>
          </w:p>
        </w:tc>
        <w:tc>
          <w:tcPr>
            <w:tcW w:w="25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60,947</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44,491</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r>
      <w:tr>
        <w:trPr>
          <w:trHeight w:val="223"/>
        </w:trPr>
        <w:tc>
          <w:tcPr>
            <w:tcW w:w="3000" w:type="dxa"/>
            <w:vAlign w:val="bottom"/>
          </w:tcPr>
          <w:p>
            <w:pPr>
              <w:ind w:left="260"/>
              <w:spacing w:after="0"/>
              <w:rPr>
                <w:sz w:val="20"/>
                <w:szCs w:val="20"/>
                <w:color w:val="auto"/>
              </w:rPr>
            </w:pPr>
            <w:r>
              <w:rPr>
                <w:rFonts w:ascii="Arial" w:cs="Arial" w:eastAsia="Arial" w:hAnsi="Arial"/>
                <w:sz w:val="18"/>
                <w:szCs w:val="18"/>
                <w:b w:val="1"/>
                <w:bCs w:val="1"/>
                <w:color w:val="auto"/>
              </w:rPr>
              <w:t>Pharmaceuticals</w:t>
            </w:r>
          </w:p>
        </w:tc>
        <w:tc>
          <w:tcPr>
            <w:tcW w:w="2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Nektar Therapeutics </w:t>
            </w:r>
            <w:r>
              <w:rPr>
                <w:rFonts w:ascii="Arial" w:cs="Arial" w:eastAsia="Arial" w:hAnsi="Arial"/>
                <w:sz w:val="15"/>
                <w:szCs w:val="15"/>
                <w:color w:val="auto"/>
              </w:rPr>
              <w:t>(4)(5)(9)</w:t>
            </w:r>
          </w:p>
        </w:tc>
        <w:tc>
          <w:tcPr>
            <w:tcW w:w="254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5"/>
              </w:rPr>
              <w:t>Secured note ($74,950 par, due</w:t>
            </w:r>
          </w:p>
        </w:tc>
        <w:tc>
          <w:tcPr>
            <w:tcW w:w="15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shd w:val="clear" w:color="auto" w:fill="CFF0FC"/>
          </w:tcPr>
          <w:p>
            <w:pPr>
              <w:spacing w:after="0"/>
              <w:rPr>
                <w:sz w:val="20"/>
                <w:szCs w:val="20"/>
                <w:color w:val="auto"/>
              </w:rPr>
            </w:pPr>
          </w:p>
        </w:tc>
        <w:tc>
          <w:tcPr>
            <w:tcW w:w="25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10/2020)</w:t>
            </w: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7.75%</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10/5/2015</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74,046</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73,451</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0"/>
                <w:szCs w:val="20"/>
                <w:color w:val="auto"/>
              </w:rPr>
            </w:pPr>
          </w:p>
        </w:tc>
      </w:tr>
      <w:tr>
        <w:trPr>
          <w:trHeight w:val="211"/>
        </w:trPr>
        <w:tc>
          <w:tcPr>
            <w:tcW w:w="3000" w:type="dxa"/>
            <w:vAlign w:val="bottom"/>
          </w:tcPr>
          <w:p>
            <w:pPr>
              <w:ind w:left="260"/>
              <w:spacing w:after="0"/>
              <w:rPr>
                <w:sz w:val="20"/>
                <w:szCs w:val="20"/>
                <w:color w:val="auto"/>
              </w:rPr>
            </w:pPr>
            <w:r>
              <w:rPr>
                <w:rFonts w:ascii="Arial" w:cs="Arial" w:eastAsia="Arial" w:hAnsi="Arial"/>
                <w:sz w:val="18"/>
                <w:szCs w:val="18"/>
                <w:b w:val="1"/>
                <w:bCs w:val="1"/>
                <w:color w:val="auto"/>
              </w:rPr>
              <w:t>Retail and consumer</w:t>
            </w:r>
          </w:p>
        </w:tc>
        <w:tc>
          <w:tcPr>
            <w:tcW w:w="2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00" w:type="dxa"/>
            <w:vAlign w:val="bottom"/>
          </w:tcPr>
          <w:p>
            <w:pPr>
              <w:ind w:left="380"/>
              <w:spacing w:after="0"/>
              <w:rPr>
                <w:sz w:val="20"/>
                <w:szCs w:val="20"/>
                <w:color w:val="auto"/>
              </w:rPr>
            </w:pPr>
            <w:r>
              <w:rPr>
                <w:rFonts w:ascii="Arial" w:cs="Arial" w:eastAsia="Arial" w:hAnsi="Arial"/>
                <w:sz w:val="18"/>
                <w:szCs w:val="18"/>
                <w:b w:val="1"/>
                <w:bCs w:val="1"/>
                <w:color w:val="auto"/>
              </w:rPr>
              <w:t>products</w:t>
            </w:r>
          </w:p>
        </w:tc>
        <w:tc>
          <w:tcPr>
            <w:tcW w:w="2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American Achievement</w:t>
            </w:r>
          </w:p>
        </w:tc>
        <w:tc>
          <w:tcPr>
            <w:tcW w:w="254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4"/>
              </w:rPr>
              <w:t>First-lien loan ($24,811 par, due</w:t>
            </w:r>
          </w:p>
        </w:tc>
        <w:tc>
          <w:tcPr>
            <w:tcW w:w="15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(3)(5)</w:t>
            </w:r>
          </w:p>
        </w:tc>
        <w:tc>
          <w:tcPr>
            <w:tcW w:w="25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9/2020)</w:t>
            </w: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8.25%</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9/30/2015</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24,483</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24,500</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r>
      <w:tr>
        <w:trPr>
          <w:trHeight w:val="215"/>
        </w:trPr>
        <w:tc>
          <w:tcPr>
            <w:tcW w:w="3000" w:type="dxa"/>
            <w:vAlign w:val="bottom"/>
          </w:tcPr>
          <w:p>
            <w:pPr>
              <w:spacing w:after="0"/>
              <w:rPr>
                <w:sz w:val="20"/>
                <w:szCs w:val="20"/>
                <w:color w:val="auto"/>
              </w:rPr>
            </w:pPr>
            <w:r>
              <w:rPr>
                <w:rFonts w:ascii="Arial" w:cs="Arial" w:eastAsia="Arial" w:hAnsi="Arial"/>
                <w:sz w:val="18"/>
                <w:szCs w:val="18"/>
                <w:color w:val="auto"/>
                <w:w w:val="96"/>
              </w:rPr>
              <w:t xml:space="preserve">Destination Maternity Corporation </w:t>
            </w:r>
            <w:r>
              <w:rPr>
                <w:rFonts w:ascii="Arial" w:cs="Arial" w:eastAsia="Arial" w:hAnsi="Arial"/>
                <w:sz w:val="15"/>
                <w:szCs w:val="15"/>
                <w:color w:val="auto"/>
                <w:w w:val="96"/>
              </w:rPr>
              <w:t>(3)(5)</w:t>
            </w:r>
          </w:p>
        </w:tc>
        <w:tc>
          <w:tcPr>
            <w:tcW w:w="2540" w:type="dxa"/>
            <w:vAlign w:val="bottom"/>
          </w:tcPr>
          <w:p>
            <w:pPr>
              <w:ind w:left="100"/>
              <w:spacing w:after="0"/>
              <w:rPr>
                <w:sz w:val="20"/>
                <w:szCs w:val="20"/>
                <w:color w:val="auto"/>
              </w:rPr>
            </w:pPr>
            <w:r>
              <w:rPr>
                <w:rFonts w:ascii="Arial" w:cs="Arial" w:eastAsia="Arial" w:hAnsi="Arial"/>
                <w:sz w:val="18"/>
                <w:szCs w:val="18"/>
                <w:color w:val="auto"/>
              </w:rPr>
              <w:t>ABL FILO term loan ($18,286</w:t>
            </w: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par, due 3/2021)</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8.50%</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3/25/2016</w:t>
            </w:r>
          </w:p>
        </w:tc>
        <w:tc>
          <w:tcPr>
            <w:tcW w:w="880" w:type="dxa"/>
            <w:vAlign w:val="bottom"/>
          </w:tcPr>
          <w:p>
            <w:pPr>
              <w:jc w:val="right"/>
              <w:spacing w:after="0"/>
              <w:rPr>
                <w:sz w:val="20"/>
                <w:szCs w:val="20"/>
                <w:color w:val="auto"/>
              </w:rPr>
            </w:pPr>
            <w:r>
              <w:rPr>
                <w:rFonts w:ascii="Arial" w:cs="Arial" w:eastAsia="Arial" w:hAnsi="Arial"/>
                <w:sz w:val="18"/>
                <w:szCs w:val="18"/>
                <w:color w:val="auto"/>
              </w:rPr>
              <w:t>17,853</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17,874</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0"/>
                <w:szCs w:val="20"/>
                <w:color w:val="auto"/>
              </w:rPr>
            </w:pPr>
          </w:p>
        </w:tc>
      </w:tr>
      <w:tr>
        <w:trPr>
          <w:trHeight w:val="215"/>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Quiksilver - Boardriders SA</w:t>
            </w:r>
          </w:p>
        </w:tc>
        <w:tc>
          <w:tcPr>
            <w:tcW w:w="25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Bond (EUR 5,699 par,</w:t>
            </w:r>
          </w:p>
        </w:tc>
        <w:tc>
          <w:tcPr>
            <w:tcW w:w="15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6,023</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shd w:val="clear" w:color="auto" w:fill="CFF0FC"/>
          </w:tcPr>
          <w:p>
            <w:pPr>
              <w:spacing w:after="0"/>
              <w:rPr>
                <w:sz w:val="20"/>
                <w:szCs w:val="20"/>
                <w:color w:val="auto"/>
              </w:rPr>
            </w:pPr>
          </w:p>
        </w:tc>
        <w:tc>
          <w:tcPr>
            <w:tcW w:w="25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due 12/2020)</w:t>
            </w: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9.50%</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5/26/2015</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6,004</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(EUR 5,286)</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0"/>
                <w:szCs w:val="20"/>
                <w:color w:val="auto"/>
              </w:rPr>
            </w:pPr>
          </w:p>
        </w:tc>
      </w:tr>
      <w:tr>
        <w:trPr>
          <w:trHeight w:val="215"/>
        </w:trPr>
        <w:tc>
          <w:tcPr>
            <w:tcW w:w="3000" w:type="dxa"/>
            <w:vAlign w:val="bottom"/>
          </w:tcPr>
          <w:p>
            <w:pPr>
              <w:spacing w:after="0"/>
              <w:rPr>
                <w:sz w:val="20"/>
                <w:szCs w:val="20"/>
                <w:color w:val="auto"/>
              </w:rPr>
            </w:pPr>
            <w:r>
              <w:rPr>
                <w:rFonts w:ascii="Arial" w:cs="Arial" w:eastAsia="Arial" w:hAnsi="Arial"/>
                <w:sz w:val="18"/>
                <w:szCs w:val="18"/>
                <w:color w:val="auto"/>
              </w:rPr>
              <w:t xml:space="preserve">Sears </w:t>
            </w:r>
            <w:r>
              <w:rPr>
                <w:rFonts w:ascii="Arial" w:cs="Arial" w:eastAsia="Arial" w:hAnsi="Arial"/>
                <w:sz w:val="15"/>
                <w:szCs w:val="15"/>
                <w:color w:val="auto"/>
              </w:rPr>
              <w:t>(3)(4)(6)</w:t>
            </w:r>
          </w:p>
        </w:tc>
        <w:tc>
          <w:tcPr>
            <w:tcW w:w="2540" w:type="dxa"/>
            <w:vAlign w:val="bottom"/>
          </w:tcPr>
          <w:p>
            <w:pPr>
              <w:ind w:left="100"/>
              <w:spacing w:after="0"/>
              <w:rPr>
                <w:sz w:val="20"/>
                <w:szCs w:val="20"/>
                <w:color w:val="auto"/>
              </w:rPr>
            </w:pPr>
            <w:r>
              <w:rPr>
                <w:rFonts w:ascii="Arial" w:cs="Arial" w:eastAsia="Arial" w:hAnsi="Arial"/>
                <w:sz w:val="18"/>
                <w:szCs w:val="18"/>
                <w:color w:val="auto"/>
              </w:rPr>
              <w:t>First-lien loan ($3,670 par,</w:t>
            </w: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due 6/2018)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5.50%</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1/28/2016</w:t>
            </w:r>
          </w:p>
        </w:tc>
        <w:tc>
          <w:tcPr>
            <w:tcW w:w="880" w:type="dxa"/>
            <w:vAlign w:val="bottom"/>
          </w:tcPr>
          <w:p>
            <w:pPr>
              <w:jc w:val="right"/>
              <w:spacing w:after="0"/>
              <w:rPr>
                <w:sz w:val="20"/>
                <w:szCs w:val="20"/>
                <w:color w:val="auto"/>
              </w:rPr>
            </w:pPr>
            <w:r>
              <w:rPr>
                <w:rFonts w:ascii="Arial" w:cs="Arial" w:eastAsia="Arial" w:hAnsi="Arial"/>
                <w:sz w:val="18"/>
                <w:szCs w:val="18"/>
                <w:color w:val="auto"/>
              </w:rPr>
              <w:t>3,400</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3,505</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0"/>
                <w:szCs w:val="20"/>
                <w:color w:val="auto"/>
              </w:rPr>
            </w:pPr>
          </w:p>
        </w:tc>
      </w:tr>
      <w:tr>
        <w:trPr>
          <w:trHeight w:val="215"/>
        </w:trPr>
        <w:tc>
          <w:tcPr>
            <w:tcW w:w="3000" w:type="dxa"/>
            <w:vAlign w:val="bottom"/>
            <w:shd w:val="clear" w:color="auto" w:fill="CFF0FC"/>
          </w:tcPr>
          <w:p>
            <w:pPr>
              <w:spacing w:after="0"/>
              <w:rPr>
                <w:sz w:val="18"/>
                <w:szCs w:val="18"/>
                <w:color w:val="auto"/>
              </w:rPr>
            </w:pPr>
          </w:p>
        </w:tc>
        <w:tc>
          <w:tcPr>
            <w:tcW w:w="25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First-lien ABL loan ($22,727</w:t>
            </w:r>
          </w:p>
        </w:tc>
        <w:tc>
          <w:tcPr>
            <w:tcW w:w="15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shd w:val="clear" w:color="auto" w:fill="CFF0FC"/>
          </w:tcPr>
          <w:p>
            <w:pPr>
              <w:spacing w:after="0"/>
              <w:rPr>
                <w:sz w:val="20"/>
                <w:szCs w:val="20"/>
                <w:color w:val="auto"/>
              </w:rPr>
            </w:pPr>
          </w:p>
        </w:tc>
        <w:tc>
          <w:tcPr>
            <w:tcW w:w="25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par, due 7/2020)</w:t>
            </w: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8.50%</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3/18/2016</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22,045</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22,386</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r>
      <w:tr>
        <w:trPr>
          <w:trHeight w:val="215"/>
        </w:trPr>
        <w:tc>
          <w:tcPr>
            <w:tcW w:w="3000" w:type="dxa"/>
            <w:vAlign w:val="bottom"/>
          </w:tcPr>
          <w:p>
            <w:pPr>
              <w:spacing w:after="0"/>
              <w:rPr>
                <w:sz w:val="18"/>
                <w:szCs w:val="18"/>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First-lien ABL revolving loan</w:t>
            </w: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($6,012 par, due 4/2016)</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4/15/2015</w:t>
            </w:r>
          </w:p>
        </w:tc>
        <w:tc>
          <w:tcPr>
            <w:tcW w:w="880" w:type="dxa"/>
            <w:vAlign w:val="bottom"/>
          </w:tcPr>
          <w:p>
            <w:pPr>
              <w:jc w:val="right"/>
              <w:spacing w:after="0"/>
              <w:rPr>
                <w:sz w:val="20"/>
                <w:szCs w:val="20"/>
                <w:color w:val="auto"/>
              </w:rPr>
            </w:pPr>
            <w:r>
              <w:rPr>
                <w:rFonts w:ascii="Arial" w:cs="Arial" w:eastAsia="Arial" w:hAnsi="Arial"/>
                <w:sz w:val="18"/>
                <w:szCs w:val="18"/>
                <w:color w:val="auto"/>
              </w:rPr>
              <w:t>5,999</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6,012</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0"/>
                <w:szCs w:val="20"/>
                <w:color w:val="auto"/>
              </w:rPr>
            </w:pPr>
          </w:p>
        </w:tc>
      </w:tr>
      <w:tr>
        <w:trPr>
          <w:trHeight w:val="215"/>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Sports Authority </w:t>
            </w:r>
            <w:r>
              <w:rPr>
                <w:rFonts w:ascii="Arial" w:cs="Arial" w:eastAsia="Arial" w:hAnsi="Arial"/>
                <w:sz w:val="15"/>
                <w:szCs w:val="15"/>
                <w:color w:val="auto"/>
              </w:rPr>
              <w:t>(3)(5)</w:t>
            </w:r>
          </w:p>
        </w:tc>
        <w:tc>
          <w:tcPr>
            <w:tcW w:w="25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ABL FILO term loan ($45,135</w:t>
            </w:r>
          </w:p>
        </w:tc>
        <w:tc>
          <w:tcPr>
            <w:tcW w:w="15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shd w:val="clear" w:color="auto" w:fill="CFF0FC"/>
          </w:tcPr>
          <w:p>
            <w:pPr>
              <w:spacing w:after="0"/>
              <w:rPr>
                <w:sz w:val="20"/>
                <w:szCs w:val="20"/>
                <w:color w:val="auto"/>
              </w:rPr>
            </w:pPr>
          </w:p>
        </w:tc>
        <w:tc>
          <w:tcPr>
            <w:tcW w:w="25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par, due 6/2016)</w:t>
            </w: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9.40%</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11/3/2015</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44,198</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44,684</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0"/>
                <w:szCs w:val="20"/>
                <w:color w:val="auto"/>
              </w:rPr>
            </w:pPr>
          </w:p>
        </w:tc>
      </w:tr>
      <w:tr>
        <w:trPr>
          <w:trHeight w:val="215"/>
        </w:trPr>
        <w:tc>
          <w:tcPr>
            <w:tcW w:w="3000" w:type="dxa"/>
            <w:vAlign w:val="bottom"/>
          </w:tcPr>
          <w:p>
            <w:pPr>
              <w:spacing w:after="0"/>
              <w:rPr>
                <w:sz w:val="20"/>
                <w:szCs w:val="20"/>
                <w:color w:val="auto"/>
              </w:rPr>
            </w:pPr>
            <w:r>
              <w:rPr>
                <w:rFonts w:ascii="Arial" w:cs="Arial" w:eastAsia="Arial" w:hAnsi="Arial"/>
                <w:sz w:val="18"/>
                <w:szCs w:val="18"/>
                <w:color w:val="auto"/>
              </w:rPr>
              <w:t xml:space="preserve">Toys 'R' Us-Delaware, Inc. </w:t>
            </w:r>
            <w:r>
              <w:rPr>
                <w:rFonts w:ascii="Arial" w:cs="Arial" w:eastAsia="Arial" w:hAnsi="Arial"/>
                <w:sz w:val="15"/>
                <w:szCs w:val="15"/>
                <w:color w:val="auto"/>
              </w:rPr>
              <w:t>(3)</w:t>
            </w:r>
          </w:p>
        </w:tc>
        <w:tc>
          <w:tcPr>
            <w:tcW w:w="2540" w:type="dxa"/>
            <w:vAlign w:val="bottom"/>
          </w:tcPr>
          <w:p>
            <w:pPr>
              <w:ind w:left="100"/>
              <w:spacing w:after="0"/>
              <w:rPr>
                <w:sz w:val="20"/>
                <w:szCs w:val="20"/>
                <w:color w:val="auto"/>
              </w:rPr>
            </w:pPr>
            <w:r>
              <w:rPr>
                <w:rFonts w:ascii="Arial" w:cs="Arial" w:eastAsia="Arial" w:hAnsi="Arial"/>
                <w:sz w:val="18"/>
                <w:szCs w:val="18"/>
                <w:color w:val="auto"/>
              </w:rPr>
              <w:t>ABL FILO term loan ($51,000</w:t>
            </w: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par, due 10/2019)</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8.25%</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10/9/2014</w:t>
            </w:r>
          </w:p>
        </w:tc>
        <w:tc>
          <w:tcPr>
            <w:tcW w:w="880" w:type="dxa"/>
            <w:vAlign w:val="bottom"/>
          </w:tcPr>
          <w:p>
            <w:pPr>
              <w:jc w:val="right"/>
              <w:spacing w:after="0"/>
              <w:rPr>
                <w:sz w:val="20"/>
                <w:szCs w:val="20"/>
                <w:color w:val="auto"/>
              </w:rPr>
            </w:pPr>
            <w:r>
              <w:rPr>
                <w:rFonts w:ascii="Arial" w:cs="Arial" w:eastAsia="Arial" w:hAnsi="Arial"/>
                <w:sz w:val="18"/>
                <w:szCs w:val="18"/>
                <w:color w:val="auto"/>
              </w:rPr>
              <w:t>50,352</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49,725</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0"/>
                <w:szCs w:val="20"/>
                <w:color w:val="auto"/>
              </w:rPr>
            </w:pPr>
          </w:p>
        </w:tc>
      </w:tr>
      <w:tr>
        <w:trPr>
          <w:trHeight w:val="20"/>
        </w:trPr>
        <w:tc>
          <w:tcPr>
            <w:tcW w:w="3000" w:type="dxa"/>
            <w:vAlign w:val="bottom"/>
            <w:shd w:val="clear" w:color="auto" w:fill="CFF0FC"/>
          </w:tcPr>
          <w:p>
            <w:pPr>
              <w:spacing w:after="0" w:line="20" w:lineRule="exact"/>
              <w:rPr>
                <w:sz w:val="1"/>
                <w:szCs w:val="1"/>
                <w:color w:val="auto"/>
              </w:rPr>
            </w:pPr>
          </w:p>
        </w:tc>
        <w:tc>
          <w:tcPr>
            <w:tcW w:w="254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000" w:type="dxa"/>
            <w:vAlign w:val="bottom"/>
            <w:shd w:val="clear" w:color="auto" w:fill="CFF0FC"/>
          </w:tcPr>
          <w:p>
            <w:pPr>
              <w:spacing w:after="0"/>
              <w:rPr>
                <w:sz w:val="19"/>
                <w:szCs w:val="19"/>
                <w:color w:val="auto"/>
              </w:rPr>
            </w:pPr>
          </w:p>
        </w:tc>
        <w:tc>
          <w:tcPr>
            <w:tcW w:w="25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174,334</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174,709</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9"/>
                <w:szCs w:val="19"/>
                <w:color w:val="auto"/>
              </w:rPr>
            </w:pPr>
          </w:p>
        </w:tc>
      </w:tr>
      <w:tr>
        <w:trPr>
          <w:trHeight w:val="223"/>
        </w:trPr>
        <w:tc>
          <w:tcPr>
            <w:tcW w:w="3000" w:type="dxa"/>
            <w:vAlign w:val="bottom"/>
          </w:tcPr>
          <w:p>
            <w:pPr>
              <w:ind w:left="260"/>
              <w:spacing w:after="0"/>
              <w:rPr>
                <w:sz w:val="20"/>
                <w:szCs w:val="20"/>
                <w:color w:val="auto"/>
              </w:rPr>
            </w:pPr>
            <w:r>
              <w:rPr>
                <w:rFonts w:ascii="Arial" w:cs="Arial" w:eastAsia="Arial" w:hAnsi="Arial"/>
                <w:sz w:val="18"/>
                <w:szCs w:val="18"/>
                <w:b w:val="1"/>
                <w:bCs w:val="1"/>
                <w:color w:val="auto"/>
              </w:rPr>
              <w:t>Transportation</w:t>
            </w:r>
          </w:p>
        </w:tc>
        <w:tc>
          <w:tcPr>
            <w:tcW w:w="2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Carrix, Inc. </w:t>
            </w:r>
            <w:r>
              <w:rPr>
                <w:rFonts w:ascii="Arial" w:cs="Arial" w:eastAsia="Arial" w:hAnsi="Arial"/>
                <w:sz w:val="15"/>
                <w:szCs w:val="15"/>
                <w:color w:val="auto"/>
              </w:rPr>
              <w:t>(3)</w:t>
            </w:r>
          </w:p>
        </w:tc>
        <w:tc>
          <w:tcPr>
            <w:tcW w:w="25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First-lien loan ($13,441 par,</w:t>
            </w:r>
          </w:p>
        </w:tc>
        <w:tc>
          <w:tcPr>
            <w:tcW w:w="15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shd w:val="clear" w:color="auto" w:fill="CFF0FC"/>
          </w:tcPr>
          <w:p>
            <w:pPr>
              <w:spacing w:after="0"/>
              <w:rPr>
                <w:sz w:val="20"/>
                <w:szCs w:val="20"/>
                <w:color w:val="auto"/>
              </w:rPr>
            </w:pPr>
          </w:p>
        </w:tc>
        <w:tc>
          <w:tcPr>
            <w:tcW w:w="25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due 1/2019)</w:t>
            </w: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4.50%</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3/17/2015</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12,692</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12,534</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r>
      <w:tr>
        <w:trPr>
          <w:trHeight w:val="215"/>
        </w:trPr>
        <w:tc>
          <w:tcPr>
            <w:tcW w:w="3000" w:type="dxa"/>
            <w:vAlign w:val="bottom"/>
          </w:tcPr>
          <w:p>
            <w:pPr>
              <w:spacing w:after="0"/>
              <w:rPr>
                <w:sz w:val="20"/>
                <w:szCs w:val="20"/>
                <w:color w:val="auto"/>
              </w:rPr>
            </w:pPr>
            <w:r>
              <w:rPr>
                <w:rFonts w:ascii="Arial" w:cs="Arial" w:eastAsia="Arial" w:hAnsi="Arial"/>
                <w:sz w:val="18"/>
                <w:szCs w:val="18"/>
                <w:color w:val="auto"/>
              </w:rPr>
              <w:t xml:space="preserve">Kewill, Ltd. </w:t>
            </w:r>
            <w:r>
              <w:rPr>
                <w:rFonts w:ascii="Arial" w:cs="Arial" w:eastAsia="Arial" w:hAnsi="Arial"/>
                <w:sz w:val="15"/>
                <w:szCs w:val="15"/>
                <w:color w:val="auto"/>
              </w:rPr>
              <w:t>(3)(4)</w:t>
            </w:r>
          </w:p>
        </w:tc>
        <w:tc>
          <w:tcPr>
            <w:tcW w:w="2540" w:type="dxa"/>
            <w:vAlign w:val="bottom"/>
          </w:tcPr>
          <w:p>
            <w:pPr>
              <w:ind w:left="100"/>
              <w:spacing w:after="0"/>
              <w:rPr>
                <w:sz w:val="20"/>
                <w:szCs w:val="20"/>
                <w:color w:val="auto"/>
              </w:rPr>
            </w:pPr>
            <w:r>
              <w:rPr>
                <w:rFonts w:ascii="Arial" w:cs="Arial" w:eastAsia="Arial" w:hAnsi="Arial"/>
                <w:sz w:val="18"/>
                <w:szCs w:val="18"/>
                <w:color w:val="auto"/>
                <w:w w:val="98"/>
              </w:rPr>
              <w:t>Second-lien loan ($62,500 par,</w:t>
            </w: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due 10/2019)</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9.50%</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10/2/2013</w:t>
            </w:r>
          </w:p>
        </w:tc>
        <w:tc>
          <w:tcPr>
            <w:tcW w:w="880" w:type="dxa"/>
            <w:vAlign w:val="bottom"/>
          </w:tcPr>
          <w:p>
            <w:pPr>
              <w:jc w:val="right"/>
              <w:spacing w:after="0"/>
              <w:rPr>
                <w:sz w:val="20"/>
                <w:szCs w:val="20"/>
                <w:color w:val="auto"/>
              </w:rPr>
            </w:pPr>
            <w:r>
              <w:rPr>
                <w:rFonts w:ascii="Arial" w:cs="Arial" w:eastAsia="Arial" w:hAnsi="Arial"/>
                <w:sz w:val="18"/>
                <w:szCs w:val="18"/>
                <w:color w:val="auto"/>
              </w:rPr>
              <w:t>61,663</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59,531</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0"/>
                <w:szCs w:val="20"/>
                <w:color w:val="auto"/>
              </w:rPr>
            </w:pPr>
          </w:p>
        </w:tc>
      </w:tr>
      <w:tr>
        <w:trPr>
          <w:trHeight w:val="20"/>
        </w:trPr>
        <w:tc>
          <w:tcPr>
            <w:tcW w:w="3000" w:type="dxa"/>
            <w:vAlign w:val="bottom"/>
            <w:shd w:val="clear" w:color="auto" w:fill="CFF0FC"/>
          </w:tcPr>
          <w:p>
            <w:pPr>
              <w:spacing w:after="0" w:line="20" w:lineRule="exact"/>
              <w:rPr>
                <w:sz w:val="1"/>
                <w:szCs w:val="1"/>
                <w:color w:val="auto"/>
              </w:rPr>
            </w:pPr>
          </w:p>
        </w:tc>
        <w:tc>
          <w:tcPr>
            <w:tcW w:w="254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000" w:type="dxa"/>
            <w:vAlign w:val="bottom"/>
            <w:shd w:val="clear" w:color="auto" w:fill="CFF0FC"/>
          </w:tcPr>
          <w:p>
            <w:pPr>
              <w:spacing w:after="0"/>
              <w:rPr>
                <w:sz w:val="19"/>
                <w:szCs w:val="19"/>
                <w:color w:val="auto"/>
              </w:rPr>
            </w:pPr>
          </w:p>
        </w:tc>
        <w:tc>
          <w:tcPr>
            <w:tcW w:w="25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74,355</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72,065</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r>
      <w:tr>
        <w:trPr>
          <w:trHeight w:val="223"/>
        </w:trPr>
        <w:tc>
          <w:tcPr>
            <w:tcW w:w="30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Total Debt Investments</w:t>
            </w:r>
          </w:p>
        </w:tc>
        <w:tc>
          <w:tcPr>
            <w:tcW w:w="25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1,570,970</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1,541,340</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172.6%</w:t>
            </w:r>
          </w:p>
        </w:tc>
        <w:tc>
          <w:tcPr>
            <w:tcW w:w="20" w:type="dxa"/>
            <w:vAlign w:val="bottom"/>
          </w:tcPr>
          <w:p>
            <w:pPr>
              <w:spacing w:after="0"/>
              <w:rPr>
                <w:sz w:val="19"/>
                <w:szCs w:val="19"/>
                <w:color w:val="auto"/>
              </w:rPr>
            </w:pPr>
          </w:p>
        </w:tc>
      </w:tr>
      <w:tr>
        <w:trPr>
          <w:trHeight w:val="223"/>
        </w:trPr>
        <w:tc>
          <w:tcPr>
            <w:tcW w:w="3000" w:type="dxa"/>
            <w:vAlign w:val="bottom"/>
          </w:tcPr>
          <w:p>
            <w:pPr>
              <w:spacing w:after="0"/>
              <w:rPr>
                <w:sz w:val="20"/>
                <w:szCs w:val="20"/>
                <w:color w:val="auto"/>
              </w:rPr>
            </w:pPr>
            <w:r>
              <w:rPr>
                <w:rFonts w:ascii="Arial" w:cs="Arial" w:eastAsia="Arial" w:hAnsi="Arial"/>
                <w:sz w:val="18"/>
                <w:szCs w:val="18"/>
                <w:b w:val="1"/>
                <w:bCs w:val="1"/>
                <w:color w:val="auto"/>
              </w:rPr>
              <w:t>Equity and Other Investments</w:t>
            </w:r>
          </w:p>
        </w:tc>
        <w:tc>
          <w:tcPr>
            <w:tcW w:w="2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Business services</w:t>
            </w:r>
          </w:p>
        </w:tc>
        <w:tc>
          <w:tcPr>
            <w:tcW w:w="25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000" w:type="dxa"/>
            <w:vAlign w:val="bottom"/>
          </w:tcPr>
          <w:p>
            <w:pPr>
              <w:spacing w:after="0"/>
              <w:rPr>
                <w:sz w:val="20"/>
                <w:szCs w:val="20"/>
                <w:color w:val="auto"/>
              </w:rPr>
            </w:pPr>
            <w:r>
              <w:rPr>
                <w:rFonts w:ascii="Arial" w:cs="Arial" w:eastAsia="Arial" w:hAnsi="Arial"/>
                <w:sz w:val="18"/>
                <w:szCs w:val="18"/>
                <w:color w:val="auto"/>
              </w:rPr>
              <w:t>Network Merchants, Inc.</w:t>
            </w:r>
          </w:p>
        </w:tc>
        <w:tc>
          <w:tcPr>
            <w:tcW w:w="2540" w:type="dxa"/>
            <w:vAlign w:val="bottom"/>
          </w:tcPr>
          <w:p>
            <w:pPr>
              <w:ind w:left="100"/>
              <w:spacing w:after="0"/>
              <w:rPr>
                <w:sz w:val="20"/>
                <w:szCs w:val="20"/>
                <w:color w:val="auto"/>
              </w:rPr>
            </w:pPr>
            <w:r>
              <w:rPr>
                <w:rFonts w:ascii="Arial" w:cs="Arial" w:eastAsia="Arial" w:hAnsi="Arial"/>
                <w:sz w:val="18"/>
                <w:szCs w:val="18"/>
                <w:color w:val="auto"/>
              </w:rPr>
              <w:t>Non-Voting Preferred Units</w:t>
            </w: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(774,099 units)</w:t>
            </w:r>
          </w:p>
        </w:tc>
        <w:tc>
          <w:tcPr>
            <w:tcW w:w="15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9/12/2013</w:t>
            </w:r>
          </w:p>
        </w:tc>
        <w:tc>
          <w:tcPr>
            <w:tcW w:w="880" w:type="dxa"/>
            <w:vAlign w:val="bottom"/>
          </w:tcPr>
          <w:p>
            <w:pPr>
              <w:jc w:val="right"/>
              <w:spacing w:after="0"/>
              <w:rPr>
                <w:sz w:val="20"/>
                <w:szCs w:val="20"/>
                <w:color w:val="auto"/>
              </w:rPr>
            </w:pPr>
            <w:r>
              <w:rPr>
                <w:rFonts w:ascii="Arial" w:cs="Arial" w:eastAsia="Arial" w:hAnsi="Arial"/>
                <w:sz w:val="18"/>
                <w:szCs w:val="18"/>
                <w:color w:val="auto"/>
              </w:rPr>
              <w:t>780</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1,119</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30"/>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Financial Services</w:t>
            </w:r>
          </w:p>
        </w:tc>
        <w:tc>
          <w:tcPr>
            <w:tcW w:w="25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000" w:type="dxa"/>
            <w:vAlign w:val="bottom"/>
          </w:tcPr>
          <w:p>
            <w:pPr>
              <w:spacing w:after="0"/>
              <w:rPr>
                <w:sz w:val="20"/>
                <w:szCs w:val="20"/>
                <w:color w:val="auto"/>
              </w:rPr>
            </w:pPr>
            <w:r>
              <w:rPr>
                <w:rFonts w:ascii="Arial" w:cs="Arial" w:eastAsia="Arial" w:hAnsi="Arial"/>
                <w:sz w:val="18"/>
                <w:szCs w:val="18"/>
                <w:color w:val="auto"/>
              </w:rPr>
              <w:t>AvidXchange, Inc.</w:t>
            </w:r>
          </w:p>
        </w:tc>
        <w:tc>
          <w:tcPr>
            <w:tcW w:w="2540" w:type="dxa"/>
            <w:vAlign w:val="bottom"/>
          </w:tcPr>
          <w:p>
            <w:pPr>
              <w:ind w:left="100"/>
              <w:spacing w:after="0"/>
              <w:rPr>
                <w:sz w:val="20"/>
                <w:szCs w:val="20"/>
                <w:color w:val="auto"/>
              </w:rPr>
            </w:pPr>
            <w:r>
              <w:rPr>
                <w:rFonts w:ascii="Arial" w:cs="Arial" w:eastAsia="Arial" w:hAnsi="Arial"/>
                <w:sz w:val="18"/>
                <w:szCs w:val="18"/>
                <w:color w:val="auto"/>
              </w:rPr>
              <w:t>Series E Preferred Equity</w:t>
            </w: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(214,132 shares)</w:t>
            </w:r>
          </w:p>
        </w:tc>
        <w:tc>
          <w:tcPr>
            <w:tcW w:w="15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8/7/2015</w:t>
            </w:r>
          </w:p>
        </w:tc>
        <w:tc>
          <w:tcPr>
            <w:tcW w:w="880" w:type="dxa"/>
            <w:vAlign w:val="bottom"/>
          </w:tcPr>
          <w:p>
            <w:pPr>
              <w:jc w:val="right"/>
              <w:spacing w:after="0"/>
              <w:rPr>
                <w:sz w:val="20"/>
                <w:szCs w:val="20"/>
                <w:color w:val="auto"/>
              </w:rPr>
            </w:pPr>
            <w:r>
              <w:rPr>
                <w:rFonts w:ascii="Arial" w:cs="Arial" w:eastAsia="Arial" w:hAnsi="Arial"/>
                <w:sz w:val="18"/>
                <w:szCs w:val="18"/>
                <w:color w:val="auto"/>
              </w:rPr>
              <w:t>3,846</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3,846</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0"/>
                <w:szCs w:val="20"/>
                <w:color w:val="auto"/>
              </w:rPr>
            </w:pPr>
          </w:p>
        </w:tc>
      </w:tr>
      <w:tr>
        <w:trPr>
          <w:trHeight w:val="215"/>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TICC Capital Corp. </w:t>
            </w:r>
            <w:r>
              <w:rPr>
                <w:rFonts w:ascii="Arial" w:cs="Arial" w:eastAsia="Arial" w:hAnsi="Arial"/>
                <w:sz w:val="15"/>
                <w:szCs w:val="15"/>
                <w:color w:val="auto"/>
              </w:rPr>
              <w:t>(4)</w:t>
            </w:r>
          </w:p>
        </w:tc>
        <w:tc>
          <w:tcPr>
            <w:tcW w:w="25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Common Shares (1,633,660</w:t>
            </w:r>
          </w:p>
        </w:tc>
        <w:tc>
          <w:tcPr>
            <w:tcW w:w="15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shd w:val="clear" w:color="auto" w:fill="CFF0FC"/>
          </w:tcPr>
          <w:p>
            <w:pPr>
              <w:spacing w:after="0"/>
              <w:rPr>
                <w:sz w:val="20"/>
                <w:szCs w:val="20"/>
                <w:color w:val="auto"/>
              </w:rPr>
            </w:pPr>
          </w:p>
        </w:tc>
        <w:tc>
          <w:tcPr>
            <w:tcW w:w="25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shares)</w:t>
            </w:r>
          </w:p>
        </w:tc>
        <w:tc>
          <w:tcPr>
            <w:tcW w:w="15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8/5/2015</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10,943</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7,842</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0"/>
                <w:szCs w:val="20"/>
                <w:color w:val="auto"/>
              </w:rPr>
            </w:pPr>
          </w:p>
        </w:tc>
      </w:tr>
      <w:tr>
        <w:trPr>
          <w:trHeight w:val="20"/>
        </w:trPr>
        <w:tc>
          <w:tcPr>
            <w:tcW w:w="30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0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14,789</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11,688</w:t>
            </w:r>
          </w:p>
        </w:tc>
        <w:tc>
          <w:tcPr>
            <w:tcW w:w="2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r>
      <w:tr>
        <w:trPr>
          <w:trHeight w:val="223"/>
        </w:trPr>
        <w:tc>
          <w:tcPr>
            <w:tcW w:w="30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Healthcare</w:t>
            </w:r>
          </w:p>
        </w:tc>
        <w:tc>
          <w:tcPr>
            <w:tcW w:w="254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000" w:type="dxa"/>
            <w:vAlign w:val="bottom"/>
          </w:tcPr>
          <w:p>
            <w:pPr>
              <w:spacing w:after="0"/>
              <w:rPr>
                <w:sz w:val="20"/>
                <w:szCs w:val="20"/>
                <w:color w:val="auto"/>
              </w:rPr>
            </w:pPr>
            <w:r>
              <w:rPr>
                <w:rFonts w:ascii="Arial" w:cs="Arial" w:eastAsia="Arial" w:hAnsi="Arial"/>
                <w:sz w:val="18"/>
                <w:szCs w:val="18"/>
                <w:color w:val="auto"/>
              </w:rPr>
              <w:t>Global Healthcare Exchange,</w:t>
            </w:r>
          </w:p>
        </w:tc>
        <w:tc>
          <w:tcPr>
            <w:tcW w:w="2540" w:type="dxa"/>
            <w:vAlign w:val="bottom"/>
          </w:tcPr>
          <w:p>
            <w:pPr>
              <w:ind w:left="100"/>
              <w:spacing w:after="0"/>
              <w:rPr>
                <w:sz w:val="20"/>
                <w:szCs w:val="20"/>
                <w:color w:val="auto"/>
              </w:rPr>
            </w:pPr>
            <w:r>
              <w:rPr>
                <w:rFonts w:ascii="Arial" w:cs="Arial" w:eastAsia="Arial" w:hAnsi="Arial"/>
                <w:sz w:val="18"/>
                <w:szCs w:val="18"/>
                <w:color w:val="auto"/>
                <w:w w:val="99"/>
              </w:rPr>
              <w:t>Common Shares Class A (598</w:t>
            </w: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tcPr>
          <w:p>
            <w:pPr>
              <w:ind w:left="140"/>
              <w:spacing w:after="0"/>
              <w:rPr>
                <w:sz w:val="20"/>
                <w:szCs w:val="20"/>
                <w:color w:val="auto"/>
              </w:rPr>
            </w:pPr>
            <w:r>
              <w:rPr>
                <w:rFonts w:ascii="Arial" w:cs="Arial" w:eastAsia="Arial" w:hAnsi="Arial"/>
                <w:sz w:val="18"/>
                <w:szCs w:val="18"/>
                <w:color w:val="auto"/>
              </w:rPr>
              <w:t>LLC</w:t>
            </w:r>
          </w:p>
        </w:tc>
        <w:tc>
          <w:tcPr>
            <w:tcW w:w="2540" w:type="dxa"/>
            <w:vAlign w:val="bottom"/>
          </w:tcPr>
          <w:p>
            <w:pPr>
              <w:ind w:left="100"/>
              <w:spacing w:after="0"/>
              <w:rPr>
                <w:sz w:val="20"/>
                <w:szCs w:val="20"/>
                <w:color w:val="auto"/>
              </w:rPr>
            </w:pPr>
            <w:r>
              <w:rPr>
                <w:rFonts w:ascii="Arial" w:cs="Arial" w:eastAsia="Arial" w:hAnsi="Arial"/>
                <w:sz w:val="18"/>
                <w:szCs w:val="18"/>
                <w:color w:val="auto"/>
              </w:rPr>
              <w:t>shares)</w:t>
            </w:r>
          </w:p>
        </w:tc>
        <w:tc>
          <w:tcPr>
            <w:tcW w:w="15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3/11/2014</w:t>
            </w:r>
          </w:p>
        </w:tc>
        <w:tc>
          <w:tcPr>
            <w:tcW w:w="880" w:type="dxa"/>
            <w:vAlign w:val="bottom"/>
          </w:tcPr>
          <w:p>
            <w:pPr>
              <w:jc w:val="right"/>
              <w:spacing w:after="0"/>
              <w:rPr>
                <w:sz w:val="20"/>
                <w:szCs w:val="20"/>
                <w:color w:val="auto"/>
              </w:rPr>
            </w:pPr>
            <w:r>
              <w:rPr>
                <w:rFonts w:ascii="Arial" w:cs="Arial" w:eastAsia="Arial" w:hAnsi="Arial"/>
                <w:sz w:val="18"/>
                <w:szCs w:val="18"/>
                <w:color w:val="auto"/>
              </w:rPr>
              <w:t>467</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729</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15"/>
        </w:trPr>
        <w:tc>
          <w:tcPr>
            <w:tcW w:w="3000" w:type="dxa"/>
            <w:vAlign w:val="bottom"/>
            <w:shd w:val="clear" w:color="auto" w:fill="CFF0FC"/>
          </w:tcPr>
          <w:p>
            <w:pPr>
              <w:spacing w:after="0"/>
              <w:rPr>
                <w:sz w:val="18"/>
                <w:szCs w:val="18"/>
                <w:color w:val="auto"/>
              </w:rPr>
            </w:pPr>
          </w:p>
        </w:tc>
        <w:tc>
          <w:tcPr>
            <w:tcW w:w="254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Common Shares Class B (196</w:t>
            </w:r>
          </w:p>
        </w:tc>
        <w:tc>
          <w:tcPr>
            <w:tcW w:w="15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shd w:val="clear" w:color="auto" w:fill="CFF0FC"/>
          </w:tcPr>
          <w:p>
            <w:pPr>
              <w:spacing w:after="0"/>
              <w:rPr>
                <w:sz w:val="20"/>
                <w:szCs w:val="20"/>
                <w:color w:val="auto"/>
              </w:rPr>
            </w:pPr>
          </w:p>
        </w:tc>
        <w:tc>
          <w:tcPr>
            <w:tcW w:w="25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shares)</w:t>
            </w:r>
          </w:p>
        </w:tc>
        <w:tc>
          <w:tcPr>
            <w:tcW w:w="15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3/11/2014</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r>
      <w:tr>
        <w:trPr>
          <w:trHeight w:val="215"/>
        </w:trPr>
        <w:tc>
          <w:tcPr>
            <w:tcW w:w="3000" w:type="dxa"/>
            <w:vAlign w:val="bottom"/>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(4)</w:t>
            </w:r>
          </w:p>
        </w:tc>
        <w:tc>
          <w:tcPr>
            <w:tcW w:w="2540" w:type="dxa"/>
            <w:vAlign w:val="bottom"/>
          </w:tcPr>
          <w:p>
            <w:pPr>
              <w:ind w:left="100"/>
              <w:spacing w:after="0"/>
              <w:rPr>
                <w:sz w:val="20"/>
                <w:szCs w:val="20"/>
                <w:color w:val="auto"/>
              </w:rPr>
            </w:pPr>
            <w:r>
              <w:rPr>
                <w:rFonts w:ascii="Arial" w:cs="Arial" w:eastAsia="Arial" w:hAnsi="Arial"/>
                <w:sz w:val="18"/>
                <w:szCs w:val="18"/>
                <w:color w:val="auto"/>
              </w:rPr>
              <w:t>Warrants</w:t>
            </w: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1,012</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9/30/2014</w:t>
            </w:r>
          </w:p>
        </w:tc>
        <w:tc>
          <w:tcPr>
            <w:tcW w:w="880" w:type="dxa"/>
            <w:vAlign w:val="bottom"/>
          </w:tcPr>
          <w:p>
            <w:pPr>
              <w:jc w:val="right"/>
              <w:spacing w:after="0"/>
              <w:rPr>
                <w:sz w:val="20"/>
                <w:szCs w:val="20"/>
                <w:color w:val="auto"/>
              </w:rPr>
            </w:pPr>
            <w:r>
              <w:rPr>
                <w:rFonts w:ascii="Arial" w:cs="Arial" w:eastAsia="Arial" w:hAnsi="Arial"/>
                <w:sz w:val="18"/>
                <w:szCs w:val="18"/>
                <w:color w:val="auto"/>
              </w:rPr>
              <w:t>877</w:t>
            </w: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(EUR 888)</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15"/>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SRS Parent Corp.</w:t>
            </w:r>
          </w:p>
        </w:tc>
        <w:tc>
          <w:tcPr>
            <w:tcW w:w="25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Common Shares Class A</w:t>
            </w:r>
          </w:p>
        </w:tc>
        <w:tc>
          <w:tcPr>
            <w:tcW w:w="15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000" w:type="dxa"/>
            <w:vAlign w:val="bottom"/>
            <w:shd w:val="clear" w:color="auto" w:fill="CFF0FC"/>
          </w:tcPr>
          <w:p>
            <w:pPr>
              <w:spacing w:after="0"/>
              <w:rPr>
                <w:sz w:val="20"/>
                <w:szCs w:val="20"/>
                <w:color w:val="auto"/>
              </w:rPr>
            </w:pPr>
          </w:p>
        </w:tc>
        <w:tc>
          <w:tcPr>
            <w:tcW w:w="25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(1,980 shares)</w:t>
            </w:r>
          </w:p>
        </w:tc>
        <w:tc>
          <w:tcPr>
            <w:tcW w:w="15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12/28/2012</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540" w:type="dxa"/>
            <w:vAlign w:val="bottom"/>
          </w:tcPr>
          <w:p>
            <w:pPr>
              <w:jc w:val="right"/>
              <w:ind w:right="1230"/>
              <w:spacing w:after="0"/>
              <w:rPr>
                <w:sz w:val="20"/>
                <w:szCs w:val="20"/>
                <w:color w:val="auto"/>
              </w:rPr>
            </w:pPr>
            <w:r>
              <w:rPr>
                <w:rFonts w:ascii="Arial" w:cs="Arial" w:eastAsia="Arial" w:hAnsi="Arial"/>
                <w:sz w:val="18"/>
                <w:szCs w:val="18"/>
                <w:color w:val="auto"/>
              </w:rPr>
              <w:t>8</w:t>
            </w: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00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6"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Common Shares Class B</w:t>
            </w: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(2,953,020 shares)</w:t>
            </w:r>
          </w:p>
        </w:tc>
        <w:tc>
          <w:tcPr>
            <w:tcW w:w="11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12/28/2012</w:t>
            </w: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680" w:type="dxa"/>
            <w:vAlign w:val="bottom"/>
            <w:shd w:val="clear" w:color="auto" w:fill="CFF0FC"/>
          </w:tcPr>
          <w:p>
            <w:pPr>
              <w:spacing w:after="0" w:line="20" w:lineRule="exact"/>
              <w:rPr>
                <w:sz w:val="1"/>
                <w:szCs w:val="1"/>
                <w:color w:val="auto"/>
              </w:rPr>
            </w:pPr>
          </w:p>
        </w:tc>
        <w:tc>
          <w:tcPr>
            <w:tcW w:w="326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80" w:type="dxa"/>
            <w:vAlign w:val="bottom"/>
            <w:shd w:val="clear" w:color="auto" w:fill="CFF0FC"/>
          </w:tcPr>
          <w:p>
            <w:pPr>
              <w:spacing w:after="0"/>
              <w:rPr>
                <w:sz w:val="19"/>
                <w:szCs w:val="19"/>
                <w:color w:val="auto"/>
              </w:rPr>
            </w:pPr>
          </w:p>
        </w:tc>
        <w:tc>
          <w:tcPr>
            <w:tcW w:w="3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3,481</w:t>
            </w:r>
          </w:p>
        </w:tc>
        <w:tc>
          <w:tcPr>
            <w:tcW w:w="22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2,880</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680" w:type="dxa"/>
            <w:vAlign w:val="bottom"/>
          </w:tcPr>
          <w:p>
            <w:pPr>
              <w:ind w:left="260"/>
              <w:spacing w:after="0"/>
              <w:rPr>
                <w:sz w:val="20"/>
                <w:szCs w:val="20"/>
                <w:color w:val="auto"/>
              </w:rPr>
            </w:pPr>
            <w:r>
              <w:rPr>
                <w:rFonts w:ascii="Arial" w:cs="Arial" w:eastAsia="Arial" w:hAnsi="Arial"/>
                <w:sz w:val="18"/>
                <w:szCs w:val="18"/>
                <w:b w:val="1"/>
                <w:bCs w:val="1"/>
                <w:color w:val="auto"/>
              </w:rPr>
              <w:t>Hotel, gaming, and leisure</w:t>
            </w:r>
          </w:p>
        </w:tc>
        <w:tc>
          <w:tcPr>
            <w:tcW w:w="3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(7)</w:t>
            </w:r>
          </w:p>
        </w:tc>
        <w:tc>
          <w:tcPr>
            <w:tcW w:w="32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Class A Units (5,000,000 units)</w:t>
            </w:r>
          </w:p>
        </w:tc>
        <w:tc>
          <w:tcPr>
            <w:tcW w:w="1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9/29/2015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3,897</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5"/>
        </w:trPr>
        <w:tc>
          <w:tcPr>
            <w:tcW w:w="268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Class C-1 Units (8,800,000</w:t>
            </w: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units)</w:t>
            </w:r>
          </w:p>
        </w:tc>
        <w:tc>
          <w:tcPr>
            <w:tcW w:w="11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9/29/2015</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680" w:type="dxa"/>
            <w:vAlign w:val="bottom"/>
            <w:shd w:val="clear" w:color="auto" w:fill="CFF0FC"/>
          </w:tcPr>
          <w:p>
            <w:pPr>
              <w:spacing w:after="0" w:line="20" w:lineRule="exact"/>
              <w:rPr>
                <w:sz w:val="1"/>
                <w:szCs w:val="1"/>
                <w:color w:val="auto"/>
              </w:rPr>
            </w:pPr>
          </w:p>
        </w:tc>
        <w:tc>
          <w:tcPr>
            <w:tcW w:w="326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80" w:type="dxa"/>
            <w:vAlign w:val="bottom"/>
            <w:shd w:val="clear" w:color="auto" w:fill="CFF0FC"/>
          </w:tcPr>
          <w:p>
            <w:pPr>
              <w:spacing w:after="0"/>
              <w:rPr>
                <w:sz w:val="19"/>
                <w:szCs w:val="19"/>
                <w:color w:val="auto"/>
              </w:rPr>
            </w:pPr>
          </w:p>
        </w:tc>
        <w:tc>
          <w:tcPr>
            <w:tcW w:w="3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w:t>
            </w:r>
          </w:p>
        </w:tc>
        <w:tc>
          <w:tcPr>
            <w:tcW w:w="22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5"/>
        </w:trPr>
        <w:tc>
          <w:tcPr>
            <w:tcW w:w="2680" w:type="dxa"/>
            <w:vAlign w:val="bottom"/>
          </w:tcPr>
          <w:p>
            <w:pPr>
              <w:ind w:left="260"/>
              <w:spacing w:after="0" w:line="205" w:lineRule="exact"/>
              <w:rPr>
                <w:sz w:val="20"/>
                <w:szCs w:val="20"/>
                <w:color w:val="auto"/>
              </w:rPr>
            </w:pPr>
            <w:r>
              <w:rPr>
                <w:rFonts w:ascii="Arial" w:cs="Arial" w:eastAsia="Arial" w:hAnsi="Arial"/>
                <w:sz w:val="18"/>
                <w:szCs w:val="18"/>
                <w:b w:val="1"/>
                <w:bCs w:val="1"/>
                <w:color w:val="auto"/>
              </w:rPr>
              <w:t>Oil, gas and consumable</w:t>
            </w:r>
          </w:p>
        </w:tc>
        <w:tc>
          <w:tcPr>
            <w:tcW w:w="3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80" w:type="dxa"/>
            <w:vAlign w:val="bottom"/>
          </w:tcPr>
          <w:p>
            <w:pPr>
              <w:ind w:left="380"/>
              <w:spacing w:after="0"/>
              <w:rPr>
                <w:sz w:val="20"/>
                <w:szCs w:val="20"/>
                <w:color w:val="auto"/>
              </w:rPr>
            </w:pPr>
            <w:r>
              <w:rPr>
                <w:rFonts w:ascii="Arial" w:cs="Arial" w:eastAsia="Arial" w:hAnsi="Arial"/>
                <w:sz w:val="18"/>
                <w:szCs w:val="18"/>
                <w:b w:val="1"/>
                <w:bCs w:val="1"/>
                <w:color w:val="auto"/>
              </w:rPr>
              <w:t>fuels</w:t>
            </w:r>
          </w:p>
        </w:tc>
        <w:tc>
          <w:tcPr>
            <w:tcW w:w="3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(7)</w:t>
            </w:r>
          </w:p>
        </w:tc>
        <w:tc>
          <w:tcPr>
            <w:tcW w:w="32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Class A Member Units (933</w:t>
            </w:r>
          </w:p>
        </w:tc>
        <w:tc>
          <w:tcPr>
            <w:tcW w:w="1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spacing w:after="0"/>
              <w:rPr>
                <w:sz w:val="20"/>
                <w:szCs w:val="20"/>
                <w:color w:val="auto"/>
              </w:rPr>
            </w:pPr>
          </w:p>
        </w:tc>
        <w:tc>
          <w:tcPr>
            <w:tcW w:w="32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units)</w:t>
            </w:r>
          </w:p>
        </w:tc>
        <w:tc>
          <w:tcPr>
            <w:tcW w:w="116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6/4/2014</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8,874</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680" w:type="dxa"/>
            <w:vAlign w:val="bottom"/>
          </w:tcPr>
          <w:p>
            <w:pPr>
              <w:ind w:left="260"/>
              <w:spacing w:after="0"/>
              <w:rPr>
                <w:sz w:val="20"/>
                <w:szCs w:val="20"/>
                <w:color w:val="auto"/>
              </w:rPr>
            </w:pPr>
            <w:r>
              <w:rPr>
                <w:rFonts w:ascii="Arial" w:cs="Arial" w:eastAsia="Arial" w:hAnsi="Arial"/>
                <w:sz w:val="18"/>
                <w:szCs w:val="18"/>
                <w:b w:val="1"/>
                <w:bCs w:val="1"/>
                <w:color w:val="auto"/>
              </w:rPr>
              <w:t>Other</w:t>
            </w:r>
          </w:p>
        </w:tc>
        <w:tc>
          <w:tcPr>
            <w:tcW w:w="3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Oak Hill Credit Partners </w:t>
            </w:r>
            <w:r>
              <w:rPr>
                <w:rFonts w:ascii="Arial" w:cs="Arial" w:eastAsia="Arial" w:hAnsi="Arial"/>
                <w:sz w:val="15"/>
                <w:szCs w:val="15"/>
                <w:color w:val="auto"/>
              </w:rPr>
              <w:t>(4)(6)</w:t>
            </w:r>
          </w:p>
        </w:tc>
        <w:tc>
          <w:tcPr>
            <w:tcW w:w="32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Structured Product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6.12%</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8/21/2015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3,306</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2,267</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 xml:space="preserve">Symphony </w:t>
            </w:r>
            <w:r>
              <w:rPr>
                <w:rFonts w:ascii="Arial" w:cs="Arial" w:eastAsia="Arial" w:hAnsi="Arial"/>
                <w:sz w:val="15"/>
                <w:szCs w:val="15"/>
                <w:color w:val="auto"/>
              </w:rPr>
              <w:t>(4)(6)</w:t>
            </w:r>
          </w:p>
        </w:tc>
        <w:tc>
          <w:tcPr>
            <w:tcW w:w="3260" w:type="dxa"/>
            <w:vAlign w:val="bottom"/>
          </w:tcPr>
          <w:p>
            <w:pPr>
              <w:ind w:left="420"/>
              <w:spacing w:after="0"/>
              <w:rPr>
                <w:sz w:val="20"/>
                <w:szCs w:val="20"/>
                <w:color w:val="auto"/>
              </w:rPr>
            </w:pPr>
            <w:r>
              <w:rPr>
                <w:rFonts w:ascii="Arial" w:cs="Arial" w:eastAsia="Arial" w:hAnsi="Arial"/>
                <w:sz w:val="18"/>
                <w:szCs w:val="18"/>
                <w:color w:val="auto"/>
              </w:rPr>
              <w:t>Structured Product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6.37%</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11/17/2014</w:t>
            </w:r>
          </w:p>
        </w:tc>
        <w:tc>
          <w:tcPr>
            <w:tcW w:w="900" w:type="dxa"/>
            <w:vAlign w:val="bottom"/>
          </w:tcPr>
          <w:p>
            <w:pPr>
              <w:jc w:val="right"/>
              <w:spacing w:after="0"/>
              <w:rPr>
                <w:sz w:val="20"/>
                <w:szCs w:val="20"/>
                <w:color w:val="auto"/>
              </w:rPr>
            </w:pPr>
            <w:r>
              <w:rPr>
                <w:rFonts w:ascii="Arial" w:cs="Arial" w:eastAsia="Arial" w:hAnsi="Arial"/>
                <w:sz w:val="18"/>
                <w:szCs w:val="18"/>
                <w:color w:val="auto"/>
              </w:rPr>
              <w:t>5,596</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4,223</w:t>
            </w:r>
          </w:p>
        </w:tc>
        <w:tc>
          <w:tcPr>
            <w:tcW w:w="2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680" w:type="dxa"/>
            <w:vAlign w:val="bottom"/>
            <w:shd w:val="clear" w:color="auto" w:fill="CFF0FC"/>
          </w:tcPr>
          <w:p>
            <w:pPr>
              <w:spacing w:after="0" w:line="20" w:lineRule="exact"/>
              <w:rPr>
                <w:sz w:val="1"/>
                <w:szCs w:val="1"/>
                <w:color w:val="auto"/>
              </w:rPr>
            </w:pPr>
          </w:p>
        </w:tc>
        <w:tc>
          <w:tcPr>
            <w:tcW w:w="326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80" w:type="dxa"/>
            <w:vAlign w:val="bottom"/>
            <w:shd w:val="clear" w:color="auto" w:fill="CFF0FC"/>
          </w:tcPr>
          <w:p>
            <w:pPr>
              <w:spacing w:after="0"/>
              <w:rPr>
                <w:sz w:val="19"/>
                <w:szCs w:val="19"/>
                <w:color w:val="auto"/>
              </w:rPr>
            </w:pPr>
          </w:p>
        </w:tc>
        <w:tc>
          <w:tcPr>
            <w:tcW w:w="3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8,902</w:t>
            </w:r>
          </w:p>
        </w:tc>
        <w:tc>
          <w:tcPr>
            <w:tcW w:w="22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6,490</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5"/>
        </w:trPr>
        <w:tc>
          <w:tcPr>
            <w:tcW w:w="2680" w:type="dxa"/>
            <w:vAlign w:val="bottom"/>
          </w:tcPr>
          <w:p>
            <w:pPr>
              <w:ind w:left="260"/>
              <w:spacing w:after="0" w:line="205" w:lineRule="exact"/>
              <w:rPr>
                <w:sz w:val="20"/>
                <w:szCs w:val="20"/>
                <w:color w:val="auto"/>
              </w:rPr>
            </w:pPr>
            <w:r>
              <w:rPr>
                <w:rFonts w:ascii="Arial" w:cs="Arial" w:eastAsia="Arial" w:hAnsi="Arial"/>
                <w:sz w:val="18"/>
                <w:szCs w:val="18"/>
                <w:b w:val="1"/>
                <w:bCs w:val="1"/>
                <w:color w:val="auto"/>
              </w:rPr>
              <w:t>Total Equity and Other</w:t>
            </w:r>
          </w:p>
        </w:tc>
        <w:tc>
          <w:tcPr>
            <w:tcW w:w="3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80" w:type="dxa"/>
            <w:vAlign w:val="bottom"/>
          </w:tcPr>
          <w:p>
            <w:pPr>
              <w:ind w:left="380"/>
              <w:spacing w:after="0"/>
              <w:rPr>
                <w:sz w:val="20"/>
                <w:szCs w:val="20"/>
                <w:color w:val="auto"/>
              </w:rPr>
            </w:pPr>
            <w:r>
              <w:rPr>
                <w:rFonts w:ascii="Arial" w:cs="Arial" w:eastAsia="Arial" w:hAnsi="Arial"/>
                <w:sz w:val="18"/>
                <w:szCs w:val="18"/>
                <w:b w:val="1"/>
                <w:bCs w:val="1"/>
                <w:color w:val="auto"/>
              </w:rPr>
              <w:t>Investments</w:t>
            </w:r>
          </w:p>
        </w:tc>
        <w:tc>
          <w:tcPr>
            <w:tcW w:w="3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40,823</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22,324</w:t>
            </w: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68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Total Investments</w:t>
            </w:r>
          </w:p>
        </w:tc>
        <w:tc>
          <w:tcPr>
            <w:tcW w:w="326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80" w:type="dxa"/>
            <w:vAlign w:val="bottom"/>
            <w:vMerge w:val="continue"/>
            <w:shd w:val="clear" w:color="auto" w:fill="CFF0FC"/>
          </w:tcPr>
          <w:p>
            <w:pPr>
              <w:spacing w:after="0"/>
              <w:rPr>
                <w:sz w:val="19"/>
                <w:szCs w:val="19"/>
                <w:color w:val="auto"/>
              </w:rPr>
            </w:pPr>
          </w:p>
        </w:tc>
        <w:tc>
          <w:tcPr>
            <w:tcW w:w="3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0"/>
              </w:rPr>
              <w:t>$ 1,611,793</w:t>
            </w:r>
          </w:p>
        </w:tc>
        <w:tc>
          <w:tcPr>
            <w:tcW w:w="22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0"/>
              </w:rPr>
              <w:t>$ 1,563,664</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175.1%</w:t>
            </w:r>
          </w:p>
        </w:tc>
        <w:tc>
          <w:tcPr>
            <w:tcW w:w="0" w:type="dxa"/>
            <w:vAlign w:val="bottom"/>
          </w:tcPr>
          <w:p>
            <w:pPr>
              <w:spacing w:after="0"/>
              <w:rPr>
                <w:sz w:val="1"/>
                <w:szCs w:val="1"/>
                <w:color w:val="auto"/>
              </w:rPr>
            </w:pPr>
          </w:p>
        </w:tc>
      </w:tr>
      <w:tr>
        <w:trPr>
          <w:trHeight w:val="20"/>
        </w:trPr>
        <w:tc>
          <w:tcPr>
            <w:tcW w:w="2680" w:type="dxa"/>
            <w:vAlign w:val="bottom"/>
            <w:tcBorders>
              <w:top w:val="single" w:sz="8" w:color="CFF0FC"/>
            </w:tcBorders>
          </w:tcPr>
          <w:p>
            <w:pPr>
              <w:spacing w:after="0" w:line="20" w:lineRule="exact"/>
              <w:rPr>
                <w:sz w:val="1"/>
                <w:szCs w:val="1"/>
                <w:color w:val="auto"/>
              </w:rPr>
            </w:pPr>
          </w:p>
        </w:tc>
        <w:tc>
          <w:tcPr>
            <w:tcW w:w="32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20" w:right="180" w:hanging="512"/>
        <w:spacing w:after="0" w:line="250"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20" w:hanging="512"/>
        <w:spacing w:after="0" w:line="250"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spacing w:after="0" w:line="1" w:lineRule="exact"/>
        <w:rPr>
          <w:rFonts w:ascii="Arial" w:cs="Arial" w:eastAsia="Arial" w:hAnsi="Arial"/>
          <w:sz w:val="18"/>
          <w:szCs w:val="18"/>
          <w:color w:val="auto"/>
        </w:rPr>
      </w:pPr>
    </w:p>
    <w:p>
      <w:pPr>
        <w:jc w:val="both"/>
        <w:ind w:left="520" w:right="40" w:hanging="512"/>
        <w:spacing w:after="0" w:line="250"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w:t>
      </w:r>
    </w:p>
    <w:p>
      <w:pPr>
        <w:spacing w:after="0" w:line="1" w:lineRule="exact"/>
        <w:rPr>
          <w:rFonts w:ascii="Arial" w:cs="Arial" w:eastAsia="Arial" w:hAnsi="Arial"/>
          <w:sz w:val="18"/>
          <w:szCs w:val="18"/>
          <w:color w:val="auto"/>
        </w:rPr>
      </w:pPr>
    </w:p>
    <w:p>
      <w:pPr>
        <w:ind w:left="520" w:right="400" w:hanging="512"/>
        <w:spacing w:after="0" w:line="250"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9" w:lineRule="exact"/>
        <w:rPr>
          <w:rFonts w:ascii="Arial" w:cs="Arial" w:eastAsia="Arial" w:hAnsi="Arial"/>
          <w:sz w:val="18"/>
          <w:szCs w:val="18"/>
          <w:color w:val="auto"/>
        </w:rPr>
      </w:pPr>
    </w:p>
    <w:p>
      <w:pPr>
        <w:ind w:left="520" w:right="60" w:hanging="512"/>
        <w:spacing w:after="0" w:line="273"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three months ended March 31, 2016 in which the issuer was an Affiliated Person of and was deemed to Control a portfolio company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43"/>
              <w:spacing w:after="0"/>
              <w:rPr>
                <w:sz w:val="20"/>
                <w:szCs w:val="20"/>
                <w:color w:val="auto"/>
              </w:rPr>
            </w:pPr>
            <w:r>
              <w:rPr>
                <w:rFonts w:ascii="Arial" w:cs="Arial" w:eastAsia="Arial" w:hAnsi="Arial"/>
                <w:sz w:val="14"/>
                <w:szCs w:val="14"/>
                <w:b w:val="1"/>
                <w:bCs w:val="1"/>
                <w:color w:val="auto"/>
                <w:w w:val="93"/>
              </w:rPr>
              <w:t>Fair</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Fair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89"/>
              </w:rPr>
              <w:t>Value at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Net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Value at</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85"/>
              </w:rPr>
              <w:t>December</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196"/>
              <w:spacing w:after="0" w:line="149" w:lineRule="exact"/>
              <w:rPr>
                <w:sz w:val="20"/>
                <w:szCs w:val="20"/>
                <w:color w:val="auto"/>
              </w:rPr>
            </w:pPr>
            <w:r>
              <w:rPr>
                <w:rFonts w:ascii="Arial" w:cs="Arial" w:eastAsia="Arial" w:hAnsi="Arial"/>
                <w:sz w:val="14"/>
                <w:szCs w:val="14"/>
                <w:b w:val="1"/>
                <w:bCs w:val="1"/>
                <w:color w:val="auto"/>
                <w:w w:val="98"/>
              </w:rPr>
              <w:t>Gross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8"/>
              </w:rPr>
              <w:t>Gross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Unrealized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7"/>
              </w:rPr>
              <w:t>Realized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March</w:t>
            </w:r>
          </w:p>
        </w:tc>
        <w:tc>
          <w:tcPr>
            <w:tcW w:w="160" w:type="dxa"/>
            <w:vAlign w:val="bottom"/>
          </w:tcPr>
          <w:p>
            <w:pPr>
              <w:spacing w:after="0"/>
              <w:rPr>
                <w:sz w:val="12"/>
                <w:szCs w:val="12"/>
                <w:color w:val="auto"/>
              </w:rPr>
            </w:pPr>
          </w:p>
        </w:tc>
        <w:tc>
          <w:tcPr>
            <w:tcW w:w="760" w:type="dxa"/>
            <w:vAlign w:val="bottom"/>
          </w:tcPr>
          <w:p>
            <w:pPr>
              <w:jc w:val="right"/>
              <w:ind w:right="219"/>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Interest</w:t>
            </w:r>
          </w:p>
        </w:tc>
      </w:tr>
      <w:tr>
        <w:trPr>
          <w:trHeight w:val="161"/>
        </w:trPr>
        <w:tc>
          <w:tcPr>
            <w:tcW w:w="2660" w:type="dxa"/>
            <w:vAlign w:val="bottom"/>
          </w:tcPr>
          <w:p>
            <w:pPr>
              <w:ind w:left="1040"/>
              <w:spacing w:after="0"/>
              <w:rPr>
                <w:sz w:val="20"/>
                <w:szCs w:val="20"/>
                <w:color w:val="auto"/>
              </w:rPr>
            </w:pPr>
            <w:r>
              <w:rPr>
                <w:rFonts w:ascii="Arial" w:cs="Arial" w:eastAsia="Arial" w:hAnsi="Arial"/>
                <w:sz w:val="14"/>
                <w:szCs w:val="14"/>
                <w:b w:val="1"/>
                <w:bCs w:val="1"/>
                <w:color w:val="auto"/>
              </w:rPr>
              <w:t>Company</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43"/>
              <w:spacing w:after="0"/>
              <w:rPr>
                <w:sz w:val="20"/>
                <w:szCs w:val="20"/>
                <w:color w:val="auto"/>
              </w:rPr>
            </w:pPr>
            <w:r>
              <w:rPr>
                <w:rFonts w:ascii="Arial" w:cs="Arial" w:eastAsia="Arial" w:hAnsi="Arial"/>
                <w:sz w:val="14"/>
                <w:szCs w:val="14"/>
                <w:b w:val="1"/>
                <w:bCs w:val="1"/>
                <w:color w:val="auto"/>
                <w:w w:val="88"/>
              </w:rPr>
              <w:t>31, 2015</w:t>
            </w:r>
          </w:p>
        </w:tc>
        <w:tc>
          <w:tcPr>
            <w:tcW w:w="2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Additions (a)</w:t>
            </w:r>
          </w:p>
        </w:tc>
        <w:tc>
          <w:tcPr>
            <w:tcW w:w="20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Reductions (b)</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Gain/(Loss)</w:t>
            </w:r>
          </w:p>
        </w:tc>
        <w:tc>
          <w:tcPr>
            <w:tcW w:w="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Gain/(Losses)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83"/>
              <w:spacing w:after="0"/>
              <w:rPr>
                <w:sz w:val="20"/>
                <w:szCs w:val="20"/>
                <w:color w:val="auto"/>
              </w:rPr>
            </w:pPr>
            <w:r>
              <w:rPr>
                <w:rFonts w:ascii="Arial" w:cs="Arial" w:eastAsia="Arial" w:hAnsi="Arial"/>
                <w:sz w:val="14"/>
                <w:szCs w:val="14"/>
                <w:b w:val="1"/>
                <w:bCs w:val="1"/>
                <w:color w:val="auto"/>
                <w:w w:val="88"/>
              </w:rPr>
              <w:t>31, 2016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79"/>
              <w:spacing w:after="0"/>
              <w:rPr>
                <w:sz w:val="20"/>
                <w:szCs w:val="20"/>
                <w:color w:val="auto"/>
              </w:rPr>
            </w:pPr>
            <w:r>
              <w:rPr>
                <w:rFonts w:ascii="Arial" w:cs="Arial" w:eastAsia="Arial" w:hAnsi="Arial"/>
                <w:sz w:val="14"/>
                <w:szCs w:val="14"/>
                <w:b w:val="1"/>
                <w:bCs w:val="1"/>
                <w:color w:val="auto"/>
                <w:w w:val="97"/>
              </w:rPr>
              <w:t>Income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Income</w:t>
            </w:r>
          </w:p>
        </w:tc>
      </w:tr>
      <w:tr>
        <w:trPr>
          <w:trHeight w:val="209"/>
        </w:trPr>
        <w:tc>
          <w:tcPr>
            <w:tcW w:w="2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Mississippi</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2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Resources, LLC</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36,682</w:t>
            </w:r>
          </w:p>
        </w:tc>
        <w:tc>
          <w:tcPr>
            <w:tcW w:w="380" w:type="dxa"/>
            <w:vAlign w:val="bottom"/>
            <w:gridSpan w:val="2"/>
            <w:shd w:val="clear" w:color="auto" w:fill="CFF0FC"/>
          </w:tcPr>
          <w:p>
            <w:pPr>
              <w:jc w:val="right"/>
              <w:ind w:right="29"/>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w:t>
            </w:r>
          </w:p>
        </w:tc>
        <w:tc>
          <w:tcPr>
            <w:tcW w:w="3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(121)</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(4,444)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34,075</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1,610</w:t>
            </w:r>
          </w:p>
        </w:tc>
        <w:tc>
          <w:tcPr>
            <w:tcW w:w="100" w:type="dxa"/>
            <w:vAlign w:val="bottom"/>
            <w:shd w:val="clear" w:color="auto" w:fill="CFF0FC"/>
          </w:tcPr>
          <w:p>
            <w:pPr>
              <w:spacing w:after="0"/>
              <w:rPr>
                <w:sz w:val="20"/>
                <w:szCs w:val="20"/>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IRGSE Holding Corp.</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26,816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28,529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r>
      <w:tr>
        <w:trPr>
          <w:trHeight w:val="223"/>
        </w:trPr>
        <w:tc>
          <w:tcPr>
            <w:tcW w:w="2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63,498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3,586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(4,359</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62,604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40" w:right="260" w:hanging="519"/>
        <w:spacing w:after="0" w:line="258"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40" w:right="360" w:hanging="519"/>
        <w:spacing w:after="0" w:line="261"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75" w:lineRule="exact"/>
        <w:rPr>
          <w:rFonts w:ascii="Arial" w:cs="Arial" w:eastAsia="Arial" w:hAnsi="Arial"/>
          <w:sz w:val="18"/>
          <w:szCs w:val="18"/>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March 31, 2016, the tax cost of the Company’s investments approximates their amortized cost.</w:t>
      </w:r>
    </w:p>
    <w:p>
      <w:pPr>
        <w:spacing w:after="0" w:line="23" w:lineRule="exact"/>
        <w:rPr>
          <w:rFonts w:ascii="Arial" w:cs="Arial" w:eastAsia="Arial" w:hAnsi="Arial"/>
          <w:sz w:val="18"/>
          <w:szCs w:val="18"/>
          <w:color w:val="auto"/>
        </w:rPr>
      </w:pPr>
    </w:p>
    <w:p>
      <w:pPr>
        <w:ind w:left="520" w:right="220" w:hanging="512"/>
        <w:spacing w:after="0" w:line="250"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Notes contain a fixed rate structure. The Company entered into an interest rate swap agreement to swap to a floating rate. Refer to Note 5 for further information related to the Company’s interest rate swaps.</w:t>
      </w: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 on non-accrual as of March 31, 2016.</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Schedule of Investments as of December 31, 2015</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Initial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Percentage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420" w:type="dxa"/>
            <w:vAlign w:val="bottom"/>
          </w:tcPr>
          <w:p>
            <w:pPr>
              <w:ind w:left="860"/>
              <w:spacing w:after="0"/>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4"/>
                <w:szCs w:val="14"/>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Interest</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 xml:space="preserve">Cost </w:t>
            </w:r>
            <w:r>
              <w:rPr>
                <w:rFonts w:ascii="Arial" w:cs="Arial" w:eastAsia="Arial" w:hAnsi="Arial"/>
                <w:sz w:val="12"/>
                <w:szCs w:val="12"/>
                <w:b w:val="1"/>
                <w:bCs w:val="1"/>
                <w:color w:val="auto"/>
                <w:w w:val="96"/>
              </w:rPr>
              <w:t>(2)(8)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of Net Assets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Debt Investments</w:t>
            </w:r>
          </w:p>
        </w:tc>
        <w:tc>
          <w:tcPr>
            <w:tcW w:w="100" w:type="dxa"/>
            <w:vAlign w:val="bottom"/>
            <w:tcBorders>
              <w:top w:val="single" w:sz="8" w:color="CFF0FC"/>
            </w:tcBorders>
            <w:shd w:val="clear" w:color="auto" w:fill="CFF0FC"/>
          </w:tcPr>
          <w:p>
            <w:pPr>
              <w:spacing w:after="0"/>
              <w:rPr>
                <w:sz w:val="19"/>
                <w:szCs w:val="19"/>
                <w:color w:val="auto"/>
              </w:rPr>
            </w:pPr>
          </w:p>
        </w:tc>
        <w:tc>
          <w:tcPr>
            <w:tcW w:w="24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260"/>
              <w:spacing w:after="0"/>
              <w:rPr>
                <w:sz w:val="20"/>
                <w:szCs w:val="20"/>
                <w:color w:val="auto"/>
              </w:rPr>
            </w:pPr>
            <w:r>
              <w:rPr>
                <w:rFonts w:ascii="Arial" w:cs="Arial" w:eastAsia="Arial" w:hAnsi="Arial"/>
                <w:sz w:val="18"/>
                <w:szCs w:val="18"/>
                <w:b w:val="1"/>
                <w:bCs w:val="1"/>
                <w:color w:val="auto"/>
              </w:rPr>
              <w:t>Automotive</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Heartland Automotive Holdings,</w:t>
            </w: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($31,271 par,</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w:t>
            </w: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due 6/2017)</w:t>
            </w:r>
          </w:p>
        </w:tc>
        <w:tc>
          <w:tcPr>
            <w:tcW w:w="15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9.75%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8/28/2012</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30,977</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30,176</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First-lien revolving loan</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($2,722 par, due 6/2017)</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10.75%</w:t>
            </w:r>
          </w:p>
        </w:tc>
        <w:tc>
          <w:tcPr>
            <w:tcW w:w="960" w:type="dxa"/>
            <w:vAlign w:val="bottom"/>
          </w:tcPr>
          <w:p>
            <w:pPr>
              <w:jc w:val="right"/>
              <w:spacing w:after="0"/>
              <w:rPr>
                <w:sz w:val="20"/>
                <w:szCs w:val="20"/>
                <w:color w:val="auto"/>
              </w:rPr>
            </w:pPr>
            <w:r>
              <w:rPr>
                <w:rFonts w:ascii="Arial" w:cs="Arial" w:eastAsia="Arial" w:hAnsi="Arial"/>
                <w:sz w:val="18"/>
                <w:szCs w:val="18"/>
                <w:color w:val="auto"/>
              </w:rPr>
              <w:t>8/28/2012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2,528</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33,652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32,704</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gridSpan w:val="2"/>
          </w:tcPr>
          <w:p>
            <w:pPr>
              <w:ind w:left="260"/>
              <w:spacing w:after="0"/>
              <w:rPr>
                <w:sz w:val="20"/>
                <w:szCs w:val="20"/>
                <w:color w:val="auto"/>
              </w:rPr>
            </w:pPr>
            <w:r>
              <w:rPr>
                <w:rFonts w:ascii="Arial" w:cs="Arial" w:eastAsia="Arial" w:hAnsi="Arial"/>
                <w:sz w:val="18"/>
                <w:szCs w:val="18"/>
                <w:b w:val="1"/>
                <w:bCs w:val="1"/>
                <w:color w:val="auto"/>
              </w:rPr>
              <w:t>Beverage, food and tobacco</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5"/>
                <w:szCs w:val="15"/>
                <w:color w:val="auto"/>
              </w:rPr>
              <w:t>(3)(5)</w:t>
            </w: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($63,660 par,</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due 3/2020)</w:t>
            </w:r>
          </w:p>
        </w:tc>
        <w:tc>
          <w:tcPr>
            <w:tcW w:w="15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8.75%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3/3/2014</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62,575</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62,705</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260"/>
              <w:spacing w:after="0"/>
              <w:rPr>
                <w:sz w:val="20"/>
                <w:szCs w:val="20"/>
                <w:color w:val="auto"/>
              </w:rPr>
            </w:pPr>
            <w:r>
              <w:rPr>
                <w:rFonts w:ascii="Arial" w:cs="Arial" w:eastAsia="Arial" w:hAnsi="Arial"/>
                <w:sz w:val="18"/>
                <w:szCs w:val="18"/>
                <w:b w:val="1"/>
                <w:bCs w:val="1"/>
                <w:color w:val="auto"/>
              </w:rPr>
              <w:t>Business services</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Actian Corporation </w:t>
            </w:r>
            <w:r>
              <w:rPr>
                <w:rFonts w:ascii="Arial" w:cs="Arial" w:eastAsia="Arial" w:hAnsi="Arial"/>
                <w:sz w:val="15"/>
                <w:szCs w:val="15"/>
                <w:color w:val="auto"/>
              </w:rPr>
              <w:t>(3)(5)</w:t>
            </w: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($59,915 par,</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due 4/2018)</w:t>
            </w:r>
          </w:p>
        </w:tc>
        <w:tc>
          <w:tcPr>
            <w:tcW w:w="15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7.50%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4/11/2013</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58,781</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62,462</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Bullhorn, Inc. </w:t>
            </w:r>
            <w:r>
              <w:rPr>
                <w:rFonts w:ascii="Arial" w:cs="Arial" w:eastAsia="Arial" w:hAnsi="Arial"/>
                <w:sz w:val="15"/>
                <w:szCs w:val="15"/>
                <w:color w:val="auto"/>
              </w:rPr>
              <w:t>(3)(5)</w:t>
            </w:r>
          </w:p>
        </w:tc>
        <w:tc>
          <w:tcPr>
            <w:tcW w:w="2420" w:type="dxa"/>
            <w:vAlign w:val="bottom"/>
          </w:tcPr>
          <w:p>
            <w:pPr>
              <w:spacing w:after="0"/>
              <w:rPr>
                <w:sz w:val="20"/>
                <w:szCs w:val="20"/>
                <w:color w:val="auto"/>
              </w:rPr>
            </w:pPr>
            <w:r>
              <w:rPr>
                <w:rFonts w:ascii="Arial" w:cs="Arial" w:eastAsia="Arial" w:hAnsi="Arial"/>
                <w:sz w:val="18"/>
                <w:szCs w:val="18"/>
                <w:color w:val="auto"/>
              </w:rPr>
              <w:t>First-lien loan ($45,000 par,</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due 11/2020)</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8.50%</w:t>
            </w:r>
          </w:p>
        </w:tc>
        <w:tc>
          <w:tcPr>
            <w:tcW w:w="960" w:type="dxa"/>
            <w:vAlign w:val="bottom"/>
          </w:tcPr>
          <w:p>
            <w:pPr>
              <w:jc w:val="right"/>
              <w:spacing w:after="0"/>
              <w:rPr>
                <w:sz w:val="20"/>
                <w:szCs w:val="20"/>
                <w:color w:val="auto"/>
              </w:rPr>
            </w:pPr>
            <w:r>
              <w:rPr>
                <w:rFonts w:ascii="Arial" w:cs="Arial" w:eastAsia="Arial" w:hAnsi="Arial"/>
                <w:sz w:val="18"/>
                <w:szCs w:val="18"/>
                <w:color w:val="auto"/>
              </w:rPr>
              <w:t>11/12/2015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43,916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43,763</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Clarabridge, Inc. </w:t>
            </w:r>
            <w:r>
              <w:rPr>
                <w:rFonts w:ascii="Arial" w:cs="Arial" w:eastAsia="Arial" w:hAnsi="Arial"/>
                <w:sz w:val="15"/>
                <w:szCs w:val="15"/>
                <w:color w:val="auto"/>
              </w:rPr>
              <w:t>(3)</w:t>
            </w: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($22,388 par,</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due 4/2019)</w:t>
            </w:r>
          </w:p>
        </w:tc>
        <w:tc>
          <w:tcPr>
            <w:tcW w:w="15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8.50%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5/20/2015</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21,963</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21,641</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Idera, Inc. </w:t>
            </w:r>
            <w:r>
              <w:rPr>
                <w:rFonts w:ascii="Arial" w:cs="Arial" w:eastAsia="Arial" w:hAnsi="Arial"/>
                <w:sz w:val="15"/>
                <w:szCs w:val="15"/>
                <w:color w:val="auto"/>
              </w:rPr>
              <w:t>(3)</w:t>
            </w:r>
          </w:p>
        </w:tc>
        <w:tc>
          <w:tcPr>
            <w:tcW w:w="2420" w:type="dxa"/>
            <w:vAlign w:val="bottom"/>
          </w:tcPr>
          <w:p>
            <w:pPr>
              <w:spacing w:after="0"/>
              <w:rPr>
                <w:sz w:val="20"/>
                <w:szCs w:val="20"/>
                <w:color w:val="auto"/>
              </w:rPr>
            </w:pPr>
            <w:r>
              <w:rPr>
                <w:rFonts w:ascii="Arial" w:cs="Arial" w:eastAsia="Arial" w:hAnsi="Arial"/>
                <w:sz w:val="18"/>
                <w:szCs w:val="18"/>
                <w:color w:val="auto"/>
              </w:rPr>
              <w:t>First-lien loan ($62,500 par,</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due 4/2021)</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6.50%</w:t>
            </w:r>
          </w:p>
        </w:tc>
        <w:tc>
          <w:tcPr>
            <w:tcW w:w="960" w:type="dxa"/>
            <w:vAlign w:val="bottom"/>
          </w:tcPr>
          <w:p>
            <w:pPr>
              <w:jc w:val="right"/>
              <w:spacing w:after="0"/>
              <w:rPr>
                <w:sz w:val="20"/>
                <w:szCs w:val="20"/>
                <w:color w:val="auto"/>
              </w:rPr>
            </w:pPr>
            <w:r>
              <w:rPr>
                <w:rFonts w:ascii="Arial" w:cs="Arial" w:eastAsia="Arial" w:hAnsi="Arial"/>
                <w:sz w:val="18"/>
                <w:szCs w:val="18"/>
                <w:color w:val="auto"/>
              </w:rPr>
              <w:t>10/9/2015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56,446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55,937</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Leaf US Holdings, Inc. </w:t>
            </w:r>
            <w:r>
              <w:rPr>
                <w:rFonts w:ascii="Arial" w:cs="Arial" w:eastAsia="Arial" w:hAnsi="Arial"/>
                <w:sz w:val="15"/>
                <w:szCs w:val="15"/>
                <w:color w:val="auto"/>
              </w:rPr>
              <w:t>(3)(4)</w:t>
            </w: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w w:val="94"/>
              </w:rPr>
              <w:t>First-lien loan ($28,565 par, due</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6/2019)</w:t>
            </w:r>
          </w:p>
        </w:tc>
        <w:tc>
          <w:tcPr>
            <w:tcW w:w="15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7.50%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6/30/2014</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28,085</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27,877</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Network Merchants, Inc. </w:t>
            </w:r>
            <w:r>
              <w:rPr>
                <w:rFonts w:ascii="Arial" w:cs="Arial" w:eastAsia="Arial" w:hAnsi="Arial"/>
                <w:sz w:val="15"/>
                <w:szCs w:val="15"/>
                <w:color w:val="auto"/>
              </w:rPr>
              <w:t>(3)</w:t>
            </w:r>
          </w:p>
        </w:tc>
        <w:tc>
          <w:tcPr>
            <w:tcW w:w="2420" w:type="dxa"/>
            <w:vAlign w:val="bottom"/>
          </w:tcPr>
          <w:p>
            <w:pPr>
              <w:spacing w:after="0"/>
              <w:rPr>
                <w:sz w:val="20"/>
                <w:szCs w:val="20"/>
                <w:color w:val="auto"/>
              </w:rPr>
            </w:pPr>
            <w:r>
              <w:rPr>
                <w:rFonts w:ascii="Arial" w:cs="Arial" w:eastAsia="Arial" w:hAnsi="Arial"/>
                <w:sz w:val="18"/>
                <w:szCs w:val="18"/>
                <w:color w:val="auto"/>
              </w:rPr>
              <w:t>First-lien loan ($25,782 par,</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due 9/2018)</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7.75%</w:t>
            </w:r>
          </w:p>
        </w:tc>
        <w:tc>
          <w:tcPr>
            <w:tcW w:w="960" w:type="dxa"/>
            <w:vAlign w:val="bottom"/>
          </w:tcPr>
          <w:p>
            <w:pPr>
              <w:jc w:val="right"/>
              <w:spacing w:after="0"/>
              <w:rPr>
                <w:sz w:val="20"/>
                <w:szCs w:val="20"/>
                <w:color w:val="auto"/>
              </w:rPr>
            </w:pPr>
            <w:r>
              <w:rPr>
                <w:rFonts w:ascii="Arial" w:cs="Arial" w:eastAsia="Arial" w:hAnsi="Arial"/>
                <w:sz w:val="18"/>
                <w:szCs w:val="18"/>
                <w:color w:val="auto"/>
              </w:rPr>
              <w:t>9/12/2013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25,481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25,981</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ScentAir Technologies, Inc. </w:t>
            </w:r>
            <w:r>
              <w:rPr>
                <w:rFonts w:ascii="Arial" w:cs="Arial" w:eastAsia="Arial" w:hAnsi="Arial"/>
                <w:sz w:val="15"/>
                <w:szCs w:val="15"/>
                <w:color w:val="auto"/>
              </w:rPr>
              <w:t>(3)</w:t>
            </w: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First-lien loan ($18,857 par,</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due 12/2019)</w:t>
            </w:r>
          </w:p>
        </w:tc>
        <w:tc>
          <w:tcPr>
            <w:tcW w:w="15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7.50%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12/30/2014</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18,505</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18,463</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253,177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256,124</w:t>
            </w:r>
          </w:p>
        </w:tc>
        <w:tc>
          <w:tcPr>
            <w:tcW w:w="2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Chemicals</w:t>
            </w:r>
          </w:p>
        </w:tc>
        <w:tc>
          <w:tcPr>
            <w:tcW w:w="24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(3)</w:t>
            </w:r>
          </w:p>
        </w:tc>
        <w:tc>
          <w:tcPr>
            <w:tcW w:w="2420" w:type="dxa"/>
            <w:vAlign w:val="bottom"/>
          </w:tcPr>
          <w:p>
            <w:pPr>
              <w:spacing w:after="0"/>
              <w:rPr>
                <w:sz w:val="20"/>
                <w:szCs w:val="20"/>
                <w:color w:val="auto"/>
              </w:rPr>
            </w:pPr>
            <w:r>
              <w:rPr>
                <w:rFonts w:ascii="Arial" w:cs="Arial" w:eastAsia="Arial" w:hAnsi="Arial"/>
                <w:sz w:val="18"/>
                <w:szCs w:val="18"/>
                <w:color w:val="auto"/>
              </w:rPr>
              <w:t>First-lien loan ($10,839 par,</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due 10/2019)</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10.50%</w:t>
            </w:r>
          </w:p>
        </w:tc>
        <w:tc>
          <w:tcPr>
            <w:tcW w:w="960" w:type="dxa"/>
            <w:vAlign w:val="bottom"/>
          </w:tcPr>
          <w:p>
            <w:pPr>
              <w:jc w:val="right"/>
              <w:spacing w:after="0"/>
              <w:rPr>
                <w:sz w:val="20"/>
                <w:szCs w:val="20"/>
                <w:color w:val="auto"/>
              </w:rPr>
            </w:pPr>
            <w:r>
              <w:rPr>
                <w:rFonts w:ascii="Arial" w:cs="Arial" w:eastAsia="Arial" w:hAnsi="Arial"/>
                <w:sz w:val="18"/>
                <w:szCs w:val="18"/>
                <w:color w:val="auto"/>
              </w:rPr>
              <w:t>10/31/2014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10,148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7,804</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Education</w:t>
            </w:r>
          </w:p>
        </w:tc>
        <w:tc>
          <w:tcPr>
            <w:tcW w:w="2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Campus Management, Inc. </w:t>
            </w:r>
            <w:r>
              <w:rPr>
                <w:rFonts w:ascii="Arial" w:cs="Arial" w:eastAsia="Arial" w:hAnsi="Arial"/>
                <w:sz w:val="15"/>
                <w:szCs w:val="15"/>
                <w:color w:val="auto"/>
              </w:rPr>
              <w:t>(3)(5)</w:t>
            </w:r>
          </w:p>
        </w:tc>
        <w:tc>
          <w:tcPr>
            <w:tcW w:w="2420" w:type="dxa"/>
            <w:vAlign w:val="bottom"/>
          </w:tcPr>
          <w:p>
            <w:pPr>
              <w:spacing w:after="0"/>
              <w:rPr>
                <w:sz w:val="20"/>
                <w:szCs w:val="20"/>
                <w:color w:val="auto"/>
              </w:rPr>
            </w:pPr>
            <w:r>
              <w:rPr>
                <w:rFonts w:ascii="Arial" w:cs="Arial" w:eastAsia="Arial" w:hAnsi="Arial"/>
                <w:sz w:val="18"/>
                <w:szCs w:val="18"/>
                <w:color w:val="auto"/>
              </w:rPr>
              <w:t>First-lien loan ($26,277 par,</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due 9/2018)</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8.75%</w:t>
            </w:r>
          </w:p>
        </w:tc>
        <w:tc>
          <w:tcPr>
            <w:tcW w:w="960" w:type="dxa"/>
            <w:vAlign w:val="bottom"/>
          </w:tcPr>
          <w:p>
            <w:pPr>
              <w:jc w:val="right"/>
              <w:spacing w:after="0"/>
              <w:rPr>
                <w:sz w:val="20"/>
                <w:szCs w:val="20"/>
                <w:color w:val="auto"/>
              </w:rPr>
            </w:pPr>
            <w:r>
              <w:rPr>
                <w:rFonts w:ascii="Arial" w:cs="Arial" w:eastAsia="Arial" w:hAnsi="Arial"/>
                <w:sz w:val="18"/>
                <w:szCs w:val="18"/>
                <w:color w:val="auto"/>
              </w:rPr>
              <w:t>9/30/2013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25,879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26,277</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Electronics</w:t>
            </w:r>
          </w:p>
        </w:tc>
        <w:tc>
          <w:tcPr>
            <w:tcW w:w="2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MyAlarm Center, LLC </w:t>
            </w:r>
            <w:r>
              <w:rPr>
                <w:rFonts w:ascii="Arial" w:cs="Arial" w:eastAsia="Arial" w:hAnsi="Arial"/>
                <w:sz w:val="15"/>
                <w:szCs w:val="15"/>
                <w:color w:val="auto"/>
              </w:rPr>
              <w:t>(3)</w:t>
            </w:r>
          </w:p>
        </w:tc>
        <w:tc>
          <w:tcPr>
            <w:tcW w:w="2420" w:type="dxa"/>
            <w:vAlign w:val="bottom"/>
          </w:tcPr>
          <w:p>
            <w:pPr>
              <w:spacing w:after="0"/>
              <w:rPr>
                <w:sz w:val="20"/>
                <w:szCs w:val="20"/>
                <w:color w:val="auto"/>
              </w:rPr>
            </w:pPr>
            <w:r>
              <w:rPr>
                <w:rFonts w:ascii="Arial" w:cs="Arial" w:eastAsia="Arial" w:hAnsi="Arial"/>
                <w:sz w:val="18"/>
                <w:szCs w:val="18"/>
                <w:color w:val="auto"/>
              </w:rPr>
              <w:t>First-lien loan ($62,371 par,</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due 1/2019)</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9.00%</w:t>
            </w:r>
          </w:p>
        </w:tc>
        <w:tc>
          <w:tcPr>
            <w:tcW w:w="960" w:type="dxa"/>
            <w:vAlign w:val="bottom"/>
          </w:tcPr>
          <w:p>
            <w:pPr>
              <w:jc w:val="right"/>
              <w:spacing w:after="0"/>
              <w:rPr>
                <w:sz w:val="20"/>
                <w:szCs w:val="20"/>
                <w:color w:val="auto"/>
              </w:rPr>
            </w:pPr>
            <w:r>
              <w:rPr>
                <w:rFonts w:ascii="Arial" w:cs="Arial" w:eastAsia="Arial" w:hAnsi="Arial"/>
                <w:sz w:val="18"/>
                <w:szCs w:val="18"/>
                <w:color w:val="auto"/>
              </w:rPr>
              <w:t>1/9/2014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61,766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61,887</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APX Group Inc.</w:t>
            </w: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Senior notes 8.75% ($24,818</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par, due 12/2020)</w:t>
            </w:r>
          </w:p>
        </w:tc>
        <w:tc>
          <w:tcPr>
            <w:tcW w:w="15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8.75%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12/11/2014</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21,689</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20,165</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83,455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82,052</w:t>
            </w:r>
          </w:p>
        </w:tc>
        <w:tc>
          <w:tcPr>
            <w:tcW w:w="2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Financial services</w:t>
            </w:r>
          </w:p>
        </w:tc>
        <w:tc>
          <w:tcPr>
            <w:tcW w:w="24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AppStar Financial, LLC </w:t>
            </w:r>
            <w:r>
              <w:rPr>
                <w:rFonts w:ascii="Arial" w:cs="Arial" w:eastAsia="Arial" w:hAnsi="Arial"/>
                <w:sz w:val="15"/>
                <w:szCs w:val="15"/>
                <w:color w:val="auto"/>
              </w:rPr>
              <w:t>(3)</w:t>
            </w:r>
          </w:p>
        </w:tc>
        <w:tc>
          <w:tcPr>
            <w:tcW w:w="2420" w:type="dxa"/>
            <w:vAlign w:val="bottom"/>
          </w:tcPr>
          <w:p>
            <w:pPr>
              <w:spacing w:after="0"/>
              <w:rPr>
                <w:sz w:val="20"/>
                <w:szCs w:val="20"/>
                <w:color w:val="auto"/>
              </w:rPr>
            </w:pPr>
            <w:r>
              <w:rPr>
                <w:rFonts w:ascii="Arial" w:cs="Arial" w:eastAsia="Arial" w:hAnsi="Arial"/>
                <w:sz w:val="18"/>
                <w:szCs w:val="18"/>
                <w:color w:val="auto"/>
                <w:w w:val="94"/>
              </w:rPr>
              <w:t>First-lien loan ($23,400 par, due</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8/2020)</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9.00%</w:t>
            </w:r>
          </w:p>
        </w:tc>
        <w:tc>
          <w:tcPr>
            <w:tcW w:w="960" w:type="dxa"/>
            <w:vAlign w:val="bottom"/>
          </w:tcPr>
          <w:p>
            <w:pPr>
              <w:jc w:val="right"/>
              <w:spacing w:after="0"/>
              <w:rPr>
                <w:sz w:val="20"/>
                <w:szCs w:val="20"/>
                <w:color w:val="auto"/>
              </w:rPr>
            </w:pPr>
            <w:r>
              <w:rPr>
                <w:rFonts w:ascii="Arial" w:cs="Arial" w:eastAsia="Arial" w:hAnsi="Arial"/>
                <w:sz w:val="18"/>
                <w:szCs w:val="18"/>
                <w:color w:val="auto"/>
              </w:rPr>
              <w:t>8/18/2015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22,862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22,765</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(3)</w:t>
            </w: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w w:val="97"/>
              </w:rPr>
              <w:t>Second-lien loan ($31,897 par,</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due 8/2020)</w:t>
            </w: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10.50% PIK</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8/7/2015</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31,380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30,910</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 xml:space="preserve">PayLease, LLC </w:t>
            </w:r>
            <w:r>
              <w:rPr>
                <w:rFonts w:ascii="Arial" w:cs="Arial" w:eastAsia="Arial" w:hAnsi="Arial"/>
                <w:sz w:val="15"/>
                <w:szCs w:val="15"/>
                <w:color w:val="auto"/>
              </w:rPr>
              <w:t>(3)</w:t>
            </w:r>
          </w:p>
        </w:tc>
        <w:tc>
          <w:tcPr>
            <w:tcW w:w="2420" w:type="dxa"/>
            <w:vAlign w:val="bottom"/>
          </w:tcPr>
          <w:p>
            <w:pPr>
              <w:spacing w:after="0"/>
              <w:rPr>
                <w:sz w:val="20"/>
                <w:szCs w:val="20"/>
                <w:color w:val="auto"/>
              </w:rPr>
            </w:pPr>
            <w:r>
              <w:rPr>
                <w:rFonts w:ascii="Arial" w:cs="Arial" w:eastAsia="Arial" w:hAnsi="Arial"/>
                <w:sz w:val="18"/>
                <w:szCs w:val="18"/>
                <w:color w:val="auto"/>
              </w:rPr>
              <w:t>First-lien loan ($33,639 par,</w:t>
            </w:r>
          </w:p>
        </w:tc>
        <w:tc>
          <w:tcPr>
            <w:tcW w:w="1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10.00% (incl.</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due 3/2020)</w:t>
            </w:r>
          </w:p>
        </w:tc>
        <w:tc>
          <w:tcPr>
            <w:tcW w:w="10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2.50% PIK)</w:t>
            </w:r>
          </w:p>
        </w:tc>
        <w:tc>
          <w:tcPr>
            <w:tcW w:w="960" w:type="dxa"/>
            <w:vAlign w:val="bottom"/>
          </w:tcPr>
          <w:p>
            <w:pPr>
              <w:jc w:val="right"/>
              <w:spacing w:after="0"/>
              <w:rPr>
                <w:sz w:val="20"/>
                <w:szCs w:val="20"/>
                <w:color w:val="auto"/>
              </w:rPr>
            </w:pPr>
            <w:r>
              <w:rPr>
                <w:rFonts w:ascii="Arial" w:cs="Arial" w:eastAsia="Arial" w:hAnsi="Arial"/>
                <w:sz w:val="18"/>
                <w:szCs w:val="18"/>
                <w:color w:val="auto"/>
              </w:rPr>
              <w:t>3/6/2015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32,980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32,769</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87,222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86,444</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gridSpan w:val="2"/>
          </w:tcPr>
          <w:p>
            <w:pPr>
              <w:ind w:left="260"/>
              <w:spacing w:after="0"/>
              <w:rPr>
                <w:sz w:val="20"/>
                <w:szCs w:val="20"/>
                <w:color w:val="auto"/>
              </w:rPr>
            </w:pPr>
            <w:r>
              <w:rPr>
                <w:rFonts w:ascii="Arial" w:cs="Arial" w:eastAsia="Arial" w:hAnsi="Arial"/>
                <w:sz w:val="18"/>
                <w:szCs w:val="18"/>
                <w:b w:val="1"/>
                <w:bCs w:val="1"/>
                <w:color w:val="auto"/>
              </w:rPr>
              <w:t>Healthcare</w:t>
            </w:r>
          </w:p>
        </w:tc>
        <w:tc>
          <w:tcPr>
            <w:tcW w:w="2420" w:type="dxa"/>
            <w:vAlign w:val="bottom"/>
          </w:tcPr>
          <w:p>
            <w:pPr>
              <w:spacing w:after="0"/>
              <w:rPr>
                <w:sz w:val="19"/>
                <w:szCs w:val="19"/>
                <w:color w:val="auto"/>
              </w:rPr>
            </w:pPr>
          </w:p>
        </w:tc>
        <w:tc>
          <w:tcPr>
            <w:tcW w:w="1300" w:type="dxa"/>
            <w:vAlign w:val="bottom"/>
            <w:gridSpan w:val="2"/>
            <w:vMerge w:val="restart"/>
          </w:tcPr>
          <w:p>
            <w:pPr>
              <w:jc w:val="right"/>
              <w:ind w:right="954"/>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5"/>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Aesynt Incorporated </w:t>
            </w:r>
            <w:r>
              <w:rPr>
                <w:rFonts w:ascii="Arial" w:cs="Arial" w:eastAsia="Arial" w:hAnsi="Arial"/>
                <w:sz w:val="15"/>
                <w:szCs w:val="15"/>
                <w:color w:val="auto"/>
              </w:rPr>
              <w:t>(3)(5)</w:t>
            </w:r>
          </w:p>
        </w:tc>
        <w:tc>
          <w:tcPr>
            <w:tcW w:w="27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First-lien loan ($33,250 par,</w:t>
            </w:r>
          </w:p>
        </w:tc>
        <w:tc>
          <w:tcPr>
            <w:tcW w:w="1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80" w:type="dxa"/>
            <w:vAlign w:val="bottom"/>
            <w:shd w:val="clear" w:color="auto" w:fill="CFF0FC"/>
          </w:tcPr>
          <w:p>
            <w:pPr>
              <w:spacing w:after="0"/>
              <w:rPr>
                <w:sz w:val="20"/>
                <w:szCs w:val="20"/>
                <w:color w:val="auto"/>
              </w:rPr>
            </w:pPr>
          </w:p>
        </w:tc>
        <w:tc>
          <w:tcPr>
            <w:tcW w:w="27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due 5/2019)</w:t>
            </w:r>
          </w:p>
        </w:tc>
        <w:tc>
          <w:tcPr>
            <w:tcW w:w="1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7.00%</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5/8/2014</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32,598</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33,918</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0"/>
                <w:szCs w:val="20"/>
                <w:color w:val="auto"/>
              </w:rPr>
            </w:pPr>
          </w:p>
        </w:tc>
      </w:tr>
      <w:tr>
        <w:trPr>
          <w:trHeight w:val="215"/>
        </w:trPr>
        <w:tc>
          <w:tcPr>
            <w:tcW w:w="2680" w:type="dxa"/>
            <w:vAlign w:val="bottom"/>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(3)(4)</w:t>
            </w:r>
          </w:p>
        </w:tc>
        <w:tc>
          <w:tcPr>
            <w:tcW w:w="2780" w:type="dxa"/>
            <w:vAlign w:val="bottom"/>
          </w:tcPr>
          <w:p>
            <w:pPr>
              <w:ind w:left="360"/>
              <w:spacing w:after="0"/>
              <w:rPr>
                <w:sz w:val="20"/>
                <w:szCs w:val="20"/>
                <w:color w:val="auto"/>
              </w:rPr>
            </w:pPr>
            <w:r>
              <w:rPr>
                <w:rFonts w:ascii="Arial" w:cs="Arial" w:eastAsia="Arial" w:hAnsi="Arial"/>
                <w:sz w:val="18"/>
                <w:szCs w:val="18"/>
                <w:color w:val="auto"/>
              </w:rPr>
              <w:t>First-lien loan (EUR 35,912</w:t>
            </w: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40,572</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p>
        </w:tc>
        <w:tc>
          <w:tcPr>
            <w:tcW w:w="2780" w:type="dxa"/>
            <w:vAlign w:val="bottom"/>
          </w:tcPr>
          <w:p>
            <w:pPr>
              <w:ind w:left="360"/>
              <w:spacing w:after="0"/>
              <w:rPr>
                <w:sz w:val="20"/>
                <w:szCs w:val="20"/>
                <w:color w:val="auto"/>
              </w:rPr>
            </w:pPr>
            <w:r>
              <w:rPr>
                <w:rFonts w:ascii="Arial" w:cs="Arial" w:eastAsia="Arial" w:hAnsi="Arial"/>
                <w:sz w:val="18"/>
                <w:szCs w:val="18"/>
                <w:color w:val="auto"/>
              </w:rPr>
              <w:t>par, due 9/2019)</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11.50%</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9/30/2014</w:t>
            </w:r>
          </w:p>
        </w:tc>
        <w:tc>
          <w:tcPr>
            <w:tcW w:w="900" w:type="dxa"/>
            <w:vAlign w:val="bottom"/>
          </w:tcPr>
          <w:p>
            <w:pPr>
              <w:jc w:val="right"/>
              <w:spacing w:after="0"/>
              <w:rPr>
                <w:sz w:val="20"/>
                <w:szCs w:val="20"/>
                <w:color w:val="auto"/>
              </w:rPr>
            </w:pPr>
            <w:r>
              <w:rPr>
                <w:rFonts w:ascii="Arial" w:cs="Arial" w:eastAsia="Arial" w:hAnsi="Arial"/>
                <w:sz w:val="18"/>
                <w:szCs w:val="18"/>
                <w:color w:val="auto"/>
              </w:rPr>
              <w:t>42,402</w:t>
            </w:r>
          </w:p>
        </w:tc>
        <w:tc>
          <w:tcPr>
            <w:tcW w:w="2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(EUR 37,349)</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0"/>
                <w:szCs w:val="20"/>
                <w:color w:val="auto"/>
              </w:rPr>
            </w:pPr>
          </w:p>
        </w:tc>
      </w:tr>
      <w:tr>
        <w:trPr>
          <w:trHeight w:val="215"/>
        </w:trPr>
        <w:tc>
          <w:tcPr>
            <w:tcW w:w="2680" w:type="dxa"/>
            <w:vAlign w:val="bottom"/>
            <w:shd w:val="clear" w:color="auto" w:fill="CFF0FC"/>
          </w:tcPr>
          <w:p>
            <w:pPr>
              <w:spacing w:after="0"/>
              <w:rPr>
                <w:sz w:val="18"/>
                <w:szCs w:val="18"/>
                <w:color w:val="auto"/>
              </w:rPr>
            </w:pPr>
          </w:p>
        </w:tc>
        <w:tc>
          <w:tcPr>
            <w:tcW w:w="27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First-lien revolving loan</w:t>
            </w:r>
          </w:p>
        </w:tc>
        <w:tc>
          <w:tcPr>
            <w:tcW w:w="1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80" w:type="dxa"/>
            <w:vAlign w:val="bottom"/>
            <w:shd w:val="clear" w:color="auto" w:fill="CFF0FC"/>
          </w:tcPr>
          <w:p>
            <w:pPr>
              <w:spacing w:after="0"/>
              <w:rPr>
                <w:sz w:val="20"/>
                <w:szCs w:val="20"/>
                <w:color w:val="auto"/>
              </w:rPr>
            </w:pPr>
          </w:p>
        </w:tc>
        <w:tc>
          <w:tcPr>
            <w:tcW w:w="27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(EUR 300 par, due 9/2019)</w:t>
            </w:r>
          </w:p>
        </w:tc>
        <w:tc>
          <w:tcPr>
            <w:tcW w:w="1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11.50%</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9/30/2014</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(EUR 400)</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15"/>
        </w:trPr>
        <w:tc>
          <w:tcPr>
            <w:tcW w:w="2680" w:type="dxa"/>
            <w:vAlign w:val="bottom"/>
          </w:tcPr>
          <w:p>
            <w:pPr>
              <w:spacing w:after="0"/>
              <w:rPr>
                <w:sz w:val="20"/>
                <w:szCs w:val="20"/>
                <w:color w:val="auto"/>
              </w:rPr>
            </w:pPr>
            <w:r>
              <w:rPr>
                <w:rFonts w:ascii="Arial" w:cs="Arial" w:eastAsia="Arial" w:hAnsi="Arial"/>
                <w:sz w:val="18"/>
                <w:szCs w:val="18"/>
                <w:color w:val="auto"/>
              </w:rPr>
              <w:t xml:space="preserve">MatrixCare, Inc. </w:t>
            </w:r>
            <w:r>
              <w:rPr>
                <w:rFonts w:ascii="Arial" w:cs="Arial" w:eastAsia="Arial" w:hAnsi="Arial"/>
                <w:sz w:val="15"/>
                <w:szCs w:val="15"/>
                <w:color w:val="auto"/>
              </w:rPr>
              <w:t>(3)(5)</w:t>
            </w:r>
          </w:p>
        </w:tc>
        <w:tc>
          <w:tcPr>
            <w:tcW w:w="2780" w:type="dxa"/>
            <w:vAlign w:val="bottom"/>
          </w:tcPr>
          <w:p>
            <w:pPr>
              <w:ind w:left="360"/>
              <w:spacing w:after="0"/>
              <w:rPr>
                <w:sz w:val="20"/>
                <w:szCs w:val="20"/>
                <w:color w:val="auto"/>
              </w:rPr>
            </w:pPr>
            <w:r>
              <w:rPr>
                <w:rFonts w:ascii="Arial" w:cs="Arial" w:eastAsia="Arial" w:hAnsi="Arial"/>
                <w:sz w:val="18"/>
                <w:szCs w:val="18"/>
                <w:color w:val="auto"/>
              </w:rPr>
              <w:t>First-lien loan ($45,000 par,</w:t>
            </w: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p>
        </w:tc>
        <w:tc>
          <w:tcPr>
            <w:tcW w:w="2780" w:type="dxa"/>
            <w:vAlign w:val="bottom"/>
          </w:tcPr>
          <w:p>
            <w:pPr>
              <w:ind w:left="360"/>
              <w:spacing w:after="0"/>
              <w:rPr>
                <w:sz w:val="20"/>
                <w:szCs w:val="20"/>
                <w:color w:val="auto"/>
              </w:rPr>
            </w:pPr>
            <w:r>
              <w:rPr>
                <w:rFonts w:ascii="Arial" w:cs="Arial" w:eastAsia="Arial" w:hAnsi="Arial"/>
                <w:sz w:val="18"/>
                <w:szCs w:val="18"/>
                <w:color w:val="auto"/>
              </w:rPr>
              <w:t>due 12/2021)</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6.25%</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12/17/2015</w:t>
            </w:r>
          </w:p>
        </w:tc>
        <w:tc>
          <w:tcPr>
            <w:tcW w:w="900" w:type="dxa"/>
            <w:vAlign w:val="bottom"/>
          </w:tcPr>
          <w:p>
            <w:pPr>
              <w:jc w:val="right"/>
              <w:spacing w:after="0"/>
              <w:rPr>
                <w:sz w:val="20"/>
                <w:szCs w:val="20"/>
                <w:color w:val="auto"/>
              </w:rPr>
            </w:pPr>
            <w:r>
              <w:rPr>
                <w:rFonts w:ascii="Arial" w:cs="Arial" w:eastAsia="Arial" w:hAnsi="Arial"/>
                <w:sz w:val="18"/>
                <w:szCs w:val="18"/>
                <w:color w:val="auto"/>
              </w:rPr>
              <w:t>44,184</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44,100</w:t>
            </w:r>
          </w:p>
        </w:tc>
        <w:tc>
          <w:tcPr>
            <w:tcW w:w="2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0"/>
                <w:szCs w:val="20"/>
                <w:color w:val="auto"/>
              </w:rPr>
            </w:pPr>
          </w:p>
        </w:tc>
      </w:tr>
      <w:tr>
        <w:trPr>
          <w:trHeight w:val="215"/>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MedeAnalytics, Inc. </w:t>
            </w:r>
            <w:r>
              <w:rPr>
                <w:rFonts w:ascii="Arial" w:cs="Arial" w:eastAsia="Arial" w:hAnsi="Arial"/>
                <w:sz w:val="15"/>
                <w:szCs w:val="15"/>
                <w:color w:val="auto"/>
              </w:rPr>
              <w:t>(3)(5)</w:t>
            </w:r>
          </w:p>
        </w:tc>
        <w:tc>
          <w:tcPr>
            <w:tcW w:w="27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First-lien loan ($45,411 par,</w:t>
            </w:r>
          </w:p>
        </w:tc>
        <w:tc>
          <w:tcPr>
            <w:tcW w:w="14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9.00% (incl.</w:t>
            </w:r>
          </w:p>
        </w:tc>
        <w:tc>
          <w:tcPr>
            <w:tcW w:w="10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80" w:type="dxa"/>
            <w:vAlign w:val="bottom"/>
            <w:shd w:val="clear" w:color="auto" w:fill="CFF0FC"/>
          </w:tcPr>
          <w:p>
            <w:pPr>
              <w:spacing w:after="0"/>
              <w:rPr>
                <w:sz w:val="20"/>
                <w:szCs w:val="20"/>
                <w:color w:val="auto"/>
              </w:rPr>
            </w:pPr>
          </w:p>
        </w:tc>
        <w:tc>
          <w:tcPr>
            <w:tcW w:w="27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due 9/2020)</w:t>
            </w:r>
          </w:p>
        </w:tc>
        <w:tc>
          <w:tcPr>
            <w:tcW w:w="14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2.50% PIK)</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9/30/2015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44,022</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43,708</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0"/>
                <w:szCs w:val="20"/>
                <w:color w:val="auto"/>
              </w:rPr>
            </w:pPr>
          </w:p>
        </w:tc>
      </w:tr>
      <w:tr>
        <w:trPr>
          <w:trHeight w:val="215"/>
        </w:trPr>
        <w:tc>
          <w:tcPr>
            <w:tcW w:w="2680" w:type="dxa"/>
            <w:vAlign w:val="bottom"/>
          </w:tcPr>
          <w:p>
            <w:pPr>
              <w:spacing w:after="0"/>
              <w:rPr>
                <w:sz w:val="20"/>
                <w:szCs w:val="20"/>
                <w:color w:val="auto"/>
              </w:rPr>
            </w:pPr>
            <w:r>
              <w:rPr>
                <w:rFonts w:ascii="Arial" w:cs="Arial" w:eastAsia="Arial" w:hAnsi="Arial"/>
                <w:sz w:val="18"/>
                <w:szCs w:val="18"/>
                <w:color w:val="auto"/>
              </w:rPr>
              <w:t>Mediware Information Systems,</w:t>
            </w:r>
          </w:p>
        </w:tc>
        <w:tc>
          <w:tcPr>
            <w:tcW w:w="2780" w:type="dxa"/>
            <w:vAlign w:val="bottom"/>
          </w:tcPr>
          <w:p>
            <w:pPr>
              <w:ind w:left="360"/>
              <w:spacing w:after="0"/>
              <w:rPr>
                <w:sz w:val="20"/>
                <w:szCs w:val="20"/>
                <w:color w:val="auto"/>
              </w:rPr>
            </w:pPr>
            <w:r>
              <w:rPr>
                <w:rFonts w:ascii="Arial" w:cs="Arial" w:eastAsia="Arial" w:hAnsi="Arial"/>
                <w:sz w:val="18"/>
                <w:szCs w:val="18"/>
                <w:color w:val="auto"/>
              </w:rPr>
              <w:t>First-lien loan ($67,574 par,</w:t>
            </w: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80" w:type="dxa"/>
            <w:vAlign w:val="bottom"/>
          </w:tcPr>
          <w:p>
            <w:pPr>
              <w:ind w:left="14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(3)(5)</w:t>
            </w:r>
          </w:p>
        </w:tc>
        <w:tc>
          <w:tcPr>
            <w:tcW w:w="2780" w:type="dxa"/>
            <w:vAlign w:val="bottom"/>
          </w:tcPr>
          <w:p>
            <w:pPr>
              <w:ind w:left="360"/>
              <w:spacing w:after="0"/>
              <w:rPr>
                <w:sz w:val="20"/>
                <w:szCs w:val="20"/>
                <w:color w:val="auto"/>
              </w:rPr>
            </w:pPr>
            <w:r>
              <w:rPr>
                <w:rFonts w:ascii="Arial" w:cs="Arial" w:eastAsia="Arial" w:hAnsi="Arial"/>
                <w:sz w:val="18"/>
                <w:szCs w:val="18"/>
                <w:color w:val="auto"/>
              </w:rPr>
              <w:t>due 5/2018)</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7.00%</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11/9/2012</w:t>
            </w:r>
          </w:p>
        </w:tc>
        <w:tc>
          <w:tcPr>
            <w:tcW w:w="900" w:type="dxa"/>
            <w:vAlign w:val="bottom"/>
          </w:tcPr>
          <w:p>
            <w:pPr>
              <w:jc w:val="right"/>
              <w:spacing w:after="0"/>
              <w:rPr>
                <w:sz w:val="20"/>
                <w:szCs w:val="20"/>
                <w:color w:val="auto"/>
              </w:rPr>
            </w:pPr>
            <w:r>
              <w:rPr>
                <w:rFonts w:ascii="Arial" w:cs="Arial" w:eastAsia="Arial" w:hAnsi="Arial"/>
                <w:sz w:val="18"/>
                <w:szCs w:val="18"/>
                <w:color w:val="auto"/>
              </w:rPr>
              <w:t>66,725</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68,250</w:t>
            </w:r>
          </w:p>
        </w:tc>
        <w:tc>
          <w:tcPr>
            <w:tcW w:w="2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0"/>
                <w:szCs w:val="20"/>
                <w:color w:val="auto"/>
              </w:rPr>
            </w:pPr>
          </w:p>
        </w:tc>
      </w:tr>
      <w:tr>
        <w:trPr>
          <w:trHeight w:val="215"/>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5"/>
                <w:szCs w:val="15"/>
                <w:color w:val="auto"/>
              </w:rPr>
              <w:t>(3)</w:t>
            </w:r>
          </w:p>
        </w:tc>
        <w:tc>
          <w:tcPr>
            <w:tcW w:w="27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First-lien loan ($31,875 par,</w:t>
            </w:r>
          </w:p>
        </w:tc>
        <w:tc>
          <w:tcPr>
            <w:tcW w:w="1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80" w:type="dxa"/>
            <w:vAlign w:val="bottom"/>
            <w:shd w:val="clear" w:color="auto" w:fill="CFF0FC"/>
          </w:tcPr>
          <w:p>
            <w:pPr>
              <w:spacing w:after="0"/>
              <w:rPr>
                <w:sz w:val="20"/>
                <w:szCs w:val="20"/>
                <w:color w:val="auto"/>
              </w:rPr>
            </w:pPr>
          </w:p>
        </w:tc>
        <w:tc>
          <w:tcPr>
            <w:tcW w:w="27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due 12/2017)</w:t>
            </w:r>
          </w:p>
        </w:tc>
        <w:tc>
          <w:tcPr>
            <w:tcW w:w="1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8.75%</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12/28/2012</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31,508</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31,477</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0"/>
                <w:szCs w:val="20"/>
                <w:color w:val="auto"/>
              </w:rPr>
            </w:pPr>
          </w:p>
        </w:tc>
      </w:tr>
      <w:tr>
        <w:trPr>
          <w:trHeight w:val="215"/>
        </w:trPr>
        <w:tc>
          <w:tcPr>
            <w:tcW w:w="2680" w:type="dxa"/>
            <w:vAlign w:val="bottom"/>
          </w:tcPr>
          <w:p>
            <w:pPr>
              <w:spacing w:after="0"/>
              <w:rPr>
                <w:sz w:val="18"/>
                <w:szCs w:val="18"/>
                <w:color w:val="auto"/>
              </w:rPr>
            </w:pPr>
          </w:p>
        </w:tc>
        <w:tc>
          <w:tcPr>
            <w:tcW w:w="2780" w:type="dxa"/>
            <w:vAlign w:val="bottom"/>
          </w:tcPr>
          <w:p>
            <w:pPr>
              <w:ind w:left="360"/>
              <w:spacing w:after="0"/>
              <w:rPr>
                <w:sz w:val="20"/>
                <w:szCs w:val="20"/>
                <w:color w:val="auto"/>
              </w:rPr>
            </w:pPr>
            <w:r>
              <w:rPr>
                <w:rFonts w:ascii="Arial" w:cs="Arial" w:eastAsia="Arial" w:hAnsi="Arial"/>
                <w:sz w:val="18"/>
                <w:szCs w:val="18"/>
                <w:color w:val="auto"/>
              </w:rPr>
              <w:t>First-lien revolving loan</w:t>
            </w: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p>
        </w:tc>
        <w:tc>
          <w:tcPr>
            <w:tcW w:w="2780" w:type="dxa"/>
            <w:vAlign w:val="bottom"/>
          </w:tcPr>
          <w:p>
            <w:pPr>
              <w:ind w:left="360"/>
              <w:spacing w:after="0"/>
              <w:rPr>
                <w:sz w:val="20"/>
                <w:szCs w:val="20"/>
                <w:color w:val="auto"/>
              </w:rPr>
            </w:pPr>
            <w:r>
              <w:rPr>
                <w:rFonts w:ascii="Arial" w:cs="Arial" w:eastAsia="Arial" w:hAnsi="Arial"/>
                <w:sz w:val="18"/>
                <w:szCs w:val="18"/>
                <w:color w:val="auto"/>
              </w:rPr>
              <w:t>($2,000 par, due 12/2017)</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8.75%</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12/28/2012</w:t>
            </w:r>
          </w:p>
        </w:tc>
        <w:tc>
          <w:tcPr>
            <w:tcW w:w="900" w:type="dxa"/>
            <w:vAlign w:val="bottom"/>
          </w:tcPr>
          <w:p>
            <w:pPr>
              <w:jc w:val="right"/>
              <w:spacing w:after="0"/>
              <w:rPr>
                <w:sz w:val="20"/>
                <w:szCs w:val="20"/>
                <w:color w:val="auto"/>
              </w:rPr>
            </w:pPr>
            <w:r>
              <w:rPr>
                <w:rFonts w:ascii="Arial" w:cs="Arial" w:eastAsia="Arial" w:hAnsi="Arial"/>
                <w:sz w:val="18"/>
                <w:szCs w:val="18"/>
                <w:color w:val="auto"/>
              </w:rPr>
              <w:t>1,955</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1,938</w:t>
            </w:r>
          </w:p>
        </w:tc>
        <w:tc>
          <w:tcPr>
            <w:tcW w:w="2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0"/>
                <w:szCs w:val="20"/>
                <w:color w:val="auto"/>
              </w:rPr>
            </w:pPr>
          </w:p>
        </w:tc>
      </w:tr>
      <w:tr>
        <w:trPr>
          <w:trHeight w:val="20"/>
        </w:trPr>
        <w:tc>
          <w:tcPr>
            <w:tcW w:w="2680" w:type="dxa"/>
            <w:vAlign w:val="bottom"/>
            <w:shd w:val="clear" w:color="auto" w:fill="CFF0FC"/>
          </w:tcPr>
          <w:p>
            <w:pPr>
              <w:spacing w:after="0" w:line="20" w:lineRule="exact"/>
              <w:rPr>
                <w:sz w:val="1"/>
                <w:szCs w:val="1"/>
                <w:color w:val="auto"/>
              </w:rPr>
            </w:pPr>
          </w:p>
        </w:tc>
        <w:tc>
          <w:tcPr>
            <w:tcW w:w="278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80" w:type="dxa"/>
            <w:vAlign w:val="bottom"/>
            <w:shd w:val="clear" w:color="auto" w:fill="CFF0FC"/>
          </w:tcPr>
          <w:p>
            <w:pPr>
              <w:spacing w:after="0"/>
              <w:rPr>
                <w:sz w:val="19"/>
                <w:szCs w:val="19"/>
                <w:color w:val="auto"/>
              </w:rPr>
            </w:pPr>
          </w:p>
        </w:tc>
        <w:tc>
          <w:tcPr>
            <w:tcW w:w="27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263,655</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264,398</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9"/>
                <w:szCs w:val="19"/>
                <w:color w:val="auto"/>
              </w:rPr>
            </w:pPr>
          </w:p>
        </w:tc>
      </w:tr>
      <w:tr>
        <w:trPr>
          <w:trHeight w:val="223"/>
        </w:trPr>
        <w:tc>
          <w:tcPr>
            <w:tcW w:w="2680" w:type="dxa"/>
            <w:vAlign w:val="bottom"/>
          </w:tcPr>
          <w:p>
            <w:pPr>
              <w:ind w:left="260"/>
              <w:spacing w:after="0"/>
              <w:rPr>
                <w:sz w:val="20"/>
                <w:szCs w:val="20"/>
                <w:color w:val="auto"/>
              </w:rPr>
            </w:pPr>
            <w:r>
              <w:rPr>
                <w:rFonts w:ascii="Arial" w:cs="Arial" w:eastAsia="Arial" w:hAnsi="Arial"/>
                <w:sz w:val="18"/>
                <w:szCs w:val="18"/>
                <w:b w:val="1"/>
                <w:bCs w:val="1"/>
                <w:color w:val="auto"/>
              </w:rPr>
              <w:t>Hotel, gaming, and leisure</w:t>
            </w:r>
          </w:p>
        </w:tc>
        <w:tc>
          <w:tcPr>
            <w:tcW w:w="2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CrunchTime Information</w:t>
            </w:r>
          </w:p>
        </w:tc>
        <w:tc>
          <w:tcPr>
            <w:tcW w:w="27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First-lien loan ($25,452 par,</w:t>
            </w:r>
          </w:p>
        </w:tc>
        <w:tc>
          <w:tcPr>
            <w:tcW w:w="14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9.00% (incl.</w:t>
            </w:r>
          </w:p>
        </w:tc>
        <w:tc>
          <w:tcPr>
            <w:tcW w:w="10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Systems, Inc. </w:t>
            </w:r>
            <w:r>
              <w:rPr>
                <w:rFonts w:ascii="Arial" w:cs="Arial" w:eastAsia="Arial" w:hAnsi="Arial"/>
                <w:sz w:val="15"/>
                <w:szCs w:val="15"/>
                <w:color w:val="auto"/>
              </w:rPr>
              <w:t>(3)</w:t>
            </w:r>
          </w:p>
        </w:tc>
        <w:tc>
          <w:tcPr>
            <w:tcW w:w="27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due 4/2020)</w:t>
            </w:r>
          </w:p>
        </w:tc>
        <w:tc>
          <w:tcPr>
            <w:tcW w:w="14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2.50% PIK)</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4/16/2015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24,873</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24,200</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r>
      <w:tr>
        <w:trPr>
          <w:trHeight w:val="215"/>
        </w:trPr>
        <w:tc>
          <w:tcPr>
            <w:tcW w:w="2680" w:type="dxa"/>
            <w:vAlign w:val="bottom"/>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(3)(7)</w:t>
            </w:r>
          </w:p>
        </w:tc>
        <w:tc>
          <w:tcPr>
            <w:tcW w:w="2780" w:type="dxa"/>
            <w:vAlign w:val="bottom"/>
          </w:tcPr>
          <w:p>
            <w:pPr>
              <w:ind w:left="360"/>
              <w:spacing w:after="0"/>
              <w:rPr>
                <w:sz w:val="20"/>
                <w:szCs w:val="20"/>
                <w:color w:val="auto"/>
              </w:rPr>
            </w:pPr>
            <w:r>
              <w:rPr>
                <w:rFonts w:ascii="Arial" w:cs="Arial" w:eastAsia="Arial" w:hAnsi="Arial"/>
                <w:sz w:val="18"/>
                <w:szCs w:val="18"/>
                <w:color w:val="auto"/>
              </w:rPr>
              <w:t>First-lien loan ($20,260 par,</w:t>
            </w: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10.10% (incl.</w:t>
            </w: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p>
        </w:tc>
        <w:tc>
          <w:tcPr>
            <w:tcW w:w="2780" w:type="dxa"/>
            <w:vAlign w:val="bottom"/>
          </w:tcPr>
          <w:p>
            <w:pPr>
              <w:ind w:left="360"/>
              <w:spacing w:after="0"/>
              <w:rPr>
                <w:sz w:val="20"/>
                <w:szCs w:val="20"/>
                <w:color w:val="auto"/>
              </w:rPr>
            </w:pPr>
            <w:r>
              <w:rPr>
                <w:rFonts w:ascii="Arial" w:cs="Arial" w:eastAsia="Arial" w:hAnsi="Arial"/>
                <w:sz w:val="18"/>
                <w:szCs w:val="18"/>
                <w:color w:val="auto"/>
              </w:rPr>
              <w:t>due 9/2019)</w:t>
            </w: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5.00% PIK)</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9/29/2015</w:t>
            </w:r>
          </w:p>
        </w:tc>
        <w:tc>
          <w:tcPr>
            <w:tcW w:w="900" w:type="dxa"/>
            <w:vAlign w:val="bottom"/>
          </w:tcPr>
          <w:p>
            <w:pPr>
              <w:jc w:val="right"/>
              <w:spacing w:after="0"/>
              <w:rPr>
                <w:sz w:val="20"/>
                <w:szCs w:val="20"/>
                <w:color w:val="auto"/>
              </w:rPr>
            </w:pPr>
            <w:r>
              <w:rPr>
                <w:rFonts w:ascii="Arial" w:cs="Arial" w:eastAsia="Arial" w:hAnsi="Arial"/>
                <w:sz w:val="18"/>
                <w:szCs w:val="18"/>
                <w:color w:val="auto"/>
              </w:rPr>
              <w:t>20,260</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19,500</w:t>
            </w:r>
          </w:p>
        </w:tc>
        <w:tc>
          <w:tcPr>
            <w:tcW w:w="2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r>
      <w:tr>
        <w:trPr>
          <w:trHeight w:val="215"/>
        </w:trPr>
        <w:tc>
          <w:tcPr>
            <w:tcW w:w="2680" w:type="dxa"/>
            <w:vAlign w:val="bottom"/>
            <w:shd w:val="clear" w:color="auto" w:fill="CFF0FC"/>
          </w:tcPr>
          <w:p>
            <w:pPr>
              <w:spacing w:after="0"/>
              <w:rPr>
                <w:sz w:val="18"/>
                <w:szCs w:val="18"/>
                <w:color w:val="auto"/>
              </w:rPr>
            </w:pPr>
          </w:p>
        </w:tc>
        <w:tc>
          <w:tcPr>
            <w:tcW w:w="2780" w:type="dxa"/>
            <w:vAlign w:val="bottom"/>
            <w:shd w:val="clear" w:color="auto" w:fill="CFF0FC"/>
          </w:tcPr>
          <w:p>
            <w:pPr>
              <w:ind w:left="360"/>
              <w:spacing w:after="0"/>
              <w:rPr>
                <w:sz w:val="20"/>
                <w:szCs w:val="20"/>
                <w:color w:val="auto"/>
              </w:rPr>
            </w:pPr>
            <w:r>
              <w:rPr>
                <w:rFonts w:ascii="Arial" w:cs="Arial" w:eastAsia="Arial" w:hAnsi="Arial"/>
                <w:sz w:val="18"/>
                <w:szCs w:val="18"/>
                <w:color w:val="auto"/>
                <w:w w:val="98"/>
              </w:rPr>
              <w:t>First-lien revolver loan ($7,448</w:t>
            </w:r>
          </w:p>
        </w:tc>
        <w:tc>
          <w:tcPr>
            <w:tcW w:w="14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10.10% (incl.</w:t>
            </w:r>
          </w:p>
        </w:tc>
        <w:tc>
          <w:tcPr>
            <w:tcW w:w="10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80" w:type="dxa"/>
            <w:vAlign w:val="bottom"/>
            <w:shd w:val="clear" w:color="auto" w:fill="CFF0FC"/>
          </w:tcPr>
          <w:p>
            <w:pPr>
              <w:spacing w:after="0"/>
              <w:rPr>
                <w:sz w:val="20"/>
                <w:szCs w:val="20"/>
                <w:color w:val="auto"/>
              </w:rPr>
            </w:pPr>
          </w:p>
        </w:tc>
        <w:tc>
          <w:tcPr>
            <w:tcW w:w="27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par, due 9/2019)</w:t>
            </w:r>
          </w:p>
        </w:tc>
        <w:tc>
          <w:tcPr>
            <w:tcW w:w="14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5.00% PIK)</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9/29/2015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7,448</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7,169</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0"/>
                <w:szCs w:val="20"/>
                <w:color w:val="auto"/>
              </w:rPr>
            </w:pPr>
          </w:p>
        </w:tc>
      </w:tr>
      <w:tr>
        <w:trPr>
          <w:trHeight w:val="215"/>
        </w:trPr>
        <w:tc>
          <w:tcPr>
            <w:tcW w:w="2680" w:type="dxa"/>
            <w:vAlign w:val="bottom"/>
          </w:tcPr>
          <w:p>
            <w:pPr>
              <w:spacing w:after="0"/>
              <w:rPr>
                <w:sz w:val="20"/>
                <w:szCs w:val="20"/>
                <w:color w:val="auto"/>
              </w:rPr>
            </w:pPr>
            <w:r>
              <w:rPr>
                <w:rFonts w:ascii="Arial" w:cs="Arial" w:eastAsia="Arial" w:hAnsi="Arial"/>
                <w:sz w:val="18"/>
                <w:szCs w:val="18"/>
                <w:color w:val="auto"/>
              </w:rPr>
              <w:t xml:space="preserve">Soho House </w:t>
            </w:r>
            <w:r>
              <w:rPr>
                <w:rFonts w:ascii="Arial" w:cs="Arial" w:eastAsia="Arial" w:hAnsi="Arial"/>
                <w:sz w:val="15"/>
                <w:szCs w:val="15"/>
                <w:color w:val="auto"/>
              </w:rPr>
              <w:t>(4)</w:t>
            </w:r>
          </w:p>
        </w:tc>
        <w:tc>
          <w:tcPr>
            <w:tcW w:w="2780" w:type="dxa"/>
            <w:vAlign w:val="bottom"/>
          </w:tcPr>
          <w:p>
            <w:pPr>
              <w:ind w:left="360"/>
              <w:spacing w:after="0"/>
              <w:rPr>
                <w:sz w:val="20"/>
                <w:szCs w:val="20"/>
                <w:color w:val="auto"/>
              </w:rPr>
            </w:pPr>
            <w:r>
              <w:rPr>
                <w:rFonts w:ascii="Arial" w:cs="Arial" w:eastAsia="Arial" w:hAnsi="Arial"/>
                <w:sz w:val="18"/>
                <w:szCs w:val="18"/>
                <w:color w:val="auto"/>
                <w:w w:val="96"/>
              </w:rPr>
              <w:t>Second-lien bond (GBP 20,375</w:t>
            </w: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30,781</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p>
        </w:tc>
        <w:tc>
          <w:tcPr>
            <w:tcW w:w="2780" w:type="dxa"/>
            <w:vAlign w:val="bottom"/>
          </w:tcPr>
          <w:p>
            <w:pPr>
              <w:ind w:left="360"/>
              <w:spacing w:after="0"/>
              <w:rPr>
                <w:sz w:val="20"/>
                <w:szCs w:val="20"/>
                <w:color w:val="auto"/>
              </w:rPr>
            </w:pPr>
            <w:r>
              <w:rPr>
                <w:rFonts w:ascii="Arial" w:cs="Arial" w:eastAsia="Arial" w:hAnsi="Arial"/>
                <w:sz w:val="18"/>
                <w:szCs w:val="18"/>
                <w:color w:val="auto"/>
              </w:rPr>
              <w:t>par, due 10/2018)</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9.13%</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9/20/2013</w:t>
            </w:r>
          </w:p>
        </w:tc>
        <w:tc>
          <w:tcPr>
            <w:tcW w:w="900" w:type="dxa"/>
            <w:vAlign w:val="bottom"/>
          </w:tcPr>
          <w:p>
            <w:pPr>
              <w:jc w:val="right"/>
              <w:spacing w:after="0"/>
              <w:rPr>
                <w:sz w:val="20"/>
                <w:szCs w:val="20"/>
                <w:color w:val="auto"/>
              </w:rPr>
            </w:pPr>
            <w:r>
              <w:rPr>
                <w:rFonts w:ascii="Arial" w:cs="Arial" w:eastAsia="Arial" w:hAnsi="Arial"/>
                <w:sz w:val="18"/>
                <w:szCs w:val="18"/>
                <w:color w:val="auto"/>
              </w:rPr>
              <w:t>33,055</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6"/>
              </w:rPr>
              <w:t>(GBP 20,884)</w:t>
            </w:r>
          </w:p>
        </w:tc>
        <w:tc>
          <w:tcPr>
            <w:tcW w:w="2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0"/>
                <w:szCs w:val="20"/>
                <w:color w:val="auto"/>
              </w:rPr>
            </w:pPr>
          </w:p>
        </w:tc>
      </w:tr>
      <w:tr>
        <w:trPr>
          <w:trHeight w:val="20"/>
        </w:trPr>
        <w:tc>
          <w:tcPr>
            <w:tcW w:w="2680" w:type="dxa"/>
            <w:vAlign w:val="bottom"/>
            <w:shd w:val="clear" w:color="auto" w:fill="CFF0FC"/>
          </w:tcPr>
          <w:p>
            <w:pPr>
              <w:spacing w:after="0" w:line="20" w:lineRule="exact"/>
              <w:rPr>
                <w:sz w:val="1"/>
                <w:szCs w:val="1"/>
                <w:color w:val="auto"/>
              </w:rPr>
            </w:pPr>
          </w:p>
        </w:tc>
        <w:tc>
          <w:tcPr>
            <w:tcW w:w="278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80" w:type="dxa"/>
            <w:vAlign w:val="bottom"/>
            <w:shd w:val="clear" w:color="auto" w:fill="CFF0FC"/>
          </w:tcPr>
          <w:p>
            <w:pPr>
              <w:spacing w:after="0"/>
              <w:rPr>
                <w:sz w:val="19"/>
                <w:szCs w:val="19"/>
                <w:color w:val="auto"/>
              </w:rPr>
            </w:pPr>
          </w:p>
        </w:tc>
        <w:tc>
          <w:tcPr>
            <w:tcW w:w="27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85,636</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81,650</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r>
      <w:tr>
        <w:trPr>
          <w:trHeight w:val="205"/>
        </w:trPr>
        <w:tc>
          <w:tcPr>
            <w:tcW w:w="2680" w:type="dxa"/>
            <w:vAlign w:val="bottom"/>
          </w:tcPr>
          <w:p>
            <w:pPr>
              <w:ind w:left="260"/>
              <w:spacing w:after="0" w:line="205" w:lineRule="exact"/>
              <w:rPr>
                <w:sz w:val="20"/>
                <w:szCs w:val="20"/>
                <w:color w:val="auto"/>
              </w:rPr>
            </w:pPr>
            <w:r>
              <w:rPr>
                <w:rFonts w:ascii="Arial" w:cs="Arial" w:eastAsia="Arial" w:hAnsi="Arial"/>
                <w:sz w:val="18"/>
                <w:szCs w:val="18"/>
                <w:b w:val="1"/>
                <w:bCs w:val="1"/>
                <w:color w:val="auto"/>
              </w:rPr>
              <w:t>Human Resource Support</w:t>
            </w:r>
          </w:p>
        </w:tc>
        <w:tc>
          <w:tcPr>
            <w:tcW w:w="2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680" w:type="dxa"/>
            <w:vAlign w:val="bottom"/>
          </w:tcPr>
          <w:p>
            <w:pPr>
              <w:ind w:left="380"/>
              <w:spacing w:after="0"/>
              <w:rPr>
                <w:sz w:val="20"/>
                <w:szCs w:val="20"/>
                <w:color w:val="auto"/>
              </w:rPr>
            </w:pPr>
            <w:r>
              <w:rPr>
                <w:rFonts w:ascii="Arial" w:cs="Arial" w:eastAsia="Arial" w:hAnsi="Arial"/>
                <w:sz w:val="18"/>
                <w:szCs w:val="18"/>
                <w:b w:val="1"/>
                <w:bCs w:val="1"/>
                <w:color w:val="auto"/>
              </w:rPr>
              <w:t>Services</w:t>
            </w:r>
          </w:p>
        </w:tc>
        <w:tc>
          <w:tcPr>
            <w:tcW w:w="27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Saba Software, Inc. </w:t>
            </w:r>
            <w:r>
              <w:rPr>
                <w:rFonts w:ascii="Arial" w:cs="Arial" w:eastAsia="Arial" w:hAnsi="Arial"/>
                <w:sz w:val="15"/>
                <w:szCs w:val="15"/>
                <w:color w:val="auto"/>
              </w:rPr>
              <w:t>(3)(5)</w:t>
            </w:r>
          </w:p>
        </w:tc>
        <w:tc>
          <w:tcPr>
            <w:tcW w:w="27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First-lien loan ($54,725 par,</w:t>
            </w:r>
          </w:p>
        </w:tc>
        <w:tc>
          <w:tcPr>
            <w:tcW w:w="1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80" w:type="dxa"/>
            <w:vAlign w:val="bottom"/>
            <w:shd w:val="clear" w:color="auto" w:fill="CFF0FC"/>
          </w:tcPr>
          <w:p>
            <w:pPr>
              <w:spacing w:after="0"/>
              <w:rPr>
                <w:sz w:val="20"/>
                <w:szCs w:val="20"/>
                <w:color w:val="auto"/>
              </w:rPr>
            </w:pPr>
          </w:p>
        </w:tc>
        <w:tc>
          <w:tcPr>
            <w:tcW w:w="27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due 3/2021)</w:t>
            </w:r>
          </w:p>
        </w:tc>
        <w:tc>
          <w:tcPr>
            <w:tcW w:w="1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9.75%</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3/30/2015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54,141</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53,767</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0"/>
                <w:szCs w:val="20"/>
                <w:color w:val="auto"/>
              </w:rPr>
            </w:pPr>
          </w:p>
        </w:tc>
      </w:tr>
      <w:tr>
        <w:trPr>
          <w:trHeight w:val="215"/>
        </w:trPr>
        <w:tc>
          <w:tcPr>
            <w:tcW w:w="2680" w:type="dxa"/>
            <w:vAlign w:val="bottom"/>
          </w:tcPr>
          <w:p>
            <w:pPr>
              <w:spacing w:after="0"/>
              <w:rPr>
                <w:sz w:val="20"/>
                <w:szCs w:val="20"/>
                <w:color w:val="auto"/>
              </w:rPr>
            </w:pPr>
            <w:r>
              <w:rPr>
                <w:rFonts w:ascii="Arial" w:cs="Arial" w:eastAsia="Arial" w:hAnsi="Arial"/>
                <w:sz w:val="18"/>
                <w:szCs w:val="18"/>
                <w:color w:val="auto"/>
              </w:rPr>
              <w:t xml:space="preserve">Skillsoft </w:t>
            </w:r>
            <w:r>
              <w:rPr>
                <w:rFonts w:ascii="Arial" w:cs="Arial" w:eastAsia="Arial" w:hAnsi="Arial"/>
                <w:sz w:val="15"/>
                <w:szCs w:val="15"/>
                <w:color w:val="auto"/>
              </w:rPr>
              <w:t>(3)</w:t>
            </w:r>
          </w:p>
        </w:tc>
        <w:tc>
          <w:tcPr>
            <w:tcW w:w="2780" w:type="dxa"/>
            <w:vAlign w:val="bottom"/>
          </w:tcPr>
          <w:p>
            <w:pPr>
              <w:ind w:left="360"/>
              <w:spacing w:after="0"/>
              <w:rPr>
                <w:sz w:val="20"/>
                <w:szCs w:val="20"/>
                <w:color w:val="auto"/>
              </w:rPr>
            </w:pPr>
            <w:r>
              <w:rPr>
                <w:rFonts w:ascii="Arial" w:cs="Arial" w:eastAsia="Arial" w:hAnsi="Arial"/>
                <w:sz w:val="18"/>
                <w:szCs w:val="18"/>
                <w:color w:val="auto"/>
              </w:rPr>
              <w:t>First-lien loan ($500 par,</w:t>
            </w: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p>
        </w:tc>
        <w:tc>
          <w:tcPr>
            <w:tcW w:w="2780" w:type="dxa"/>
            <w:vAlign w:val="bottom"/>
          </w:tcPr>
          <w:p>
            <w:pPr>
              <w:ind w:left="360"/>
              <w:spacing w:after="0"/>
              <w:rPr>
                <w:sz w:val="20"/>
                <w:szCs w:val="20"/>
                <w:color w:val="auto"/>
              </w:rPr>
            </w:pPr>
            <w:r>
              <w:rPr>
                <w:rFonts w:ascii="Arial" w:cs="Arial" w:eastAsia="Arial" w:hAnsi="Arial"/>
                <w:sz w:val="18"/>
                <w:szCs w:val="18"/>
                <w:color w:val="auto"/>
              </w:rPr>
              <w:t>due 4/2021)</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5.75%</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11/5/2015</w:t>
            </w:r>
          </w:p>
        </w:tc>
        <w:tc>
          <w:tcPr>
            <w:tcW w:w="900" w:type="dxa"/>
            <w:vAlign w:val="bottom"/>
          </w:tcPr>
          <w:p>
            <w:pPr>
              <w:jc w:val="right"/>
              <w:spacing w:after="0"/>
              <w:rPr>
                <w:sz w:val="20"/>
                <w:szCs w:val="20"/>
                <w:color w:val="auto"/>
              </w:rPr>
            </w:pPr>
            <w:r>
              <w:rPr>
                <w:rFonts w:ascii="Arial" w:cs="Arial" w:eastAsia="Arial" w:hAnsi="Arial"/>
                <w:sz w:val="18"/>
                <w:szCs w:val="18"/>
                <w:color w:val="auto"/>
              </w:rPr>
              <w:t>438</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385</w:t>
            </w:r>
          </w:p>
        </w:tc>
        <w:tc>
          <w:tcPr>
            <w:tcW w:w="2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r>
      <w:tr>
        <w:trPr>
          <w:trHeight w:val="20"/>
        </w:trPr>
        <w:tc>
          <w:tcPr>
            <w:tcW w:w="2680" w:type="dxa"/>
            <w:vAlign w:val="bottom"/>
            <w:shd w:val="clear" w:color="auto" w:fill="CFF0FC"/>
          </w:tcPr>
          <w:p>
            <w:pPr>
              <w:spacing w:after="0" w:line="20" w:lineRule="exact"/>
              <w:rPr>
                <w:sz w:val="1"/>
                <w:szCs w:val="1"/>
                <w:color w:val="auto"/>
              </w:rPr>
            </w:pPr>
          </w:p>
        </w:tc>
        <w:tc>
          <w:tcPr>
            <w:tcW w:w="278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80" w:type="dxa"/>
            <w:vAlign w:val="bottom"/>
            <w:shd w:val="clear" w:color="auto" w:fill="CFF0FC"/>
          </w:tcPr>
          <w:p>
            <w:pPr>
              <w:spacing w:after="0"/>
              <w:rPr>
                <w:sz w:val="19"/>
                <w:szCs w:val="19"/>
                <w:color w:val="auto"/>
              </w:rPr>
            </w:pPr>
          </w:p>
        </w:tc>
        <w:tc>
          <w:tcPr>
            <w:tcW w:w="27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54,579</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54,152</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r>
      <w:tr>
        <w:trPr>
          <w:trHeight w:val="223"/>
        </w:trPr>
        <w:tc>
          <w:tcPr>
            <w:tcW w:w="2680" w:type="dxa"/>
            <w:vAlign w:val="bottom"/>
          </w:tcPr>
          <w:p>
            <w:pPr>
              <w:ind w:left="260"/>
              <w:spacing w:after="0"/>
              <w:rPr>
                <w:sz w:val="20"/>
                <w:szCs w:val="20"/>
                <w:color w:val="auto"/>
              </w:rPr>
            </w:pPr>
            <w:r>
              <w:rPr>
                <w:rFonts w:ascii="Arial" w:cs="Arial" w:eastAsia="Arial" w:hAnsi="Arial"/>
                <w:sz w:val="18"/>
                <w:szCs w:val="18"/>
                <w:b w:val="1"/>
                <w:bCs w:val="1"/>
                <w:color w:val="auto"/>
              </w:rPr>
              <w:t>Insurance</w:t>
            </w:r>
          </w:p>
        </w:tc>
        <w:tc>
          <w:tcPr>
            <w:tcW w:w="2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Insurity, Inc. </w:t>
            </w:r>
            <w:r>
              <w:rPr>
                <w:rFonts w:ascii="Arial" w:cs="Arial" w:eastAsia="Arial" w:hAnsi="Arial"/>
                <w:sz w:val="15"/>
                <w:szCs w:val="15"/>
                <w:color w:val="auto"/>
              </w:rPr>
              <w:t>(3)(5)</w:t>
            </w:r>
          </w:p>
        </w:tc>
        <w:tc>
          <w:tcPr>
            <w:tcW w:w="27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First-lien loan ($65,452 par,</w:t>
            </w:r>
          </w:p>
        </w:tc>
        <w:tc>
          <w:tcPr>
            <w:tcW w:w="1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80" w:type="dxa"/>
            <w:vAlign w:val="bottom"/>
            <w:shd w:val="clear" w:color="auto" w:fill="CFF0FC"/>
          </w:tcPr>
          <w:p>
            <w:pPr>
              <w:spacing w:after="0"/>
              <w:rPr>
                <w:sz w:val="20"/>
                <w:szCs w:val="20"/>
                <w:color w:val="auto"/>
              </w:rPr>
            </w:pPr>
          </w:p>
        </w:tc>
        <w:tc>
          <w:tcPr>
            <w:tcW w:w="27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due 10/2020)</w:t>
            </w:r>
          </w:p>
        </w:tc>
        <w:tc>
          <w:tcPr>
            <w:tcW w:w="1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7.75%</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10/31/2014</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64,782</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63,980</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0"/>
                <w:szCs w:val="20"/>
                <w:color w:val="auto"/>
              </w:rPr>
            </w:pPr>
          </w:p>
        </w:tc>
      </w:tr>
      <w:tr>
        <w:trPr>
          <w:trHeight w:val="230"/>
        </w:trPr>
        <w:tc>
          <w:tcPr>
            <w:tcW w:w="2680" w:type="dxa"/>
            <w:vAlign w:val="bottom"/>
          </w:tcPr>
          <w:p>
            <w:pPr>
              <w:ind w:left="260"/>
              <w:spacing w:after="0"/>
              <w:rPr>
                <w:sz w:val="20"/>
                <w:szCs w:val="20"/>
                <w:color w:val="auto"/>
              </w:rPr>
            </w:pPr>
            <w:r>
              <w:rPr>
                <w:rFonts w:ascii="Arial" w:cs="Arial" w:eastAsia="Arial" w:hAnsi="Arial"/>
                <w:sz w:val="18"/>
                <w:szCs w:val="18"/>
                <w:b w:val="1"/>
                <w:bCs w:val="1"/>
                <w:color w:val="auto"/>
              </w:rPr>
              <w:t>Internet Services</w:t>
            </w:r>
          </w:p>
        </w:tc>
        <w:tc>
          <w:tcPr>
            <w:tcW w:w="2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Highwinds Capital, Inc. </w:t>
            </w:r>
            <w:r>
              <w:rPr>
                <w:rFonts w:ascii="Arial" w:cs="Arial" w:eastAsia="Arial" w:hAnsi="Arial"/>
                <w:sz w:val="15"/>
                <w:szCs w:val="15"/>
                <w:color w:val="auto"/>
              </w:rPr>
              <w:t>(3)</w:t>
            </w:r>
          </w:p>
        </w:tc>
        <w:tc>
          <w:tcPr>
            <w:tcW w:w="27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First-lien loan ($50,987 par,</w:t>
            </w:r>
          </w:p>
        </w:tc>
        <w:tc>
          <w:tcPr>
            <w:tcW w:w="1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80" w:type="dxa"/>
            <w:vAlign w:val="bottom"/>
            <w:shd w:val="clear" w:color="auto" w:fill="CFF0FC"/>
          </w:tcPr>
          <w:p>
            <w:pPr>
              <w:spacing w:after="0"/>
              <w:rPr>
                <w:sz w:val="20"/>
                <w:szCs w:val="20"/>
                <w:color w:val="auto"/>
              </w:rPr>
            </w:pPr>
          </w:p>
        </w:tc>
        <w:tc>
          <w:tcPr>
            <w:tcW w:w="27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due 7/2018)</w:t>
            </w:r>
          </w:p>
        </w:tc>
        <w:tc>
          <w:tcPr>
            <w:tcW w:w="1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9.00%</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3/7/2014</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50,474</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50,095</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0"/>
                <w:szCs w:val="20"/>
                <w:color w:val="auto"/>
              </w:rPr>
            </w:pPr>
          </w:p>
        </w:tc>
      </w:tr>
      <w:tr>
        <w:trPr>
          <w:trHeight w:val="215"/>
        </w:trPr>
        <w:tc>
          <w:tcPr>
            <w:tcW w:w="2680" w:type="dxa"/>
            <w:vAlign w:val="bottom"/>
          </w:tcPr>
          <w:p>
            <w:pPr>
              <w:spacing w:after="0"/>
              <w:rPr>
                <w:sz w:val="18"/>
                <w:szCs w:val="18"/>
                <w:color w:val="auto"/>
              </w:rPr>
            </w:pPr>
          </w:p>
        </w:tc>
        <w:tc>
          <w:tcPr>
            <w:tcW w:w="2780" w:type="dxa"/>
            <w:vAlign w:val="bottom"/>
          </w:tcPr>
          <w:p>
            <w:pPr>
              <w:ind w:left="360"/>
              <w:spacing w:after="0"/>
              <w:rPr>
                <w:sz w:val="20"/>
                <w:szCs w:val="20"/>
                <w:color w:val="auto"/>
              </w:rPr>
            </w:pPr>
            <w:r>
              <w:rPr>
                <w:rFonts w:ascii="Arial" w:cs="Arial" w:eastAsia="Arial" w:hAnsi="Arial"/>
                <w:sz w:val="18"/>
                <w:szCs w:val="18"/>
                <w:color w:val="auto"/>
              </w:rPr>
              <w:t>First-lien revolving loan</w:t>
            </w: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p>
        </w:tc>
        <w:tc>
          <w:tcPr>
            <w:tcW w:w="2780" w:type="dxa"/>
            <w:vAlign w:val="bottom"/>
          </w:tcPr>
          <w:p>
            <w:pPr>
              <w:ind w:left="360"/>
              <w:spacing w:after="0"/>
              <w:rPr>
                <w:sz w:val="20"/>
                <w:szCs w:val="20"/>
                <w:color w:val="auto"/>
              </w:rPr>
            </w:pPr>
            <w:r>
              <w:rPr>
                <w:rFonts w:ascii="Arial" w:cs="Arial" w:eastAsia="Arial" w:hAnsi="Arial"/>
                <w:sz w:val="18"/>
                <w:szCs w:val="18"/>
                <w:color w:val="auto"/>
              </w:rPr>
              <w:t>($2,800 par, due 7/2018)</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9.00%</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3/7/2014</w:t>
            </w:r>
          </w:p>
        </w:tc>
        <w:tc>
          <w:tcPr>
            <w:tcW w:w="900" w:type="dxa"/>
            <w:vAlign w:val="bottom"/>
          </w:tcPr>
          <w:p>
            <w:pPr>
              <w:jc w:val="right"/>
              <w:spacing w:after="0"/>
              <w:rPr>
                <w:sz w:val="20"/>
                <w:szCs w:val="20"/>
                <w:color w:val="auto"/>
              </w:rPr>
            </w:pPr>
            <w:r>
              <w:rPr>
                <w:rFonts w:ascii="Arial" w:cs="Arial" w:eastAsia="Arial" w:hAnsi="Arial"/>
                <w:sz w:val="18"/>
                <w:szCs w:val="18"/>
                <w:color w:val="auto"/>
              </w:rPr>
              <w:t>2,775</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2,748</w:t>
            </w:r>
          </w:p>
        </w:tc>
        <w:tc>
          <w:tcPr>
            <w:tcW w:w="2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0"/>
                <w:szCs w:val="20"/>
                <w:color w:val="auto"/>
              </w:rPr>
            </w:pPr>
          </w:p>
        </w:tc>
      </w:tr>
      <w:tr>
        <w:trPr>
          <w:trHeight w:val="20"/>
        </w:trPr>
        <w:tc>
          <w:tcPr>
            <w:tcW w:w="2680" w:type="dxa"/>
            <w:vAlign w:val="bottom"/>
            <w:shd w:val="clear" w:color="auto" w:fill="CFF0FC"/>
          </w:tcPr>
          <w:p>
            <w:pPr>
              <w:spacing w:after="0" w:line="20" w:lineRule="exact"/>
              <w:rPr>
                <w:sz w:val="1"/>
                <w:szCs w:val="1"/>
                <w:color w:val="auto"/>
              </w:rPr>
            </w:pPr>
          </w:p>
        </w:tc>
        <w:tc>
          <w:tcPr>
            <w:tcW w:w="278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80" w:type="dxa"/>
            <w:vAlign w:val="bottom"/>
            <w:shd w:val="clear" w:color="auto" w:fill="CFF0FC"/>
          </w:tcPr>
          <w:p>
            <w:pPr>
              <w:spacing w:after="0"/>
              <w:rPr>
                <w:sz w:val="19"/>
                <w:szCs w:val="19"/>
                <w:color w:val="auto"/>
              </w:rPr>
            </w:pPr>
          </w:p>
        </w:tc>
        <w:tc>
          <w:tcPr>
            <w:tcW w:w="27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53,249</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52,843</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r>
      <w:tr>
        <w:trPr>
          <w:trHeight w:val="223"/>
        </w:trPr>
        <w:tc>
          <w:tcPr>
            <w:tcW w:w="2680" w:type="dxa"/>
            <w:vAlign w:val="bottom"/>
          </w:tcPr>
          <w:p>
            <w:pPr>
              <w:ind w:left="260"/>
              <w:spacing w:after="0"/>
              <w:rPr>
                <w:sz w:val="20"/>
                <w:szCs w:val="20"/>
                <w:color w:val="auto"/>
              </w:rPr>
            </w:pPr>
            <w:r>
              <w:rPr>
                <w:rFonts w:ascii="Arial" w:cs="Arial" w:eastAsia="Arial" w:hAnsi="Arial"/>
                <w:sz w:val="18"/>
                <w:szCs w:val="18"/>
                <w:b w:val="1"/>
                <w:bCs w:val="1"/>
                <w:color w:val="auto"/>
              </w:rPr>
              <w:t>Manufacturing</w:t>
            </w:r>
          </w:p>
        </w:tc>
        <w:tc>
          <w:tcPr>
            <w:tcW w:w="2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Jeeves Information Systems</w:t>
            </w:r>
          </w:p>
        </w:tc>
        <w:tc>
          <w:tcPr>
            <w:tcW w:w="27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First-lien loan (SEK 192,573</w:t>
            </w:r>
          </w:p>
        </w:tc>
        <w:tc>
          <w:tcPr>
            <w:tcW w:w="1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23,470</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AB </w:t>
            </w:r>
            <w:r>
              <w:rPr>
                <w:rFonts w:ascii="Arial" w:cs="Arial" w:eastAsia="Arial" w:hAnsi="Arial"/>
                <w:sz w:val="15"/>
                <w:szCs w:val="15"/>
                <w:color w:val="auto"/>
              </w:rPr>
              <w:t>(3)(4)(5)</w:t>
            </w:r>
          </w:p>
        </w:tc>
        <w:tc>
          <w:tcPr>
            <w:tcW w:w="27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par, due 3/2019)</w:t>
            </w:r>
          </w:p>
        </w:tc>
        <w:tc>
          <w:tcPr>
            <w:tcW w:w="1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8.75%</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6/5/2013</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29,289</w:t>
            </w:r>
          </w:p>
        </w:tc>
        <w:tc>
          <w:tcPr>
            <w:tcW w:w="2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89"/>
              </w:rPr>
              <w:t>(SEK 197,869)</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r>
      <w:tr>
        <w:trPr>
          <w:trHeight w:val="230"/>
        </w:trPr>
        <w:tc>
          <w:tcPr>
            <w:tcW w:w="2680" w:type="dxa"/>
            <w:vAlign w:val="bottom"/>
          </w:tcPr>
          <w:p>
            <w:pPr>
              <w:ind w:left="260"/>
              <w:spacing w:after="0"/>
              <w:rPr>
                <w:sz w:val="20"/>
                <w:szCs w:val="20"/>
                <w:color w:val="auto"/>
              </w:rPr>
            </w:pPr>
            <w:r>
              <w:rPr>
                <w:rFonts w:ascii="Arial" w:cs="Arial" w:eastAsia="Arial" w:hAnsi="Arial"/>
                <w:sz w:val="18"/>
                <w:szCs w:val="18"/>
                <w:b w:val="1"/>
                <w:bCs w:val="1"/>
                <w:color w:val="auto"/>
              </w:rPr>
              <w:t>Office products</w:t>
            </w:r>
          </w:p>
        </w:tc>
        <w:tc>
          <w:tcPr>
            <w:tcW w:w="2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5"/>
                <w:szCs w:val="15"/>
                <w:color w:val="auto"/>
              </w:rPr>
              <w:t>(3)</w:t>
            </w:r>
          </w:p>
        </w:tc>
        <w:tc>
          <w:tcPr>
            <w:tcW w:w="27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First-lien loan ($36,811 par,</w:t>
            </w:r>
          </w:p>
        </w:tc>
        <w:tc>
          <w:tcPr>
            <w:tcW w:w="1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80" w:type="dxa"/>
            <w:vAlign w:val="bottom"/>
            <w:shd w:val="clear" w:color="auto" w:fill="CFF0FC"/>
          </w:tcPr>
          <w:p>
            <w:pPr>
              <w:spacing w:after="0"/>
              <w:rPr>
                <w:sz w:val="20"/>
                <w:szCs w:val="20"/>
                <w:color w:val="auto"/>
              </w:rPr>
            </w:pPr>
          </w:p>
        </w:tc>
        <w:tc>
          <w:tcPr>
            <w:tcW w:w="27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due 3/2019)</w:t>
            </w:r>
          </w:p>
        </w:tc>
        <w:tc>
          <w:tcPr>
            <w:tcW w:w="1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7.25%</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3/11/2014</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36,579</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36,370</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0"/>
                <w:szCs w:val="20"/>
                <w:color w:val="auto"/>
              </w:rPr>
            </w:pPr>
          </w:p>
        </w:tc>
      </w:tr>
      <w:tr>
        <w:trPr>
          <w:trHeight w:val="211"/>
        </w:trPr>
        <w:tc>
          <w:tcPr>
            <w:tcW w:w="2680" w:type="dxa"/>
            <w:vAlign w:val="bottom"/>
          </w:tcPr>
          <w:p>
            <w:pPr>
              <w:ind w:left="260"/>
              <w:spacing w:after="0"/>
              <w:rPr>
                <w:sz w:val="20"/>
                <w:szCs w:val="20"/>
                <w:color w:val="auto"/>
              </w:rPr>
            </w:pPr>
            <w:r>
              <w:rPr>
                <w:rFonts w:ascii="Arial" w:cs="Arial" w:eastAsia="Arial" w:hAnsi="Arial"/>
                <w:sz w:val="18"/>
                <w:szCs w:val="18"/>
                <w:b w:val="1"/>
                <w:bCs w:val="1"/>
                <w:color w:val="auto"/>
              </w:rPr>
              <w:t>Oil, gas and consumable</w:t>
            </w:r>
          </w:p>
        </w:tc>
        <w:tc>
          <w:tcPr>
            <w:tcW w:w="2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680" w:type="dxa"/>
            <w:vAlign w:val="bottom"/>
          </w:tcPr>
          <w:p>
            <w:pPr>
              <w:ind w:left="380"/>
              <w:spacing w:after="0"/>
              <w:rPr>
                <w:sz w:val="20"/>
                <w:szCs w:val="20"/>
                <w:color w:val="auto"/>
              </w:rPr>
            </w:pPr>
            <w:r>
              <w:rPr>
                <w:rFonts w:ascii="Arial" w:cs="Arial" w:eastAsia="Arial" w:hAnsi="Arial"/>
                <w:sz w:val="18"/>
                <w:szCs w:val="18"/>
                <w:b w:val="1"/>
                <w:bCs w:val="1"/>
                <w:color w:val="auto"/>
              </w:rPr>
              <w:t>fuels</w:t>
            </w:r>
          </w:p>
        </w:tc>
        <w:tc>
          <w:tcPr>
            <w:tcW w:w="27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Key Energy Services </w:t>
            </w:r>
            <w:r>
              <w:rPr>
                <w:rFonts w:ascii="Arial" w:cs="Arial" w:eastAsia="Arial" w:hAnsi="Arial"/>
                <w:sz w:val="15"/>
                <w:szCs w:val="15"/>
                <w:color w:val="auto"/>
              </w:rPr>
              <w:t>(3)</w:t>
            </w:r>
          </w:p>
        </w:tc>
        <w:tc>
          <w:tcPr>
            <w:tcW w:w="27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First-lien loan ($13,504 par,</w:t>
            </w:r>
          </w:p>
        </w:tc>
        <w:tc>
          <w:tcPr>
            <w:tcW w:w="1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80" w:type="dxa"/>
            <w:vAlign w:val="bottom"/>
            <w:shd w:val="clear" w:color="auto" w:fill="CFF0FC"/>
          </w:tcPr>
          <w:p>
            <w:pPr>
              <w:spacing w:after="0"/>
              <w:rPr>
                <w:sz w:val="20"/>
                <w:szCs w:val="20"/>
                <w:color w:val="auto"/>
              </w:rPr>
            </w:pPr>
          </w:p>
        </w:tc>
        <w:tc>
          <w:tcPr>
            <w:tcW w:w="27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due 6/2020)</w:t>
            </w:r>
          </w:p>
        </w:tc>
        <w:tc>
          <w:tcPr>
            <w:tcW w:w="1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10.25%</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5/27/2015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13,043</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10,533</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r>
      <w:tr>
        <w:trPr>
          <w:trHeight w:val="432"/>
        </w:trPr>
        <w:tc>
          <w:tcPr>
            <w:tcW w:w="26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480" w:type="dxa"/>
            <w:vAlign w:val="bottom"/>
          </w:tcPr>
          <w:p>
            <w:pPr>
              <w:jc w:val="right"/>
              <w:ind w:right="1050"/>
              <w:spacing w:after="0"/>
              <w:rPr>
                <w:sz w:val="20"/>
                <w:szCs w:val="20"/>
                <w:color w:val="auto"/>
              </w:rPr>
            </w:pPr>
            <w:r>
              <w:rPr>
                <w:rFonts w:ascii="Arial" w:cs="Arial" w:eastAsia="Arial" w:hAnsi="Arial"/>
                <w:sz w:val="18"/>
                <w:szCs w:val="18"/>
                <w:color w:val="auto"/>
              </w:rPr>
              <w:t>11</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68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6" w:right="2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(3)(7)</w:t>
            </w:r>
          </w:p>
        </w:tc>
        <w:tc>
          <w:tcPr>
            <w:tcW w:w="2740" w:type="dxa"/>
            <w:vAlign w:val="bottom"/>
          </w:tcPr>
          <w:p>
            <w:pPr>
              <w:ind w:left="320"/>
              <w:spacing w:after="0"/>
              <w:rPr>
                <w:sz w:val="20"/>
                <w:szCs w:val="20"/>
                <w:color w:val="auto"/>
              </w:rPr>
            </w:pPr>
            <w:r>
              <w:rPr>
                <w:rFonts w:ascii="Arial" w:cs="Arial" w:eastAsia="Arial" w:hAnsi="Arial"/>
                <w:sz w:val="18"/>
                <w:szCs w:val="18"/>
                <w:color w:val="auto"/>
              </w:rPr>
              <w:t>First-lien loan ($46,679 par,</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13.00% (incl.</w:t>
            </w: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2740" w:type="dxa"/>
            <w:vAlign w:val="bottom"/>
          </w:tcPr>
          <w:p>
            <w:pPr>
              <w:ind w:left="320"/>
              <w:spacing w:after="0"/>
              <w:rPr>
                <w:sz w:val="20"/>
                <w:szCs w:val="20"/>
                <w:color w:val="auto"/>
              </w:rPr>
            </w:pPr>
            <w:r>
              <w:rPr>
                <w:rFonts w:ascii="Arial" w:cs="Arial" w:eastAsia="Arial" w:hAnsi="Arial"/>
                <w:sz w:val="18"/>
                <w:szCs w:val="18"/>
                <w:color w:val="auto"/>
              </w:rPr>
              <w:t>due 6/2018)</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1.50% PIK)</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6/4/2014</w:t>
            </w:r>
          </w:p>
        </w:tc>
        <w:tc>
          <w:tcPr>
            <w:tcW w:w="880" w:type="dxa"/>
            <w:vAlign w:val="bottom"/>
          </w:tcPr>
          <w:p>
            <w:pPr>
              <w:jc w:val="right"/>
              <w:spacing w:after="0"/>
              <w:rPr>
                <w:sz w:val="20"/>
                <w:szCs w:val="20"/>
                <w:color w:val="auto"/>
              </w:rPr>
            </w:pPr>
            <w:r>
              <w:rPr>
                <w:rFonts w:ascii="Arial" w:cs="Arial" w:eastAsia="Arial" w:hAnsi="Arial"/>
                <w:sz w:val="18"/>
                <w:szCs w:val="18"/>
                <w:color w:val="auto"/>
              </w:rPr>
              <w:t>46,081</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36,682</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8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15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shd w:val="clear" w:color="auto" w:fill="CFF0FC"/>
          </w:tcPr>
          <w:p>
            <w:pPr>
              <w:spacing w:after="0"/>
              <w:rPr>
                <w:sz w:val="19"/>
                <w:szCs w:val="19"/>
                <w:color w:val="auto"/>
              </w:rPr>
            </w:pPr>
          </w:p>
        </w:tc>
        <w:tc>
          <w:tcPr>
            <w:tcW w:w="27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59,124</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47,215</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tcPr>
          <w:p>
            <w:pPr>
              <w:ind w:left="260"/>
              <w:spacing w:after="0"/>
              <w:rPr>
                <w:sz w:val="20"/>
                <w:szCs w:val="20"/>
                <w:color w:val="auto"/>
              </w:rPr>
            </w:pPr>
            <w:r>
              <w:rPr>
                <w:rFonts w:ascii="Arial" w:cs="Arial" w:eastAsia="Arial" w:hAnsi="Arial"/>
                <w:sz w:val="18"/>
                <w:szCs w:val="18"/>
                <w:b w:val="1"/>
                <w:bCs w:val="1"/>
                <w:color w:val="auto"/>
              </w:rPr>
              <w:t>Pharmaceuticals</w:t>
            </w:r>
          </w:p>
        </w:tc>
        <w:tc>
          <w:tcPr>
            <w:tcW w:w="27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Nektar Therapeutics </w:t>
            </w:r>
            <w:r>
              <w:rPr>
                <w:rFonts w:ascii="Arial" w:cs="Arial" w:eastAsia="Arial" w:hAnsi="Arial"/>
                <w:sz w:val="15"/>
                <w:szCs w:val="15"/>
                <w:color w:val="auto"/>
              </w:rPr>
              <w:t>(4)(5)(9)</w:t>
            </w:r>
          </w:p>
        </w:tc>
        <w:tc>
          <w:tcPr>
            <w:tcW w:w="2740" w:type="dxa"/>
            <w:vAlign w:val="bottom"/>
            <w:shd w:val="clear" w:color="auto" w:fill="CFF0FC"/>
          </w:tcPr>
          <w:p>
            <w:pPr>
              <w:ind w:left="320"/>
              <w:spacing w:after="0"/>
              <w:rPr>
                <w:sz w:val="20"/>
                <w:szCs w:val="20"/>
                <w:color w:val="auto"/>
              </w:rPr>
            </w:pPr>
            <w:r>
              <w:rPr>
                <w:rFonts w:ascii="Arial" w:cs="Arial" w:eastAsia="Arial" w:hAnsi="Arial"/>
                <w:sz w:val="18"/>
                <w:szCs w:val="18"/>
                <w:color w:val="auto"/>
                <w:w w:val="94"/>
              </w:rPr>
              <w:t>Secured note ($74,950 par, due</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spacing w:after="0"/>
              <w:rPr>
                <w:sz w:val="20"/>
                <w:szCs w:val="20"/>
                <w:color w:val="auto"/>
              </w:rPr>
            </w:pPr>
          </w:p>
        </w:tc>
        <w:tc>
          <w:tcPr>
            <w:tcW w:w="2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10/2020)</w:t>
            </w: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7.75%</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10/5/2015</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74,005</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73,076</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260"/>
              <w:spacing w:after="0"/>
              <w:rPr>
                <w:sz w:val="20"/>
                <w:szCs w:val="20"/>
                <w:color w:val="auto"/>
              </w:rPr>
            </w:pPr>
            <w:r>
              <w:rPr>
                <w:rFonts w:ascii="Arial" w:cs="Arial" w:eastAsia="Arial" w:hAnsi="Arial"/>
                <w:sz w:val="18"/>
                <w:szCs w:val="18"/>
                <w:b w:val="1"/>
                <w:bCs w:val="1"/>
                <w:color w:val="auto"/>
              </w:rPr>
              <w:t>Real Estate</w:t>
            </w:r>
          </w:p>
        </w:tc>
        <w:tc>
          <w:tcPr>
            <w:tcW w:w="27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JL Secured Promissory Note </w:t>
            </w:r>
            <w:r>
              <w:rPr>
                <w:rFonts w:ascii="Arial" w:cs="Arial" w:eastAsia="Arial" w:hAnsi="Arial"/>
                <w:sz w:val="15"/>
                <w:szCs w:val="15"/>
                <w:color w:val="auto"/>
              </w:rPr>
              <w:t>(4)</w:t>
            </w:r>
          </w:p>
        </w:tc>
        <w:tc>
          <w:tcPr>
            <w:tcW w:w="2740" w:type="dxa"/>
            <w:vAlign w:val="bottom"/>
            <w:shd w:val="clear" w:color="auto" w:fill="CFF0FC"/>
          </w:tcPr>
          <w:p>
            <w:pPr>
              <w:ind w:left="320"/>
              <w:spacing w:after="0"/>
              <w:rPr>
                <w:sz w:val="20"/>
                <w:szCs w:val="20"/>
                <w:color w:val="auto"/>
              </w:rPr>
            </w:pPr>
            <w:r>
              <w:rPr>
                <w:rFonts w:ascii="Arial" w:cs="Arial" w:eastAsia="Arial" w:hAnsi="Arial"/>
                <w:sz w:val="18"/>
                <w:szCs w:val="18"/>
                <w:color w:val="auto"/>
                <w:w w:val="94"/>
              </w:rPr>
              <w:t>Secured note ($10,224 par, due</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spacing w:after="0"/>
              <w:rPr>
                <w:sz w:val="20"/>
                <w:szCs w:val="20"/>
                <w:color w:val="auto"/>
              </w:rPr>
            </w:pPr>
          </w:p>
        </w:tc>
        <w:tc>
          <w:tcPr>
            <w:tcW w:w="2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9/2017)</w:t>
            </w:r>
          </w:p>
        </w:tc>
        <w:tc>
          <w:tcPr>
            <w:tcW w:w="156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7.00% PIK</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9/29/2015</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10,224</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10,224</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Retail and consumer</w:t>
            </w:r>
          </w:p>
        </w:tc>
        <w:tc>
          <w:tcPr>
            <w:tcW w:w="27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FF0FC"/>
          </w:tcPr>
          <w:p>
            <w:pPr>
              <w:ind w:left="380"/>
              <w:spacing w:after="0"/>
              <w:rPr>
                <w:sz w:val="20"/>
                <w:szCs w:val="20"/>
                <w:color w:val="auto"/>
              </w:rPr>
            </w:pPr>
            <w:r>
              <w:rPr>
                <w:rFonts w:ascii="Arial" w:cs="Arial" w:eastAsia="Arial" w:hAnsi="Arial"/>
                <w:sz w:val="18"/>
                <w:szCs w:val="18"/>
                <w:b w:val="1"/>
                <w:bCs w:val="1"/>
                <w:color w:val="auto"/>
              </w:rPr>
              <w:t>products</w:t>
            </w:r>
          </w:p>
        </w:tc>
        <w:tc>
          <w:tcPr>
            <w:tcW w:w="274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80" w:type="dxa"/>
            <w:vAlign w:val="bottom"/>
          </w:tcPr>
          <w:p>
            <w:pPr>
              <w:spacing w:after="0"/>
              <w:rPr>
                <w:sz w:val="20"/>
                <w:szCs w:val="20"/>
                <w:color w:val="auto"/>
              </w:rPr>
            </w:pPr>
            <w:r>
              <w:rPr>
                <w:rFonts w:ascii="Arial" w:cs="Arial" w:eastAsia="Arial" w:hAnsi="Arial"/>
                <w:sz w:val="18"/>
                <w:szCs w:val="18"/>
                <w:color w:val="auto"/>
              </w:rPr>
              <w:t>American Achievement</w:t>
            </w:r>
          </w:p>
        </w:tc>
        <w:tc>
          <w:tcPr>
            <w:tcW w:w="2740" w:type="dxa"/>
            <w:vAlign w:val="bottom"/>
          </w:tcPr>
          <w:p>
            <w:pPr>
              <w:ind w:left="320"/>
              <w:spacing w:after="0"/>
              <w:rPr>
                <w:sz w:val="20"/>
                <w:szCs w:val="20"/>
                <w:color w:val="auto"/>
              </w:rPr>
            </w:pPr>
            <w:r>
              <w:rPr>
                <w:rFonts w:ascii="Arial" w:cs="Arial" w:eastAsia="Arial" w:hAnsi="Arial"/>
                <w:sz w:val="18"/>
                <w:szCs w:val="18"/>
                <w:color w:val="auto"/>
                <w:w w:val="94"/>
              </w:rPr>
              <w:t>First-lien loan ($25,000 par, due</w:t>
            </w: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(3)(5)</w:t>
            </w:r>
          </w:p>
        </w:tc>
        <w:tc>
          <w:tcPr>
            <w:tcW w:w="2740" w:type="dxa"/>
            <w:vAlign w:val="bottom"/>
          </w:tcPr>
          <w:p>
            <w:pPr>
              <w:ind w:left="320"/>
              <w:spacing w:after="0"/>
              <w:rPr>
                <w:sz w:val="20"/>
                <w:szCs w:val="20"/>
                <w:color w:val="auto"/>
              </w:rPr>
            </w:pPr>
            <w:r>
              <w:rPr>
                <w:rFonts w:ascii="Arial" w:cs="Arial" w:eastAsia="Arial" w:hAnsi="Arial"/>
                <w:sz w:val="18"/>
                <w:szCs w:val="18"/>
                <w:color w:val="auto"/>
              </w:rPr>
              <w:t>9/2020)</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8.25%</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9/30/2015</w:t>
            </w:r>
          </w:p>
        </w:tc>
        <w:tc>
          <w:tcPr>
            <w:tcW w:w="880" w:type="dxa"/>
            <w:vAlign w:val="bottom"/>
          </w:tcPr>
          <w:p>
            <w:pPr>
              <w:jc w:val="right"/>
              <w:spacing w:after="0"/>
              <w:rPr>
                <w:sz w:val="20"/>
                <w:szCs w:val="20"/>
                <w:color w:val="auto"/>
              </w:rPr>
            </w:pPr>
            <w:r>
              <w:rPr>
                <w:rFonts w:ascii="Arial" w:cs="Arial" w:eastAsia="Arial" w:hAnsi="Arial"/>
                <w:sz w:val="18"/>
                <w:szCs w:val="18"/>
                <w:color w:val="auto"/>
              </w:rPr>
              <w:t>24,664</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24,563</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Quiksilver - Boardriders SA</w:t>
            </w:r>
          </w:p>
        </w:tc>
        <w:tc>
          <w:tcPr>
            <w:tcW w:w="2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Bond (EUR 7,599 par,</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7,801</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spacing w:after="0"/>
              <w:rPr>
                <w:sz w:val="20"/>
                <w:szCs w:val="20"/>
                <w:color w:val="auto"/>
              </w:rPr>
            </w:pPr>
          </w:p>
        </w:tc>
        <w:tc>
          <w:tcPr>
            <w:tcW w:w="2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due 12/2017)</w:t>
            </w: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8.88%</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5/26/2015</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8,062</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(EUR 7,181)</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80" w:type="dxa"/>
            <w:vAlign w:val="bottom"/>
          </w:tcPr>
          <w:p>
            <w:pPr>
              <w:spacing w:after="0"/>
              <w:rPr>
                <w:sz w:val="20"/>
                <w:szCs w:val="20"/>
                <w:color w:val="auto"/>
              </w:rPr>
            </w:pPr>
            <w:r>
              <w:rPr>
                <w:rFonts w:ascii="Arial" w:cs="Arial" w:eastAsia="Arial" w:hAnsi="Arial"/>
                <w:sz w:val="18"/>
                <w:szCs w:val="18"/>
                <w:color w:val="auto"/>
              </w:rPr>
              <w:t xml:space="preserve">Sears </w:t>
            </w:r>
            <w:r>
              <w:rPr>
                <w:rFonts w:ascii="Arial" w:cs="Arial" w:eastAsia="Arial" w:hAnsi="Arial"/>
                <w:sz w:val="15"/>
                <w:szCs w:val="15"/>
                <w:color w:val="auto"/>
              </w:rPr>
              <w:t>(4)(6)</w:t>
            </w:r>
          </w:p>
        </w:tc>
        <w:tc>
          <w:tcPr>
            <w:tcW w:w="2740" w:type="dxa"/>
            <w:vAlign w:val="bottom"/>
          </w:tcPr>
          <w:p>
            <w:pPr>
              <w:ind w:left="320"/>
              <w:spacing w:after="0"/>
              <w:rPr>
                <w:sz w:val="20"/>
                <w:szCs w:val="20"/>
                <w:color w:val="auto"/>
              </w:rPr>
            </w:pPr>
            <w:r>
              <w:rPr>
                <w:rFonts w:ascii="Arial" w:cs="Arial" w:eastAsia="Arial" w:hAnsi="Arial"/>
                <w:sz w:val="18"/>
                <w:szCs w:val="18"/>
                <w:color w:val="auto"/>
              </w:rPr>
              <w:t>First-lien ABL revolving loan</w:t>
            </w: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2740" w:type="dxa"/>
            <w:vAlign w:val="bottom"/>
          </w:tcPr>
          <w:p>
            <w:pPr>
              <w:ind w:left="320"/>
              <w:spacing w:after="0"/>
              <w:rPr>
                <w:sz w:val="20"/>
                <w:szCs w:val="20"/>
                <w:color w:val="auto"/>
              </w:rPr>
            </w:pPr>
            <w:r>
              <w:rPr>
                <w:rFonts w:ascii="Arial" w:cs="Arial" w:eastAsia="Arial" w:hAnsi="Arial"/>
                <w:sz w:val="18"/>
                <w:szCs w:val="18"/>
                <w:color w:val="auto"/>
              </w:rPr>
              <w:t>($303 par, due 4/2016)</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4/15/2015</w:t>
            </w: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Sports Authority </w:t>
            </w:r>
            <w:r>
              <w:rPr>
                <w:rFonts w:ascii="Arial" w:cs="Arial" w:eastAsia="Arial" w:hAnsi="Arial"/>
                <w:sz w:val="15"/>
                <w:szCs w:val="15"/>
                <w:color w:val="auto"/>
              </w:rPr>
              <w:t>(3)(5)</w:t>
            </w:r>
          </w:p>
        </w:tc>
        <w:tc>
          <w:tcPr>
            <w:tcW w:w="2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ABL FILO term loan ($45,000</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spacing w:after="0"/>
              <w:rPr>
                <w:sz w:val="20"/>
                <w:szCs w:val="20"/>
                <w:color w:val="auto"/>
              </w:rPr>
            </w:pPr>
          </w:p>
        </w:tc>
        <w:tc>
          <w:tcPr>
            <w:tcW w:w="2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par, due 6/2017)</w:t>
            </w: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7.40%</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11/3/2015</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44,249</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43,762</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80" w:type="dxa"/>
            <w:vAlign w:val="bottom"/>
          </w:tcPr>
          <w:p>
            <w:pPr>
              <w:spacing w:after="0"/>
              <w:rPr>
                <w:sz w:val="20"/>
                <w:szCs w:val="20"/>
                <w:color w:val="auto"/>
              </w:rPr>
            </w:pPr>
            <w:r>
              <w:rPr>
                <w:rFonts w:ascii="Arial" w:cs="Arial" w:eastAsia="Arial" w:hAnsi="Arial"/>
                <w:sz w:val="18"/>
                <w:szCs w:val="18"/>
                <w:color w:val="auto"/>
              </w:rPr>
              <w:t xml:space="preserve">Toys 'R' Us-Delaware, Inc. </w:t>
            </w:r>
            <w:r>
              <w:rPr>
                <w:rFonts w:ascii="Arial" w:cs="Arial" w:eastAsia="Arial" w:hAnsi="Arial"/>
                <w:sz w:val="15"/>
                <w:szCs w:val="15"/>
                <w:color w:val="auto"/>
              </w:rPr>
              <w:t>(3)</w:t>
            </w:r>
          </w:p>
        </w:tc>
        <w:tc>
          <w:tcPr>
            <w:tcW w:w="2740" w:type="dxa"/>
            <w:vAlign w:val="bottom"/>
          </w:tcPr>
          <w:p>
            <w:pPr>
              <w:ind w:left="320"/>
              <w:spacing w:after="0"/>
              <w:rPr>
                <w:sz w:val="20"/>
                <w:szCs w:val="20"/>
                <w:color w:val="auto"/>
              </w:rPr>
            </w:pPr>
            <w:r>
              <w:rPr>
                <w:rFonts w:ascii="Arial" w:cs="Arial" w:eastAsia="Arial" w:hAnsi="Arial"/>
                <w:sz w:val="18"/>
                <w:szCs w:val="18"/>
                <w:color w:val="auto"/>
              </w:rPr>
              <w:t>ABL FILO term loan ($51,000</w:t>
            </w: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2740" w:type="dxa"/>
            <w:vAlign w:val="bottom"/>
          </w:tcPr>
          <w:p>
            <w:pPr>
              <w:ind w:left="320"/>
              <w:spacing w:after="0"/>
              <w:rPr>
                <w:sz w:val="20"/>
                <w:szCs w:val="20"/>
                <w:color w:val="auto"/>
              </w:rPr>
            </w:pPr>
            <w:r>
              <w:rPr>
                <w:rFonts w:ascii="Arial" w:cs="Arial" w:eastAsia="Arial" w:hAnsi="Arial"/>
                <w:sz w:val="18"/>
                <w:szCs w:val="18"/>
                <w:color w:val="auto"/>
              </w:rPr>
              <w:t>par, due 10/2019)</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8.25%</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10/9/2014</w:t>
            </w:r>
          </w:p>
        </w:tc>
        <w:tc>
          <w:tcPr>
            <w:tcW w:w="880" w:type="dxa"/>
            <w:vAlign w:val="bottom"/>
          </w:tcPr>
          <w:p>
            <w:pPr>
              <w:jc w:val="right"/>
              <w:spacing w:after="0"/>
              <w:rPr>
                <w:sz w:val="20"/>
                <w:szCs w:val="20"/>
                <w:color w:val="auto"/>
              </w:rPr>
            </w:pPr>
            <w:r>
              <w:rPr>
                <w:rFonts w:ascii="Arial" w:cs="Arial" w:eastAsia="Arial" w:hAnsi="Arial"/>
                <w:sz w:val="18"/>
                <w:szCs w:val="18"/>
                <w:color w:val="auto"/>
              </w:rPr>
              <w:t>50,313</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49,470</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8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15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shd w:val="clear" w:color="auto" w:fill="CFF0FC"/>
          </w:tcPr>
          <w:p>
            <w:pPr>
              <w:spacing w:after="0"/>
              <w:rPr>
                <w:sz w:val="19"/>
                <w:szCs w:val="19"/>
                <w:color w:val="auto"/>
              </w:rPr>
            </w:pPr>
          </w:p>
        </w:tc>
        <w:tc>
          <w:tcPr>
            <w:tcW w:w="27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127,404</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125,853</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tcPr>
          <w:p>
            <w:pPr>
              <w:ind w:left="260"/>
              <w:spacing w:after="0"/>
              <w:rPr>
                <w:sz w:val="20"/>
                <w:szCs w:val="20"/>
                <w:color w:val="auto"/>
              </w:rPr>
            </w:pPr>
            <w:r>
              <w:rPr>
                <w:rFonts w:ascii="Arial" w:cs="Arial" w:eastAsia="Arial" w:hAnsi="Arial"/>
                <w:sz w:val="18"/>
                <w:szCs w:val="18"/>
                <w:b w:val="1"/>
                <w:bCs w:val="1"/>
                <w:color w:val="auto"/>
              </w:rPr>
              <w:t>Transportation</w:t>
            </w:r>
          </w:p>
        </w:tc>
        <w:tc>
          <w:tcPr>
            <w:tcW w:w="27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Carrix, Inc. </w:t>
            </w:r>
            <w:r>
              <w:rPr>
                <w:rFonts w:ascii="Arial" w:cs="Arial" w:eastAsia="Arial" w:hAnsi="Arial"/>
                <w:sz w:val="15"/>
                <w:szCs w:val="15"/>
                <w:color w:val="auto"/>
              </w:rPr>
              <w:t>(3)</w:t>
            </w:r>
          </w:p>
        </w:tc>
        <w:tc>
          <w:tcPr>
            <w:tcW w:w="2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First-lien loan ($13,441 par,</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spacing w:after="0"/>
              <w:rPr>
                <w:sz w:val="20"/>
                <w:szCs w:val="20"/>
                <w:color w:val="auto"/>
              </w:rPr>
            </w:pPr>
          </w:p>
        </w:tc>
        <w:tc>
          <w:tcPr>
            <w:tcW w:w="2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due 1/2019)</w:t>
            </w: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4.50%</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3/17/2015</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12,631</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80" w:type="dxa"/>
            <w:vAlign w:val="bottom"/>
          </w:tcPr>
          <w:p>
            <w:pPr>
              <w:spacing w:after="0"/>
              <w:rPr>
                <w:sz w:val="20"/>
                <w:szCs w:val="20"/>
                <w:color w:val="auto"/>
              </w:rPr>
            </w:pPr>
            <w:r>
              <w:rPr>
                <w:rFonts w:ascii="Arial" w:cs="Arial" w:eastAsia="Arial" w:hAnsi="Arial"/>
                <w:sz w:val="18"/>
                <w:szCs w:val="18"/>
                <w:color w:val="auto"/>
              </w:rPr>
              <w:t xml:space="preserve">Kewill, Ltd. </w:t>
            </w:r>
            <w:r>
              <w:rPr>
                <w:rFonts w:ascii="Arial" w:cs="Arial" w:eastAsia="Arial" w:hAnsi="Arial"/>
                <w:sz w:val="15"/>
                <w:szCs w:val="15"/>
                <w:color w:val="auto"/>
              </w:rPr>
              <w:t>(3)(4)</w:t>
            </w:r>
          </w:p>
        </w:tc>
        <w:tc>
          <w:tcPr>
            <w:tcW w:w="2740" w:type="dxa"/>
            <w:vAlign w:val="bottom"/>
          </w:tcPr>
          <w:p>
            <w:pPr>
              <w:ind w:left="320"/>
              <w:spacing w:after="0"/>
              <w:rPr>
                <w:sz w:val="20"/>
                <w:szCs w:val="20"/>
                <w:color w:val="auto"/>
              </w:rPr>
            </w:pPr>
            <w:r>
              <w:rPr>
                <w:rFonts w:ascii="Arial" w:cs="Arial" w:eastAsia="Arial" w:hAnsi="Arial"/>
                <w:sz w:val="18"/>
                <w:szCs w:val="18"/>
                <w:color w:val="auto"/>
                <w:w w:val="97"/>
              </w:rPr>
              <w:t>Second-lien loan ($62,500 par,</w:t>
            </w: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2740" w:type="dxa"/>
            <w:vAlign w:val="bottom"/>
          </w:tcPr>
          <w:p>
            <w:pPr>
              <w:ind w:left="320"/>
              <w:spacing w:after="0"/>
              <w:rPr>
                <w:sz w:val="20"/>
                <w:szCs w:val="20"/>
                <w:color w:val="auto"/>
              </w:rPr>
            </w:pPr>
            <w:r>
              <w:rPr>
                <w:rFonts w:ascii="Arial" w:cs="Arial" w:eastAsia="Arial" w:hAnsi="Arial"/>
                <w:sz w:val="18"/>
                <w:szCs w:val="18"/>
                <w:color w:val="auto"/>
              </w:rPr>
              <w:t>due 10/2019)</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9.50%</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10/2/2013</w:t>
            </w:r>
          </w:p>
        </w:tc>
        <w:tc>
          <w:tcPr>
            <w:tcW w:w="880" w:type="dxa"/>
            <w:vAlign w:val="bottom"/>
          </w:tcPr>
          <w:p>
            <w:pPr>
              <w:jc w:val="right"/>
              <w:spacing w:after="0"/>
              <w:rPr>
                <w:sz w:val="20"/>
                <w:szCs w:val="20"/>
                <w:color w:val="auto"/>
              </w:rPr>
            </w:pPr>
            <w:r>
              <w:rPr>
                <w:rFonts w:ascii="Arial" w:cs="Arial" w:eastAsia="Arial" w:hAnsi="Arial"/>
                <w:sz w:val="18"/>
                <w:szCs w:val="18"/>
                <w:color w:val="auto"/>
              </w:rPr>
              <w:t>61,614</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59,531</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8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15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shd w:val="clear" w:color="auto" w:fill="CFF0FC"/>
          </w:tcPr>
          <w:p>
            <w:pPr>
              <w:spacing w:after="0"/>
              <w:rPr>
                <w:sz w:val="19"/>
                <w:szCs w:val="19"/>
                <w:color w:val="auto"/>
              </w:rPr>
            </w:pPr>
          </w:p>
        </w:tc>
        <w:tc>
          <w:tcPr>
            <w:tcW w:w="27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74,245</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72,031</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Total Debt Investments</w:t>
            </w:r>
          </w:p>
        </w:tc>
        <w:tc>
          <w:tcPr>
            <w:tcW w:w="27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1,488,879</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1,459,372</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tcPr>
          <w:p>
            <w:pPr>
              <w:spacing w:after="0"/>
              <w:rPr>
                <w:sz w:val="20"/>
                <w:szCs w:val="20"/>
                <w:color w:val="auto"/>
              </w:rPr>
            </w:pPr>
            <w:r>
              <w:rPr>
                <w:rFonts w:ascii="Arial" w:cs="Arial" w:eastAsia="Arial" w:hAnsi="Arial"/>
                <w:sz w:val="18"/>
                <w:szCs w:val="18"/>
                <w:b w:val="1"/>
                <w:bCs w:val="1"/>
                <w:color w:val="auto"/>
              </w:rPr>
              <w:t>Equity and Other Investments</w:t>
            </w:r>
          </w:p>
        </w:tc>
        <w:tc>
          <w:tcPr>
            <w:tcW w:w="27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Business services</w:t>
            </w:r>
          </w:p>
        </w:tc>
        <w:tc>
          <w:tcPr>
            <w:tcW w:w="27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80" w:type="dxa"/>
            <w:vAlign w:val="bottom"/>
          </w:tcPr>
          <w:p>
            <w:pPr>
              <w:spacing w:after="0"/>
              <w:rPr>
                <w:sz w:val="20"/>
                <w:szCs w:val="20"/>
                <w:color w:val="auto"/>
              </w:rPr>
            </w:pPr>
            <w:r>
              <w:rPr>
                <w:rFonts w:ascii="Arial" w:cs="Arial" w:eastAsia="Arial" w:hAnsi="Arial"/>
                <w:sz w:val="18"/>
                <w:szCs w:val="18"/>
                <w:color w:val="auto"/>
              </w:rPr>
              <w:t>Network Merchants, Inc.</w:t>
            </w:r>
          </w:p>
        </w:tc>
        <w:tc>
          <w:tcPr>
            <w:tcW w:w="2740" w:type="dxa"/>
            <w:vAlign w:val="bottom"/>
          </w:tcPr>
          <w:p>
            <w:pPr>
              <w:ind w:left="320"/>
              <w:spacing w:after="0"/>
              <w:rPr>
                <w:sz w:val="20"/>
                <w:szCs w:val="20"/>
                <w:color w:val="auto"/>
              </w:rPr>
            </w:pPr>
            <w:r>
              <w:rPr>
                <w:rFonts w:ascii="Arial" w:cs="Arial" w:eastAsia="Arial" w:hAnsi="Arial"/>
                <w:sz w:val="18"/>
                <w:szCs w:val="18"/>
                <w:color w:val="auto"/>
              </w:rPr>
              <w:t>Non-Voting Preferred Units</w:t>
            </w: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2740" w:type="dxa"/>
            <w:vAlign w:val="bottom"/>
          </w:tcPr>
          <w:p>
            <w:pPr>
              <w:ind w:left="320"/>
              <w:spacing w:after="0"/>
              <w:rPr>
                <w:sz w:val="20"/>
                <w:szCs w:val="20"/>
                <w:color w:val="auto"/>
              </w:rPr>
            </w:pPr>
            <w:r>
              <w:rPr>
                <w:rFonts w:ascii="Arial" w:cs="Arial" w:eastAsia="Arial" w:hAnsi="Arial"/>
                <w:sz w:val="18"/>
                <w:szCs w:val="18"/>
                <w:color w:val="auto"/>
              </w:rPr>
              <w:t>(774,099 units)</w:t>
            </w:r>
          </w:p>
        </w:tc>
        <w:tc>
          <w:tcPr>
            <w:tcW w:w="15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9/12/2013</w:t>
            </w:r>
          </w:p>
        </w:tc>
        <w:tc>
          <w:tcPr>
            <w:tcW w:w="880" w:type="dxa"/>
            <w:vAlign w:val="bottom"/>
          </w:tcPr>
          <w:p>
            <w:pPr>
              <w:jc w:val="right"/>
              <w:spacing w:after="0"/>
              <w:rPr>
                <w:sz w:val="20"/>
                <w:szCs w:val="20"/>
                <w:color w:val="auto"/>
              </w:rPr>
            </w:pPr>
            <w:r>
              <w:rPr>
                <w:rFonts w:ascii="Arial" w:cs="Arial" w:eastAsia="Arial" w:hAnsi="Arial"/>
                <w:sz w:val="18"/>
                <w:szCs w:val="18"/>
                <w:color w:val="auto"/>
              </w:rPr>
              <w:t>780</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1,119</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Financial Services</w:t>
            </w:r>
          </w:p>
        </w:tc>
        <w:tc>
          <w:tcPr>
            <w:tcW w:w="27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80" w:type="dxa"/>
            <w:vAlign w:val="bottom"/>
          </w:tcPr>
          <w:p>
            <w:pPr>
              <w:spacing w:after="0"/>
              <w:rPr>
                <w:sz w:val="20"/>
                <w:szCs w:val="20"/>
                <w:color w:val="auto"/>
              </w:rPr>
            </w:pPr>
            <w:r>
              <w:rPr>
                <w:rFonts w:ascii="Arial" w:cs="Arial" w:eastAsia="Arial" w:hAnsi="Arial"/>
                <w:sz w:val="18"/>
                <w:szCs w:val="18"/>
                <w:color w:val="auto"/>
              </w:rPr>
              <w:t>AvidXchange, Inc.</w:t>
            </w:r>
          </w:p>
        </w:tc>
        <w:tc>
          <w:tcPr>
            <w:tcW w:w="2740" w:type="dxa"/>
            <w:vAlign w:val="bottom"/>
          </w:tcPr>
          <w:p>
            <w:pPr>
              <w:ind w:left="320"/>
              <w:spacing w:after="0"/>
              <w:rPr>
                <w:sz w:val="20"/>
                <w:szCs w:val="20"/>
                <w:color w:val="auto"/>
              </w:rPr>
            </w:pPr>
            <w:r>
              <w:rPr>
                <w:rFonts w:ascii="Arial" w:cs="Arial" w:eastAsia="Arial" w:hAnsi="Arial"/>
                <w:sz w:val="18"/>
                <w:szCs w:val="18"/>
                <w:color w:val="auto"/>
              </w:rPr>
              <w:t>Series E Preferred Equity</w:t>
            </w: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2740" w:type="dxa"/>
            <w:vAlign w:val="bottom"/>
          </w:tcPr>
          <w:p>
            <w:pPr>
              <w:ind w:left="320"/>
              <w:spacing w:after="0"/>
              <w:rPr>
                <w:sz w:val="20"/>
                <w:szCs w:val="20"/>
                <w:color w:val="auto"/>
              </w:rPr>
            </w:pPr>
            <w:r>
              <w:rPr>
                <w:rFonts w:ascii="Arial" w:cs="Arial" w:eastAsia="Arial" w:hAnsi="Arial"/>
                <w:sz w:val="18"/>
                <w:szCs w:val="18"/>
                <w:color w:val="auto"/>
              </w:rPr>
              <w:t>(214,132 shares)</w:t>
            </w:r>
          </w:p>
        </w:tc>
        <w:tc>
          <w:tcPr>
            <w:tcW w:w="15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8/7/2015</w:t>
            </w:r>
          </w:p>
        </w:tc>
        <w:tc>
          <w:tcPr>
            <w:tcW w:w="880" w:type="dxa"/>
            <w:vAlign w:val="bottom"/>
          </w:tcPr>
          <w:p>
            <w:pPr>
              <w:jc w:val="right"/>
              <w:spacing w:after="0"/>
              <w:rPr>
                <w:sz w:val="20"/>
                <w:szCs w:val="20"/>
                <w:color w:val="auto"/>
              </w:rPr>
            </w:pPr>
            <w:r>
              <w:rPr>
                <w:rFonts w:ascii="Arial" w:cs="Arial" w:eastAsia="Arial" w:hAnsi="Arial"/>
                <w:sz w:val="18"/>
                <w:szCs w:val="18"/>
                <w:color w:val="auto"/>
              </w:rPr>
              <w:t>3,846</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3,846</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TICC Capital Corp. </w:t>
            </w:r>
            <w:r>
              <w:rPr>
                <w:rFonts w:ascii="Arial" w:cs="Arial" w:eastAsia="Arial" w:hAnsi="Arial"/>
                <w:sz w:val="15"/>
                <w:szCs w:val="15"/>
                <w:color w:val="auto"/>
              </w:rPr>
              <w:t>(4)</w:t>
            </w:r>
          </w:p>
        </w:tc>
        <w:tc>
          <w:tcPr>
            <w:tcW w:w="2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Common Shares (1,633,660</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spacing w:after="0"/>
              <w:rPr>
                <w:sz w:val="20"/>
                <w:szCs w:val="20"/>
                <w:color w:val="auto"/>
              </w:rPr>
            </w:pPr>
          </w:p>
        </w:tc>
        <w:tc>
          <w:tcPr>
            <w:tcW w:w="2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shares)</w:t>
            </w:r>
          </w:p>
        </w:tc>
        <w:tc>
          <w:tcPr>
            <w:tcW w:w="156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8/5/2015</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10,943</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9,933</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14,789</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13,779</w:t>
            </w:r>
          </w:p>
        </w:tc>
        <w:tc>
          <w:tcPr>
            <w:tcW w:w="2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Healthcare</w:t>
            </w:r>
          </w:p>
        </w:tc>
        <w:tc>
          <w:tcPr>
            <w:tcW w:w="274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80" w:type="dxa"/>
            <w:vAlign w:val="bottom"/>
          </w:tcPr>
          <w:p>
            <w:pPr>
              <w:spacing w:after="0"/>
              <w:rPr>
                <w:sz w:val="20"/>
                <w:szCs w:val="20"/>
                <w:color w:val="auto"/>
              </w:rPr>
            </w:pPr>
            <w:r>
              <w:rPr>
                <w:rFonts w:ascii="Arial" w:cs="Arial" w:eastAsia="Arial" w:hAnsi="Arial"/>
                <w:sz w:val="18"/>
                <w:szCs w:val="18"/>
                <w:color w:val="auto"/>
              </w:rPr>
              <w:t>Global Healthcare Exchange,</w:t>
            </w:r>
          </w:p>
        </w:tc>
        <w:tc>
          <w:tcPr>
            <w:tcW w:w="2740" w:type="dxa"/>
            <w:vAlign w:val="bottom"/>
          </w:tcPr>
          <w:p>
            <w:pPr>
              <w:ind w:left="320"/>
              <w:spacing w:after="0"/>
              <w:rPr>
                <w:sz w:val="20"/>
                <w:szCs w:val="20"/>
                <w:color w:val="auto"/>
              </w:rPr>
            </w:pPr>
            <w:r>
              <w:rPr>
                <w:rFonts w:ascii="Arial" w:cs="Arial" w:eastAsia="Arial" w:hAnsi="Arial"/>
                <w:sz w:val="18"/>
                <w:szCs w:val="18"/>
                <w:color w:val="auto"/>
                <w:w w:val="98"/>
              </w:rPr>
              <w:t>Common Shares Class A (598</w:t>
            </w: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Arial" w:cs="Arial" w:eastAsia="Arial" w:hAnsi="Arial"/>
                <w:sz w:val="18"/>
                <w:szCs w:val="18"/>
                <w:color w:val="auto"/>
              </w:rPr>
              <w:t>LLC</w:t>
            </w:r>
          </w:p>
        </w:tc>
        <w:tc>
          <w:tcPr>
            <w:tcW w:w="2740" w:type="dxa"/>
            <w:vAlign w:val="bottom"/>
          </w:tcPr>
          <w:p>
            <w:pPr>
              <w:ind w:left="320"/>
              <w:spacing w:after="0"/>
              <w:rPr>
                <w:sz w:val="20"/>
                <w:szCs w:val="20"/>
                <w:color w:val="auto"/>
              </w:rPr>
            </w:pPr>
            <w:r>
              <w:rPr>
                <w:rFonts w:ascii="Arial" w:cs="Arial" w:eastAsia="Arial" w:hAnsi="Arial"/>
                <w:sz w:val="18"/>
                <w:szCs w:val="18"/>
                <w:color w:val="auto"/>
              </w:rPr>
              <w:t>shares)</w:t>
            </w:r>
          </w:p>
        </w:tc>
        <w:tc>
          <w:tcPr>
            <w:tcW w:w="15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3/11/2014</w:t>
            </w:r>
          </w:p>
        </w:tc>
        <w:tc>
          <w:tcPr>
            <w:tcW w:w="880" w:type="dxa"/>
            <w:vAlign w:val="bottom"/>
          </w:tcPr>
          <w:p>
            <w:pPr>
              <w:jc w:val="right"/>
              <w:spacing w:after="0"/>
              <w:rPr>
                <w:sz w:val="20"/>
                <w:szCs w:val="20"/>
                <w:color w:val="auto"/>
              </w:rPr>
            </w:pPr>
            <w:r>
              <w:rPr>
                <w:rFonts w:ascii="Arial" w:cs="Arial" w:eastAsia="Arial" w:hAnsi="Arial"/>
                <w:sz w:val="18"/>
                <w:szCs w:val="18"/>
                <w:color w:val="auto"/>
              </w:rPr>
              <w:t>467</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729</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FF0FC"/>
          </w:tcPr>
          <w:p>
            <w:pPr>
              <w:spacing w:after="0"/>
              <w:rPr>
                <w:sz w:val="18"/>
                <w:szCs w:val="18"/>
                <w:color w:val="auto"/>
              </w:rPr>
            </w:pPr>
          </w:p>
        </w:tc>
        <w:tc>
          <w:tcPr>
            <w:tcW w:w="2740" w:type="dxa"/>
            <w:vAlign w:val="bottom"/>
            <w:shd w:val="clear" w:color="auto" w:fill="CFF0FC"/>
          </w:tcPr>
          <w:p>
            <w:pPr>
              <w:ind w:left="320"/>
              <w:spacing w:after="0"/>
              <w:rPr>
                <w:sz w:val="20"/>
                <w:szCs w:val="20"/>
                <w:color w:val="auto"/>
              </w:rPr>
            </w:pPr>
            <w:r>
              <w:rPr>
                <w:rFonts w:ascii="Arial" w:cs="Arial" w:eastAsia="Arial" w:hAnsi="Arial"/>
                <w:sz w:val="18"/>
                <w:szCs w:val="18"/>
                <w:color w:val="auto"/>
                <w:w w:val="98"/>
              </w:rPr>
              <w:t>Common Shares Class B (196</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spacing w:after="0"/>
              <w:rPr>
                <w:sz w:val="20"/>
                <w:szCs w:val="20"/>
                <w:color w:val="auto"/>
              </w:rPr>
            </w:pPr>
          </w:p>
        </w:tc>
        <w:tc>
          <w:tcPr>
            <w:tcW w:w="2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shares)</w:t>
            </w:r>
          </w:p>
        </w:tc>
        <w:tc>
          <w:tcPr>
            <w:tcW w:w="156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3/11/2014</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80" w:type="dxa"/>
            <w:vAlign w:val="bottom"/>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(4)</w:t>
            </w:r>
          </w:p>
        </w:tc>
        <w:tc>
          <w:tcPr>
            <w:tcW w:w="2740" w:type="dxa"/>
            <w:vAlign w:val="bottom"/>
          </w:tcPr>
          <w:p>
            <w:pPr>
              <w:ind w:left="320"/>
              <w:spacing w:after="0"/>
              <w:rPr>
                <w:sz w:val="20"/>
                <w:szCs w:val="20"/>
                <w:color w:val="auto"/>
              </w:rPr>
            </w:pPr>
            <w:r>
              <w:rPr>
                <w:rFonts w:ascii="Arial" w:cs="Arial" w:eastAsia="Arial" w:hAnsi="Arial"/>
                <w:sz w:val="18"/>
                <w:szCs w:val="18"/>
                <w:color w:val="auto"/>
              </w:rPr>
              <w:t>Warrants</w:t>
            </w: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965</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9/30/2014</w:t>
            </w:r>
          </w:p>
        </w:tc>
        <w:tc>
          <w:tcPr>
            <w:tcW w:w="880" w:type="dxa"/>
            <w:vAlign w:val="bottom"/>
          </w:tcPr>
          <w:p>
            <w:pPr>
              <w:jc w:val="right"/>
              <w:spacing w:after="0"/>
              <w:rPr>
                <w:sz w:val="20"/>
                <w:szCs w:val="20"/>
                <w:color w:val="auto"/>
              </w:rPr>
            </w:pPr>
            <w:r>
              <w:rPr>
                <w:rFonts w:ascii="Arial" w:cs="Arial" w:eastAsia="Arial" w:hAnsi="Arial"/>
                <w:sz w:val="18"/>
                <w:szCs w:val="18"/>
                <w:color w:val="auto"/>
              </w:rPr>
              <w:t>877</w:t>
            </w: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(EUR 888)</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SRS Parent Corp.</w:t>
            </w:r>
          </w:p>
        </w:tc>
        <w:tc>
          <w:tcPr>
            <w:tcW w:w="2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Common Shares Class A</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spacing w:after="0"/>
              <w:rPr>
                <w:sz w:val="20"/>
                <w:szCs w:val="20"/>
                <w:color w:val="auto"/>
              </w:rPr>
            </w:pPr>
          </w:p>
        </w:tc>
        <w:tc>
          <w:tcPr>
            <w:tcW w:w="2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(1,980 shares)</w:t>
            </w:r>
          </w:p>
        </w:tc>
        <w:tc>
          <w:tcPr>
            <w:tcW w:w="156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12/28/2012</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80" w:type="dxa"/>
            <w:vAlign w:val="bottom"/>
          </w:tcPr>
          <w:p>
            <w:pPr>
              <w:spacing w:after="0"/>
              <w:rPr>
                <w:sz w:val="18"/>
                <w:szCs w:val="18"/>
                <w:color w:val="auto"/>
              </w:rPr>
            </w:pPr>
          </w:p>
        </w:tc>
        <w:tc>
          <w:tcPr>
            <w:tcW w:w="2740" w:type="dxa"/>
            <w:vAlign w:val="bottom"/>
          </w:tcPr>
          <w:p>
            <w:pPr>
              <w:ind w:left="320"/>
              <w:spacing w:after="0"/>
              <w:rPr>
                <w:sz w:val="20"/>
                <w:szCs w:val="20"/>
                <w:color w:val="auto"/>
              </w:rPr>
            </w:pPr>
            <w:r>
              <w:rPr>
                <w:rFonts w:ascii="Arial" w:cs="Arial" w:eastAsia="Arial" w:hAnsi="Arial"/>
                <w:sz w:val="18"/>
                <w:szCs w:val="18"/>
                <w:color w:val="auto"/>
              </w:rPr>
              <w:t>Common Shares Class B</w:t>
            </w: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2740" w:type="dxa"/>
            <w:vAlign w:val="bottom"/>
          </w:tcPr>
          <w:p>
            <w:pPr>
              <w:ind w:left="320"/>
              <w:spacing w:after="0"/>
              <w:rPr>
                <w:sz w:val="20"/>
                <w:szCs w:val="20"/>
                <w:color w:val="auto"/>
              </w:rPr>
            </w:pPr>
            <w:r>
              <w:rPr>
                <w:rFonts w:ascii="Arial" w:cs="Arial" w:eastAsia="Arial" w:hAnsi="Arial"/>
                <w:sz w:val="18"/>
                <w:szCs w:val="18"/>
                <w:color w:val="auto"/>
              </w:rPr>
              <w:t>(2,953,020 shares)</w:t>
            </w:r>
          </w:p>
        </w:tc>
        <w:tc>
          <w:tcPr>
            <w:tcW w:w="15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12/28/2012</w:t>
            </w: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8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15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shd w:val="clear" w:color="auto" w:fill="CFF0FC"/>
          </w:tcPr>
          <w:p>
            <w:pPr>
              <w:spacing w:after="0"/>
              <w:rPr>
                <w:sz w:val="19"/>
                <w:szCs w:val="19"/>
                <w:color w:val="auto"/>
              </w:rPr>
            </w:pPr>
          </w:p>
        </w:tc>
        <w:tc>
          <w:tcPr>
            <w:tcW w:w="27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3,481</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3,093</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tcPr>
          <w:p>
            <w:pPr>
              <w:ind w:left="260"/>
              <w:spacing w:after="0"/>
              <w:rPr>
                <w:sz w:val="20"/>
                <w:szCs w:val="20"/>
                <w:color w:val="auto"/>
              </w:rPr>
            </w:pPr>
            <w:r>
              <w:rPr>
                <w:rFonts w:ascii="Arial" w:cs="Arial" w:eastAsia="Arial" w:hAnsi="Arial"/>
                <w:sz w:val="18"/>
                <w:szCs w:val="18"/>
                <w:b w:val="1"/>
                <w:bCs w:val="1"/>
                <w:color w:val="auto"/>
              </w:rPr>
              <w:t>Hotel, gaming, and leisure</w:t>
            </w:r>
          </w:p>
        </w:tc>
        <w:tc>
          <w:tcPr>
            <w:tcW w:w="2740" w:type="dxa"/>
            <w:vAlign w:val="bottom"/>
          </w:tcPr>
          <w:p>
            <w:pPr>
              <w:spacing w:after="0"/>
              <w:rPr>
                <w:sz w:val="19"/>
                <w:szCs w:val="19"/>
                <w:color w:val="auto"/>
              </w:rPr>
            </w:pPr>
          </w:p>
        </w:tc>
        <w:tc>
          <w:tcPr>
            <w:tcW w:w="1560" w:type="dxa"/>
            <w:vAlign w:val="bottom"/>
            <w:vMerge w:val="restart"/>
          </w:tcPr>
          <w:p>
            <w:pPr>
              <w:jc w:val="right"/>
              <w:ind w:right="1190"/>
              <w:spacing w:after="0"/>
              <w:rPr>
                <w:sz w:val="20"/>
                <w:szCs w:val="20"/>
                <w:color w:val="auto"/>
              </w:rPr>
            </w:pPr>
            <w:r>
              <w:rPr>
                <w:rFonts w:ascii="Arial" w:cs="Arial" w:eastAsia="Arial" w:hAnsi="Arial"/>
                <w:sz w:val="18"/>
                <w:szCs w:val="18"/>
                <w:color w:val="auto"/>
              </w:rPr>
              <w:t>12</w:t>
            </w:r>
          </w:p>
        </w:tc>
        <w:tc>
          <w:tcPr>
            <w:tcW w:w="10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7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78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(7)</w:t>
            </w:r>
          </w:p>
        </w:tc>
        <w:tc>
          <w:tcPr>
            <w:tcW w:w="32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Class A Units (5,000,000 units)</w:t>
            </w:r>
          </w:p>
        </w:tc>
        <w:tc>
          <w:tcPr>
            <w:tcW w:w="1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9/29/2015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3,897</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5"/>
        </w:trPr>
        <w:tc>
          <w:tcPr>
            <w:tcW w:w="268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Class C-1 Units (8,800,000</w:t>
            </w: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units)</w:t>
            </w:r>
          </w:p>
        </w:tc>
        <w:tc>
          <w:tcPr>
            <w:tcW w:w="11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9/29/2015</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680" w:type="dxa"/>
            <w:vAlign w:val="bottom"/>
            <w:shd w:val="clear" w:color="auto" w:fill="CFF0FC"/>
          </w:tcPr>
          <w:p>
            <w:pPr>
              <w:spacing w:after="0" w:line="20" w:lineRule="exact"/>
              <w:rPr>
                <w:sz w:val="1"/>
                <w:szCs w:val="1"/>
                <w:color w:val="auto"/>
              </w:rPr>
            </w:pPr>
          </w:p>
        </w:tc>
        <w:tc>
          <w:tcPr>
            <w:tcW w:w="326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80" w:type="dxa"/>
            <w:vAlign w:val="bottom"/>
            <w:shd w:val="clear" w:color="auto" w:fill="CFF0FC"/>
          </w:tcPr>
          <w:p>
            <w:pPr>
              <w:spacing w:after="0"/>
              <w:rPr>
                <w:sz w:val="19"/>
                <w:szCs w:val="19"/>
                <w:color w:val="auto"/>
              </w:rPr>
            </w:pPr>
          </w:p>
        </w:tc>
        <w:tc>
          <w:tcPr>
            <w:tcW w:w="3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w:t>
            </w:r>
          </w:p>
        </w:tc>
        <w:tc>
          <w:tcPr>
            <w:tcW w:w="22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5"/>
        </w:trPr>
        <w:tc>
          <w:tcPr>
            <w:tcW w:w="2680" w:type="dxa"/>
            <w:vAlign w:val="bottom"/>
          </w:tcPr>
          <w:p>
            <w:pPr>
              <w:ind w:left="260"/>
              <w:spacing w:after="0" w:line="205" w:lineRule="exact"/>
              <w:rPr>
                <w:sz w:val="20"/>
                <w:szCs w:val="20"/>
                <w:color w:val="auto"/>
              </w:rPr>
            </w:pPr>
            <w:r>
              <w:rPr>
                <w:rFonts w:ascii="Arial" w:cs="Arial" w:eastAsia="Arial" w:hAnsi="Arial"/>
                <w:sz w:val="18"/>
                <w:szCs w:val="18"/>
                <w:b w:val="1"/>
                <w:bCs w:val="1"/>
                <w:color w:val="auto"/>
              </w:rPr>
              <w:t>Oil, gas and consumable</w:t>
            </w:r>
          </w:p>
        </w:tc>
        <w:tc>
          <w:tcPr>
            <w:tcW w:w="3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80" w:type="dxa"/>
            <w:vAlign w:val="bottom"/>
          </w:tcPr>
          <w:p>
            <w:pPr>
              <w:ind w:left="380"/>
              <w:spacing w:after="0"/>
              <w:rPr>
                <w:sz w:val="20"/>
                <w:szCs w:val="20"/>
                <w:color w:val="auto"/>
              </w:rPr>
            </w:pPr>
            <w:r>
              <w:rPr>
                <w:rFonts w:ascii="Arial" w:cs="Arial" w:eastAsia="Arial" w:hAnsi="Arial"/>
                <w:sz w:val="18"/>
                <w:szCs w:val="18"/>
                <w:b w:val="1"/>
                <w:bCs w:val="1"/>
                <w:color w:val="auto"/>
              </w:rPr>
              <w:t>fuels</w:t>
            </w:r>
          </w:p>
        </w:tc>
        <w:tc>
          <w:tcPr>
            <w:tcW w:w="3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(7)</w:t>
            </w:r>
          </w:p>
        </w:tc>
        <w:tc>
          <w:tcPr>
            <w:tcW w:w="32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Class A Member Units (933</w:t>
            </w:r>
          </w:p>
        </w:tc>
        <w:tc>
          <w:tcPr>
            <w:tcW w:w="1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spacing w:after="0"/>
              <w:rPr>
                <w:sz w:val="20"/>
                <w:szCs w:val="20"/>
                <w:color w:val="auto"/>
              </w:rPr>
            </w:pPr>
          </w:p>
        </w:tc>
        <w:tc>
          <w:tcPr>
            <w:tcW w:w="32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units)</w:t>
            </w:r>
          </w:p>
        </w:tc>
        <w:tc>
          <w:tcPr>
            <w:tcW w:w="116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6/4/2014</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8,874</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680" w:type="dxa"/>
            <w:vAlign w:val="bottom"/>
          </w:tcPr>
          <w:p>
            <w:pPr>
              <w:ind w:left="260"/>
              <w:spacing w:after="0"/>
              <w:rPr>
                <w:sz w:val="20"/>
                <w:szCs w:val="20"/>
                <w:color w:val="auto"/>
              </w:rPr>
            </w:pPr>
            <w:r>
              <w:rPr>
                <w:rFonts w:ascii="Arial" w:cs="Arial" w:eastAsia="Arial" w:hAnsi="Arial"/>
                <w:sz w:val="18"/>
                <w:szCs w:val="18"/>
                <w:b w:val="1"/>
                <w:bCs w:val="1"/>
                <w:color w:val="auto"/>
              </w:rPr>
              <w:t>Other</w:t>
            </w:r>
          </w:p>
        </w:tc>
        <w:tc>
          <w:tcPr>
            <w:tcW w:w="3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Oak Hill Credit Partners </w:t>
            </w:r>
            <w:r>
              <w:rPr>
                <w:rFonts w:ascii="Arial" w:cs="Arial" w:eastAsia="Arial" w:hAnsi="Arial"/>
                <w:sz w:val="15"/>
                <w:szCs w:val="15"/>
                <w:color w:val="auto"/>
              </w:rPr>
              <w:t>(4)(6)</w:t>
            </w:r>
          </w:p>
        </w:tc>
        <w:tc>
          <w:tcPr>
            <w:tcW w:w="32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Structured Product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5.82%</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8/21/2015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3,293</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3,099</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 xml:space="preserve">Symphony </w:t>
            </w:r>
            <w:r>
              <w:rPr>
                <w:rFonts w:ascii="Arial" w:cs="Arial" w:eastAsia="Arial" w:hAnsi="Arial"/>
                <w:sz w:val="15"/>
                <w:szCs w:val="15"/>
                <w:color w:val="auto"/>
              </w:rPr>
              <w:t>(4)(6)</w:t>
            </w:r>
          </w:p>
        </w:tc>
        <w:tc>
          <w:tcPr>
            <w:tcW w:w="3260" w:type="dxa"/>
            <w:vAlign w:val="bottom"/>
          </w:tcPr>
          <w:p>
            <w:pPr>
              <w:ind w:left="420"/>
              <w:spacing w:after="0"/>
              <w:rPr>
                <w:sz w:val="20"/>
                <w:szCs w:val="20"/>
                <w:color w:val="auto"/>
              </w:rPr>
            </w:pPr>
            <w:r>
              <w:rPr>
                <w:rFonts w:ascii="Arial" w:cs="Arial" w:eastAsia="Arial" w:hAnsi="Arial"/>
                <w:sz w:val="18"/>
                <w:szCs w:val="18"/>
                <w:color w:val="auto"/>
              </w:rPr>
              <w:t>Structured Product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6.07%</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11/17/2014</w:t>
            </w:r>
          </w:p>
        </w:tc>
        <w:tc>
          <w:tcPr>
            <w:tcW w:w="900" w:type="dxa"/>
            <w:vAlign w:val="bottom"/>
          </w:tcPr>
          <w:p>
            <w:pPr>
              <w:jc w:val="right"/>
              <w:spacing w:after="0"/>
              <w:rPr>
                <w:sz w:val="20"/>
                <w:szCs w:val="20"/>
                <w:color w:val="auto"/>
              </w:rPr>
            </w:pPr>
            <w:r>
              <w:rPr>
                <w:rFonts w:ascii="Arial" w:cs="Arial" w:eastAsia="Arial" w:hAnsi="Arial"/>
                <w:sz w:val="18"/>
                <w:szCs w:val="18"/>
                <w:color w:val="auto"/>
              </w:rPr>
              <w:t>5,583</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5,100</w:t>
            </w:r>
          </w:p>
        </w:tc>
        <w:tc>
          <w:tcPr>
            <w:tcW w:w="2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680" w:type="dxa"/>
            <w:vAlign w:val="bottom"/>
            <w:shd w:val="clear" w:color="auto" w:fill="CFF0FC"/>
          </w:tcPr>
          <w:p>
            <w:pPr>
              <w:spacing w:after="0" w:line="20" w:lineRule="exact"/>
              <w:rPr>
                <w:sz w:val="1"/>
                <w:szCs w:val="1"/>
                <w:color w:val="auto"/>
              </w:rPr>
            </w:pPr>
          </w:p>
        </w:tc>
        <w:tc>
          <w:tcPr>
            <w:tcW w:w="326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80" w:type="dxa"/>
            <w:vAlign w:val="bottom"/>
            <w:shd w:val="clear" w:color="auto" w:fill="CFF0FC"/>
          </w:tcPr>
          <w:p>
            <w:pPr>
              <w:spacing w:after="0"/>
              <w:rPr>
                <w:sz w:val="19"/>
                <w:szCs w:val="19"/>
                <w:color w:val="auto"/>
              </w:rPr>
            </w:pPr>
          </w:p>
        </w:tc>
        <w:tc>
          <w:tcPr>
            <w:tcW w:w="3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8,876</w:t>
            </w:r>
          </w:p>
        </w:tc>
        <w:tc>
          <w:tcPr>
            <w:tcW w:w="22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8,199</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5"/>
        </w:trPr>
        <w:tc>
          <w:tcPr>
            <w:tcW w:w="2680" w:type="dxa"/>
            <w:vAlign w:val="bottom"/>
          </w:tcPr>
          <w:p>
            <w:pPr>
              <w:ind w:left="260"/>
              <w:spacing w:after="0" w:line="205" w:lineRule="exact"/>
              <w:rPr>
                <w:sz w:val="20"/>
                <w:szCs w:val="20"/>
                <w:color w:val="auto"/>
              </w:rPr>
            </w:pPr>
            <w:r>
              <w:rPr>
                <w:rFonts w:ascii="Arial" w:cs="Arial" w:eastAsia="Arial" w:hAnsi="Arial"/>
                <w:sz w:val="18"/>
                <w:szCs w:val="18"/>
                <w:b w:val="1"/>
                <w:bCs w:val="1"/>
                <w:color w:val="auto"/>
              </w:rPr>
              <w:t>Total Equity and Other</w:t>
            </w:r>
          </w:p>
        </w:tc>
        <w:tc>
          <w:tcPr>
            <w:tcW w:w="3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80" w:type="dxa"/>
            <w:vAlign w:val="bottom"/>
          </w:tcPr>
          <w:p>
            <w:pPr>
              <w:ind w:left="380"/>
              <w:spacing w:after="0"/>
              <w:rPr>
                <w:sz w:val="20"/>
                <w:szCs w:val="20"/>
                <w:color w:val="auto"/>
              </w:rPr>
            </w:pPr>
            <w:r>
              <w:rPr>
                <w:rFonts w:ascii="Arial" w:cs="Arial" w:eastAsia="Arial" w:hAnsi="Arial"/>
                <w:sz w:val="18"/>
                <w:szCs w:val="18"/>
                <w:b w:val="1"/>
                <w:bCs w:val="1"/>
                <w:color w:val="auto"/>
              </w:rPr>
              <w:t>Investments</w:t>
            </w:r>
          </w:p>
        </w:tc>
        <w:tc>
          <w:tcPr>
            <w:tcW w:w="3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40,797</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26,337</w:t>
            </w: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68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Total Investments</w:t>
            </w:r>
          </w:p>
        </w:tc>
        <w:tc>
          <w:tcPr>
            <w:tcW w:w="326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80" w:type="dxa"/>
            <w:vAlign w:val="bottom"/>
            <w:vMerge w:val="continue"/>
            <w:shd w:val="clear" w:color="auto" w:fill="CFF0FC"/>
          </w:tcPr>
          <w:p>
            <w:pPr>
              <w:spacing w:after="0"/>
              <w:rPr>
                <w:sz w:val="19"/>
                <w:szCs w:val="19"/>
                <w:color w:val="auto"/>
              </w:rPr>
            </w:pPr>
          </w:p>
        </w:tc>
        <w:tc>
          <w:tcPr>
            <w:tcW w:w="3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0"/>
              </w:rPr>
              <w:t>$ 1,529,676</w:t>
            </w:r>
          </w:p>
        </w:tc>
        <w:tc>
          <w:tcPr>
            <w:tcW w:w="22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0"/>
              </w:rPr>
              <w:t>$ 1,485,709</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180.8%</w:t>
            </w:r>
          </w:p>
        </w:tc>
        <w:tc>
          <w:tcPr>
            <w:tcW w:w="0" w:type="dxa"/>
            <w:vAlign w:val="bottom"/>
          </w:tcPr>
          <w:p>
            <w:pPr>
              <w:spacing w:after="0"/>
              <w:rPr>
                <w:sz w:val="1"/>
                <w:szCs w:val="1"/>
                <w:color w:val="auto"/>
              </w:rPr>
            </w:pPr>
          </w:p>
        </w:tc>
      </w:tr>
      <w:tr>
        <w:trPr>
          <w:trHeight w:val="20"/>
        </w:trPr>
        <w:tc>
          <w:tcPr>
            <w:tcW w:w="2680" w:type="dxa"/>
            <w:vAlign w:val="bottom"/>
            <w:tcBorders>
              <w:top w:val="single" w:sz="8" w:color="CFF0FC"/>
            </w:tcBorders>
          </w:tcPr>
          <w:p>
            <w:pPr>
              <w:spacing w:after="0" w:line="20" w:lineRule="exact"/>
              <w:rPr>
                <w:sz w:val="1"/>
                <w:szCs w:val="1"/>
                <w:color w:val="auto"/>
              </w:rPr>
            </w:pPr>
          </w:p>
        </w:tc>
        <w:tc>
          <w:tcPr>
            <w:tcW w:w="32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20" w:right="180" w:hanging="512"/>
        <w:spacing w:after="0" w:line="258"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20" w:hanging="512"/>
        <w:spacing w:after="0" w:line="250"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spacing w:after="0" w:line="1" w:lineRule="exact"/>
        <w:rPr>
          <w:rFonts w:ascii="Arial" w:cs="Arial" w:eastAsia="Arial" w:hAnsi="Arial"/>
          <w:sz w:val="18"/>
          <w:szCs w:val="18"/>
          <w:color w:val="auto"/>
        </w:rPr>
      </w:pPr>
    </w:p>
    <w:p>
      <w:pPr>
        <w:ind w:left="520" w:right="360" w:hanging="512"/>
        <w:spacing w:after="0" w:line="265"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portfolio company is not a qualifying asset under Section 55(a) of the 1940 Act. Under the 1940 Act, the Company may not acquire any non-qualifying asset unless, at the time such acquisition is made, qualifying assets represent at least 70% of total assets.</w:t>
      </w:r>
    </w:p>
    <w:p>
      <w:pPr>
        <w:ind w:left="520" w:right="400" w:hanging="512"/>
        <w:spacing w:after="0" w:line="250"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9" w:lineRule="exact"/>
        <w:rPr>
          <w:rFonts w:ascii="Arial" w:cs="Arial" w:eastAsia="Arial" w:hAnsi="Arial"/>
          <w:sz w:val="18"/>
          <w:szCs w:val="18"/>
          <w:color w:val="auto"/>
        </w:rPr>
      </w:pPr>
    </w:p>
    <w:p>
      <w:pPr>
        <w:ind w:left="520" w:right="60" w:hanging="512"/>
        <w:spacing w:after="0" w:line="273"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2015 in which the issuer was an Affiliated Person of and was deemed to Control a portfolio company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63"/>
              <w:spacing w:after="0"/>
              <w:rPr>
                <w:sz w:val="20"/>
                <w:szCs w:val="20"/>
                <w:color w:val="auto"/>
              </w:rPr>
            </w:pPr>
            <w:r>
              <w:rPr>
                <w:rFonts w:ascii="Arial" w:cs="Arial" w:eastAsia="Arial" w:hAnsi="Arial"/>
                <w:sz w:val="14"/>
                <w:szCs w:val="14"/>
                <w:b w:val="1"/>
                <w:bCs w:val="1"/>
                <w:color w:val="auto"/>
                <w:w w:val="93"/>
              </w:rPr>
              <w:t>Fair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43"/>
              <w:spacing w:after="0"/>
              <w:rPr>
                <w:sz w:val="20"/>
                <w:szCs w:val="20"/>
                <w:color w:val="auto"/>
              </w:rPr>
            </w:pPr>
            <w:r>
              <w:rPr>
                <w:rFonts w:ascii="Arial" w:cs="Arial" w:eastAsia="Arial" w:hAnsi="Arial"/>
                <w:sz w:val="14"/>
                <w:szCs w:val="14"/>
                <w:b w:val="1"/>
                <w:bCs w:val="1"/>
                <w:color w:val="auto"/>
                <w:w w:val="93"/>
              </w:rPr>
              <w:t>Fair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89"/>
              </w:rPr>
              <w:t>Value at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89"/>
              </w:rPr>
              <w:t>Value at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88"/>
              </w:rPr>
              <w:t>December</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8"/>
              </w:rPr>
              <w:t>Gross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Unrealized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Realized</w:t>
            </w:r>
          </w:p>
        </w:tc>
        <w:tc>
          <w:tcPr>
            <w:tcW w:w="120" w:type="dxa"/>
            <w:vAlign w:val="bottom"/>
          </w:tcPr>
          <w:p>
            <w:pPr>
              <w:spacing w:after="0"/>
              <w:rPr>
                <w:sz w:val="12"/>
                <w:szCs w:val="12"/>
                <w:color w:val="auto"/>
              </w:rPr>
            </w:pPr>
          </w:p>
        </w:tc>
        <w:tc>
          <w:tcPr>
            <w:tcW w:w="76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88"/>
              </w:rPr>
              <w:t>December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8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Interest</w:t>
            </w:r>
          </w:p>
        </w:tc>
      </w:tr>
      <w:tr>
        <w:trPr>
          <w:trHeight w:val="161"/>
        </w:trPr>
        <w:tc>
          <w:tcPr>
            <w:tcW w:w="2600" w:type="dxa"/>
            <w:vAlign w:val="bottom"/>
          </w:tcPr>
          <w:p>
            <w:pPr>
              <w:ind w:left="1020"/>
              <w:spacing w:after="0"/>
              <w:rPr>
                <w:sz w:val="20"/>
                <w:szCs w:val="20"/>
                <w:color w:val="auto"/>
              </w:rPr>
            </w:pPr>
            <w:r>
              <w:rPr>
                <w:rFonts w:ascii="Arial" w:cs="Arial" w:eastAsia="Arial" w:hAnsi="Arial"/>
                <w:sz w:val="14"/>
                <w:szCs w:val="14"/>
                <w:b w:val="1"/>
                <w:bCs w:val="1"/>
                <w:color w:val="auto"/>
              </w:rPr>
              <w:t>Company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63"/>
              <w:spacing w:after="0"/>
              <w:rPr>
                <w:sz w:val="20"/>
                <w:szCs w:val="20"/>
                <w:color w:val="auto"/>
              </w:rPr>
            </w:pPr>
            <w:r>
              <w:rPr>
                <w:rFonts w:ascii="Arial" w:cs="Arial" w:eastAsia="Arial" w:hAnsi="Arial"/>
                <w:sz w:val="14"/>
                <w:szCs w:val="14"/>
                <w:b w:val="1"/>
                <w:bCs w:val="1"/>
                <w:color w:val="auto"/>
                <w:w w:val="88"/>
              </w:rPr>
              <w:t>31, 2014</w:t>
            </w:r>
          </w:p>
        </w:tc>
        <w:tc>
          <w:tcPr>
            <w:tcW w:w="24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Additions (a)</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Reductions (b)</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Gain/(Loss)</w:t>
            </w:r>
          </w:p>
        </w:tc>
        <w:tc>
          <w:tcPr>
            <w:tcW w:w="80" w:type="dxa"/>
            <w:vAlign w:val="bottom"/>
          </w:tcPr>
          <w:p>
            <w:pPr>
              <w:spacing w:after="0"/>
              <w:rPr>
                <w:sz w:val="14"/>
                <w:szCs w:val="14"/>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4"/>
              </w:rPr>
              <w:t>Gain/(Losses)</w:t>
            </w:r>
          </w:p>
        </w:tc>
        <w:tc>
          <w:tcPr>
            <w:tcW w:w="120" w:type="dxa"/>
            <w:vAlign w:val="bottom"/>
          </w:tcPr>
          <w:p>
            <w:pPr>
              <w:spacing w:after="0"/>
              <w:rPr>
                <w:sz w:val="14"/>
                <w:szCs w:val="14"/>
                <w:color w:val="auto"/>
              </w:rPr>
            </w:pPr>
          </w:p>
        </w:tc>
        <w:tc>
          <w:tcPr>
            <w:tcW w:w="760" w:type="dxa"/>
            <w:vAlign w:val="bottom"/>
          </w:tcPr>
          <w:p>
            <w:pPr>
              <w:jc w:val="center"/>
              <w:ind w:right="43"/>
              <w:spacing w:after="0"/>
              <w:rPr>
                <w:sz w:val="20"/>
                <w:szCs w:val="20"/>
                <w:color w:val="auto"/>
              </w:rPr>
            </w:pPr>
            <w:r>
              <w:rPr>
                <w:rFonts w:ascii="Arial" w:cs="Arial" w:eastAsia="Arial" w:hAnsi="Arial"/>
                <w:sz w:val="14"/>
                <w:szCs w:val="14"/>
                <w:b w:val="1"/>
                <w:bCs w:val="1"/>
                <w:color w:val="auto"/>
                <w:w w:val="88"/>
              </w:rPr>
              <w:t>31, 2015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Income</w:t>
            </w:r>
          </w:p>
        </w:tc>
        <w:tc>
          <w:tcPr>
            <w:tcW w:w="1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Income</w:t>
            </w:r>
          </w:p>
        </w:tc>
      </w:tr>
      <w:tr>
        <w:trPr>
          <w:trHeight w:val="209"/>
        </w:trPr>
        <w:tc>
          <w:tcPr>
            <w:tcW w:w="2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Mississippi</w:t>
            </w: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r>
      <w:tr>
        <w:trPr>
          <w:trHeight w:val="230"/>
        </w:trPr>
        <w:tc>
          <w:tcPr>
            <w:tcW w:w="2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Resources, LLC</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41,636</w:t>
            </w:r>
          </w:p>
        </w:tc>
        <w:tc>
          <w:tcPr>
            <w:tcW w:w="42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7,833</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(12,328)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36,682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6,003</w:t>
            </w:r>
          </w:p>
        </w:tc>
        <w:tc>
          <w:tcPr>
            <w:tcW w:w="60" w:type="dxa"/>
            <w:vAlign w:val="bottom"/>
            <w:shd w:val="clear" w:color="auto" w:fill="CFF0FC"/>
          </w:tcPr>
          <w:p>
            <w:pPr>
              <w:spacing w:after="0"/>
              <w:rPr>
                <w:sz w:val="20"/>
                <w:szCs w:val="20"/>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IRGSE Holding Corp.</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31,704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(4,888)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26,816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636</w:t>
            </w:r>
          </w:p>
        </w:tc>
        <w:tc>
          <w:tcPr>
            <w:tcW w:w="60" w:type="dxa"/>
            <w:vAlign w:val="bottom"/>
          </w:tcPr>
          <w:p>
            <w:pPr>
              <w:spacing w:after="0"/>
              <w:rPr>
                <w:sz w:val="19"/>
                <w:szCs w:val="19"/>
                <w:color w:val="auto"/>
              </w:rPr>
            </w:pPr>
          </w:p>
        </w:tc>
      </w:tr>
      <w:tr>
        <w:trPr>
          <w:trHeight w:val="223"/>
        </w:trPr>
        <w:tc>
          <w:tcPr>
            <w:tcW w:w="2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41,636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39,537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(17,216</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FF0FC"/>
          </w:tcPr>
          <w:p>
            <w:pPr>
              <w:ind w:left="54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63,498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6,639</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40" w:right="260" w:hanging="519"/>
        <w:spacing w:after="0" w:line="274" w:lineRule="auto"/>
        <w:tabs>
          <w:tab w:leader="none" w:pos="1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1040" w:right="360" w:hanging="519"/>
        <w:spacing w:after="0" w:line="277" w:lineRule="auto"/>
        <w:tabs>
          <w:tab w:leader="none" w:pos="1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75"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December 31, 2015, the tax cost of the Company’s investments approximates their amortized cost.</w:t>
      </w:r>
    </w:p>
    <w:p>
      <w:pPr>
        <w:spacing w:after="0" w:line="23" w:lineRule="exact"/>
        <w:rPr>
          <w:rFonts w:ascii="Arial" w:cs="Arial" w:eastAsia="Arial" w:hAnsi="Arial"/>
          <w:sz w:val="18"/>
          <w:szCs w:val="18"/>
          <w:color w:val="auto"/>
        </w:rPr>
      </w:pPr>
    </w:p>
    <w:p>
      <w:pPr>
        <w:ind w:left="520" w:right="220" w:hanging="512"/>
        <w:spacing w:after="0" w:line="261"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Notes contain a fixed rate structure. The Company entered into an interest rate swap agreement to swap to a floating rate. Refer to Note 5 for further information related to the Company’s interest rate swaps.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7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 2016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2015</w:t>
            </w:r>
          </w:p>
        </w:tc>
      </w:tr>
      <w:tr>
        <w:trPr>
          <w:trHeight w:val="223"/>
        </w:trPr>
        <w:tc>
          <w:tcPr>
            <w:tcW w:w="7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8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Net investment income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23,192</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20,787</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(5,625)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w:t>
            </w: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realized gains</w:t>
            </w:r>
          </w:p>
        </w:tc>
        <w:tc>
          <w:tcPr>
            <w:tcW w:w="8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120" w:type="dxa"/>
            <w:vAlign w:val="bottom"/>
            <w:tcBorders>
              <w:bottom w:val="single" w:sz="8" w:color="CFF0FC"/>
            </w:tcBorders>
          </w:tcPr>
          <w:p>
            <w:pPr>
              <w:spacing w:after="0"/>
              <w:rPr>
                <w:sz w:val="19"/>
                <w:szCs w:val="19"/>
                <w:color w:val="auto"/>
              </w:rPr>
            </w:pPr>
          </w:p>
        </w:tc>
      </w:tr>
      <w:tr>
        <w:trPr>
          <w:trHeight w:val="223"/>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8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24,468</w:t>
            </w:r>
          </w:p>
        </w:tc>
        <w:tc>
          <w:tcPr>
            <w:tcW w:w="120" w:type="dxa"/>
            <w:vAlign w:val="bottom"/>
            <w:shd w:val="clear" w:color="auto" w:fill="CFF0FC"/>
          </w:tcPr>
          <w:p>
            <w:pPr>
              <w:spacing w:after="0"/>
              <w:rPr>
                <w:sz w:val="19"/>
                <w:szCs w:val="19"/>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b w:val="1"/>
                <w:bCs w:val="1"/>
                <w:color w:val="auto"/>
              </w:rPr>
              <w:t>Increase (Decrease) in Net Assets Resulting from Capital Share Transactions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78,275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2,701</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Purchases of treasury stock</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(1,329)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Dividends declared from net investment income</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(23,098)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(21,044)</w:t>
            </w:r>
          </w:p>
        </w:tc>
      </w:tr>
      <w:tr>
        <w:trPr>
          <w:trHeight w:val="223"/>
        </w:trPr>
        <w:tc>
          <w:tcPr>
            <w:tcW w:w="70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Increase (Decrease) in Net Assets Resulting from Capital Share Transactions</w:t>
            </w:r>
          </w:p>
        </w:tc>
        <w:tc>
          <w:tcPr>
            <w:tcW w:w="8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56,159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(18,343)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000" w:type="dxa"/>
            <w:vAlign w:val="bottom"/>
          </w:tcPr>
          <w:p>
            <w:pPr>
              <w:ind w:left="260"/>
              <w:spacing w:after="0"/>
              <w:rPr>
                <w:sz w:val="20"/>
                <w:szCs w:val="20"/>
                <w:color w:val="auto"/>
              </w:rPr>
            </w:pPr>
            <w:r>
              <w:rPr>
                <w:rFonts w:ascii="Arial" w:cs="Arial" w:eastAsia="Arial" w:hAnsi="Arial"/>
                <w:sz w:val="18"/>
                <w:szCs w:val="18"/>
                <w:b w:val="1"/>
                <w:bCs w:val="1"/>
                <w:color w:val="auto"/>
              </w:rPr>
              <w:t>Total Increase in Net Assets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73,930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6,125</w:t>
            </w: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Net assets, beginning of period</w:t>
            </w:r>
          </w:p>
        </w:tc>
        <w:tc>
          <w:tcPr>
            <w:tcW w:w="8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820,741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835,405</w:t>
            </w:r>
          </w:p>
        </w:tc>
        <w:tc>
          <w:tcPr>
            <w:tcW w:w="120" w:type="dxa"/>
            <w:vAlign w:val="bottom"/>
            <w:shd w:val="clear" w:color="auto" w:fill="CFF0FC"/>
          </w:tcPr>
          <w:p>
            <w:pPr>
              <w:spacing w:after="0"/>
              <w:rPr>
                <w:sz w:val="19"/>
                <w:szCs w:val="19"/>
                <w:color w:val="auto"/>
              </w:rPr>
            </w:pPr>
          </w:p>
        </w:tc>
      </w:tr>
      <w:tr>
        <w:trPr>
          <w:trHeight w:val="263"/>
        </w:trPr>
        <w:tc>
          <w:tcPr>
            <w:tcW w:w="7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Net Assets, End of Period</w:t>
            </w:r>
          </w:p>
        </w:tc>
        <w:tc>
          <w:tcPr>
            <w:tcW w:w="8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894,671</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841,530</w:t>
            </w:r>
          </w:p>
        </w:tc>
        <w:tc>
          <w:tcPr>
            <w:tcW w:w="120" w:type="dxa"/>
            <w:vAlign w:val="bottom"/>
            <w:tcBorders>
              <w:bottom w:val="single" w:sz="8" w:color="CFF0FC"/>
            </w:tcBorders>
          </w:tcPr>
          <w:p>
            <w:pPr>
              <w:spacing w:after="0"/>
              <w:rPr>
                <w:sz w:val="22"/>
                <w:szCs w:val="22"/>
                <w:color w:val="auto"/>
              </w:rPr>
            </w:pPr>
          </w:p>
        </w:tc>
      </w:tr>
      <w:tr>
        <w:trPr>
          <w:trHeight w:val="192"/>
        </w:trPr>
        <w:tc>
          <w:tcPr>
            <w:tcW w:w="7000" w:type="dxa"/>
            <w:vAlign w:val="bottom"/>
            <w:shd w:val="clear" w:color="auto" w:fill="CFF0FC"/>
          </w:tcPr>
          <w:p>
            <w:pPr>
              <w:spacing w:after="0" w:line="192" w:lineRule="exact"/>
              <w:rPr>
                <w:sz w:val="20"/>
                <w:szCs w:val="20"/>
                <w:color w:val="auto"/>
              </w:rPr>
            </w:pPr>
            <w:r>
              <w:rPr>
                <w:rFonts w:ascii="Arial" w:cs="Arial" w:eastAsia="Arial" w:hAnsi="Arial"/>
                <w:sz w:val="18"/>
                <w:szCs w:val="18"/>
                <w:b w:val="1"/>
                <w:bCs w:val="1"/>
                <w:color w:val="auto"/>
              </w:rPr>
              <w:t>Undistributed Net Investment Income Included in Net Assets at the</w:t>
            </w: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34"/>
        </w:trPr>
        <w:tc>
          <w:tcPr>
            <w:tcW w:w="70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End of the Period</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26,712</w:t>
            </w:r>
          </w:p>
        </w:tc>
        <w:tc>
          <w:tcPr>
            <w:tcW w:w="16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6,818</w:t>
            </w:r>
          </w:p>
        </w:tc>
        <w:tc>
          <w:tcPr>
            <w:tcW w:w="120" w:type="dxa"/>
            <w:vAlign w:val="bottom"/>
            <w:shd w:val="clear" w:color="auto" w:fill="CFF0FC"/>
          </w:tcPr>
          <w:p>
            <w:pPr>
              <w:spacing w:after="0"/>
              <w:rPr>
                <w:sz w:val="20"/>
                <w:szCs w:val="20"/>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6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 2016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2015</w:t>
            </w:r>
          </w:p>
        </w:tc>
      </w:tr>
      <w:tr>
        <w:trPr>
          <w:trHeight w:val="223"/>
        </w:trPr>
        <w:tc>
          <w:tcPr>
            <w:tcW w:w="6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17,771</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24,468</w:t>
            </w:r>
          </w:p>
        </w:tc>
        <w:tc>
          <w:tcPr>
            <w:tcW w:w="120" w:type="dxa"/>
            <w:vAlign w:val="bottom"/>
          </w:tcPr>
          <w:p>
            <w:pPr>
              <w:spacing w:after="0"/>
              <w:rPr>
                <w:sz w:val="19"/>
                <w:szCs w:val="19"/>
                <w:color w:val="auto"/>
              </w:rPr>
            </w:pPr>
          </w:p>
        </w:tc>
      </w:tr>
      <w:tr>
        <w:trPr>
          <w:trHeight w:val="215"/>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increase in net assets resulting from operations</w:t>
            </w: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net cash used in operating activities:</w:t>
            </w: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Net change in unrealized losses on investments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5,302</w:t>
            </w:r>
          </w:p>
        </w:tc>
        <w:tc>
          <w:tcPr>
            <w:tcW w:w="120" w:type="dxa"/>
            <w:vAlign w:val="bottom"/>
          </w:tcPr>
          <w:p>
            <w:pPr>
              <w:spacing w:after="0"/>
              <w:rPr>
                <w:sz w:val="19"/>
                <w:szCs w:val="19"/>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change in unrealized (gains) losses on foreign currency transactions</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(7,215)</w:t>
            </w: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Net change in unrealized (gains) losses on interest rate swaps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9"/>
                <w:szCs w:val="19"/>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gains on investments</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(265)</w:t>
            </w: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Net realized (gains) losses on foreign currency transactions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gains on interest rate swaps</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(1,852)</w:t>
            </w: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Net amortization of discount on securities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(3,078)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(1,754)</w:t>
            </w: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issuance costs</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FF0FC"/>
          </w:tcPr>
          <w:p>
            <w:pPr>
              <w:spacing w:after="0"/>
              <w:rPr>
                <w:sz w:val="19"/>
                <w:szCs w:val="19"/>
                <w:color w:val="auto"/>
              </w:rPr>
            </w:pP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Accretion of discount on Convertible Senior Notes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Purchases of investments, net</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(137,352)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(139,319)</w:t>
            </w: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Proceeds from investments, net</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Repayments on investments</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64,394</w:t>
            </w:r>
          </w:p>
        </w:tc>
        <w:tc>
          <w:tcPr>
            <w:tcW w:w="120" w:type="dxa"/>
            <w:vAlign w:val="bottom"/>
            <w:shd w:val="clear" w:color="auto" w:fill="CFF0FC"/>
          </w:tcPr>
          <w:p>
            <w:pPr>
              <w:spacing w:after="0"/>
              <w:rPr>
                <w:sz w:val="19"/>
                <w:szCs w:val="19"/>
                <w:color w:val="auto"/>
              </w:rPr>
            </w:pP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Paid-in-kind interest</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(3,173)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(935)</w:t>
            </w: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Interest receivable</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(1,760)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(1,090)</w:t>
            </w: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receivable paid-in-kind</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w:t>
            </w: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Management fees payable to affiliate</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FF0FC"/>
          </w:tcPr>
          <w:p>
            <w:pPr>
              <w:spacing w:after="0"/>
              <w:rPr>
                <w:sz w:val="19"/>
                <w:szCs w:val="19"/>
                <w:color w:val="auto"/>
              </w:rPr>
            </w:pP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Incentive fees payable to affiliate</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(948)</w:t>
            </w: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Payable to affiliate</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(1,357)</w:t>
            </w: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17,766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(23,277)</w:t>
            </w:r>
          </w:p>
        </w:tc>
      </w:tr>
      <w:tr>
        <w:trPr>
          <w:trHeight w:val="223"/>
        </w:trPr>
        <w:tc>
          <w:tcPr>
            <w:tcW w:w="68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Cash Used in Operating Activities</w:t>
            </w:r>
          </w:p>
        </w:tc>
        <w:tc>
          <w:tcPr>
            <w:tcW w:w="10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(37,022)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(77,254)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Borrowings on debt</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244,387</w:t>
            </w:r>
          </w:p>
        </w:tc>
        <w:tc>
          <w:tcPr>
            <w:tcW w:w="120" w:type="dxa"/>
            <w:vAlign w:val="bottom"/>
            <w:shd w:val="clear" w:color="auto" w:fill="CFF0FC"/>
          </w:tcPr>
          <w:p>
            <w:pPr>
              <w:spacing w:after="0"/>
              <w:rPr>
                <w:sz w:val="19"/>
                <w:szCs w:val="19"/>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Payments on debt</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(115,012)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(147,826)</w:t>
            </w: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Debt issuance costs</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(109)</w:t>
            </w: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Proceeds from issuance of common stock, net of offering and underwriting costs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78,275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Purchases of treasury stock</w:t>
            </w: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(1,329)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(18,814)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(18,282)</w:t>
            </w:r>
          </w:p>
        </w:tc>
      </w:tr>
      <w:tr>
        <w:trPr>
          <w:trHeight w:val="223"/>
        </w:trPr>
        <w:tc>
          <w:tcPr>
            <w:tcW w:w="68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10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38,620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78,170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840" w:type="dxa"/>
            <w:vAlign w:val="bottom"/>
          </w:tcPr>
          <w:p>
            <w:pPr>
              <w:ind w:left="500"/>
              <w:spacing w:after="0"/>
              <w:rPr>
                <w:sz w:val="20"/>
                <w:szCs w:val="20"/>
                <w:color w:val="auto"/>
              </w:rPr>
            </w:pPr>
            <w:r>
              <w:rPr>
                <w:rFonts w:ascii="Arial" w:cs="Arial" w:eastAsia="Arial" w:hAnsi="Arial"/>
                <w:sz w:val="18"/>
                <w:szCs w:val="18"/>
                <w:b w:val="1"/>
                <w:bCs w:val="1"/>
                <w:color w:val="auto"/>
              </w:rPr>
              <w:t>Net Increase in Cash and Cash Equivalents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19"/>
                <w:szCs w:val="19"/>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10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2,413</w:t>
            </w:r>
          </w:p>
        </w:tc>
        <w:tc>
          <w:tcPr>
            <w:tcW w:w="120" w:type="dxa"/>
            <w:vAlign w:val="bottom"/>
            <w:shd w:val="clear" w:color="auto" w:fill="CFF0FC"/>
          </w:tcPr>
          <w:p>
            <w:pPr>
              <w:spacing w:after="0"/>
              <w:rPr>
                <w:sz w:val="19"/>
                <w:szCs w:val="19"/>
                <w:color w:val="auto"/>
              </w:rPr>
            </w:pPr>
          </w:p>
        </w:tc>
      </w:tr>
      <w:tr>
        <w:trPr>
          <w:trHeight w:val="263"/>
        </w:trPr>
        <w:tc>
          <w:tcPr>
            <w:tcW w:w="6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Cash and Cash Equivalents, End of Period</w:t>
            </w:r>
          </w:p>
        </w:tc>
        <w:tc>
          <w:tcPr>
            <w:tcW w:w="10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4,029</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3,329</w:t>
            </w:r>
          </w:p>
        </w:tc>
        <w:tc>
          <w:tcPr>
            <w:tcW w:w="120" w:type="dxa"/>
            <w:vAlign w:val="bottom"/>
            <w:tcBorders>
              <w:bottom w:val="single" w:sz="8" w:color="CFF0FC"/>
            </w:tcBorders>
          </w:tcPr>
          <w:p>
            <w:pPr>
              <w:spacing w:after="0"/>
              <w:rPr>
                <w:sz w:val="22"/>
                <w:szCs w:val="22"/>
                <w:color w:val="auto"/>
              </w:rPr>
            </w:pPr>
          </w:p>
        </w:tc>
      </w:tr>
      <w:tr>
        <w:trPr>
          <w:trHeight w:val="21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Supplemental Information:</w:t>
            </w: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Interest paid during the period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3,986</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2,673</w:t>
            </w:r>
          </w:p>
        </w:tc>
        <w:tc>
          <w:tcPr>
            <w:tcW w:w="120" w:type="dxa"/>
            <w:vAlign w:val="bottom"/>
          </w:tcPr>
          <w:p>
            <w:pPr>
              <w:spacing w:after="0"/>
              <w:rPr>
                <w:sz w:val="19"/>
                <w:szCs w:val="19"/>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Excise taxes paid during the period</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FF0FC"/>
          </w:tcPr>
          <w:p>
            <w:pPr>
              <w:spacing w:after="0"/>
              <w:rPr>
                <w:sz w:val="19"/>
                <w:szCs w:val="19"/>
                <w:color w:val="auto"/>
              </w:rPr>
            </w:pP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Dividends declared during the period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23,098</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21,044</w:t>
            </w:r>
          </w:p>
        </w:tc>
        <w:tc>
          <w:tcPr>
            <w:tcW w:w="120" w:type="dxa"/>
            <w:vAlign w:val="bottom"/>
          </w:tcPr>
          <w:p>
            <w:pPr>
              <w:spacing w:after="0"/>
              <w:rPr>
                <w:sz w:val="19"/>
                <w:szCs w:val="19"/>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Reinvestment of dividends during the period</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2,311</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2,701</w:t>
            </w:r>
          </w:p>
        </w:tc>
        <w:tc>
          <w:tcPr>
            <w:tcW w:w="12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TPG Specialty Lending, Inc. (“TSLX” or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TSLX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78"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On March 21, 2014, the Company completed its initial public offering (“IPO”) and the Company’s shares began trading on the New York Stock Exchange (“NYSE”) under the symbol “TSLX.”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88" w:lineRule="exact"/>
        <w:rPr>
          <w:sz w:val="20"/>
          <w:szCs w:val="20"/>
          <w:color w:val="auto"/>
        </w:rPr>
      </w:pPr>
    </w:p>
    <w:p>
      <w:pPr>
        <w:ind w:firstLine="259"/>
        <w:spacing w:after="0" w:line="302" w:lineRule="auto"/>
        <w:rPr>
          <w:sz w:val="20"/>
          <w:szCs w:val="20"/>
          <w:color w:val="auto"/>
        </w:rPr>
      </w:pPr>
      <w:r>
        <w:rPr>
          <w:rFonts w:ascii="Arial" w:cs="Arial" w:eastAsia="Arial" w:hAnsi="Arial"/>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2015, which was filed with the Securities and Exchange Commission (“SEC”), on February 24, 2016.</w:t>
      </w:r>
    </w:p>
    <w:p>
      <w:pPr>
        <w:spacing w:after="0" w:line="154" w:lineRule="exact"/>
        <w:rPr>
          <w:sz w:val="20"/>
          <w:szCs w:val="20"/>
          <w:color w:val="auto"/>
        </w:rPr>
      </w:pPr>
    </w:p>
    <w:p>
      <w:pPr>
        <w:ind w:right="740" w:firstLine="259"/>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70"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 xml:space="preserve">The Company is an investment company and, therefore, applies the specialized accounting and reporting guidance in Accounting Standards Codification (“ASC”) Topic 946, </w:t>
      </w:r>
      <w:r>
        <w:rPr>
          <w:rFonts w:ascii="Arial" w:cs="Arial" w:eastAsia="Arial" w:hAnsi="Arial"/>
          <w:sz w:val="18"/>
          <w:szCs w:val="18"/>
          <w:i w:val="1"/>
          <w:iCs w:val="1"/>
          <w:color w:val="auto"/>
        </w:rPr>
        <w:t>Financial Services – Investment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fiscal year ends on December 31.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40" w:firstLine="259"/>
        <w:spacing w:after="0" w:line="312"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220" w:firstLine="259"/>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jc w:val="both"/>
        <w:ind w:firstLine="259"/>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60" w:firstLine="259"/>
        <w:spacing w:after="0" w:line="293"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260" w:hanging="255"/>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20" w:right="580" w:hanging="255"/>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17" w:lineRule="exact"/>
        <w:rPr>
          <w:rFonts w:ascii="Arial" w:cs="Arial" w:eastAsia="Arial" w:hAnsi="Arial"/>
          <w:sz w:val="18"/>
          <w:szCs w:val="18"/>
          <w:color w:val="auto"/>
        </w:rPr>
      </w:pPr>
    </w:p>
    <w:p>
      <w:pPr>
        <w:ind w:left="520" w:right="80" w:hanging="255"/>
        <w:spacing w:after="0" w:line="264"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currently conducts this valuation process on a quarterly basis.</w:t>
      </w:r>
    </w:p>
    <w:p>
      <w:pPr>
        <w:spacing w:after="0" w:line="225" w:lineRule="exact"/>
        <w:rPr>
          <w:sz w:val="20"/>
          <w:szCs w:val="20"/>
          <w:color w:val="auto"/>
        </w:rPr>
      </w:pPr>
    </w:p>
    <w:p>
      <w:pPr>
        <w:ind w:right="60" w:firstLine="259"/>
        <w:spacing w:after="0" w:line="302" w:lineRule="auto"/>
        <w:rPr>
          <w:sz w:val="20"/>
          <w:szCs w:val="20"/>
          <w:color w:val="auto"/>
        </w:rPr>
      </w:pPr>
      <w:r>
        <w:rPr>
          <w:rFonts w:ascii="Arial" w:cs="Arial" w:eastAsia="Arial" w:hAnsi="Arial"/>
          <w:sz w:val="16"/>
          <w:szCs w:val="16"/>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March 31, 2016,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54" w:lineRule="exact"/>
        <w:rPr>
          <w:sz w:val="20"/>
          <w:szCs w:val="20"/>
          <w:color w:val="auto"/>
        </w:rPr>
      </w:pPr>
    </w:p>
    <w:p>
      <w:pPr>
        <w:ind w:right="100" w:firstLine="259"/>
        <w:spacing w:after="0" w:line="272" w:lineRule="auto"/>
        <w:rPr>
          <w:sz w:val="20"/>
          <w:szCs w:val="20"/>
          <w:color w:val="auto"/>
        </w:rPr>
      </w:pPr>
      <w:r>
        <w:rPr>
          <w:rFonts w:ascii="Arial" w:cs="Arial" w:eastAsia="Arial" w:hAnsi="Arial"/>
          <w:sz w:val="17"/>
          <w:szCs w:val="17"/>
          <w:color w:val="auto"/>
        </w:rPr>
        <w:t xml:space="preserve">The Company applies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0" w:lineRule="exact"/>
        <w:rPr>
          <w:sz w:val="20"/>
          <w:szCs w:val="20"/>
          <w:color w:val="auto"/>
        </w:rPr>
      </w:pPr>
    </w:p>
    <w:p>
      <w:pPr>
        <w:ind w:left="520" w:hanging="255"/>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has the ability to access.</w:t>
      </w:r>
    </w:p>
    <w:p>
      <w:pPr>
        <w:spacing w:after="0" w:line="117" w:lineRule="exact"/>
        <w:rPr>
          <w:rFonts w:ascii="Arial" w:cs="Arial" w:eastAsia="Arial" w:hAnsi="Arial"/>
          <w:sz w:val="18"/>
          <w:szCs w:val="18"/>
          <w:color w:val="auto"/>
        </w:rPr>
      </w:pPr>
    </w:p>
    <w:p>
      <w:pPr>
        <w:ind w:left="520" w:right="760" w:hanging="255"/>
        <w:spacing w:after="0" w:line="277"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ind w:right="40" w:firstLine="259"/>
        <w:spacing w:after="0" w:line="254" w:lineRule="auto"/>
        <w:rPr>
          <w:sz w:val="20"/>
          <w:szCs w:val="20"/>
          <w:color w:val="auto"/>
        </w:rPr>
      </w:pPr>
      <w:r>
        <w:rPr>
          <w:rFonts w:ascii="Arial" w:cs="Arial" w:eastAsia="Arial" w:hAnsi="Arial"/>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the Company reviews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92" w:lineRule="exact"/>
        <w:rPr>
          <w:sz w:val="20"/>
          <w:szCs w:val="20"/>
          <w:color w:val="auto"/>
        </w:rPr>
      </w:pPr>
    </w:p>
    <w:p>
      <w:pPr>
        <w:ind w:right="280" w:firstLine="259"/>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3"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ind w:right="20" w:firstLine="259"/>
        <w:spacing w:after="0" w:line="342" w:lineRule="auto"/>
        <w:rPr>
          <w:sz w:val="20"/>
          <w:szCs w:val="20"/>
          <w:color w:val="auto"/>
        </w:rPr>
      </w:pPr>
      <w:r>
        <w:rPr>
          <w:rFonts w:ascii="Arial" w:cs="Arial" w:eastAsia="Arial" w:hAnsi="Arial"/>
          <w:sz w:val="16"/>
          <w:szCs w:val="16"/>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24"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Derivatives, including the Company’s interest rate swaps, for which broker quotes are available are typically valued at those broker quotes.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380" w:firstLine="259"/>
        <w:spacing w:after="0" w:line="277" w:lineRule="auto"/>
        <w:rPr>
          <w:sz w:val="20"/>
          <w:szCs w:val="20"/>
          <w:color w:val="auto"/>
        </w:rPr>
      </w:pPr>
      <w:r>
        <w:rPr>
          <w:rFonts w:ascii="Arial" w:cs="Arial" w:eastAsia="Arial" w:hAnsi="Arial"/>
          <w:sz w:val="18"/>
          <w:szCs w:val="18"/>
          <w:color w:val="auto"/>
        </w:rPr>
        <w:t>The Company presents the fair value of foreign currency forward contracts and interest rate swaps executed with the same counterparty on a net basis given the Company has the legal right to offset the recognized amounts, and it intends to settle on a net basis.</w:t>
      </w:r>
    </w:p>
    <w:p>
      <w:pPr>
        <w:spacing w:after="0" w:line="170" w:lineRule="exact"/>
        <w:rPr>
          <w:sz w:val="20"/>
          <w:szCs w:val="20"/>
          <w:color w:val="auto"/>
        </w:rPr>
      </w:pPr>
    </w:p>
    <w:p>
      <w:pPr>
        <w:ind w:right="100" w:firstLine="259"/>
        <w:spacing w:after="0" w:line="312" w:lineRule="auto"/>
        <w:rPr>
          <w:sz w:val="20"/>
          <w:szCs w:val="20"/>
          <w:color w:val="auto"/>
        </w:rPr>
      </w:pPr>
      <w:r>
        <w:rPr>
          <w:rFonts w:ascii="Arial" w:cs="Arial" w:eastAsia="Arial" w:hAnsi="Arial"/>
          <w:sz w:val="16"/>
          <w:szCs w:val="16"/>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 Company has the legal right to offset the recognized amounts, and it intends to either settle on a net basis or realize the asset and settle the liability simultaneously.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17" w:lineRule="exact"/>
        <w:rPr>
          <w:sz w:val="20"/>
          <w:szCs w:val="20"/>
          <w:color w:val="auto"/>
        </w:rPr>
      </w:pPr>
    </w:p>
    <w:p>
      <w:pPr>
        <w:ind w:left="520" w:right="60" w:hanging="255"/>
        <w:spacing w:after="0" w:line="277"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62" w:lineRule="exact"/>
        <w:rPr>
          <w:rFonts w:ascii="Arial" w:cs="Arial" w:eastAsia="Arial" w:hAnsi="Arial"/>
          <w:sz w:val="18"/>
          <w:szCs w:val="18"/>
          <w:color w:val="auto"/>
        </w:rPr>
      </w:pPr>
    </w:p>
    <w:p>
      <w:pPr>
        <w:ind w:left="520" w:right="180" w:hanging="255"/>
        <w:spacing w:after="0" w:line="277"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ind w:right="160" w:firstLine="259"/>
        <w:spacing w:after="0" w:line="257"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88" w:lineRule="exact"/>
        <w:rPr>
          <w:sz w:val="20"/>
          <w:szCs w:val="20"/>
          <w:color w:val="auto"/>
        </w:rPr>
      </w:pPr>
    </w:p>
    <w:p>
      <w:pPr>
        <w:ind w:right="340" w:firstLine="259"/>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147" w:lineRule="exact"/>
        <w:rPr>
          <w:sz w:val="20"/>
          <w:szCs w:val="20"/>
          <w:color w:val="auto"/>
        </w:rPr>
      </w:pPr>
    </w:p>
    <w:p>
      <w:pPr>
        <w:ind w:right="400" w:firstLine="259"/>
        <w:spacing w:after="0" w:line="277" w:lineRule="auto"/>
        <w:rPr>
          <w:sz w:val="20"/>
          <w:szCs w:val="20"/>
          <w:color w:val="auto"/>
        </w:rPr>
      </w:pPr>
      <w:r>
        <w:rPr>
          <w:rFonts w:ascii="Arial" w:cs="Arial" w:eastAsia="Arial" w:hAnsi="Arial"/>
          <w:sz w:val="18"/>
          <w:szCs w:val="18"/>
          <w:color w:val="auto"/>
        </w:rPr>
        <w:t>The Company’s current approach to hedging the foreign currency exposure in its non-U.S. dollar denominated investments is primarily to borrow the necessary local currency under the Company’s Revolving Credit Facility to fund these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540" w:firstLine="259"/>
        <w:spacing w:after="0" w:line="277" w:lineRule="auto"/>
        <w:rPr>
          <w:sz w:val="20"/>
          <w:szCs w:val="20"/>
          <w:color w:val="auto"/>
        </w:rPr>
      </w:pPr>
      <w:r>
        <w:rPr>
          <w:rFonts w:ascii="Arial" w:cs="Arial" w:eastAsia="Arial" w:hAnsi="Arial"/>
          <w:sz w:val="18"/>
          <w:szCs w:val="18"/>
          <w:color w:val="auto"/>
        </w:rPr>
        <w:t>The Company records expenses related to registration statement filings and applicable offering costs as deferred financing costs. To the extent such expenses relate to equity offerings, these expenses are charged as a reduction of capital upon each such offering.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firstLine="259"/>
        <w:spacing w:after="0" w:line="308" w:lineRule="auto"/>
        <w:rPr>
          <w:sz w:val="20"/>
          <w:szCs w:val="20"/>
          <w:color w:val="auto"/>
        </w:rPr>
      </w:pPr>
      <w:r>
        <w:rPr>
          <w:rFonts w:ascii="Arial" w:cs="Arial" w:eastAsia="Arial" w:hAnsi="Arial"/>
          <w:sz w:val="17"/>
          <w:szCs w:val="17"/>
          <w:color w:val="auto"/>
        </w:rPr>
        <w:t>The Company records origination and other expenses related to its debt obligations as deferred financing costs. These expenses are deferred and amortized using the effective yield method, or straight-line method for revolving credit facilities, over the stated maturity life of the obligation.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right="220" w:firstLine="259"/>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20" w:firstLine="259"/>
        <w:spacing w:after="0" w:line="279" w:lineRule="auto"/>
        <w:rPr>
          <w:sz w:val="20"/>
          <w:szCs w:val="20"/>
          <w:color w:val="auto"/>
        </w:rPr>
      </w:pPr>
      <w:r>
        <w:rPr>
          <w:rFonts w:ascii="Arial" w:cs="Arial" w:eastAsia="Arial" w:hAnsi="Arial"/>
          <w:sz w:val="17"/>
          <w:szCs w:val="17"/>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syndication, structuring or diligence fees, and fees for providing managerial assistance to our portfolio companies.</w:t>
      </w:r>
    </w:p>
    <w:p>
      <w:pPr>
        <w:spacing w:after="0" w:line="171"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80" w:firstLine="259"/>
        <w:spacing w:after="0" w:line="279" w:lineRule="auto"/>
        <w:rPr>
          <w:sz w:val="20"/>
          <w:szCs w:val="20"/>
          <w:color w:val="auto"/>
        </w:rPr>
      </w:pPr>
      <w:r>
        <w:rPr>
          <w:rFonts w:ascii="Arial" w:cs="Arial" w:eastAsia="Arial" w:hAnsi="Arial"/>
          <w:sz w:val="17"/>
          <w:szCs w:val="17"/>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71"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60" w:firstLine="259"/>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8"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jc w:val="both"/>
        <w:ind w:right="120" w:firstLine="259"/>
        <w:spacing w:after="0" w:line="264"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be generally distributed at least annually, although the Company may decide to retain such capital gains for investment.</w:t>
      </w:r>
    </w:p>
    <w:p>
      <w:pPr>
        <w:spacing w:after="0" w:line="181"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2016</w:t>
      </w:r>
    </w:p>
    <w:p>
      <w:pPr>
        <w:spacing w:after="0" w:line="117"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 xml:space="preserve">In April 2015, the Financial Accounting Standards Board issued Accounting Standards Update No. 2015-03 (“ASU 2015-03”), </w:t>
      </w:r>
      <w:r>
        <w:rPr>
          <w:rFonts w:ascii="Arial" w:cs="Arial" w:eastAsia="Arial" w:hAnsi="Arial"/>
          <w:sz w:val="17"/>
          <w:szCs w:val="17"/>
          <w:i w:val="1"/>
          <w:iCs w:val="1"/>
          <w:color w:val="auto"/>
        </w:rPr>
        <w:t>"Interest – Imputation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Interest (Subtopic 835-30): Simplifying the Presentation of Debt Issuance Costs." </w:t>
      </w:r>
      <w:r>
        <w:rPr>
          <w:rFonts w:ascii="Arial" w:cs="Arial" w:eastAsia="Arial" w:hAnsi="Arial"/>
          <w:sz w:val="17"/>
          <w:szCs w:val="17"/>
          <w:color w:val="auto"/>
        </w:rPr>
        <w:t>ASU 2015-03 requires that debt issuance costs be presented as a direct</w:t>
      </w:r>
      <w:r>
        <w:rPr>
          <w:rFonts w:ascii="Arial" w:cs="Arial" w:eastAsia="Arial" w:hAnsi="Arial"/>
          <w:sz w:val="17"/>
          <w:szCs w:val="17"/>
          <w:i w:val="1"/>
          <w:iCs w:val="1"/>
          <w:color w:val="auto"/>
        </w:rPr>
        <w:t xml:space="preserve"> </w:t>
      </w:r>
      <w:r>
        <w:rPr>
          <w:rFonts w:ascii="Arial" w:cs="Arial" w:eastAsia="Arial" w:hAnsi="Arial"/>
          <w:sz w:val="17"/>
          <w:szCs w:val="17"/>
          <w:color w:val="auto"/>
        </w:rPr>
        <w:t>deduction from the carrying amount of the related debt liability, consistent with the presentation of debt discounts. Prior to the issuance of ASU 2015-03, debt issuance costs were required to be presented as deferred assets, separate from the related debt liability. ASU 2015-03 does not change the recognition and measurement requirements for debt issuance costs. ASU 2015-03 is effective for financial statements issued for fiscal years beginning after December 15, 2015, and interim periods within those fiscal years, with early adoption permitted. The Company adopted this guidance during the quarter ended March 31, 2016 and adjusted prior period balance sheets to reflect the change. The adoption of this guidance did not have an impact on the Company’s results of operations or cash flows. See Note 7, “Debt” for additional disclosures required under this guidance.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100" w:firstLine="259"/>
        <w:spacing w:after="0" w:line="271" w:lineRule="auto"/>
        <w:rPr>
          <w:sz w:val="20"/>
          <w:szCs w:val="20"/>
          <w:color w:val="auto"/>
        </w:rPr>
      </w:pPr>
      <w:r>
        <w:rPr>
          <w:rFonts w:ascii="Arial" w:cs="Arial" w:eastAsia="Arial" w:hAnsi="Arial"/>
          <w:sz w:val="17"/>
          <w:szCs w:val="17"/>
          <w:color w:val="auto"/>
        </w:rPr>
        <w:t>In August 2014, the Financial Accounting Standards Board issued Accounting Standards Update 2014–15 (“ASU 2014-15”), “</w:t>
      </w:r>
      <w:r>
        <w:rPr>
          <w:rFonts w:ascii="Arial" w:cs="Arial" w:eastAsia="Arial" w:hAnsi="Arial"/>
          <w:sz w:val="17"/>
          <w:szCs w:val="17"/>
          <w:i w:val="1"/>
          <w:iCs w:val="1"/>
          <w:color w:val="auto"/>
        </w:rPr>
        <w:t>Presentation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 – Going Concern (Subtopic 205 – 40): Disclosure of Uncertainties About an Entity’s Ability to Continue as a Going Concern</w:t>
      </w:r>
      <w:r>
        <w:rPr>
          <w:rFonts w:ascii="Arial" w:cs="Arial" w:eastAsia="Arial" w:hAnsi="Arial"/>
          <w:sz w:val="17"/>
          <w:szCs w:val="17"/>
          <w:color w:val="auto"/>
        </w:rPr>
        <w:t>.” ASU 2014-15</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management to evaluate whether there are conditions or events that raise substantial doubt about the entity’s ability to continue as a going concern, and to provide certain disclosures when it is probable that the entity will be unable to meet its obligations as they become due within one year after the date that the financial statements are issued. Since this guidance is primarily around certain disclosures to the financial statements, the Company anticipates no impact on our financial position, results of operations or cash flows from adopting this standard. ASU 2014-15 is effective for the annual period ending after December 31, 2016 and for annual periods and interim periods thereafter, with early adoption permitted. The Company is currently assessing the additional disclosure requirements, if any, of ASU 2014-15.</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20" w:name="page21"/>
    <w:bookmarkEnd w:id="20"/>
    <w:p>
      <w:pPr>
        <w:ind w:right="100" w:firstLine="259"/>
        <w:spacing w:after="0" w:line="273" w:lineRule="auto"/>
        <w:rPr>
          <w:sz w:val="20"/>
          <w:szCs w:val="20"/>
          <w:color w:val="auto"/>
        </w:rPr>
      </w:pPr>
      <w:r>
        <w:rPr>
          <w:rFonts w:ascii="Arial" w:cs="Arial" w:eastAsia="Arial" w:hAnsi="Arial"/>
          <w:sz w:val="17"/>
          <w:szCs w:val="17"/>
          <w:color w:val="auto"/>
        </w:rPr>
        <w:t xml:space="preserve">In May 2014, the Financial Accounting Standards Board issued Accounting Standards Update 2014-09 (“ASU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(Topic 606).” </w:t>
      </w:r>
      <w:r>
        <w:rPr>
          <w:rFonts w:ascii="Arial" w:cs="Arial" w:eastAsia="Arial" w:hAnsi="Arial"/>
          <w:sz w:val="17"/>
          <w:szCs w:val="17"/>
          <w:color w:val="auto"/>
        </w:rPr>
        <w:t>The guidance in this ASU supersedes the revenue recognition requirements in Topic 605, Revenue Recognition. Under the new</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an entity should recognize revenue to depict the transfer of promised goods or services to customers in an amount that reflects the consideration to which the entity expects to be entitled in exchange for those goods or services. The amendments in ASU 2014-09 are effective for public companies for interim and annual periods beginning after December 15, 2017, with early adoption permitted for interim and annual periods beginning after December 15, 2016. The Company is currently evaluating the impact of adopting this ASU on its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40" w:firstLine="259"/>
        <w:spacing w:after="0" w:line="273" w:lineRule="auto"/>
        <w:rPr>
          <w:sz w:val="20"/>
          <w:szCs w:val="20"/>
          <w:color w:val="auto"/>
        </w:rPr>
      </w:pPr>
      <w:r>
        <w:rPr>
          <w:rFonts w:ascii="Arial" w:cs="Arial" w:eastAsia="Arial" w:hAnsi="Arial"/>
          <w:sz w:val="17"/>
          <w:szCs w:val="17"/>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expenses incurred by any such affiliates or third parties for work done on its behalf.</w:t>
      </w:r>
    </w:p>
    <w:p>
      <w:pPr>
        <w:spacing w:after="0" w:line="178" w:lineRule="exact"/>
        <w:rPr>
          <w:sz w:val="20"/>
          <w:szCs w:val="20"/>
          <w:color w:val="auto"/>
        </w:rPr>
      </w:pPr>
    </w:p>
    <w:p>
      <w:pPr>
        <w:jc w:val="both"/>
        <w:ind w:right="200" w:firstLine="259"/>
        <w:spacing w:after="0" w:line="277" w:lineRule="auto"/>
        <w:rPr>
          <w:sz w:val="20"/>
          <w:szCs w:val="20"/>
          <w:color w:val="auto"/>
        </w:rPr>
      </w:pPr>
      <w:r>
        <w:rPr>
          <w:rFonts w:ascii="Arial" w:cs="Arial" w:eastAsia="Arial" w:hAnsi="Arial"/>
          <w:sz w:val="18"/>
          <w:szCs w:val="18"/>
          <w:color w:val="auto"/>
        </w:rPr>
        <w:t>For the three months ended March 31, 2016 and 2015, the Company incurred expenses of $0.9 million and $0.9 million, respectively, for administrative services payable to the Adviser under the terms of the Administration Agreement.</w:t>
      </w:r>
    </w:p>
    <w:p>
      <w:pPr>
        <w:spacing w:after="0" w:line="170" w:lineRule="exact"/>
        <w:rPr>
          <w:sz w:val="20"/>
          <w:szCs w:val="20"/>
          <w:color w:val="auto"/>
        </w:rPr>
      </w:pPr>
    </w:p>
    <w:p>
      <w:pPr>
        <w:jc w:val="both"/>
        <w:ind w:right="180" w:firstLine="259"/>
        <w:spacing w:after="0" w:line="264" w:lineRule="auto"/>
        <w:rPr>
          <w:sz w:val="20"/>
          <w:szCs w:val="20"/>
          <w:color w:val="auto"/>
        </w:rPr>
      </w:pPr>
      <w:r>
        <w:rPr>
          <w:rFonts w:ascii="Arial" w:cs="Arial" w:eastAsia="Arial" w:hAnsi="Arial"/>
          <w:sz w:val="18"/>
          <w:szCs w:val="18"/>
          <w:color w:val="auto"/>
        </w:rPr>
        <w:t>On November 3, 2015, the Board renewed the Administration Agreement. Unless earlier terminated as described below, the Administration Agreement will remain in effect until November 2016,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right="120" w:firstLine="259"/>
        <w:spacing w:after="0" w:line="297"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three months ended March 31, 2016 and 2015, Management Fees were $5.7 million and $5.0 million, respectively.</w:t>
      </w:r>
    </w:p>
    <w:p>
      <w:pPr>
        <w:spacing w:after="0" w:line="225" w:lineRule="exact"/>
        <w:rPr>
          <w:sz w:val="20"/>
          <w:szCs w:val="20"/>
          <w:color w:val="auto"/>
        </w:rPr>
      </w:pPr>
    </w:p>
    <w:p>
      <w:pPr>
        <w:ind w:right="360" w:firstLine="259"/>
        <w:spacing w:after="0" w:line="277" w:lineRule="auto"/>
        <w:rPr>
          <w:sz w:val="20"/>
          <w:szCs w:val="20"/>
          <w:color w:val="auto"/>
        </w:rPr>
      </w:pPr>
      <w:r>
        <w:rPr>
          <w:rFonts w:ascii="Arial" w:cs="Arial" w:eastAsia="Arial" w:hAnsi="Arial"/>
          <w:sz w:val="18"/>
          <w:szCs w:val="18"/>
          <w:color w:val="auto"/>
        </w:rPr>
        <w:t>The Adviser has voluntarily waived the Management Fee on the Company’s ownership of shares of common stock in TICC Capital Corp. (the “TICC Shares”) for any period in which TICC Capital Corp. remains a portfolio company of the Company.</w:t>
      </w:r>
    </w:p>
    <w:p>
      <w:pPr>
        <w:spacing w:after="0" w:line="170" w:lineRule="exact"/>
        <w:rPr>
          <w:sz w:val="20"/>
          <w:szCs w:val="20"/>
          <w:color w:val="auto"/>
        </w:rPr>
      </w:pPr>
    </w:p>
    <w:p>
      <w:pPr>
        <w:ind w:right="320" w:firstLine="259"/>
        <w:spacing w:after="0" w:line="264" w:lineRule="auto"/>
        <w:rPr>
          <w:sz w:val="20"/>
          <w:szCs w:val="20"/>
          <w:color w:val="auto"/>
        </w:rPr>
      </w:pPr>
      <w:r>
        <w:rPr>
          <w:rFonts w:ascii="Arial" w:cs="Arial" w:eastAsia="Arial" w:hAnsi="Arial"/>
          <w:sz w:val="18"/>
          <w:szCs w:val="18"/>
          <w:color w:val="auto"/>
        </w:rPr>
        <w:t>For the three months ended March 31, 2016, Management Fees of $14,623 were waived, consisting solely of Management Fees attributable to the Company’s ownership of the TICC Shares. For the three months ended March 31, 2015, which was prior to the Company’s ownership of TICC shares, no Management Fees were waived.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1" w:name="page22"/>
    <w:bookmarkEnd w:id="21"/>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520" w:right="300" w:hanging="255"/>
        <w:spacing w:after="0" w:line="286" w:lineRule="auto"/>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w:t>
      </w:r>
    </w:p>
    <w:p>
      <w:pPr>
        <w:spacing w:after="0" w:line="1" w:lineRule="exact"/>
        <w:rPr>
          <w:rFonts w:ascii="Arial" w:cs="Arial" w:eastAsia="Arial" w:hAnsi="Arial"/>
          <w:sz w:val="16"/>
          <w:szCs w:val="16"/>
          <w:color w:val="auto"/>
        </w:rPr>
      </w:pPr>
    </w:p>
    <w:p>
      <w:pPr>
        <w:ind w:left="520" w:right="40"/>
        <w:spacing w:after="0" w:line="277" w:lineRule="auto"/>
        <w:rPr>
          <w:rFonts w:ascii="Arial" w:cs="Arial" w:eastAsia="Arial" w:hAnsi="Arial"/>
          <w:sz w:val="16"/>
          <w:szCs w:val="16"/>
          <w:color w:val="auto"/>
        </w:rPr>
      </w:pPr>
      <w:r>
        <w:rPr>
          <w:rFonts w:ascii="Arial" w:cs="Arial" w:eastAsia="Arial" w:hAnsi="Arial"/>
          <w:sz w:val="17"/>
          <w:szCs w:val="17"/>
          <w:color w:val="auto"/>
        </w:rPr>
        <w:t>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65" w:lineRule="exact"/>
        <w:rPr>
          <w:rFonts w:ascii="Arial" w:cs="Arial" w:eastAsia="Arial" w:hAnsi="Arial"/>
          <w:sz w:val="16"/>
          <w:szCs w:val="16"/>
          <w:color w:val="auto"/>
        </w:rPr>
      </w:pPr>
    </w:p>
    <w:p>
      <w:pPr>
        <w:ind w:left="520" w:right="200"/>
        <w:spacing w:after="0" w:line="255" w:lineRule="auto"/>
        <w:rPr>
          <w:rFonts w:ascii="Arial" w:cs="Arial" w:eastAsia="Arial" w:hAnsi="Arial"/>
          <w:sz w:val="16"/>
          <w:szCs w:val="16"/>
          <w:color w:val="auto"/>
        </w:rPr>
      </w:pPr>
      <w:r>
        <w:rPr>
          <w:rFonts w:ascii="Arial" w:cs="Arial" w:eastAsia="Arial" w:hAnsi="Arial"/>
          <w:sz w:val="18"/>
          <w:szCs w:val="18"/>
          <w:color w:val="auto"/>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appreciation or depreciation.</w:t>
      </w:r>
    </w:p>
    <w:p>
      <w:pPr>
        <w:spacing w:after="0" w:line="81" w:lineRule="exact"/>
        <w:rPr>
          <w:rFonts w:ascii="Arial" w:cs="Arial" w:eastAsia="Arial" w:hAnsi="Arial"/>
          <w:sz w:val="16"/>
          <w:szCs w:val="16"/>
          <w:color w:val="auto"/>
        </w:rPr>
      </w:pPr>
    </w:p>
    <w:p>
      <w:pPr>
        <w:ind w:left="520" w:right="60" w:hanging="255"/>
        <w:spacing w:after="0" w:line="289" w:lineRule="auto"/>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67" w:lineRule="exact"/>
        <w:rPr>
          <w:sz w:val="20"/>
          <w:szCs w:val="20"/>
          <w:color w:val="auto"/>
        </w:rPr>
      </w:pPr>
    </w:p>
    <w:p>
      <w:pPr>
        <w:ind w:right="600" w:firstLine="259"/>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47" w:lineRule="exact"/>
        <w:rPr>
          <w:sz w:val="20"/>
          <w:szCs w:val="20"/>
          <w:color w:val="auto"/>
        </w:rPr>
      </w:pPr>
    </w:p>
    <w:p>
      <w:pPr>
        <w:ind w:right="280" w:firstLine="259"/>
        <w:spacing w:after="0" w:line="264" w:lineRule="auto"/>
        <w:rPr>
          <w:sz w:val="20"/>
          <w:szCs w:val="20"/>
          <w:color w:val="auto"/>
        </w:rPr>
      </w:pPr>
      <w:r>
        <w:rPr>
          <w:rFonts w:ascii="Arial" w:cs="Arial" w:eastAsia="Arial" w:hAnsi="Arial"/>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w:t>
      </w:r>
    </w:p>
    <w:p>
      <w:pPr>
        <w:spacing w:after="0" w:line="181"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For the three months ended March 31, 2016 and 2015, Incentive Fees were $4.9 million and $5.0 million, respectively, of which $4.8 million and $4.5 million, respectively, were realized and payable to the Adviser.</w:t>
      </w:r>
    </w:p>
    <w:p>
      <w:pPr>
        <w:spacing w:after="0" w:line="170" w:lineRule="exact"/>
        <w:rPr>
          <w:sz w:val="20"/>
          <w:szCs w:val="20"/>
          <w:color w:val="auto"/>
        </w:rPr>
      </w:pPr>
    </w:p>
    <w:p>
      <w:pPr>
        <w:ind w:right="120" w:firstLine="259"/>
        <w:spacing w:after="0" w:line="257" w:lineRule="auto"/>
        <w:rPr>
          <w:sz w:val="20"/>
          <w:szCs w:val="20"/>
          <w:color w:val="auto"/>
        </w:rPr>
      </w:pPr>
      <w:r>
        <w:rPr>
          <w:rFonts w:ascii="Arial" w:cs="Arial" w:eastAsia="Arial" w:hAnsi="Arial"/>
          <w:sz w:val="18"/>
          <w:szCs w:val="18"/>
          <w:color w:val="auto"/>
        </w:rPr>
        <w:t>The Adviser has voluntarily waived the Incentive Fees attributable to pre-Incentive Fee net investment income accrued by the Company as a result of the Company’s ownership of the TICC Shares for any period in which TICC Capital Corp. remains a portfolio company of the Company. The Adviser has not waived any part of the Capital Gains Fee attributable to the Company’s ownership of the TICC Shares and, accordingly, any realized capital gains or losses and unrealized capital depreciation with respect to the TICC Shares will be applied against the Company’s cumulative realized capital gains on which the Capital Gains Fee is calculated.</w:t>
      </w:r>
    </w:p>
    <w:p>
      <w:pPr>
        <w:spacing w:after="0" w:line="188" w:lineRule="exact"/>
        <w:rPr>
          <w:sz w:val="20"/>
          <w:szCs w:val="20"/>
          <w:color w:val="auto"/>
        </w:rPr>
      </w:pPr>
    </w:p>
    <w:p>
      <w:pPr>
        <w:jc w:val="both"/>
        <w:ind w:right="20" w:firstLine="259"/>
        <w:spacing w:after="0" w:line="264" w:lineRule="auto"/>
        <w:rPr>
          <w:sz w:val="20"/>
          <w:szCs w:val="20"/>
          <w:color w:val="auto"/>
        </w:rPr>
      </w:pPr>
      <w:r>
        <w:rPr>
          <w:rFonts w:ascii="Arial" w:cs="Arial" w:eastAsia="Arial" w:hAnsi="Arial"/>
          <w:sz w:val="18"/>
          <w:szCs w:val="18"/>
          <w:color w:val="auto"/>
        </w:rPr>
        <w:t>For the three months ended March 31, 2016, Incentive Fees of $0.1 million were waived, consisting solely of Incentive Fees attributable to the Company’s ownership of the TICC Shares. For the three months ended March 31, 2015, which was prior to the Company’s ownership of TICC shares, no Incentive Fees were waived. Any waived Incentive Fees are not subject to recoupment by the Adviser.</w:t>
      </w:r>
    </w:p>
    <w:p>
      <w:pPr>
        <w:spacing w:after="0" w:line="181"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Since the Company’s IPO, with the exception of its waiver of Management Fees and certain Incentive Fees attributable to the Company’s ownership of the TICC Shares, the Adviser has not waived its right to receive any Management Fees or Incentive Fees payable pursuant to the Investment Advisory Agreement. There can be no assurance that the Adviser will continue to waive Management Fees or Incentive Fees related to the Company’s ownership of the TICC Shares, as the Adviser can discontinue the voluntary waiver at any time. Accordingly, the Company may be required to continue to pay the full amount of the Management Fee and Incentive Fee, including with respect to the TICC Shares, in future periods.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ind w:right="60" w:firstLine="259"/>
        <w:spacing w:after="0" w:line="312" w:lineRule="auto"/>
        <w:rPr>
          <w:sz w:val="20"/>
          <w:szCs w:val="20"/>
          <w:color w:val="auto"/>
        </w:rPr>
      </w:pPr>
      <w:r>
        <w:rPr>
          <w:rFonts w:ascii="Arial" w:cs="Arial" w:eastAsia="Arial" w:hAnsi="Arial"/>
          <w:sz w:val="16"/>
          <w:szCs w:val="16"/>
          <w:color w:val="auto"/>
        </w:rPr>
        <w:t>On November 3, 2015, the Board renewed the Investment Advisory Agreement. Unless earlier terminated as described below, the Investment Advisory Agreement will remain in effect until November 2016,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7"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affiliated investments.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Investments at fair value consisted of the following at March 31, 2016 and December 31, 2015:</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 2016</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Net Unrealized</w:t>
            </w:r>
          </w:p>
        </w:tc>
        <w:tc>
          <w:tcPr>
            <w:tcW w:w="60" w:type="dxa"/>
            <w:vAlign w:val="bottom"/>
          </w:tcPr>
          <w:p>
            <w:pPr>
              <w:spacing w:after="0"/>
              <w:rPr>
                <w:sz w:val="15"/>
                <w:szCs w:val="15"/>
                <w:color w:val="auto"/>
              </w:rPr>
            </w:pPr>
          </w:p>
        </w:tc>
      </w:tr>
      <w:tr>
        <w:trPr>
          <w:trHeight w:val="219"/>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280" w:type="dxa"/>
            <w:vAlign w:val="bottom"/>
            <w:gridSpan w:val="5"/>
          </w:tcPr>
          <w:p>
            <w:pPr>
              <w:ind w:left="1080"/>
              <w:spacing w:after="0"/>
              <w:rPr>
                <w:sz w:val="20"/>
                <w:szCs w:val="20"/>
                <w:color w:val="auto"/>
              </w:rPr>
            </w:pPr>
            <w:r>
              <w:rPr>
                <w:rFonts w:ascii="Arial" w:cs="Arial" w:eastAsia="Arial" w:hAnsi="Arial"/>
                <w:sz w:val="14"/>
                <w:szCs w:val="14"/>
                <w:b w:val="1"/>
                <w:bCs w:val="1"/>
                <w:color w:val="auto"/>
                <w:w w:val="96"/>
              </w:rPr>
              <w:t xml:space="preserve">Amortized Cost </w:t>
            </w:r>
            <w:r>
              <w:rPr>
                <w:rFonts w:ascii="Arial" w:cs="Arial" w:eastAsia="Arial" w:hAnsi="Arial"/>
                <w:sz w:val="12"/>
                <w:szCs w:val="12"/>
                <w:b w:val="1"/>
                <w:bCs w:val="1"/>
                <w:color w:val="auto"/>
                <w:w w:val="96"/>
              </w:rPr>
              <w:t>(1)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Loss</w:t>
            </w:r>
          </w:p>
        </w:tc>
      </w:tr>
      <w:tr>
        <w:trPr>
          <w:trHeight w:val="223"/>
        </w:trPr>
        <w:tc>
          <w:tcPr>
            <w:tcW w:w="20" w:type="dxa"/>
            <w:vAlign w:val="bottom"/>
          </w:tcPr>
          <w:p>
            <w:pPr>
              <w:spacing w:after="0"/>
              <w:rPr>
                <w:sz w:val="19"/>
                <w:szCs w:val="19"/>
                <w:color w:val="auto"/>
              </w:rPr>
            </w:pPr>
          </w:p>
        </w:tc>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0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1,414,469</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1,391,179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(23,290)</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126,935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120,884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(6,051)</w:t>
            </w: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29,567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29,277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(290)</w:t>
            </w: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40,822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22,324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(18,498)</w:t>
            </w:r>
          </w:p>
        </w:tc>
      </w:tr>
      <w:tr>
        <w:trPr>
          <w:trHeight w:val="223"/>
        </w:trPr>
        <w:tc>
          <w:tcPr>
            <w:tcW w:w="20" w:type="dxa"/>
            <w:vAlign w:val="bottom"/>
          </w:tcPr>
          <w:p>
            <w:pPr>
              <w:spacing w:after="0"/>
              <w:rPr>
                <w:sz w:val="19"/>
                <w:szCs w:val="19"/>
                <w:color w:val="auto"/>
              </w:rPr>
            </w:pPr>
          </w:p>
        </w:tc>
        <w:tc>
          <w:tcPr>
            <w:tcW w:w="42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1,611,793</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1,563,664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(48,129)</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December 31, 2015</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0"/>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Net Unrealized</w:t>
            </w:r>
          </w:p>
        </w:tc>
        <w:tc>
          <w:tcPr>
            <w:tcW w:w="80" w:type="dxa"/>
            <w:vAlign w:val="bottom"/>
            <w:gridSpan w:val="2"/>
          </w:tcPr>
          <w:p>
            <w:pPr>
              <w:spacing w:after="0"/>
              <w:rPr>
                <w:sz w:val="15"/>
                <w:szCs w:val="15"/>
                <w:color w:val="auto"/>
              </w:rPr>
            </w:pPr>
          </w:p>
        </w:tc>
      </w:tr>
      <w:tr>
        <w:trPr>
          <w:trHeight w:val="219"/>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Loss</w:t>
            </w:r>
          </w:p>
        </w:tc>
      </w:tr>
      <w:tr>
        <w:trPr>
          <w:trHeight w:val="223"/>
        </w:trPr>
        <w:tc>
          <w:tcPr>
            <w:tcW w:w="20" w:type="dxa"/>
            <w:vAlign w:val="bottom"/>
          </w:tcPr>
          <w:p>
            <w:pPr>
              <w:spacing w:after="0"/>
              <w:rPr>
                <w:sz w:val="19"/>
                <w:szCs w:val="19"/>
                <w:color w:val="auto"/>
              </w:rPr>
            </w:pPr>
          </w:p>
        </w:tc>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100" w:type="dxa"/>
            <w:vAlign w:val="bottom"/>
            <w:tcBorders>
              <w:top w:val="single" w:sz="8" w:color="CFF0FC"/>
            </w:tcBorders>
            <w:gridSpan w:val="2"/>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1,333,080</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1,310,183</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(22,897)</w:t>
            </w:r>
          </w:p>
        </w:tc>
        <w:tc>
          <w:tcPr>
            <w:tcW w:w="80" w:type="dxa"/>
            <w:vAlign w:val="bottom"/>
            <w:tcBorders>
              <w:top w:val="single" w:sz="8" w:color="CFF0FC"/>
            </w:tcBorders>
            <w:gridSpan w:val="2"/>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126,049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121,222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(4,827)</w:t>
            </w: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29,751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27,966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(1,785)</w:t>
            </w: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40,796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26,338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(14,458)</w:t>
            </w:r>
          </w:p>
        </w:tc>
      </w:tr>
      <w:tr>
        <w:trPr>
          <w:trHeight w:val="223"/>
        </w:trPr>
        <w:tc>
          <w:tcPr>
            <w:tcW w:w="20" w:type="dxa"/>
            <w:vAlign w:val="bottom"/>
          </w:tcPr>
          <w:p>
            <w:pPr>
              <w:spacing w:after="0"/>
              <w:rPr>
                <w:sz w:val="19"/>
                <w:szCs w:val="19"/>
                <w:color w:val="auto"/>
              </w:rPr>
            </w:pPr>
          </w:p>
        </w:tc>
        <w:tc>
          <w:tcPr>
            <w:tcW w:w="42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11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1,529,676</w:t>
            </w:r>
          </w:p>
        </w:tc>
        <w:tc>
          <w:tcPr>
            <w:tcW w:w="2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1,485,709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(43,967)</w:t>
            </w:r>
          </w:p>
        </w:tc>
        <w:tc>
          <w:tcPr>
            <w:tcW w:w="80" w:type="dxa"/>
            <w:vAlign w:val="bottom"/>
            <w:tcBorders>
              <w:top w:val="single" w:sz="8" w:color="CFF0FC"/>
              <w:bottom w:val="single" w:sz="8" w:color="CFF0FC"/>
            </w:tcBorders>
            <w:gridSpan w:val="2"/>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160" w:hanging="512"/>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57" w:right="359" w:bottom="1440" w:gutter="0" w:footer="0" w:header="0"/>
        </w:sectPr>
      </w:pPr>
    </w:p>
    <w:bookmarkStart w:id="23" w:name="page24"/>
    <w:bookmarkEnd w:id="23"/>
    <w:p>
      <w:pPr>
        <w:ind w:left="260"/>
        <w:spacing w:after="0"/>
        <w:rPr>
          <w:sz w:val="20"/>
          <w:szCs w:val="20"/>
          <w:color w:val="auto"/>
        </w:rPr>
      </w:pPr>
      <w:r>
        <w:rPr>
          <w:rFonts w:ascii="Arial" w:cs="Arial" w:eastAsia="Arial" w:hAnsi="Arial"/>
          <w:sz w:val="18"/>
          <w:szCs w:val="18"/>
          <w:color w:val="auto"/>
        </w:rPr>
        <w:t>The industry composition of Investments at fair value at March 31, 2016 and December 31, 2015 is as follows: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March 31, 2016</w:t>
            </w:r>
          </w:p>
        </w:tc>
        <w:tc>
          <w:tcPr>
            <w:tcW w:w="300" w:type="dxa"/>
            <w:vAlign w:val="bottom"/>
          </w:tcPr>
          <w:p>
            <w:pPr>
              <w:spacing w:after="0"/>
              <w:rPr>
                <w:sz w:val="14"/>
                <w:szCs w:val="14"/>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December 31, 2015</w:t>
            </w:r>
          </w:p>
        </w:tc>
        <w:tc>
          <w:tcPr>
            <w:tcW w:w="0" w:type="dxa"/>
            <w:vAlign w:val="bottom"/>
          </w:tcPr>
          <w:p>
            <w:pPr>
              <w:spacing w:after="0"/>
              <w:rPr>
                <w:sz w:val="1"/>
                <w:szCs w:val="1"/>
                <w:color w:val="auto"/>
              </w:rPr>
            </w:pPr>
          </w:p>
        </w:tc>
      </w:tr>
      <w:tr>
        <w:trPr>
          <w:trHeight w:val="20"/>
        </w:trPr>
        <w:tc>
          <w:tcPr>
            <w:tcW w:w="52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Automotive</w:t>
            </w: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vMerge w:val="continue"/>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Business services</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20.1%</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Chemicals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Education</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Electronics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Financial services</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Healthcare</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Hotel, gaming, and leisure</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5.3%</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Internet services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Manufacturing</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Office products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Oil, gas and consumable fuels</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Other</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Pharmaceuticals</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4.7%</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Real Estate</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Retail and consumer products</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11.2%</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Transportation</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24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vMerge w:val="continue"/>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geographic composition of Investments at fair value at March 31, 2016 and December 31, 2015 is as follows: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March 31, 2016</w:t>
            </w:r>
          </w:p>
        </w:tc>
        <w:tc>
          <w:tcPr>
            <w:tcW w:w="1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December 31, 2015</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Midwest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Northeast</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20.7%</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South</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24.1%</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32.0%</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Canada</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vMerge w:val="continue"/>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firstLine="259"/>
        <w:spacing w:after="0" w:line="291" w:lineRule="auto"/>
        <w:rPr>
          <w:sz w:val="20"/>
          <w:szCs w:val="20"/>
          <w:color w:val="auto"/>
        </w:rPr>
      </w:pPr>
      <w:r>
        <w:rPr>
          <w:rFonts w:ascii="Arial" w:cs="Arial" w:eastAsia="Arial" w:hAnsi="Arial"/>
          <w:sz w:val="16"/>
          <w:szCs w:val="16"/>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foreign currency forward contracts that the Company enters into typically have terms of approximately two months or less. Risks may arise as a result of the potential inability of the counterparties to meet the terms of their contracts. The Company attempts to limit this risk by dealing with only creditworthy counterparties.</w:t>
      </w:r>
    </w:p>
    <w:p>
      <w:pPr>
        <w:spacing w:after="0" w:line="167" w:lineRule="exact"/>
        <w:rPr>
          <w:sz w:val="20"/>
          <w:szCs w:val="20"/>
          <w:color w:val="auto"/>
        </w:rPr>
      </w:pPr>
    </w:p>
    <w:p>
      <w:pPr>
        <w:ind w:right="300" w:firstLine="259"/>
        <w:spacing w:after="0" w:line="264" w:lineRule="auto"/>
        <w:rPr>
          <w:sz w:val="20"/>
          <w:szCs w:val="20"/>
          <w:color w:val="auto"/>
        </w:rPr>
      </w:pPr>
      <w:r>
        <w:rPr>
          <w:rFonts w:ascii="Arial" w:cs="Arial" w:eastAsia="Arial" w:hAnsi="Arial"/>
          <w:sz w:val="18"/>
          <w:szCs w:val="18"/>
          <w:color w:val="auto"/>
        </w:rPr>
        <w:t>During the three months ended March 31, 2015, the Company entered into foreign currency forward contracts related to its non-USD denominated investments. The Company did not enter into foreign currency forward contracts related to its non-USD denominated investments during the three months ended March 31, 2016.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 w:name="page25"/>
    <w:bookmarkEnd w:id="24"/>
    <w:p>
      <w:pPr>
        <w:ind w:right="60" w:firstLine="259"/>
        <w:spacing w:after="0" w:line="264" w:lineRule="auto"/>
        <w:rPr>
          <w:sz w:val="20"/>
          <w:szCs w:val="20"/>
          <w:color w:val="auto"/>
        </w:rPr>
      </w:pPr>
      <w:r>
        <w:rPr>
          <w:rFonts w:ascii="Arial" w:cs="Arial" w:eastAsia="Arial" w:hAnsi="Arial"/>
          <w:sz w:val="18"/>
          <w:szCs w:val="18"/>
          <w:color w:val="auto"/>
        </w:rPr>
        <w:t>All realized and unrealized gains and losses on foreign currency forward contracts are included in unrealized and realized gains and losses within the Company’s consolidated statements of operations. Unrealized gains and losses on foreign currency forward contracts are also included in net unrealized gains within the Company’s consolidated balance sheets.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Company has not been required to post cash collateral related to its foreign currency forward contracts, but may be required to do so in the future.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320" w:firstLine="259"/>
        <w:spacing w:after="0" w:line="264" w:lineRule="auto"/>
        <w:rPr>
          <w:sz w:val="20"/>
          <w:szCs w:val="20"/>
          <w:color w:val="auto"/>
        </w:rPr>
      </w:pPr>
      <w:r>
        <w:rPr>
          <w:rFonts w:ascii="Arial" w:cs="Arial" w:eastAsia="Arial" w:hAnsi="Arial"/>
          <w:sz w:val="18"/>
          <w:szCs w:val="18"/>
          <w:color w:val="auto"/>
        </w:rPr>
        <w:t>In June 2014, in connection with the issuance of Convertible Senior Notes, the Company entered into two interest rate swap transactions, each with a $57.5 million notional amount. As of December 31, 2014 the Company received fixed rate interest at 4.50% and paid variable rate interest based on the 3-month London Interbank Offered Rate (“LIBOR”) plus 252.9 basis points.</w:t>
      </w:r>
    </w:p>
    <w:p>
      <w:pPr>
        <w:spacing w:after="0" w:line="181" w:lineRule="exact"/>
        <w:rPr>
          <w:sz w:val="20"/>
          <w:szCs w:val="20"/>
          <w:color w:val="auto"/>
        </w:rPr>
      </w:pPr>
    </w:p>
    <w:p>
      <w:pPr>
        <w:ind w:right="60" w:firstLine="259"/>
        <w:spacing w:after="0" w:line="308" w:lineRule="auto"/>
        <w:rPr>
          <w:sz w:val="20"/>
          <w:szCs w:val="20"/>
          <w:color w:val="auto"/>
        </w:rPr>
      </w:pPr>
      <w:r>
        <w:rPr>
          <w:rFonts w:ascii="Arial" w:cs="Arial" w:eastAsia="Arial" w:hAnsi="Arial"/>
          <w:sz w:val="17"/>
          <w:szCs w:val="17"/>
          <w:color w:val="auto"/>
        </w:rPr>
        <w:t>In January 2015, the Company closed out its existing interest rate swaps and simultaneously entered into new interest rate swaps realizing a cash payment of $2.0 million and increasing pricing to three-month LIBOR plus 286 basis points. The new swap transactions mature on December 15, 2019.</w:t>
      </w:r>
    </w:p>
    <w:p>
      <w:pPr>
        <w:spacing w:after="0" w:line="147"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In November 2015, in connection with a fixed rate investment, the Company entered into two interest rate swap transactions, each with a $46.3 million notional amount. The Company receives three-month LIBOR and pays fixed rate interest at 1.16%.</w:t>
      </w:r>
    </w:p>
    <w:p>
      <w:pPr>
        <w:spacing w:after="0" w:line="170"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The following tables present the gross and net information on the Company’s interest rate swap transactions that are eligible for offset in the Company’s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March 31, 2016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3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2"/>
              </w:rPr>
              <w:t>Gross Amount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Gross Amount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5"/>
              </w:rPr>
              <w:t>Net Amount of</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Account in the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Notional</w:t>
            </w: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Assets in the</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560" w:type="dxa"/>
            <w:vAlign w:val="bottom"/>
            <w:gridSpan w:val="3"/>
            <w:vMerge w:val="restart"/>
          </w:tcPr>
          <w:p>
            <w:pPr>
              <w:jc w:val="right"/>
              <w:ind w:right="430"/>
              <w:spacing w:after="0"/>
              <w:rPr>
                <w:sz w:val="20"/>
                <w:szCs w:val="20"/>
                <w:color w:val="auto"/>
              </w:rPr>
            </w:pPr>
            <w:r>
              <w:rPr>
                <w:rFonts w:ascii="Arial" w:cs="Arial" w:eastAsia="Arial" w:hAnsi="Arial"/>
                <w:sz w:val="14"/>
                <w:szCs w:val="14"/>
                <w:b w:val="1"/>
                <w:bCs w:val="1"/>
                <w:color w:val="auto"/>
              </w:rPr>
              <w:t>Maturity Date</w:t>
            </w: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20"/>
                <w:szCs w:val="20"/>
                <w:color w:val="auto"/>
              </w:rPr>
            </w:pPr>
            <w:r>
              <w:rPr>
                <w:rFonts w:ascii="Arial" w:cs="Arial" w:eastAsia="Arial" w:hAnsi="Arial"/>
                <w:sz w:val="14"/>
                <w:szCs w:val="14"/>
                <w:color w:val="auto"/>
              </w:rPr>
              <w:t>($ in thousands)</w:t>
            </w:r>
          </w:p>
        </w:tc>
        <w:tc>
          <w:tcPr>
            <w:tcW w:w="1560" w:type="dxa"/>
            <w:vAlign w:val="bottom"/>
            <w:gridSpan w:val="3"/>
            <w:vMerge w:val="continue"/>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020" w:type="dxa"/>
            <w:vAlign w:val="bottom"/>
          </w:tcPr>
          <w:p>
            <w:pPr>
              <w:jc w:val="center"/>
              <w:ind w:right="40"/>
              <w:spacing w:after="0"/>
              <w:rPr>
                <w:sz w:val="20"/>
                <w:szCs w:val="20"/>
                <w:color w:val="auto"/>
              </w:rPr>
            </w:pPr>
            <w:r>
              <w:rPr>
                <w:rFonts w:ascii="Arial" w:cs="Arial" w:eastAsia="Arial" w:hAnsi="Arial"/>
                <w:sz w:val="14"/>
                <w:szCs w:val="14"/>
                <w:b w:val="1"/>
                <w:bCs w:val="1"/>
                <w:color w:val="auto"/>
                <w:w w:val="82"/>
              </w:rPr>
              <w:t>Assets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Balance Sheets</w:t>
            </w:r>
          </w:p>
        </w:tc>
        <w:tc>
          <w:tcPr>
            <w:tcW w:w="80" w:type="dxa"/>
            <w:vAlign w:val="bottom"/>
          </w:tcPr>
          <w:p>
            <w:pPr>
              <w:spacing w:after="0"/>
              <w:rPr>
                <w:sz w:val="14"/>
                <w:szCs w:val="14"/>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 xml:space="preserve">Balance Sheets </w:t>
            </w:r>
            <w:r>
              <w:rPr>
                <w:rFonts w:ascii="Arial" w:cs="Arial" w:eastAsia="Arial" w:hAnsi="Arial"/>
                <w:sz w:val="12"/>
                <w:szCs w:val="12"/>
                <w:b w:val="1"/>
                <w:bCs w:val="1"/>
                <w:color w:val="auto"/>
                <w:w w:val="88"/>
              </w:rPr>
              <w:t>(1)</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8"/>
              </w:rPr>
              <w:t>Balance Sheets</w:t>
            </w:r>
          </w:p>
        </w:tc>
        <w:tc>
          <w:tcPr>
            <w:tcW w:w="0" w:type="dxa"/>
            <w:vAlign w:val="bottom"/>
          </w:tcPr>
          <w:p>
            <w:pPr>
              <w:spacing w:after="0"/>
              <w:rPr>
                <w:sz w:val="1"/>
                <w:szCs w:val="1"/>
                <w:color w:val="auto"/>
              </w:rPr>
            </w:pPr>
          </w:p>
        </w:tc>
      </w:tr>
      <w:tr>
        <w:trPr>
          <w:trHeight w:val="209"/>
        </w:trPr>
        <w:tc>
          <w:tcPr>
            <w:tcW w:w="334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Receivable for</w:t>
            </w: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interest</w:t>
            </w: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56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12/15/2019  $</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2,379</w:t>
            </w: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rate swaps</w:t>
            </w:r>
          </w:p>
        </w:tc>
        <w:tc>
          <w:tcPr>
            <w:tcW w:w="0" w:type="dxa"/>
            <w:vAlign w:val="bottom"/>
          </w:tcPr>
          <w:p>
            <w:pPr>
              <w:spacing w:after="0"/>
              <w:rPr>
                <w:sz w:val="1"/>
                <w:szCs w:val="1"/>
                <w:color w:val="auto"/>
              </w:rPr>
            </w:pPr>
          </w:p>
        </w:tc>
      </w:tr>
      <w:tr>
        <w:trPr>
          <w:trHeight w:val="215"/>
        </w:trPr>
        <w:tc>
          <w:tcPr>
            <w:tcW w:w="3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Receivable for</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interest</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Interest rate swap</w:t>
            </w:r>
          </w:p>
        </w:tc>
        <w:tc>
          <w:tcPr>
            <w:tcW w:w="1240" w:type="dxa"/>
            <w:vAlign w:val="bottom"/>
          </w:tcPr>
          <w:p>
            <w:pPr>
              <w:jc w:val="right"/>
              <w:spacing w:after="0"/>
              <w:rPr>
                <w:sz w:val="20"/>
                <w:szCs w:val="20"/>
                <w:color w:val="auto"/>
              </w:rPr>
            </w:pPr>
            <w:r>
              <w:rPr>
                <w:rFonts w:ascii="Arial" w:cs="Arial" w:eastAsia="Arial" w:hAnsi="Arial"/>
                <w:sz w:val="18"/>
                <w:szCs w:val="18"/>
                <w:color w:val="auto"/>
              </w:rPr>
              <w:t>10/5/2018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92,500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(737)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(737)</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rate swaps</w:t>
            </w:r>
          </w:p>
        </w:tc>
        <w:tc>
          <w:tcPr>
            <w:tcW w:w="0" w:type="dxa"/>
            <w:vAlign w:val="bottom"/>
          </w:tcPr>
          <w:p>
            <w:pPr>
              <w:spacing w:after="0"/>
              <w:rPr>
                <w:sz w:val="1"/>
                <w:szCs w:val="1"/>
                <w:color w:val="auto"/>
              </w:rPr>
            </w:pPr>
          </w:p>
        </w:tc>
      </w:tr>
      <w:tr>
        <w:trPr>
          <w:trHeight w:val="223"/>
        </w:trPr>
        <w:tc>
          <w:tcPr>
            <w:tcW w:w="33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207,500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340" w:hanging="512"/>
        <w:spacing w:after="0" w:line="258"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our investment in individual portfolio companies as a result of arrangements with other lenders in the syndicate.</w:t>
      </w:r>
    </w:p>
    <w:p>
      <w:pPr>
        <w:spacing w:after="0" w:line="1" w:lineRule="exact"/>
        <w:rPr>
          <w:rFonts w:ascii="Arial" w:cs="Arial" w:eastAsia="Arial" w:hAnsi="Arial"/>
          <w:sz w:val="18"/>
          <w:szCs w:val="18"/>
          <w:color w:val="auto"/>
        </w:rPr>
      </w:pPr>
    </w:p>
    <w:p>
      <w:pPr>
        <w:ind w:left="520" w:right="400" w:hanging="512"/>
        <w:spacing w:after="0" w:line="261"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March 31, 2016, $0.8 million of cash is pledged as collateral under the Company’s derivative instruments and is included in restricted cash as a component of Prepaid Expenses and Other Assets in the Company’s 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4"/>
          </w:tcPr>
          <w:p>
            <w:pPr>
              <w:ind w:left="620"/>
              <w:spacing w:after="0"/>
              <w:rPr>
                <w:sz w:val="20"/>
                <w:szCs w:val="20"/>
                <w:color w:val="auto"/>
              </w:rPr>
            </w:pPr>
            <w:r>
              <w:rPr>
                <w:rFonts w:ascii="Arial" w:cs="Arial" w:eastAsia="Arial" w:hAnsi="Arial"/>
                <w:sz w:val="14"/>
                <w:szCs w:val="14"/>
                <w:b w:val="1"/>
                <w:bCs w:val="1"/>
                <w:color w:val="auto"/>
              </w:rPr>
              <w:t>December 31, 2015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3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2"/>
              </w:rPr>
              <w:t>Gross Amount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40"/>
              <w:spacing w:after="0" w:line="133" w:lineRule="exact"/>
              <w:rPr>
                <w:sz w:val="20"/>
                <w:szCs w:val="20"/>
                <w:color w:val="auto"/>
              </w:rPr>
            </w:pPr>
            <w:r>
              <w:rPr>
                <w:rFonts w:ascii="Arial" w:cs="Arial" w:eastAsia="Arial" w:hAnsi="Arial"/>
                <w:sz w:val="14"/>
                <w:szCs w:val="14"/>
                <w:b w:val="1"/>
                <w:bCs w:val="1"/>
                <w:color w:val="auto"/>
                <w:w w:val="92"/>
              </w:rPr>
              <w:t>Gross Amount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19"/>
              <w:spacing w:after="0" w:line="133" w:lineRule="exact"/>
              <w:rPr>
                <w:sz w:val="20"/>
                <w:szCs w:val="20"/>
                <w:color w:val="auto"/>
              </w:rPr>
            </w:pPr>
            <w:r>
              <w:rPr>
                <w:rFonts w:ascii="Arial" w:cs="Arial" w:eastAsia="Arial" w:hAnsi="Arial"/>
                <w:sz w:val="14"/>
                <w:szCs w:val="14"/>
                <w:b w:val="1"/>
                <w:bCs w:val="1"/>
                <w:color w:val="auto"/>
                <w:w w:val="95"/>
              </w:rPr>
              <w:t>Net Amount of</w:t>
            </w:r>
          </w:p>
        </w:tc>
        <w:tc>
          <w:tcPr>
            <w:tcW w:w="26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Account in the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Notional</w:t>
            </w: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7"/>
              </w:rPr>
              <w:t>Assets in the</w:t>
            </w:r>
          </w:p>
        </w:tc>
        <w:tc>
          <w:tcPr>
            <w:tcW w:w="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560" w:type="dxa"/>
            <w:vAlign w:val="bottom"/>
            <w:gridSpan w:val="3"/>
            <w:vMerge w:val="restart"/>
          </w:tcPr>
          <w:p>
            <w:pPr>
              <w:jc w:val="right"/>
              <w:ind w:right="430"/>
              <w:spacing w:after="0"/>
              <w:rPr>
                <w:sz w:val="20"/>
                <w:szCs w:val="20"/>
                <w:color w:val="auto"/>
              </w:rPr>
            </w:pPr>
            <w:r>
              <w:rPr>
                <w:rFonts w:ascii="Arial" w:cs="Arial" w:eastAsia="Arial" w:hAnsi="Arial"/>
                <w:sz w:val="14"/>
                <w:szCs w:val="14"/>
                <w:b w:val="1"/>
                <w:bCs w:val="1"/>
                <w:color w:val="auto"/>
              </w:rPr>
              <w:t>Maturity Date</w:t>
            </w: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20"/>
                <w:szCs w:val="20"/>
                <w:color w:val="auto"/>
              </w:rPr>
            </w:pPr>
            <w:r>
              <w:rPr>
                <w:rFonts w:ascii="Arial" w:cs="Arial" w:eastAsia="Arial" w:hAnsi="Arial"/>
                <w:sz w:val="14"/>
                <w:szCs w:val="14"/>
                <w:color w:val="auto"/>
              </w:rPr>
              <w:t>($ in thousands)</w:t>
            </w:r>
          </w:p>
        </w:tc>
        <w:tc>
          <w:tcPr>
            <w:tcW w:w="1560" w:type="dxa"/>
            <w:vAlign w:val="bottom"/>
            <w:gridSpan w:val="3"/>
            <w:vMerge w:val="continue"/>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020" w:type="dxa"/>
            <w:vAlign w:val="bottom"/>
          </w:tcPr>
          <w:p>
            <w:pPr>
              <w:jc w:val="center"/>
              <w:ind w:right="40"/>
              <w:spacing w:after="0"/>
              <w:rPr>
                <w:sz w:val="20"/>
                <w:szCs w:val="20"/>
                <w:color w:val="auto"/>
              </w:rPr>
            </w:pPr>
            <w:r>
              <w:rPr>
                <w:rFonts w:ascii="Arial" w:cs="Arial" w:eastAsia="Arial" w:hAnsi="Arial"/>
                <w:sz w:val="14"/>
                <w:szCs w:val="14"/>
                <w:b w:val="1"/>
                <w:bCs w:val="1"/>
                <w:color w:val="auto"/>
                <w:w w:val="82"/>
              </w:rPr>
              <w:t>Assets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20"/>
              <w:spacing w:after="0"/>
              <w:rPr>
                <w:sz w:val="20"/>
                <w:szCs w:val="20"/>
                <w:color w:val="auto"/>
              </w:rPr>
            </w:pPr>
            <w:r>
              <w:rPr>
                <w:rFonts w:ascii="Arial" w:cs="Arial" w:eastAsia="Arial" w:hAnsi="Arial"/>
                <w:sz w:val="14"/>
                <w:szCs w:val="14"/>
                <w:b w:val="1"/>
                <w:bCs w:val="1"/>
                <w:color w:val="auto"/>
                <w:w w:val="88"/>
              </w:rPr>
              <w:t>Balance Sheets</w:t>
            </w:r>
          </w:p>
        </w:tc>
        <w:tc>
          <w:tcPr>
            <w:tcW w:w="2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 xml:space="preserve">Balance Sheets </w:t>
            </w:r>
            <w:r>
              <w:rPr>
                <w:rFonts w:ascii="Arial" w:cs="Arial" w:eastAsia="Arial" w:hAnsi="Arial"/>
                <w:sz w:val="12"/>
                <w:szCs w:val="12"/>
                <w:b w:val="1"/>
                <w:bCs w:val="1"/>
                <w:color w:val="auto"/>
                <w:w w:val="88"/>
              </w:rPr>
              <w:t>(1)</w:t>
            </w:r>
          </w:p>
        </w:tc>
        <w:tc>
          <w:tcPr>
            <w:tcW w:w="2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8"/>
              </w:rPr>
              <w:t>Balance Sheets</w:t>
            </w:r>
          </w:p>
        </w:tc>
        <w:tc>
          <w:tcPr>
            <w:tcW w:w="0" w:type="dxa"/>
            <w:vAlign w:val="bottom"/>
          </w:tcPr>
          <w:p>
            <w:pPr>
              <w:spacing w:after="0"/>
              <w:rPr>
                <w:sz w:val="1"/>
                <w:szCs w:val="1"/>
                <w:color w:val="auto"/>
              </w:rPr>
            </w:pPr>
          </w:p>
        </w:tc>
      </w:tr>
      <w:tr>
        <w:trPr>
          <w:trHeight w:val="209"/>
        </w:trPr>
        <w:tc>
          <w:tcPr>
            <w:tcW w:w="334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Receivable for</w:t>
            </w: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interest</w:t>
            </w: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56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12/15/2019  $</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rate swaps</w:t>
            </w:r>
          </w:p>
        </w:tc>
        <w:tc>
          <w:tcPr>
            <w:tcW w:w="0" w:type="dxa"/>
            <w:vAlign w:val="bottom"/>
          </w:tcPr>
          <w:p>
            <w:pPr>
              <w:spacing w:after="0"/>
              <w:rPr>
                <w:sz w:val="1"/>
                <w:szCs w:val="1"/>
                <w:color w:val="auto"/>
              </w:rPr>
            </w:pPr>
          </w:p>
        </w:tc>
      </w:tr>
      <w:tr>
        <w:trPr>
          <w:trHeight w:val="215"/>
        </w:trPr>
        <w:tc>
          <w:tcPr>
            <w:tcW w:w="3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Receivable for</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interest</w:t>
            </w:r>
          </w:p>
        </w:tc>
        <w:tc>
          <w:tcPr>
            <w:tcW w:w="0" w:type="dxa"/>
            <w:vAlign w:val="bottom"/>
          </w:tcPr>
          <w:p>
            <w:pPr>
              <w:spacing w:after="0"/>
              <w:rPr>
                <w:sz w:val="1"/>
                <w:szCs w:val="1"/>
                <w:color w:val="auto"/>
              </w:rPr>
            </w:pPr>
          </w:p>
        </w:tc>
      </w:tr>
      <w:tr>
        <w:trPr>
          <w:trHeight w:val="230"/>
        </w:trPr>
        <w:tc>
          <w:tcPr>
            <w:tcW w:w="3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rate swap</w:t>
            </w:r>
          </w:p>
        </w:tc>
        <w:tc>
          <w:tcPr>
            <w:tcW w:w="1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10/5/2018</w:t>
            </w:r>
          </w:p>
        </w:tc>
        <w:tc>
          <w:tcPr>
            <w:tcW w:w="1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92,500</w:t>
            </w: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60" w:type="dxa"/>
            <w:vAlign w:val="bottom"/>
            <w:tcBorders>
              <w:bottom w:val="single" w:sz="8" w:color="CFF0FC"/>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rate swaps</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207,500</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26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340" w:hanging="512"/>
        <w:spacing w:after="0" w:line="258"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our investment in individual portfolio companies as a result of arrangements with other lenders in the syndicate.</w:t>
      </w:r>
    </w:p>
    <w:p>
      <w:pPr>
        <w:spacing w:after="0" w:line="1"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December 31, 2015, $0.9 million of cash is pledged as collateral under the Company’s derivative instruments and is included in restricted cash as a component of Prepaid Expenses and Other Assets in the Company’s consolidated balance sheets.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ind w:right="300" w:firstLine="259"/>
        <w:spacing w:after="0" w:line="264" w:lineRule="auto"/>
        <w:rPr>
          <w:sz w:val="20"/>
          <w:szCs w:val="20"/>
          <w:color w:val="auto"/>
        </w:rPr>
      </w:pPr>
      <w:r>
        <w:rPr>
          <w:rFonts w:ascii="Arial" w:cs="Arial" w:eastAsia="Arial" w:hAnsi="Arial"/>
          <w:sz w:val="18"/>
          <w:szCs w:val="18"/>
          <w:color w:val="auto"/>
        </w:rPr>
        <w:t>During the three months ended March 31, 2016 and 2015, the Company received $1.3 million and $1.3 million, respectively, and paid $1.0 million and $0.9 million, respectively, related to the quarterly settlements of its $115 million notional amount interest rate swap. These net amounts are reductions to interest expense in the Company’s consolidated statements of operations.</w:t>
      </w:r>
    </w:p>
    <w:p>
      <w:pPr>
        <w:spacing w:after="0" w:line="181" w:lineRule="exact"/>
        <w:rPr>
          <w:sz w:val="20"/>
          <w:szCs w:val="20"/>
          <w:color w:val="auto"/>
        </w:rPr>
      </w:pPr>
    </w:p>
    <w:p>
      <w:pPr>
        <w:ind w:right="220" w:firstLine="259"/>
        <w:spacing w:after="0" w:line="342" w:lineRule="auto"/>
        <w:rPr>
          <w:sz w:val="20"/>
          <w:szCs w:val="20"/>
          <w:color w:val="auto"/>
        </w:rPr>
      </w:pPr>
      <w:r>
        <w:rPr>
          <w:rFonts w:ascii="Arial" w:cs="Arial" w:eastAsia="Arial" w:hAnsi="Arial"/>
          <w:sz w:val="16"/>
          <w:szCs w:val="16"/>
          <w:color w:val="auto"/>
        </w:rPr>
        <w:t>During the three months ended March 31, 2016, the Company received $0.1 million and paid $0.3 million related to the quarterly settlement of its $92.5 million notional amount interest rate swap. This net amount is a reduction to interest income in the Company’s consolidated statements of operations.</w:t>
      </w:r>
    </w:p>
    <w:p>
      <w:pPr>
        <w:spacing w:after="0" w:line="124"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For the three months ended March 31, 2016 and 2015, the Company recognized $1.2 million of unrealized appreciation and $0.4 million of unrealized depreciation, respectively, on derivatives in the consolidated statement of operations related to the swap transactions. As of March 31, 2016 and December 31, 2015, the swap transactions had a fair value of $1.6 million and $0.4 million, respectively, which is included in receivable for interest rate swaps on the Company’s consolidated balance sheet.</w:t>
      </w:r>
    </w:p>
    <w:p>
      <w:pPr>
        <w:spacing w:after="0" w:line="187" w:lineRule="exact"/>
        <w:rPr>
          <w:sz w:val="20"/>
          <w:szCs w:val="20"/>
          <w:color w:val="auto"/>
        </w:rPr>
      </w:pPr>
    </w:p>
    <w:p>
      <w:pPr>
        <w:ind w:right="60" w:firstLine="259"/>
        <w:spacing w:after="0" w:line="291" w:lineRule="auto"/>
        <w:rPr>
          <w:sz w:val="20"/>
          <w:szCs w:val="20"/>
          <w:color w:val="auto"/>
        </w:rPr>
      </w:pPr>
      <w:r>
        <w:rPr>
          <w:rFonts w:ascii="Arial" w:cs="Arial" w:eastAsia="Arial" w:hAnsi="Arial"/>
          <w:sz w:val="16"/>
          <w:szCs w:val="16"/>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 As of March 31, 2016, $0.8 million of cash is pledged as collateral under the Company’s derivative instruments and is included in restricted cash as a component of other assets on the Company’s consolidated balance sheet. The Company also had $0.9 million of cash collateral posted as of December 31, 2015, which is also included in restricted cash as a component of other assets on the Company’s consolidated balance sheet.</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may enter into other derivative instruments and incur other exposures with the same or other counterparties in the future.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fair value measurements of investments as of March 31, 2016 and December 31, 2015: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7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6"/>
              </w:rPr>
              <w:t>Fair Value Hierarchy at March 31, 2016</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123,187</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1,267,992</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1,391,179</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29,468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91,416</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120,884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23,254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6,023</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29,277</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7,842</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7,992</w:t>
            </w: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22,324</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182,399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1,373,423</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1,563,664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184,041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1,373,423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1,565,306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5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4"/>
              </w:rPr>
              <w:t>Fair Value Hierarchy at December 31, 2015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80,692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1,229,491</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1,310,183</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30,781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90,441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121,222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7,801</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27,966</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9,933</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8,205</w:t>
            </w: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26,338</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139,838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1,335,938</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1,485,709</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1,335,938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1,486,111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26" w:name="page27"/>
    <w:bookmarkEnd w:id="26"/>
    <w:p>
      <w:pPr>
        <w:ind w:right="200" w:firstLine="259"/>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months ended March 31, 2016 and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4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March 31, 2016</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8"/>
              </w:rPr>
              <w:t>First-lien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8"/>
              </w:rPr>
              <w:t>Second-lien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4"/>
              </w:rPr>
              <w:t>Mezzanine</w:t>
            </w: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15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and unsecured debt</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and 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1,229,491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90,442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7,801</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1,335,939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Purchases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92,438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92,433</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(59,198)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(2,165)</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(61,363)</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Paid-in-kind interest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3,173</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2,741</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Transfers into (out of) Level 3</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1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1,267,992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91,416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1,373,423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7"/>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5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March 31, 2015</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8"/>
              </w:rPr>
              <w:t>First-lien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8"/>
              </w:rPr>
              <w:t>Second-lien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4"/>
              </w:rPr>
              <w:t>Mezzanine</w:t>
            </w: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15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and unsecured debt</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and 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1,059,336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61,250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1,134,474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Purchases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121,413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121,413</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(47,344)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(47,344)</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Paid-in-kind interest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(3,236)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(3,239)</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realized losses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Transfers into (out of) Level 3</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1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1,132,567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61,406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1,207,749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March 31, 2016 and 2015: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Net Change in Unrealized</w:t>
            </w:r>
          </w:p>
        </w:tc>
        <w:tc>
          <w:tcPr>
            <w:tcW w:w="120" w:type="dxa"/>
            <w:vAlign w:val="bottom"/>
          </w:tcPr>
          <w:p>
            <w:pPr>
              <w:spacing w:after="0"/>
              <w:rPr>
                <w:sz w:val="14"/>
                <w:szCs w:val="14"/>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Net Change in Unrealized</w:t>
            </w:r>
          </w:p>
        </w:tc>
        <w:tc>
          <w:tcPr>
            <w:tcW w:w="174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Appreciation or (Depreciation)</w:t>
            </w:r>
          </w:p>
        </w:tc>
        <w:tc>
          <w:tcPr>
            <w:tcW w:w="2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Appreciation or (Depreciation)</w:t>
            </w:r>
          </w:p>
        </w:tc>
        <w:tc>
          <w:tcPr>
            <w:tcW w:w="174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for the Three Months Ended</w:t>
            </w:r>
          </w:p>
        </w:tc>
        <w:tc>
          <w:tcPr>
            <w:tcW w:w="2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for the Three Months Ended</w:t>
            </w:r>
          </w:p>
        </w:tc>
        <w:tc>
          <w:tcPr>
            <w:tcW w:w="174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March 31, 2016 on</w:t>
            </w:r>
          </w:p>
        </w:tc>
        <w:tc>
          <w:tcPr>
            <w:tcW w:w="120" w:type="dxa"/>
            <w:vAlign w:val="bottom"/>
          </w:tcPr>
          <w:p>
            <w:pPr>
              <w:spacing w:after="0"/>
              <w:rPr>
                <w:sz w:val="14"/>
                <w:szCs w:val="14"/>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March 31, 2015 on</w:t>
            </w:r>
          </w:p>
        </w:tc>
        <w:tc>
          <w:tcPr>
            <w:tcW w:w="174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Investments Held at</w:t>
            </w:r>
          </w:p>
        </w:tc>
        <w:tc>
          <w:tcPr>
            <w:tcW w:w="120" w:type="dxa"/>
            <w:vAlign w:val="bottom"/>
          </w:tcPr>
          <w:p>
            <w:pPr>
              <w:spacing w:after="0"/>
              <w:rPr>
                <w:sz w:val="14"/>
                <w:szCs w:val="14"/>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Investments Held at</w:t>
            </w:r>
          </w:p>
        </w:tc>
        <w:tc>
          <w:tcPr>
            <w:tcW w:w="1740" w:type="dxa"/>
            <w:vAlign w:val="bottom"/>
          </w:tcPr>
          <w:p>
            <w:pPr>
              <w:spacing w:after="0"/>
              <w:rPr>
                <w:sz w:val="14"/>
                <w:szCs w:val="14"/>
                <w:color w:val="auto"/>
              </w:rPr>
            </w:pPr>
          </w:p>
        </w:tc>
      </w:tr>
      <w:tr>
        <w:trPr>
          <w:trHeight w:val="171"/>
        </w:trPr>
        <w:tc>
          <w:tcPr>
            <w:tcW w:w="17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March 31, 2016</w:t>
            </w:r>
          </w:p>
        </w:tc>
        <w:tc>
          <w:tcPr>
            <w:tcW w:w="120" w:type="dxa"/>
            <w:vAlign w:val="bottom"/>
          </w:tcPr>
          <w:p>
            <w:pPr>
              <w:spacing w:after="0"/>
              <w:rPr>
                <w:sz w:val="14"/>
                <w:szCs w:val="14"/>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March 31, 2015</w:t>
            </w:r>
          </w:p>
        </w:tc>
        <w:tc>
          <w:tcPr>
            <w:tcW w:w="1740" w:type="dxa"/>
            <w:vAlign w:val="bottom"/>
          </w:tcPr>
          <w:p>
            <w:pPr>
              <w:spacing w:after="0"/>
              <w:rPr>
                <w:sz w:val="14"/>
                <w:szCs w:val="14"/>
                <w:color w:val="auto"/>
              </w:rPr>
            </w:pPr>
          </w:p>
        </w:tc>
      </w:tr>
      <w:tr>
        <w:trPr>
          <w:trHeight w:val="223"/>
        </w:trPr>
        <w:tc>
          <w:tcPr>
            <w:tcW w:w="1720" w:type="dxa"/>
            <w:vAlign w:val="bottom"/>
          </w:tcPr>
          <w:p>
            <w:pPr>
              <w:spacing w:after="0"/>
              <w:rPr>
                <w:sz w:val="19"/>
                <w:szCs w:val="19"/>
                <w:color w:val="auto"/>
              </w:rPr>
            </w:pPr>
          </w:p>
        </w:tc>
        <w:tc>
          <w:tcPr>
            <w:tcW w:w="3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8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01"/>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(2,194)</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15"/>
        </w:trPr>
        <w:tc>
          <w:tcPr>
            <w:tcW w:w="1720" w:type="dxa"/>
            <w:vAlign w:val="bottom"/>
          </w:tcPr>
          <w:p>
            <w:pPr>
              <w:spacing w:after="0"/>
              <w:rPr>
                <w:sz w:val="18"/>
                <w:szCs w:val="18"/>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w:t>
            </w: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3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investments</w:t>
            </w:r>
          </w:p>
        </w:tc>
        <w:tc>
          <w:tcPr>
            <w:tcW w:w="8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FF0FC"/>
          </w:tcPr>
          <w:p>
            <w:pPr>
              <w:spacing w:after="0"/>
              <w:rPr>
                <w:sz w:val="20"/>
                <w:szCs w:val="20"/>
                <w:color w:val="auto"/>
              </w:rPr>
            </w:pPr>
          </w:p>
        </w:tc>
        <w:tc>
          <w:tcPr>
            <w:tcW w:w="1740" w:type="dxa"/>
            <w:vAlign w:val="bottom"/>
          </w:tcPr>
          <w:p>
            <w:pPr>
              <w:spacing w:after="0"/>
              <w:rPr>
                <w:sz w:val="20"/>
                <w:szCs w:val="20"/>
                <w:color w:val="auto"/>
              </w:rPr>
            </w:pPr>
          </w:p>
        </w:tc>
      </w:tr>
      <w:tr>
        <w:trPr>
          <w:trHeight w:val="230"/>
        </w:trPr>
        <w:tc>
          <w:tcPr>
            <w:tcW w:w="17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(453)</w:t>
            </w: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0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27" w:name="page28"/>
    <w:bookmarkEnd w:id="27"/>
    <w:p>
      <w:pPr>
        <w:jc w:val="both"/>
        <w:ind w:right="60" w:firstLine="259"/>
        <w:spacing w:after="0" w:line="264" w:lineRule="auto"/>
        <w:rPr>
          <w:sz w:val="20"/>
          <w:szCs w:val="20"/>
          <w:color w:val="auto"/>
        </w:rPr>
      </w:pPr>
      <w:r>
        <w:rPr>
          <w:rFonts w:ascii="Arial" w:cs="Arial" w:eastAsia="Arial" w:hAnsi="Arial"/>
          <w:sz w:val="18"/>
          <w:szCs w:val="18"/>
          <w:color w:val="auto"/>
        </w:rPr>
        <w:t>The following tables summarize the significant unobservable inputs the Company used to value the majority of its investments categorized within Level 3 as of March 31, 2016 and December 31, 2015. The tables are not intended to be all-inclusive, but instead capture the significant unobservable inputs relevant to the Company’s determination of fair values.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March 31, 2016</w:t>
            </w:r>
          </w:p>
        </w:tc>
        <w:tc>
          <w:tcPr>
            <w:tcW w:w="1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Impact to</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Valuation</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Valuation</w:t>
            </w:r>
          </w:p>
        </w:tc>
        <w:tc>
          <w:tcPr>
            <w:tcW w:w="18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Unobservable</w:t>
            </w: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Range (Weighted</w:t>
            </w:r>
          </w:p>
        </w:tc>
        <w:tc>
          <w:tcPr>
            <w:tcW w:w="14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from an</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9"/>
              </w:rPr>
              <w:t>Increase to</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54"/>
              <w:spacing w:after="0"/>
              <w:rPr>
                <w:sz w:val="20"/>
                <w:szCs w:val="20"/>
                <w:color w:val="auto"/>
              </w:rPr>
            </w:pPr>
            <w:r>
              <w:rPr>
                <w:rFonts w:ascii="Arial" w:cs="Arial" w:eastAsia="Arial" w:hAnsi="Arial"/>
                <w:sz w:val="14"/>
                <w:szCs w:val="14"/>
                <w:b w:val="1"/>
                <w:bCs w:val="1"/>
                <w:color w:val="auto"/>
                <w:w w:val="98"/>
              </w:rPr>
              <w:t>Fair Value</w:t>
            </w:r>
          </w:p>
        </w:tc>
        <w:tc>
          <w:tcPr>
            <w:tcW w:w="240" w:type="dxa"/>
            <w:vAlign w:val="bottom"/>
          </w:tcPr>
          <w:p>
            <w:pPr>
              <w:spacing w:after="0"/>
              <w:rPr>
                <w:sz w:val="14"/>
                <w:szCs w:val="14"/>
                <w:color w:val="auto"/>
              </w:rPr>
            </w:pPr>
          </w:p>
        </w:tc>
        <w:tc>
          <w:tcPr>
            <w:tcW w:w="1840" w:type="dxa"/>
            <w:vAlign w:val="bottom"/>
            <w:gridSpan w:val="2"/>
          </w:tcPr>
          <w:p>
            <w:pPr>
              <w:ind w:left="540"/>
              <w:spacing w:after="0"/>
              <w:rPr>
                <w:sz w:val="20"/>
                <w:szCs w:val="20"/>
                <w:color w:val="auto"/>
              </w:rPr>
            </w:pPr>
            <w:r>
              <w:rPr>
                <w:rFonts w:ascii="Arial" w:cs="Arial" w:eastAsia="Arial" w:hAnsi="Arial"/>
                <w:sz w:val="14"/>
                <w:szCs w:val="14"/>
                <w:b w:val="1"/>
                <w:bCs w:val="1"/>
                <w:color w:val="auto"/>
              </w:rPr>
              <w:t>Technique</w:t>
            </w:r>
          </w:p>
        </w:tc>
        <w:tc>
          <w:tcPr>
            <w:tcW w:w="1860" w:type="dxa"/>
            <w:vAlign w:val="bottom"/>
            <w:gridSpan w:val="2"/>
          </w:tcPr>
          <w:p>
            <w:pPr>
              <w:ind w:left="700"/>
              <w:spacing w:after="0"/>
              <w:rPr>
                <w:sz w:val="20"/>
                <w:szCs w:val="20"/>
                <w:color w:val="auto"/>
              </w:rPr>
            </w:pPr>
            <w:r>
              <w:rPr>
                <w:rFonts w:ascii="Arial" w:cs="Arial" w:eastAsia="Arial" w:hAnsi="Arial"/>
                <w:sz w:val="14"/>
                <w:szCs w:val="14"/>
                <w:b w:val="1"/>
                <w:bCs w:val="1"/>
                <w:color w:val="auto"/>
              </w:rPr>
              <w:t>Input</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Average)</w:t>
            </w:r>
          </w:p>
        </w:tc>
        <w:tc>
          <w:tcPr>
            <w:tcW w:w="1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223"/>
        </w:trPr>
        <w:tc>
          <w:tcPr>
            <w:tcW w:w="2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1,267,992</w:t>
            </w:r>
          </w:p>
        </w:tc>
        <w:tc>
          <w:tcPr>
            <w:tcW w:w="24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Market yield</w:t>
            </w:r>
          </w:p>
        </w:tc>
        <w:tc>
          <w:tcPr>
            <w:tcW w:w="12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3.5% — 15.3% (10.6%)</w:t>
            </w:r>
          </w:p>
        </w:tc>
        <w:tc>
          <w:tcPr>
            <w:tcW w:w="14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91,416</w:t>
            </w:r>
          </w:p>
        </w:tc>
        <w:tc>
          <w:tcPr>
            <w:tcW w:w="2080" w:type="dxa"/>
            <w:vAlign w:val="bottom"/>
            <w:gridSpan w:val="3"/>
          </w:tcPr>
          <w:p>
            <w:pPr>
              <w:ind w:left="240"/>
              <w:spacing w:after="0"/>
              <w:rPr>
                <w:sz w:val="20"/>
                <w:szCs w:val="20"/>
                <w:color w:val="auto"/>
              </w:rPr>
            </w:pPr>
            <w:r>
              <w:rPr>
                <w:rFonts w:ascii="Arial" w:cs="Arial" w:eastAsia="Arial" w:hAnsi="Arial"/>
                <w:sz w:val="18"/>
                <w:szCs w:val="18"/>
                <w:color w:val="auto"/>
              </w:rPr>
              <w:t>Income approach</w:t>
            </w:r>
          </w:p>
        </w:tc>
        <w:tc>
          <w:tcPr>
            <w:tcW w:w="1860" w:type="dxa"/>
            <w:vAlign w:val="bottom"/>
            <w:gridSpan w:val="2"/>
          </w:tcPr>
          <w:p>
            <w:pPr>
              <w:spacing w:after="0"/>
              <w:rPr>
                <w:sz w:val="20"/>
                <w:szCs w:val="20"/>
                <w:color w:val="auto"/>
              </w:rPr>
            </w:pPr>
            <w:r>
              <w:rPr>
                <w:rFonts w:ascii="Arial" w:cs="Arial" w:eastAsia="Arial" w:hAnsi="Arial"/>
                <w:sz w:val="18"/>
                <w:szCs w:val="18"/>
                <w:color w:val="auto"/>
              </w:rPr>
              <w:t>Market yield</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12.0% — 13.8% (13.2%)</w:t>
            </w:r>
          </w:p>
        </w:tc>
        <w:tc>
          <w:tcPr>
            <w:tcW w:w="1860" w:type="dxa"/>
            <w:vAlign w:val="bottom"/>
            <w:gridSpan w:val="2"/>
          </w:tcPr>
          <w:p>
            <w:pPr>
              <w:ind w:left="14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5"/>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debt investments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6,023</w:t>
            </w:r>
          </w:p>
        </w:tc>
        <w:tc>
          <w:tcPr>
            <w:tcW w:w="20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Income approach</w:t>
            </w:r>
          </w:p>
        </w:tc>
        <w:tc>
          <w:tcPr>
            <w:tcW w:w="1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Market yield</w:t>
            </w:r>
          </w:p>
        </w:tc>
        <w:tc>
          <w:tcPr>
            <w:tcW w:w="1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15.7% — 15.7% (15.7%)</w:t>
            </w:r>
          </w:p>
        </w:tc>
        <w:tc>
          <w:tcPr>
            <w:tcW w:w="18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5"/>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80" w:type="dxa"/>
            <w:vAlign w:val="bottom"/>
            <w:gridSpan w:val="3"/>
          </w:tcPr>
          <w:p>
            <w:pPr>
              <w:ind w:left="240"/>
              <w:spacing w:after="0"/>
              <w:rPr>
                <w:sz w:val="20"/>
                <w:szCs w:val="20"/>
                <w:color w:val="auto"/>
              </w:rPr>
            </w:pPr>
            <w:r>
              <w:rPr>
                <w:rFonts w:ascii="Arial" w:cs="Arial" w:eastAsia="Arial" w:hAnsi="Arial"/>
                <w:sz w:val="18"/>
                <w:szCs w:val="18"/>
                <w:color w:val="auto"/>
              </w:rPr>
              <w:t>Market Multiple or</w:t>
            </w:r>
          </w:p>
        </w:tc>
        <w:tc>
          <w:tcPr>
            <w:tcW w:w="1860" w:type="dxa"/>
            <w:vAlign w:val="bottom"/>
            <w:gridSpan w:val="2"/>
          </w:tcPr>
          <w:p>
            <w:pPr>
              <w:spacing w:after="0"/>
              <w:rPr>
                <w:sz w:val="20"/>
                <w:szCs w:val="20"/>
                <w:color w:val="auto"/>
              </w:rPr>
            </w:pPr>
            <w:r>
              <w:rPr>
                <w:rFonts w:ascii="Arial" w:cs="Arial" w:eastAsia="Arial" w:hAnsi="Arial"/>
                <w:sz w:val="18"/>
                <w:szCs w:val="18"/>
                <w:color w:val="auto"/>
              </w:rPr>
              <w:t>Comparable multiple</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80" w:type="dxa"/>
            <w:vAlign w:val="bottom"/>
            <w:gridSpan w:val="3"/>
          </w:tcPr>
          <w:p>
            <w:pPr>
              <w:ind w:left="240"/>
              <w:spacing w:after="0"/>
              <w:rPr>
                <w:sz w:val="20"/>
                <w:szCs w:val="20"/>
                <w:color w:val="auto"/>
              </w:rPr>
            </w:pPr>
            <w:r>
              <w:rPr>
                <w:rFonts w:ascii="Arial" w:cs="Arial" w:eastAsia="Arial" w:hAnsi="Arial"/>
                <w:sz w:val="18"/>
                <w:szCs w:val="18"/>
                <w:color w:val="auto"/>
              </w:rPr>
              <w:t>Discounted Cash</w:t>
            </w:r>
          </w:p>
        </w:tc>
        <w:tc>
          <w:tcPr>
            <w:tcW w:w="1860" w:type="dxa"/>
            <w:vAlign w:val="bottom"/>
            <w:gridSpan w:val="2"/>
          </w:tcPr>
          <w:p>
            <w:pPr>
              <w:spacing w:after="0"/>
              <w:rPr>
                <w:sz w:val="20"/>
                <w:szCs w:val="20"/>
                <w:color w:val="auto"/>
              </w:rPr>
            </w:pPr>
            <w:r>
              <w:rPr>
                <w:rFonts w:ascii="Arial" w:cs="Arial" w:eastAsia="Arial" w:hAnsi="Arial"/>
                <w:sz w:val="18"/>
                <w:szCs w:val="18"/>
                <w:color w:val="auto"/>
              </w:rPr>
              <w:t>or</w:t>
            </w: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8.5x — 14.2x (11.3x) or</w:t>
            </w: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7,992</w:t>
            </w:r>
          </w:p>
        </w:tc>
        <w:tc>
          <w:tcPr>
            <w:tcW w:w="2080" w:type="dxa"/>
            <w:vAlign w:val="bottom"/>
            <w:gridSpan w:val="3"/>
          </w:tcPr>
          <w:p>
            <w:pPr>
              <w:ind w:left="240"/>
              <w:spacing w:after="0"/>
              <w:rPr>
                <w:sz w:val="20"/>
                <w:szCs w:val="20"/>
                <w:color w:val="auto"/>
              </w:rPr>
            </w:pPr>
            <w:r>
              <w:rPr>
                <w:rFonts w:ascii="Arial" w:cs="Arial" w:eastAsia="Arial" w:hAnsi="Arial"/>
                <w:sz w:val="18"/>
                <w:szCs w:val="18"/>
                <w:color w:val="auto"/>
              </w:rPr>
              <w:t xml:space="preserve">Flow </w:t>
            </w:r>
            <w:r>
              <w:rPr>
                <w:rFonts w:ascii="Arial" w:cs="Arial" w:eastAsia="Arial" w:hAnsi="Arial"/>
                <w:sz w:val="15"/>
                <w:szCs w:val="15"/>
                <w:color w:val="auto"/>
              </w:rPr>
              <w:t>(2)</w:t>
            </w:r>
          </w:p>
        </w:tc>
        <w:tc>
          <w:tcPr>
            <w:tcW w:w="186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12.0%</w:t>
            </w:r>
          </w:p>
        </w:tc>
        <w:tc>
          <w:tcPr>
            <w:tcW w:w="1860" w:type="dxa"/>
            <w:vAlign w:val="bottom"/>
            <w:gridSpan w:val="2"/>
          </w:tcPr>
          <w:p>
            <w:pPr>
              <w:ind w:left="140"/>
              <w:spacing w:after="0"/>
              <w:rPr>
                <w:sz w:val="20"/>
                <w:szCs w:val="20"/>
                <w:color w:val="auto"/>
              </w:rPr>
            </w:pPr>
            <w:r>
              <w:rPr>
                <w:rFonts w:ascii="Arial" w:cs="Arial" w:eastAsia="Arial" w:hAnsi="Arial"/>
                <w:sz w:val="18"/>
                <w:szCs w:val="18"/>
                <w:color w:val="auto"/>
              </w:rPr>
              <w:t>Increase or decrease</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right="400" w:hanging="512"/>
        <w:spacing w:after="0" w:line="258"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$47.0 million of first-lien debt investments which, due to the proximity of the transactions relative to the measurement date, were valued using the cost of the investments.</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$3.8 million of equity investments which were valued using the cost of the investments.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w w:val="91"/>
              </w:rPr>
              <w:t>December 31, 2015</w:t>
            </w:r>
          </w:p>
        </w:tc>
        <w:tc>
          <w:tcPr>
            <w:tcW w:w="1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Impact to</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Valuation</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Valuation</w:t>
            </w:r>
          </w:p>
        </w:tc>
        <w:tc>
          <w:tcPr>
            <w:tcW w:w="18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Unobservable</w:t>
            </w: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Range (Weighted</w:t>
            </w:r>
          </w:p>
        </w:tc>
        <w:tc>
          <w:tcPr>
            <w:tcW w:w="14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from an</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9"/>
              </w:rPr>
              <w:t>Increase to</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54"/>
              <w:spacing w:after="0"/>
              <w:rPr>
                <w:sz w:val="20"/>
                <w:szCs w:val="20"/>
                <w:color w:val="auto"/>
              </w:rPr>
            </w:pPr>
            <w:r>
              <w:rPr>
                <w:rFonts w:ascii="Arial" w:cs="Arial" w:eastAsia="Arial" w:hAnsi="Arial"/>
                <w:sz w:val="14"/>
                <w:szCs w:val="14"/>
                <w:b w:val="1"/>
                <w:bCs w:val="1"/>
                <w:color w:val="auto"/>
                <w:w w:val="98"/>
              </w:rPr>
              <w:t>Fair Value</w:t>
            </w:r>
          </w:p>
        </w:tc>
        <w:tc>
          <w:tcPr>
            <w:tcW w:w="240" w:type="dxa"/>
            <w:vAlign w:val="bottom"/>
          </w:tcPr>
          <w:p>
            <w:pPr>
              <w:spacing w:after="0"/>
              <w:rPr>
                <w:sz w:val="14"/>
                <w:szCs w:val="14"/>
                <w:color w:val="auto"/>
              </w:rPr>
            </w:pPr>
          </w:p>
        </w:tc>
        <w:tc>
          <w:tcPr>
            <w:tcW w:w="1840" w:type="dxa"/>
            <w:vAlign w:val="bottom"/>
            <w:gridSpan w:val="2"/>
          </w:tcPr>
          <w:p>
            <w:pPr>
              <w:ind w:left="540"/>
              <w:spacing w:after="0"/>
              <w:rPr>
                <w:sz w:val="20"/>
                <w:szCs w:val="20"/>
                <w:color w:val="auto"/>
              </w:rPr>
            </w:pPr>
            <w:r>
              <w:rPr>
                <w:rFonts w:ascii="Arial" w:cs="Arial" w:eastAsia="Arial" w:hAnsi="Arial"/>
                <w:sz w:val="14"/>
                <w:szCs w:val="14"/>
                <w:b w:val="1"/>
                <w:bCs w:val="1"/>
                <w:color w:val="auto"/>
              </w:rPr>
              <w:t>Technique</w:t>
            </w:r>
          </w:p>
        </w:tc>
        <w:tc>
          <w:tcPr>
            <w:tcW w:w="1860" w:type="dxa"/>
            <w:vAlign w:val="bottom"/>
            <w:gridSpan w:val="2"/>
          </w:tcPr>
          <w:p>
            <w:pPr>
              <w:ind w:left="700"/>
              <w:spacing w:after="0"/>
              <w:rPr>
                <w:sz w:val="20"/>
                <w:szCs w:val="20"/>
                <w:color w:val="auto"/>
              </w:rPr>
            </w:pPr>
            <w:r>
              <w:rPr>
                <w:rFonts w:ascii="Arial" w:cs="Arial" w:eastAsia="Arial" w:hAnsi="Arial"/>
                <w:sz w:val="14"/>
                <w:szCs w:val="14"/>
                <w:b w:val="1"/>
                <w:bCs w:val="1"/>
                <w:color w:val="auto"/>
              </w:rPr>
              <w:t>Input</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Average)</w:t>
            </w:r>
          </w:p>
        </w:tc>
        <w:tc>
          <w:tcPr>
            <w:tcW w:w="1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223"/>
        </w:trPr>
        <w:tc>
          <w:tcPr>
            <w:tcW w:w="2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1,229,491</w:t>
            </w:r>
          </w:p>
        </w:tc>
        <w:tc>
          <w:tcPr>
            <w:tcW w:w="24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Market yield</w:t>
            </w:r>
          </w:p>
        </w:tc>
        <w:tc>
          <w:tcPr>
            <w:tcW w:w="12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3.9% — 15.3% (10.8%)</w:t>
            </w:r>
          </w:p>
        </w:tc>
        <w:tc>
          <w:tcPr>
            <w:tcW w:w="14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90,441</w:t>
            </w:r>
          </w:p>
        </w:tc>
        <w:tc>
          <w:tcPr>
            <w:tcW w:w="2080" w:type="dxa"/>
            <w:vAlign w:val="bottom"/>
            <w:gridSpan w:val="3"/>
          </w:tcPr>
          <w:p>
            <w:pPr>
              <w:ind w:left="240"/>
              <w:spacing w:after="0"/>
              <w:rPr>
                <w:sz w:val="20"/>
                <w:szCs w:val="20"/>
                <w:color w:val="auto"/>
              </w:rPr>
            </w:pPr>
            <w:r>
              <w:rPr>
                <w:rFonts w:ascii="Arial" w:cs="Arial" w:eastAsia="Arial" w:hAnsi="Arial"/>
                <w:sz w:val="18"/>
                <w:szCs w:val="18"/>
                <w:color w:val="auto"/>
              </w:rPr>
              <w:t>Income approach</w:t>
            </w:r>
          </w:p>
        </w:tc>
        <w:tc>
          <w:tcPr>
            <w:tcW w:w="1860" w:type="dxa"/>
            <w:vAlign w:val="bottom"/>
            <w:gridSpan w:val="2"/>
          </w:tcPr>
          <w:p>
            <w:pPr>
              <w:spacing w:after="0"/>
              <w:rPr>
                <w:sz w:val="20"/>
                <w:szCs w:val="20"/>
                <w:color w:val="auto"/>
              </w:rPr>
            </w:pPr>
            <w:r>
              <w:rPr>
                <w:rFonts w:ascii="Arial" w:cs="Arial" w:eastAsia="Arial" w:hAnsi="Arial"/>
                <w:sz w:val="18"/>
                <w:szCs w:val="18"/>
                <w:color w:val="auto"/>
              </w:rPr>
              <w:t>Market yield</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12.1% — 13.8% (13.2%)</w:t>
            </w:r>
          </w:p>
        </w:tc>
        <w:tc>
          <w:tcPr>
            <w:tcW w:w="1860" w:type="dxa"/>
            <w:vAlign w:val="bottom"/>
            <w:gridSpan w:val="2"/>
          </w:tcPr>
          <w:p>
            <w:pPr>
              <w:ind w:left="14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5"/>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debt investments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7,801</w:t>
            </w:r>
          </w:p>
        </w:tc>
        <w:tc>
          <w:tcPr>
            <w:tcW w:w="20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Income approach</w:t>
            </w:r>
          </w:p>
        </w:tc>
        <w:tc>
          <w:tcPr>
            <w:tcW w:w="1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Market yield</w:t>
            </w:r>
          </w:p>
        </w:tc>
        <w:tc>
          <w:tcPr>
            <w:tcW w:w="1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12.6% — 12.6% (12.6%)</w:t>
            </w:r>
          </w:p>
        </w:tc>
        <w:tc>
          <w:tcPr>
            <w:tcW w:w="18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5"/>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80" w:type="dxa"/>
            <w:vAlign w:val="bottom"/>
            <w:gridSpan w:val="3"/>
          </w:tcPr>
          <w:p>
            <w:pPr>
              <w:ind w:left="240"/>
              <w:spacing w:after="0"/>
              <w:rPr>
                <w:sz w:val="20"/>
                <w:szCs w:val="20"/>
                <w:color w:val="auto"/>
              </w:rPr>
            </w:pPr>
            <w:r>
              <w:rPr>
                <w:rFonts w:ascii="Arial" w:cs="Arial" w:eastAsia="Arial" w:hAnsi="Arial"/>
                <w:sz w:val="18"/>
                <w:szCs w:val="18"/>
                <w:color w:val="auto"/>
              </w:rPr>
              <w:t>Market Multiple or</w:t>
            </w:r>
          </w:p>
        </w:tc>
        <w:tc>
          <w:tcPr>
            <w:tcW w:w="1860" w:type="dxa"/>
            <w:vAlign w:val="bottom"/>
            <w:gridSpan w:val="2"/>
          </w:tcPr>
          <w:p>
            <w:pPr>
              <w:spacing w:after="0"/>
              <w:rPr>
                <w:sz w:val="20"/>
                <w:szCs w:val="20"/>
                <w:color w:val="auto"/>
              </w:rPr>
            </w:pPr>
            <w:r>
              <w:rPr>
                <w:rFonts w:ascii="Arial" w:cs="Arial" w:eastAsia="Arial" w:hAnsi="Arial"/>
                <w:sz w:val="18"/>
                <w:szCs w:val="18"/>
                <w:color w:val="auto"/>
              </w:rPr>
              <w:t>Comparable multiple</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80" w:type="dxa"/>
            <w:vAlign w:val="bottom"/>
            <w:gridSpan w:val="3"/>
          </w:tcPr>
          <w:p>
            <w:pPr>
              <w:ind w:left="240"/>
              <w:spacing w:after="0"/>
              <w:rPr>
                <w:sz w:val="20"/>
                <w:szCs w:val="20"/>
                <w:color w:val="auto"/>
              </w:rPr>
            </w:pPr>
            <w:r>
              <w:rPr>
                <w:rFonts w:ascii="Arial" w:cs="Arial" w:eastAsia="Arial" w:hAnsi="Arial"/>
                <w:sz w:val="18"/>
                <w:szCs w:val="18"/>
                <w:color w:val="auto"/>
              </w:rPr>
              <w:t>Discounted Cash</w:t>
            </w:r>
          </w:p>
        </w:tc>
        <w:tc>
          <w:tcPr>
            <w:tcW w:w="1860" w:type="dxa"/>
            <w:vAlign w:val="bottom"/>
            <w:gridSpan w:val="2"/>
          </w:tcPr>
          <w:p>
            <w:pPr>
              <w:spacing w:after="0"/>
              <w:rPr>
                <w:sz w:val="20"/>
                <w:szCs w:val="20"/>
                <w:color w:val="auto"/>
              </w:rPr>
            </w:pPr>
            <w:r>
              <w:rPr>
                <w:rFonts w:ascii="Arial" w:cs="Arial" w:eastAsia="Arial" w:hAnsi="Arial"/>
                <w:sz w:val="18"/>
                <w:szCs w:val="18"/>
                <w:color w:val="auto"/>
              </w:rPr>
              <w:t>or</w:t>
            </w: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8.4x — 13.5x (11.8x) or</w:t>
            </w: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8,205</w:t>
            </w:r>
          </w:p>
        </w:tc>
        <w:tc>
          <w:tcPr>
            <w:tcW w:w="2080" w:type="dxa"/>
            <w:vAlign w:val="bottom"/>
            <w:gridSpan w:val="3"/>
          </w:tcPr>
          <w:p>
            <w:pPr>
              <w:ind w:left="240"/>
              <w:spacing w:after="0"/>
              <w:rPr>
                <w:sz w:val="20"/>
                <w:szCs w:val="20"/>
                <w:color w:val="auto"/>
              </w:rPr>
            </w:pPr>
            <w:r>
              <w:rPr>
                <w:rFonts w:ascii="Arial" w:cs="Arial" w:eastAsia="Arial" w:hAnsi="Arial"/>
                <w:sz w:val="18"/>
                <w:szCs w:val="18"/>
                <w:color w:val="auto"/>
              </w:rPr>
              <w:t xml:space="preserve">Flow </w:t>
            </w:r>
            <w:r>
              <w:rPr>
                <w:rFonts w:ascii="Arial" w:cs="Arial" w:eastAsia="Arial" w:hAnsi="Arial"/>
                <w:sz w:val="15"/>
                <w:szCs w:val="15"/>
                <w:color w:val="auto"/>
              </w:rPr>
              <w:t>(2)</w:t>
            </w:r>
          </w:p>
        </w:tc>
        <w:tc>
          <w:tcPr>
            <w:tcW w:w="186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12.0%</w:t>
            </w:r>
          </w:p>
        </w:tc>
        <w:tc>
          <w:tcPr>
            <w:tcW w:w="1860" w:type="dxa"/>
            <w:vAlign w:val="bottom"/>
            <w:gridSpan w:val="2"/>
          </w:tcPr>
          <w:p>
            <w:pPr>
              <w:ind w:left="140"/>
              <w:spacing w:after="0"/>
              <w:rPr>
                <w:sz w:val="20"/>
                <w:szCs w:val="20"/>
                <w:color w:val="auto"/>
              </w:rPr>
            </w:pPr>
            <w:r>
              <w:rPr>
                <w:rFonts w:ascii="Arial" w:cs="Arial" w:eastAsia="Arial" w:hAnsi="Arial"/>
                <w:sz w:val="18"/>
                <w:szCs w:val="18"/>
                <w:color w:val="auto"/>
              </w:rPr>
              <w:t>Increase or decrease</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right="400" w:hanging="512"/>
        <w:spacing w:after="0" w:line="258"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$44.1 million of first-lien debt investments which, due to the proximity of the transactions relative to the measurement date, were valued using the cost of the investments.</w:t>
      </w:r>
    </w:p>
    <w:p>
      <w:pPr>
        <w:spacing w:after="0" w:line="1" w:lineRule="exact"/>
        <w:rPr>
          <w:rFonts w:ascii="Arial" w:cs="Arial" w:eastAsia="Arial" w:hAnsi="Arial"/>
          <w:sz w:val="18"/>
          <w:szCs w:val="18"/>
          <w:color w:val="auto"/>
        </w:rPr>
      </w:pPr>
    </w:p>
    <w:p>
      <w:pPr>
        <w:ind w:left="520" w:right="320" w:hanging="512"/>
        <w:spacing w:after="0" w:line="276"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$3.8 million of equity investments which, due to the proximity of the transactions relative to the measurement date, were valued using the cost of the investments.</w:t>
      </w:r>
    </w:p>
    <w:p>
      <w:pPr>
        <w:spacing w:after="0" w:line="171"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8"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140" w:firstLine="259"/>
        <w:spacing w:after="0" w:line="312" w:lineRule="auto"/>
        <w:rPr>
          <w:sz w:val="20"/>
          <w:szCs w:val="20"/>
          <w:color w:val="auto"/>
        </w:rPr>
      </w:pPr>
      <w:r>
        <w:rPr>
          <w:rFonts w:ascii="Arial" w:cs="Arial" w:eastAsia="Arial" w:hAnsi="Arial"/>
          <w:sz w:val="16"/>
          <w:szCs w:val="16"/>
          <w:color w:val="auto"/>
        </w:rPr>
        <w:t>The fair value of the Company’s Revolving Credit Facility, which is categorized as Level 3 within the fair value hierarchy, as of March 31, 2016, approximates its carrying value as the outstanding balance is callable at carrying value. The fair value of the Company’s Convertible Senior Notes, which is categorized as Level 2 within the fair value hierarchy, as of March 31, 2016, was $112.2 million, based on broker quotes received by the Company.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ind w:firstLine="259"/>
        <w:spacing w:after="0" w:line="312" w:lineRule="auto"/>
        <w:rPr>
          <w:sz w:val="20"/>
          <w:szCs w:val="20"/>
          <w:color w:val="auto"/>
        </w:rPr>
      </w:pPr>
      <w:r>
        <w:rPr>
          <w:rFonts w:ascii="Arial" w:cs="Arial" w:eastAsia="Arial" w:hAnsi="Arial"/>
          <w:sz w:val="16"/>
          <w:szCs w:val="16"/>
          <w:color w:val="auto"/>
        </w:rPr>
        <w:t>The carrying amounts of the Company’s assets and liabilities, other than investments at fair value and Convertible Senior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200% after such borrowing. As of March 31, 2016 and December 31, 2015, the Company’s asset coverage was 240.7% and 225.7%, respectively.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March 31, 2016 and December 31, 2015:</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4"/>
                <w:szCs w:val="14"/>
                <w:b w:val="1"/>
                <w:bCs w:val="1"/>
                <w:color w:val="auto"/>
              </w:rPr>
              <w:t>March 31, 2016</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79"/>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77"/>
              <w:spacing w:after="0"/>
              <w:rPr>
                <w:sz w:val="20"/>
                <w:szCs w:val="20"/>
                <w:color w:val="auto"/>
              </w:rPr>
            </w:pPr>
            <w:r>
              <w:rPr>
                <w:rFonts w:ascii="Arial" w:cs="Arial" w:eastAsia="Arial" w:hAnsi="Arial"/>
                <w:sz w:val="14"/>
                <w:szCs w:val="14"/>
                <w:b w:val="1"/>
                <w:bCs w:val="1"/>
                <w:color w:val="auto"/>
                <w:w w:val="94"/>
              </w:rPr>
              <w:t xml:space="preserve">Available </w:t>
            </w:r>
            <w:r>
              <w:rPr>
                <w:rFonts w:ascii="Arial" w:cs="Arial" w:eastAsia="Arial" w:hAnsi="Arial"/>
                <w:sz w:val="12"/>
                <w:szCs w:val="12"/>
                <w:b w:val="1"/>
                <w:bCs w:val="1"/>
                <w:color w:val="auto"/>
                <w:w w:val="94"/>
              </w:rPr>
              <w:t>(1)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821,250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523,225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298,025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516,298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Convertible Senior Notes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109,765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936,250</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638,225</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298,025</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626,063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240" w:hanging="512"/>
        <w:spacing w:after="0" w:line="276"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carrying values of the Company’s Revolving Credit Facility and Convertible Senior Notes are presented net of deferred financing costs of $6.9 million and $2.9 million, respectively.</w:t>
      </w:r>
    </w:p>
    <w:p>
      <w:pPr>
        <w:spacing w:after="0" w:line="200" w:lineRule="exact"/>
        <w:rPr>
          <w:sz w:val="20"/>
          <w:szCs w:val="20"/>
          <w:color w:val="auto"/>
        </w:rPr>
      </w:pP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4"/>
                <w:szCs w:val="14"/>
                <w:b w:val="1"/>
                <w:bCs w:val="1"/>
                <w:color w:val="auto"/>
              </w:rPr>
              <w:t>December 31, 2015</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79"/>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77"/>
              <w:spacing w:after="0"/>
              <w:rPr>
                <w:sz w:val="20"/>
                <w:szCs w:val="20"/>
                <w:color w:val="auto"/>
              </w:rPr>
            </w:pPr>
            <w:r>
              <w:rPr>
                <w:rFonts w:ascii="Arial" w:cs="Arial" w:eastAsia="Arial" w:hAnsi="Arial"/>
                <w:sz w:val="14"/>
                <w:szCs w:val="14"/>
                <w:b w:val="1"/>
                <w:bCs w:val="1"/>
                <w:color w:val="auto"/>
                <w:w w:val="94"/>
              </w:rPr>
              <w:t xml:space="preserve">Available </w:t>
            </w:r>
            <w:r>
              <w:rPr>
                <w:rFonts w:ascii="Arial" w:cs="Arial" w:eastAsia="Arial" w:hAnsi="Arial"/>
                <w:sz w:val="12"/>
                <w:szCs w:val="12"/>
                <w:b w:val="1"/>
                <w:bCs w:val="1"/>
                <w:color w:val="auto"/>
                <w:w w:val="94"/>
              </w:rPr>
              <w:t>(1)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821,250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540,305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280,945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532,996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Convertible Senior Notes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109,427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936,250</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655,305</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280,945</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642,423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240" w:hanging="512"/>
        <w:spacing w:after="0" w:line="276"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carrying values of the Company’s Revolving Credit Facility and Convertible Senior Notes are presented net of deferred financing costs of $7.3 million and $3.1 million, respectively.</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29" w:name="page30"/>
    <w:bookmarkEnd w:id="29"/>
    <w:p>
      <w:pPr>
        <w:ind w:left="260"/>
        <w:spacing w:after="0"/>
        <w:rPr>
          <w:sz w:val="20"/>
          <w:szCs w:val="20"/>
          <w:color w:val="auto"/>
        </w:rPr>
      </w:pPr>
      <w:r>
        <w:rPr>
          <w:rFonts w:ascii="Arial" w:cs="Arial" w:eastAsia="Arial" w:hAnsi="Arial"/>
          <w:sz w:val="18"/>
          <w:szCs w:val="18"/>
          <w:color w:val="auto"/>
        </w:rPr>
        <w:t>For the three months ended March 31, 2016 and 2015, the components of interest expense were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3"/>
          </w:tcPr>
          <w:p>
            <w:pPr>
              <w:jc w:val="right"/>
              <w:ind w:right="4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5220" w:type="dxa"/>
            <w:vAlign w:val="bottom"/>
          </w:tcPr>
          <w:p>
            <w:pPr>
              <w:spacing w:after="0"/>
              <w:rPr>
                <w:sz w:val="14"/>
                <w:szCs w:val="14"/>
                <w:color w:val="auto"/>
              </w:rPr>
            </w:pPr>
          </w:p>
        </w:tc>
        <w:tc>
          <w:tcPr>
            <w:tcW w:w="14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March 31, 2016</w:t>
            </w:r>
          </w:p>
        </w:tc>
        <w:tc>
          <w:tcPr>
            <w:tcW w:w="13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March 31, 2015</w:t>
            </w: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60" w:type="dxa"/>
            <w:vAlign w:val="bottom"/>
            <w:tcBorders>
              <w:top w:val="single" w:sz="8" w:color="auto"/>
            </w:tcBorders>
            <w:shd w:val="clear" w:color="auto" w:fill="CFF0FC"/>
          </w:tcPr>
          <w:p>
            <w:pPr>
              <w:jc w:val="right"/>
              <w:ind w:right="174"/>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4,631</w:t>
            </w:r>
          </w:p>
        </w:tc>
        <w:tc>
          <w:tcPr>
            <w:tcW w:w="3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4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3,163</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Commitment fees</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260</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598</w:t>
            </w:r>
          </w:p>
        </w:tc>
        <w:tc>
          <w:tcPr>
            <w:tcW w:w="18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w:t>
            </w:r>
          </w:p>
        </w:tc>
        <w:tc>
          <w:tcPr>
            <w:tcW w:w="18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Swap settlement</w:t>
            </w:r>
          </w:p>
        </w:tc>
        <w:tc>
          <w:tcPr>
            <w:tcW w:w="3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(313)</w:t>
            </w:r>
          </w:p>
        </w:tc>
        <w:tc>
          <w:tcPr>
            <w:tcW w:w="6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(421)</w:t>
            </w:r>
          </w:p>
        </w:tc>
      </w:tr>
      <w:tr>
        <w:trPr>
          <w:trHeight w:val="263"/>
        </w:trPr>
        <w:tc>
          <w:tcPr>
            <w:tcW w:w="5220" w:type="dxa"/>
            <w:vAlign w:val="bottom"/>
            <w:tcBorders>
              <w:bottom w:val="single" w:sz="8" w:color="CFF0FC"/>
            </w:tcBorders>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5,298</w:t>
            </w:r>
          </w:p>
        </w:tc>
        <w:tc>
          <w:tcPr>
            <w:tcW w:w="320" w:type="dxa"/>
            <w:vAlign w:val="bottom"/>
            <w:tcBorders>
              <w:bottom w:val="single" w:sz="8" w:color="CFF0FC"/>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4,220</w:t>
            </w:r>
          </w:p>
        </w:tc>
        <w:tc>
          <w:tcPr>
            <w:tcW w:w="180" w:type="dxa"/>
            <w:vAlign w:val="bottom"/>
            <w:tcBorders>
              <w:bottom w:val="single" w:sz="8" w:color="CFF0FC"/>
            </w:tcBorders>
          </w:tcPr>
          <w:p>
            <w:pPr>
              <w:spacing w:after="0"/>
              <w:rPr>
                <w:sz w:val="22"/>
                <w:szCs w:val="22"/>
                <w:color w:val="auto"/>
              </w:rPr>
            </w:pPr>
          </w:p>
        </w:tc>
      </w:tr>
      <w:tr>
        <w:trPr>
          <w:trHeight w:val="21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Average debt outstanding (in millions)</w:t>
            </w:r>
          </w:p>
        </w:tc>
        <w:tc>
          <w:tcPr>
            <w:tcW w:w="36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666.0</w:t>
            </w: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4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421.5</w:t>
            </w:r>
          </w:p>
        </w:tc>
        <w:tc>
          <w:tcPr>
            <w:tcW w:w="180" w:type="dxa"/>
            <w:vAlign w:val="bottom"/>
            <w:shd w:val="clear" w:color="auto" w:fill="CFF0FC"/>
          </w:tcPr>
          <w:p>
            <w:pPr>
              <w:spacing w:after="0"/>
              <w:rPr>
                <w:sz w:val="18"/>
                <w:szCs w:val="18"/>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3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6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259"/>
        <w:spacing w:after="0" w:line="293" w:lineRule="auto"/>
        <w:rPr>
          <w:sz w:val="20"/>
          <w:szCs w:val="20"/>
          <w:color w:val="auto"/>
        </w:rPr>
      </w:pPr>
      <w:r>
        <w:rPr>
          <w:rFonts w:ascii="Arial" w:cs="Arial" w:eastAsia="Arial" w:hAnsi="Arial"/>
          <w:sz w:val="16"/>
          <w:szCs w:val="16"/>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165" w:lineRule="exact"/>
        <w:rPr>
          <w:sz w:val="20"/>
          <w:szCs w:val="20"/>
          <w:color w:val="auto"/>
        </w:rPr>
      </w:pPr>
    </w:p>
    <w:p>
      <w:pPr>
        <w:ind w:right="380" w:firstLine="259"/>
        <w:spacing w:after="0" w:line="277" w:lineRule="auto"/>
        <w:rPr>
          <w:sz w:val="20"/>
          <w:szCs w:val="20"/>
          <w:color w:val="auto"/>
        </w:rPr>
      </w:pPr>
      <w:r>
        <w:rPr>
          <w:rFonts w:ascii="Arial" w:cs="Arial" w:eastAsia="Arial" w:hAnsi="Arial"/>
          <w:sz w:val="18"/>
          <w:szCs w:val="18"/>
          <w:color w:val="auto"/>
        </w:rPr>
        <w:t>On February 27, 2014, the Company further amended and restated the agreement. The second amended and restated agreement (the Revolving Credit Facility), among other things:</w:t>
      </w:r>
    </w:p>
    <w:p>
      <w:pPr>
        <w:spacing w:after="0" w:line="62" w:lineRule="exact"/>
        <w:rPr>
          <w:sz w:val="20"/>
          <w:szCs w:val="20"/>
          <w:color w:val="auto"/>
        </w:rPr>
      </w:pPr>
    </w:p>
    <w:p>
      <w:pPr>
        <w:ind w:left="520" w:hanging="255"/>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17" w:lineRule="exact"/>
        <w:rPr>
          <w:rFonts w:ascii="Arial" w:cs="Arial" w:eastAsia="Arial" w:hAnsi="Arial"/>
          <w:sz w:val="18"/>
          <w:szCs w:val="18"/>
          <w:color w:val="auto"/>
        </w:rPr>
      </w:pPr>
    </w:p>
    <w:p>
      <w:pPr>
        <w:ind w:left="520" w:right="320" w:hanging="255"/>
        <w:spacing w:after="0" w:line="27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17" w:lineRule="exact"/>
        <w:rPr>
          <w:rFonts w:ascii="Arial" w:cs="Arial" w:eastAsia="Arial" w:hAnsi="Arial"/>
          <w:sz w:val="18"/>
          <w:szCs w:val="18"/>
          <w:color w:val="auto"/>
        </w:rPr>
      </w:pPr>
    </w:p>
    <w:p>
      <w:pPr>
        <w:ind w:left="520" w:right="640" w:hanging="255"/>
        <w:spacing w:after="0" w:line="27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jc w:val="both"/>
        <w:ind w:right="240" w:firstLine="259"/>
        <w:spacing w:after="0" w:line="342" w:lineRule="auto"/>
        <w:rPr>
          <w:sz w:val="20"/>
          <w:szCs w:val="20"/>
          <w:color w:val="auto"/>
        </w:rPr>
      </w:pPr>
      <w:r>
        <w:rPr>
          <w:rFonts w:ascii="Arial" w:cs="Arial" w:eastAsia="Arial" w:hAnsi="Arial"/>
          <w:sz w:val="16"/>
          <w:szCs w:val="16"/>
          <w:color w:val="auto"/>
        </w:rPr>
        <w:t>On May 30, 2014, the Company entered into agreements with various financial institutions pursuant to which each of the institutions agreed to provide commitments through the accordion feature of the Revolving Credit Facility, increasing the aggregate commitments from $581.3 million to $781.3 million.</w:t>
      </w:r>
    </w:p>
    <w:p>
      <w:pPr>
        <w:spacing w:after="0" w:line="124"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On June 27, 2014, the Company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October 17, 2014, the Company entered into a third amendment to the Revolving Credit Facility:</w:t>
      </w:r>
    </w:p>
    <w:p>
      <w:pPr>
        <w:spacing w:after="0" w:line="117" w:lineRule="exact"/>
        <w:rPr>
          <w:sz w:val="20"/>
          <w:szCs w:val="20"/>
          <w:color w:val="auto"/>
        </w:rPr>
      </w:pPr>
    </w:p>
    <w:p>
      <w:pPr>
        <w:ind w:left="520" w:right="140" w:hanging="255"/>
        <w:spacing w:after="0" w:line="308"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38" w:lineRule="exact"/>
        <w:rPr>
          <w:rFonts w:ascii="Arial" w:cs="Arial" w:eastAsia="Arial" w:hAnsi="Arial"/>
          <w:sz w:val="17"/>
          <w:szCs w:val="17"/>
          <w:color w:val="auto"/>
        </w:rPr>
      </w:pPr>
    </w:p>
    <w:p>
      <w:pPr>
        <w:ind w:left="520" w:hanging="255"/>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jc w:val="both"/>
        <w:ind w:firstLine="259"/>
        <w:spacing w:after="0" w:line="312" w:lineRule="auto"/>
        <w:rPr>
          <w:sz w:val="20"/>
          <w:szCs w:val="20"/>
          <w:color w:val="auto"/>
        </w:rPr>
      </w:pPr>
      <w:r>
        <w:rPr>
          <w:rFonts w:ascii="Arial" w:cs="Arial" w:eastAsia="Arial" w:hAnsi="Arial"/>
          <w:sz w:val="16"/>
          <w:szCs w:val="16"/>
          <w:color w:val="auto"/>
        </w:rPr>
        <w:t>On October 23, 2014, the Company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October 2, 2015, the Company entered into a fourth amendment to the Revolving Credit Facility:</w:t>
      </w:r>
    </w:p>
    <w:p>
      <w:pPr>
        <w:spacing w:after="0" w:line="117" w:lineRule="exact"/>
        <w:rPr>
          <w:sz w:val="20"/>
          <w:szCs w:val="20"/>
          <w:color w:val="auto"/>
        </w:rPr>
      </w:pPr>
    </w:p>
    <w:p>
      <w:pPr>
        <w:ind w:left="520" w:right="120" w:hanging="255"/>
        <w:spacing w:after="0" w:line="264"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decreasing the applicable margin with respect to (i) any loan bearing interest at a rate determined by reference to the Alternate Base Rate from 1.00% to 0.75% and (ii) any loan bearing interest at a rate determined by reference to the Adjusted LIBO Rate from 2.00% to 1.75%, in each case, if the Borrowing Base is equal to or greater than 1.85 times the Combined Debt Amount;</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 the aggregate commitments from $781.3 million to $821.3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extending the revolving period from October 17, 2018 to October 2, 2019;</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extending the stated maturity date from October 17, 2019 to October 2, 2020; and</w:t>
      </w:r>
    </w:p>
    <w:p>
      <w:pPr>
        <w:spacing w:after="0" w:line="117" w:lineRule="exact"/>
        <w:rPr>
          <w:rFonts w:ascii="Arial" w:cs="Arial" w:eastAsia="Arial" w:hAnsi="Arial"/>
          <w:sz w:val="18"/>
          <w:szCs w:val="18"/>
          <w:color w:val="auto"/>
        </w:rPr>
      </w:pPr>
    </w:p>
    <w:p>
      <w:pPr>
        <w:ind w:left="520" w:right="80" w:hanging="255"/>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 the accordion feature, which allows the Company, under certain circumstances, to increase the size of the Revolving Credit Facility, from a maximum of $956.3 million to a maximum of $1.25 billion.</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December 10, 2015, TPG SL SPV, LLC became a guarantor under the Revolving Credit Facility.</w:t>
      </w:r>
    </w:p>
    <w:p>
      <w:pPr>
        <w:spacing w:after="0" w:line="225" w:lineRule="exact"/>
        <w:rPr>
          <w:sz w:val="20"/>
          <w:szCs w:val="20"/>
          <w:color w:val="auto"/>
        </w:rPr>
      </w:pPr>
    </w:p>
    <w:p>
      <w:pPr>
        <w:jc w:val="both"/>
        <w:ind w:right="520" w:firstLine="259"/>
        <w:spacing w:after="0" w:line="264" w:lineRule="auto"/>
        <w:rPr>
          <w:sz w:val="20"/>
          <w:szCs w:val="20"/>
          <w:color w:val="auto"/>
        </w:rPr>
      </w:pPr>
      <w:r>
        <w:rPr>
          <w:rFonts w:ascii="Arial" w:cs="Arial" w:eastAsia="Arial" w:hAnsi="Arial"/>
          <w:sz w:val="18"/>
          <w:szCs w:val="18"/>
          <w:color w:val="auto"/>
        </w:rPr>
        <w:t>The Company may borrow amounts in U.S. dollars or certain other permitted currencies. As of March 31, 2016, the Company had outstanding debt denominated in Swedish Krona (SEK) of 192.6 million, Euro (EUR) of 41.9 million and Pound Sterling (GBP) of 21.0 million on its Revolving Credit Facility, included in the Outstanding Principal amount in the table above.</w:t>
      </w:r>
    </w:p>
    <w:p>
      <w:pPr>
        <w:spacing w:after="0" w:line="181" w:lineRule="exact"/>
        <w:rPr>
          <w:sz w:val="20"/>
          <w:szCs w:val="20"/>
          <w:color w:val="auto"/>
        </w:rPr>
      </w:pPr>
    </w:p>
    <w:p>
      <w:pPr>
        <w:jc w:val="both"/>
        <w:ind w:right="120" w:firstLine="259"/>
        <w:spacing w:after="0" w:line="279"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1" w:lineRule="exact"/>
        <w:rPr>
          <w:sz w:val="20"/>
          <w:szCs w:val="20"/>
          <w:color w:val="auto"/>
        </w:rPr>
      </w:pPr>
    </w:p>
    <w:p>
      <w:pPr>
        <w:ind w:right="200" w:firstLine="259"/>
        <w:spacing w:after="0" w:line="259" w:lineRule="auto"/>
        <w:rPr>
          <w:sz w:val="20"/>
          <w:szCs w:val="20"/>
          <w:color w:val="auto"/>
        </w:rPr>
      </w:pPr>
      <w:r>
        <w:rPr>
          <w:rFonts w:ascii="Arial" w:cs="Arial" w:eastAsia="Arial" w:hAnsi="Arial"/>
          <w:sz w:val="18"/>
          <w:szCs w:val="18"/>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87"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62" w:lineRule="exact"/>
        <w:rPr>
          <w:sz w:val="20"/>
          <w:szCs w:val="20"/>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17" w:lineRule="exact"/>
        <w:rPr>
          <w:rFonts w:ascii="Arial" w:cs="Arial" w:eastAsia="Arial" w:hAnsi="Arial"/>
          <w:sz w:val="18"/>
          <w:szCs w:val="18"/>
          <w:color w:val="auto"/>
        </w:rPr>
      </w:pPr>
    </w:p>
    <w:p>
      <w:pPr>
        <w:ind w:left="520" w:right="140" w:hanging="255"/>
        <w:spacing w:after="0" w:line="342" w:lineRule="auto"/>
        <w:tabs>
          <w:tab w:leader="none" w:pos="5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October 2, 2015.</w:t>
      </w:r>
    </w:p>
    <w:p>
      <w:pPr>
        <w:spacing w:after="0" w:line="225"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Net proceeds received from the Company’s IPO, the exercise of the underwriters’ over-allotment option from the IPO, and net proceeds received from the issuance of the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right="20" w:firstLine="259"/>
        <w:spacing w:after="0" w:line="271" w:lineRule="auto"/>
        <w:rPr>
          <w:sz w:val="20"/>
          <w:szCs w:val="20"/>
          <w:color w:val="auto"/>
        </w:rPr>
      </w:pPr>
      <w:r>
        <w:rPr>
          <w:rFonts w:ascii="Arial" w:cs="Arial" w:eastAsia="Arial" w:hAnsi="Arial"/>
          <w:sz w:val="17"/>
          <w:szCs w:val="17"/>
          <w:color w:val="auto"/>
        </w:rPr>
        <w:t>On May 8, 2012, the “Closing Date,” the Company’s wholly owned subsidiary TPG SL SPV, LLC, a Delaware limited liability company, referred to as TPG SL SPV,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SPV Asset Facility were permitted to be used to finance the acquisition of eligible assets by TPG SL SPV, including the purchase of such assets from the Company. The Company retains a residual interest in assets contributed to or acquired by TPG SL SPV through its ownership of TPG SL SPV. The facility size was subject to availability under the borrowing base, which was based on the amount of TPG SL SPV’s assets from time to time, and satisfaction of certain conditions, including an asset coverage test, an asset quality test and certain concentration limits.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1" w:name="page32"/>
    <w:bookmarkEnd w:id="31"/>
    <w:p>
      <w:pPr>
        <w:ind w:right="80" w:firstLine="259"/>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The reinvestment period was subsequently reopened for the period from January 21, 2014 to January 21, 2015, thereby extending the Commitment Termination Date to January 21, 2015. Proceeds received by TPG SL SPV from interest, dividends or fees on assets were required to be used to pay expenses and interest on outstanding borrowings, and the excess could be returned to the Company,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were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67"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After giving effect to amendments to the credit and security agreement in January 2014 and March 2015, the facility (as amended, the “SPV Asset Facility”) had commitments of $175 million and the pricing ranged from cost of funds plus 225 basis points to LIBOR plus 235 basis points and the facility was scheduled to mature on January 21, 2021.</w:t>
      </w:r>
    </w:p>
    <w:p>
      <w:pPr>
        <w:spacing w:after="0" w:line="181" w:lineRule="exact"/>
        <w:rPr>
          <w:sz w:val="20"/>
          <w:szCs w:val="20"/>
          <w:color w:val="auto"/>
        </w:rPr>
      </w:pPr>
    </w:p>
    <w:p>
      <w:pPr>
        <w:ind w:right="340" w:firstLine="259"/>
        <w:spacing w:after="0" w:line="257" w:lineRule="auto"/>
        <w:rPr>
          <w:sz w:val="20"/>
          <w:szCs w:val="20"/>
          <w:color w:val="auto"/>
        </w:rPr>
      </w:pPr>
      <w:r>
        <w:rPr>
          <w:rFonts w:ascii="Arial" w:cs="Arial" w:eastAsia="Arial" w:hAnsi="Arial"/>
          <w:sz w:val="18"/>
          <w:szCs w:val="18"/>
          <w:color w:val="auto"/>
        </w:rPr>
        <w:t>The undrawn portion of the commitment bore an unutilized commitment fee of 0.75%. This fee ceased to accrue on January 21, 2015 when the reinvestment period ended. The SPV Asset Facility contained customary covenants, including covenants relating to separateness from the Adviser and its affiliates and long-term credit ratings with respect to the underlying collateral obligations, and events of default. The SPV Asset Facility was secured by a perfected first priority security interest in the assets of TPG SL SPV and on any payments received by TPG SL SPV in respect of such assets, which accordingly were not available to pay the Company’s other debt obligations.</w:t>
      </w:r>
    </w:p>
    <w:p>
      <w:pPr>
        <w:spacing w:after="0" w:line="188" w:lineRule="exact"/>
        <w:rPr>
          <w:sz w:val="20"/>
          <w:szCs w:val="20"/>
          <w:color w:val="auto"/>
        </w:rPr>
      </w:pPr>
    </w:p>
    <w:p>
      <w:pPr>
        <w:ind w:firstLine="259"/>
        <w:spacing w:after="0" w:line="308" w:lineRule="auto"/>
        <w:rPr>
          <w:sz w:val="20"/>
          <w:szCs w:val="20"/>
          <w:color w:val="auto"/>
        </w:rPr>
      </w:pPr>
      <w:r>
        <w:rPr>
          <w:rFonts w:ascii="Arial" w:cs="Arial" w:eastAsia="Arial" w:hAnsi="Arial"/>
          <w:sz w:val="17"/>
          <w:szCs w:val="17"/>
          <w:color w:val="auto"/>
        </w:rPr>
        <w:t>On September 25, 2015, TPG SL SPV prepaid all loans outstanding under the facility and the facility was terminated. Upon termination of the facility, the security interests in the assets of TPG SL SPV and on payments received by TPG SL SPV in respect of such assets were released.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17" w:lineRule="exact"/>
        <w:rPr>
          <w:sz w:val="20"/>
          <w:szCs w:val="20"/>
          <w:color w:val="auto"/>
        </w:rPr>
      </w:pPr>
    </w:p>
    <w:p>
      <w:pPr>
        <w:ind w:firstLine="259"/>
        <w:spacing w:after="0" w:line="287" w:lineRule="auto"/>
        <w:rPr>
          <w:sz w:val="20"/>
          <w:szCs w:val="20"/>
          <w:color w:val="auto"/>
        </w:rPr>
      </w:pPr>
      <w:r>
        <w:rPr>
          <w:rFonts w:ascii="Arial" w:cs="Arial" w:eastAsia="Arial" w:hAnsi="Arial"/>
          <w:sz w:val="16"/>
          <w:szCs w:val="16"/>
          <w:color w:val="auto"/>
        </w:rPr>
        <w:t>On June 10, 2014, the Company issued in a private offering $115 million aggregate principal amount convertible senior notes due December 2019 (the “Convertible Senior Notes”). The Convertible Senior Notes were issued in a private placement only to qualified institutional buyers pursuant to Rule 144A under the Securities Act. The Convertible Senior Notes are unsecured, and bear interest at a rate of 4.50% per year, payable semiannually. The Convertible Senior Notes will mature on December 15, 2019. In certain circumstances, the Convertible Senior Notes will be convertible into cash, shares of the Company’s common stock or a combination of cash and shares of the Company’s common stock, at the Company’s election, at an initial conversion rate of 38.7162 shares of common stock per $1,000 principal amount of Convertible Senior Notes, which is equivalent to an initial conversion price of approximately $25.83 per share of the Company’s common stock, subject to customary anti-dilution adjustments. The sale of the Convertible Senior Notes generated net proceeds of approximately $110.8 million. The Company used the net proceeds of the offering to pay down debt under the Revolving Credit Facility. In connection with the offering of Convertible Senior Notes, the Company has entered into interest rate swaps to continue to align the interest rates of its liabilities with its investment portfolio, which consists of predominately floating rate loans. As a result of the swaps, the Company’s effective interest rate on the Convertible Senior Notes is three-month LIBOR plus 286 basis points. See Note 5 for further information related to the Company’s interest rate swaps.</w:t>
      </w:r>
    </w:p>
    <w:p>
      <w:pPr>
        <w:spacing w:after="0" w:line="173" w:lineRule="exact"/>
        <w:rPr>
          <w:sz w:val="20"/>
          <w:szCs w:val="20"/>
          <w:color w:val="auto"/>
        </w:rPr>
      </w:pPr>
    </w:p>
    <w:p>
      <w:pPr>
        <w:ind w:firstLine="259"/>
        <w:spacing w:after="0" w:line="289" w:lineRule="auto"/>
        <w:rPr>
          <w:sz w:val="20"/>
          <w:szCs w:val="20"/>
          <w:color w:val="auto"/>
        </w:rPr>
      </w:pPr>
      <w:r>
        <w:rPr>
          <w:rFonts w:ascii="Arial" w:cs="Arial" w:eastAsia="Arial" w:hAnsi="Arial"/>
          <w:sz w:val="16"/>
          <w:szCs w:val="16"/>
          <w:color w:val="auto"/>
        </w:rPr>
        <w:t>Holders may convert their Convertible Senior Notes at their option at any time prior to June 15, 2019 only under the following circumstances: (1) during any calendar quarter commencing after the calendar quarter ending on September 20,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67" w:lineRule="exact"/>
        <w:rPr>
          <w:sz w:val="20"/>
          <w:szCs w:val="20"/>
          <w:color w:val="auto"/>
        </w:rPr>
      </w:pPr>
    </w:p>
    <w:p>
      <w:pPr>
        <w:ind w:right="120" w:firstLine="259"/>
        <w:spacing w:after="0" w:line="257" w:lineRule="auto"/>
        <w:rPr>
          <w:sz w:val="20"/>
          <w:szCs w:val="20"/>
          <w:color w:val="auto"/>
        </w:rPr>
      </w:pPr>
      <w:r>
        <w:rPr>
          <w:rFonts w:ascii="Arial" w:cs="Arial" w:eastAsia="Arial" w:hAnsi="Arial"/>
          <w:sz w:val="18"/>
          <w:szCs w:val="18"/>
          <w:color w:val="auto"/>
        </w:rPr>
        <w:t>The notes are senior unsecured obligations and rank senior in right of payment to the Company’s future indebtedness that is expressly subordinated in right of payment to the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ind w:left="260"/>
        <w:spacing w:after="0"/>
        <w:rPr>
          <w:sz w:val="20"/>
          <w:szCs w:val="20"/>
          <w:color w:val="auto"/>
        </w:rPr>
      </w:pPr>
      <w:r>
        <w:rPr>
          <w:rFonts w:ascii="Arial" w:cs="Arial" w:eastAsia="Arial" w:hAnsi="Arial"/>
          <w:sz w:val="17"/>
          <w:szCs w:val="17"/>
          <w:color w:val="auto"/>
        </w:rPr>
        <w:t>For the three months ended March 31, 2016 and 2015, the components of interest expense related to the Convertible Senior Notes were as follows:</w:t>
      </w:r>
    </w:p>
    <w:p>
      <w:pPr>
        <w:spacing w:after="0" w:line="309"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4"/>
          </w:tcPr>
          <w:p>
            <w:pPr>
              <w:jc w:val="right"/>
              <w:ind w:right="2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5440" w:type="dxa"/>
            <w:vAlign w:val="bottom"/>
          </w:tcPr>
          <w:p>
            <w:pPr>
              <w:spacing w:after="0"/>
              <w:rPr>
                <w:sz w:val="14"/>
                <w:szCs w:val="14"/>
                <w:color w:val="auto"/>
              </w:rPr>
            </w:pPr>
          </w:p>
        </w:tc>
        <w:tc>
          <w:tcPr>
            <w:tcW w:w="1340" w:type="dxa"/>
            <w:vAlign w:val="bottom"/>
            <w:gridSpan w:val="3"/>
          </w:tcPr>
          <w:p>
            <w:pPr>
              <w:ind w:left="100"/>
              <w:spacing w:after="0"/>
              <w:rPr>
                <w:sz w:val="20"/>
                <w:szCs w:val="20"/>
                <w:color w:val="auto"/>
              </w:rPr>
            </w:pPr>
            <w:r>
              <w:rPr>
                <w:rFonts w:ascii="Arial" w:cs="Arial" w:eastAsia="Arial" w:hAnsi="Arial"/>
                <w:sz w:val="14"/>
                <w:szCs w:val="14"/>
                <w:b w:val="1"/>
                <w:bCs w:val="1"/>
                <w:color w:val="auto"/>
              </w:rPr>
              <w:t>March 31, 2016</w:t>
            </w:r>
          </w:p>
        </w:tc>
        <w:tc>
          <w:tcPr>
            <w:tcW w:w="2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2015</w:t>
            </w: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40" w:type="dxa"/>
            <w:vAlign w:val="bottom"/>
            <w:tcBorders>
              <w:top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6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issuance cost</w:t>
            </w: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FF0FC"/>
          </w:tcPr>
          <w:p>
            <w:pPr>
              <w:spacing w:after="0"/>
              <w:rPr>
                <w:sz w:val="19"/>
                <w:szCs w:val="19"/>
                <w:color w:val="auto"/>
              </w:rPr>
            </w:pPr>
          </w:p>
        </w:tc>
      </w:tr>
      <w:tr>
        <w:trPr>
          <w:trHeight w:val="223"/>
        </w:trPr>
        <w:tc>
          <w:tcPr>
            <w:tcW w:w="544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466"/>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6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259"/>
        <w:spacing w:after="0" w:line="297" w:lineRule="auto"/>
        <w:rPr>
          <w:sz w:val="20"/>
          <w:szCs w:val="20"/>
          <w:color w:val="auto"/>
        </w:rPr>
      </w:pPr>
      <w:r>
        <w:rPr>
          <w:rFonts w:ascii="Arial" w:cs="Arial" w:eastAsia="Arial" w:hAnsi="Arial"/>
          <w:sz w:val="16"/>
          <w:szCs w:val="16"/>
          <w:color w:val="auto"/>
        </w:rPr>
        <w:t>Total interest expense in the table above does not include the effect of the interest rate swaps. During the three months ended March 31, 2016 and 2015, the Company received $1.3 million and $1.3 million, respectively, and paid $1.0 million and $0.9 million, respectively, related to the quarterly settlements of its interest rate swaps. These net amounts are reductions to interest expense in the Company’s consolidated statements of operations. In January 2015, the Company closed out its existing interest rate swaps and simultaneously entered into new interest rate swaps, realizing a cash payment of $2.0 million and increasing pricing to three-month LIBOR plus 286 basis points. Please see Note 5 for further information about the Company’s interest rate swaps.</w:t>
      </w:r>
    </w:p>
    <w:p>
      <w:pPr>
        <w:spacing w:after="0" w:line="158" w:lineRule="exact"/>
        <w:rPr>
          <w:sz w:val="20"/>
          <w:szCs w:val="20"/>
          <w:color w:val="auto"/>
        </w:rPr>
      </w:pPr>
    </w:p>
    <w:p>
      <w:pPr>
        <w:ind w:right="460" w:firstLine="259"/>
        <w:spacing w:after="0" w:line="277" w:lineRule="auto"/>
        <w:rPr>
          <w:sz w:val="20"/>
          <w:szCs w:val="20"/>
          <w:color w:val="auto"/>
        </w:rPr>
      </w:pPr>
      <w:r>
        <w:rPr>
          <w:rFonts w:ascii="Arial" w:cs="Arial" w:eastAsia="Arial" w:hAnsi="Arial"/>
          <w:sz w:val="18"/>
          <w:szCs w:val="18"/>
          <w:color w:val="auto"/>
        </w:rPr>
        <w:t>As of March 31, 2016, the principal amount of the Convertible Senior Notes exceeded the value of the underlying shares multiplied by the per share closing price of the Company’s common stock.</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2016, the components of the carrying value of the Convertible Senior Notes and the stated interest rate were as follows:</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December 2019</w:t>
            </w:r>
          </w:p>
        </w:tc>
      </w:tr>
      <w:tr>
        <w:trPr>
          <w:trHeight w:val="149"/>
        </w:trPr>
        <w:tc>
          <w:tcPr>
            <w:tcW w:w="5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Convertible</w:t>
            </w:r>
          </w:p>
        </w:tc>
      </w:tr>
      <w:tr>
        <w:trPr>
          <w:trHeight w:val="171"/>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Senior Notes</w:t>
            </w: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(2,372)</w:t>
            </w: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(2,863)</w:t>
            </w:r>
          </w:p>
        </w:tc>
      </w:tr>
      <w:tr>
        <w:trPr>
          <w:trHeight w:val="263"/>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Carrying value of debt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109,765</w:t>
            </w:r>
          </w:p>
        </w:tc>
        <w:tc>
          <w:tcPr>
            <w:tcW w:w="180" w:type="dxa"/>
            <w:vAlign w:val="bottom"/>
            <w:tcBorders>
              <w:bottom w:val="single" w:sz="8" w:color="CFF0FC"/>
            </w:tcBorders>
          </w:tcPr>
          <w:p>
            <w:pPr>
              <w:spacing w:after="0"/>
              <w:rPr>
                <w:sz w:val="22"/>
                <w:szCs w:val="22"/>
                <w:color w:val="auto"/>
              </w:rPr>
            </w:pPr>
          </w:p>
        </w:tc>
      </w:tr>
      <w:tr>
        <w:trPr>
          <w:trHeight w:val="21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r>
    </w:tbl>
    <w:p>
      <w:pPr>
        <w:spacing w:after="0" w:line="229"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The Company’s swap-adjusted interest rate is three month LIBOR plus 286 basis points. Please see Note 5 for further information about the Company’s interest rate swaps.</w:t>
      </w:r>
    </w:p>
    <w:p>
      <w:pPr>
        <w:spacing w:after="0" w:line="170" w:lineRule="exact"/>
        <w:rPr>
          <w:sz w:val="20"/>
          <w:szCs w:val="20"/>
          <w:color w:val="auto"/>
        </w:rPr>
      </w:pPr>
    </w:p>
    <w:p>
      <w:pPr>
        <w:ind w:right="20" w:firstLine="259"/>
        <w:spacing w:after="0" w:line="302" w:lineRule="auto"/>
        <w:rPr>
          <w:sz w:val="20"/>
          <w:szCs w:val="20"/>
          <w:color w:val="auto"/>
        </w:rPr>
      </w:pPr>
      <w:r>
        <w:rPr>
          <w:rFonts w:ascii="Arial" w:cs="Arial" w:eastAsia="Arial" w:hAnsi="Arial"/>
          <w:sz w:val="16"/>
          <w:szCs w:val="16"/>
          <w:color w:val="auto"/>
        </w:rPr>
        <w:t>The Convertible Senior Notes Indenture contains certain covenants, including covenants requiring the Company to comply with the requirement under the 1940 Act that the Company’s asset coverage ratio, as defined in the 1940 Act, equal at least 200% and to provide financial information to the holders of the Convertible Senior Notes under certain circumstances. These covenants are subject to important limitations and exceptions that are described in the Convertible Senior Notes Indenture. As of March 31, 2016, the Company was in compliance with the terms of the Convertible Senior Notes Indenture.</w:t>
      </w:r>
    </w:p>
    <w:p>
      <w:pPr>
        <w:spacing w:after="0" w:line="154" w:lineRule="exact"/>
        <w:rPr>
          <w:sz w:val="20"/>
          <w:szCs w:val="20"/>
          <w:color w:val="auto"/>
        </w:rPr>
      </w:pPr>
    </w:p>
    <w:p>
      <w:pPr>
        <w:ind w:firstLine="259"/>
        <w:spacing w:after="0" w:line="289" w:lineRule="auto"/>
        <w:rPr>
          <w:sz w:val="20"/>
          <w:szCs w:val="20"/>
          <w:color w:val="auto"/>
        </w:rPr>
      </w:pPr>
      <w:r>
        <w:rPr>
          <w:rFonts w:ascii="Arial" w:cs="Arial" w:eastAsia="Arial" w:hAnsi="Arial"/>
          <w:sz w:val="16"/>
          <w:szCs w:val="16"/>
          <w:color w:val="auto"/>
        </w:rPr>
        <w:t>The Convertible Senior Notes are accounted for in accordance with Accounting Standards Codification (“ASC”) 470-20. Upon conversion of any of the Convertible Senior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Convertible Senior Notes Indenture. The Company has determined that the embedded conversion options in the Convertible Senior Notes are not required to be separately accounted for as a derivative under U.S. GAAP. In accounting for the Convertible Senior Notes, the Company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2016 and December 31, 2015, the Company was in compliance with the terms of its debt obligations.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From time to time, the Company may enter into commitments to fund investments; such commitments are incorporated into the Company’s assessment of its liquidity position.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2016 and December 31, 2015, the Company had the following commitments to fund investments: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March 31, 2016</w:t>
            </w:r>
          </w:p>
        </w:tc>
        <w:tc>
          <w:tcPr>
            <w:tcW w:w="24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 2015</w:t>
            </w: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AppStar Financial, LLC - Revolver</w:t>
            </w:r>
          </w:p>
        </w:tc>
        <w:tc>
          <w:tcPr>
            <w:tcW w:w="360" w:type="dxa"/>
            <w:vAlign w:val="bottom"/>
            <w:tcBorders>
              <w:top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AvidXchange, Inc. - Delayed Draw Term Loan</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15,385</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15,385</w:t>
            </w:r>
          </w:p>
        </w:tc>
        <w:tc>
          <w:tcPr>
            <w:tcW w:w="6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Clarabridge, Inc. - Revolver</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60" w:type="dxa"/>
            <w:vAlign w:val="bottom"/>
            <w:shd w:val="clear" w:color="auto" w:fill="CFF0FC"/>
          </w:tcPr>
          <w:p>
            <w:pPr>
              <w:spacing w:after="0"/>
              <w:rPr>
                <w:sz w:val="19"/>
                <w:szCs w:val="19"/>
                <w:color w:val="auto"/>
              </w:rPr>
            </w:pPr>
          </w:p>
        </w:tc>
      </w:tr>
      <w:tr>
        <w:trPr>
          <w:trHeight w:val="215"/>
        </w:trPr>
        <w:tc>
          <w:tcPr>
            <w:tcW w:w="5340" w:type="dxa"/>
            <w:vAlign w:val="bottom"/>
          </w:tcPr>
          <w:p>
            <w:pPr>
              <w:spacing w:after="0"/>
              <w:rPr>
                <w:sz w:val="20"/>
                <w:szCs w:val="20"/>
                <w:color w:val="auto"/>
              </w:rPr>
            </w:pPr>
            <w:r>
              <w:rPr>
                <w:rFonts w:ascii="Arial" w:cs="Arial" w:eastAsia="Arial" w:hAnsi="Arial"/>
                <w:sz w:val="18"/>
                <w:szCs w:val="18"/>
                <w:color w:val="auto"/>
              </w:rPr>
              <w:t>CrunchTime Information Systems, Inc. - Delayed Draw</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340" w:type="dxa"/>
            <w:vAlign w:val="bottom"/>
          </w:tcPr>
          <w:p>
            <w:pPr>
              <w:ind w:left="140"/>
              <w:spacing w:after="0"/>
              <w:rPr>
                <w:sz w:val="20"/>
                <w:szCs w:val="20"/>
                <w:color w:val="auto"/>
              </w:rPr>
            </w:pPr>
            <w:r>
              <w:rPr>
                <w:rFonts w:ascii="Arial" w:cs="Arial" w:eastAsia="Arial" w:hAnsi="Arial"/>
                <w:sz w:val="18"/>
                <w:szCs w:val="18"/>
                <w:color w:val="auto"/>
              </w:rPr>
              <w:t>Term Loan</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12,000</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12,000</w:t>
            </w:r>
          </w:p>
        </w:tc>
        <w:tc>
          <w:tcPr>
            <w:tcW w:w="60" w:type="dxa"/>
            <w:vAlign w:val="bottom"/>
          </w:tcPr>
          <w:p>
            <w:pPr>
              <w:spacing w:after="0"/>
              <w:rPr>
                <w:sz w:val="20"/>
                <w:szCs w:val="20"/>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CrunchTime Information Systems, Inc. - Revolver</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6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Ecommerce Industries, Inc. - Delayed Draw Term Loan</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4,800</w:t>
            </w:r>
          </w:p>
        </w:tc>
        <w:tc>
          <w:tcPr>
            <w:tcW w:w="6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Ecommerce Industries, Inc. - Revolver</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w:t>
            </w:r>
          </w:p>
        </w:tc>
        <w:tc>
          <w:tcPr>
            <w:tcW w:w="6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Heartland Automotive Holdings, LLC - Revolver</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4,083</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2,833</w:t>
            </w:r>
          </w:p>
        </w:tc>
        <w:tc>
          <w:tcPr>
            <w:tcW w:w="6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Helix Health Ltd. - Revolver</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2,507</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w:t>
            </w:r>
          </w:p>
        </w:tc>
        <w:tc>
          <w:tcPr>
            <w:tcW w:w="6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Highwinds Capital, Inc. - Revolver</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IRGSE Holding Corp. - Revolver</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6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Leaf US Holdings, Inc. - Revolver</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w:t>
            </w:r>
          </w:p>
        </w:tc>
        <w:tc>
          <w:tcPr>
            <w:tcW w:w="6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My Alarm Center, LLC - Delayed Draw</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1,731</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w:t>
            </w:r>
          </w:p>
        </w:tc>
        <w:tc>
          <w:tcPr>
            <w:tcW w:w="6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Network Merchants, Inc. - Revolver</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780</w:t>
            </w:r>
          </w:p>
        </w:tc>
        <w:tc>
          <w:tcPr>
            <w:tcW w:w="6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PayLease, LLC - Revolver</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ScentAir Technologies, Inc. - Multi Draw Term Loan</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643</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ScentAir Technologies, Inc. - Revolver</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w:t>
            </w:r>
          </w:p>
        </w:tc>
        <w:tc>
          <w:tcPr>
            <w:tcW w:w="60" w:type="dxa"/>
            <w:vAlign w:val="bottom"/>
            <w:shd w:val="clear" w:color="auto" w:fill="CFF0FC"/>
          </w:tcPr>
          <w:p>
            <w:pPr>
              <w:spacing w:after="0"/>
              <w:rPr>
                <w:sz w:val="19"/>
                <w:szCs w:val="19"/>
                <w:color w:val="auto"/>
              </w:rPr>
            </w:pPr>
          </w:p>
        </w:tc>
      </w:tr>
      <w:tr>
        <w:trPr>
          <w:trHeight w:val="230"/>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Sears - ABL Revolver</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12,203</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17,913</w:t>
            </w:r>
          </w:p>
        </w:tc>
        <w:tc>
          <w:tcPr>
            <w:tcW w:w="60" w:type="dxa"/>
            <w:vAlign w:val="bottom"/>
            <w:tcBorders>
              <w:bottom w:val="single" w:sz="8" w:color="CFF0FC"/>
            </w:tcBorders>
          </w:tcPr>
          <w:p>
            <w:pPr>
              <w:spacing w:after="0"/>
              <w:rPr>
                <w:sz w:val="19"/>
                <w:szCs w:val="19"/>
                <w:color w:val="auto"/>
              </w:rPr>
            </w:pPr>
          </w:p>
        </w:tc>
      </w:tr>
      <w:tr>
        <w:trPr>
          <w:trHeight w:val="223"/>
        </w:trPr>
        <w:tc>
          <w:tcPr>
            <w:tcW w:w="53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360" w:type="dxa"/>
            <w:vAlign w:val="bottom"/>
            <w:tcBorders>
              <w:bottom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68,043</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78,646</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March 31, 2016, management is not aware of any pending or threatened litigation.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In March 2016, the Company issued a total of 5,000,000 shares of common stock at $16.42 per share. Net of underwriting fees and offering costs, the Company received total cash proceeds of $78.3 million.</w:t>
      </w:r>
    </w:p>
    <w:p>
      <w:pPr>
        <w:spacing w:after="0" w:line="170" w:lineRule="exact"/>
        <w:rPr>
          <w:sz w:val="20"/>
          <w:szCs w:val="20"/>
          <w:color w:val="auto"/>
        </w:rPr>
      </w:pPr>
    </w:p>
    <w:p>
      <w:pPr>
        <w:ind w:right="80" w:firstLine="259"/>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asked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4" w:name="page35"/>
    <w:bookmarkEnd w:id="34"/>
    <w:p>
      <w:pPr>
        <w:jc w:val="both"/>
        <w:ind w:right="280" w:firstLine="259"/>
        <w:spacing w:after="0" w:line="264"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three months ended March 31, 2016 and 2015. All shares issued to stockholders in the tables below are newly issued shares.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March 31, 2016</w:t>
            </w:r>
          </w:p>
        </w:tc>
        <w:tc>
          <w:tcPr>
            <w:tcW w:w="1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ind w:left="620"/>
              <w:spacing w:after="0" w:line="147" w:lineRule="exact"/>
              <w:rPr>
                <w:sz w:val="20"/>
                <w:szCs w:val="20"/>
                <w:color w:val="auto"/>
              </w:rPr>
            </w:pPr>
            <w:r>
              <w:rPr>
                <w:rFonts w:ascii="Arial" w:cs="Arial" w:eastAsia="Arial" w:hAnsi="Arial"/>
                <w:sz w:val="14"/>
                <w:szCs w:val="14"/>
                <w:b w:val="1"/>
                <w:bCs w:val="1"/>
                <w:color w:val="auto"/>
              </w:rPr>
              <w:t>Date</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Date Declared</w:t>
            </w:r>
          </w:p>
        </w:tc>
        <w:tc>
          <w:tcPr>
            <w:tcW w:w="1620" w:type="dxa"/>
            <w:vAlign w:val="bottom"/>
            <w:gridSpan w:val="2"/>
          </w:tcPr>
          <w:p>
            <w:pPr>
              <w:ind w:left="360"/>
              <w:spacing w:after="0"/>
              <w:rPr>
                <w:sz w:val="20"/>
                <w:szCs w:val="20"/>
                <w:color w:val="auto"/>
              </w:rPr>
            </w:pPr>
            <w:r>
              <w:rPr>
                <w:rFonts w:ascii="Arial" w:cs="Arial" w:eastAsia="Arial" w:hAnsi="Arial"/>
                <w:sz w:val="14"/>
                <w:szCs w:val="14"/>
                <w:b w:val="1"/>
                <w:bCs w:val="1"/>
                <w:color w:val="auto"/>
              </w:rPr>
              <w:t>Record Date</w:t>
            </w:r>
          </w:p>
        </w:tc>
        <w:tc>
          <w:tcPr>
            <w:tcW w:w="16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 Issued</w:t>
            </w:r>
          </w:p>
        </w:tc>
        <w:tc>
          <w:tcPr>
            <w:tcW w:w="152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3, 2015</w:t>
            </w:r>
          </w:p>
        </w:tc>
        <w:tc>
          <w:tcPr>
            <w:tcW w:w="10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89"/>
              </w:rPr>
              <w:t>December 31, 2015</w:t>
            </w:r>
          </w:p>
        </w:tc>
        <w:tc>
          <w:tcPr>
            <w:tcW w:w="8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1, 2016</w:t>
            </w:r>
          </w:p>
        </w:tc>
        <w:tc>
          <w:tcPr>
            <w:tcW w:w="1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147,809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2"/>
            <w:vMerge w:val="continue"/>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March 31, 2015</w:t>
            </w:r>
          </w:p>
        </w:tc>
        <w:tc>
          <w:tcPr>
            <w:tcW w:w="1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ind w:left="620"/>
              <w:spacing w:after="0" w:line="147" w:lineRule="exact"/>
              <w:rPr>
                <w:sz w:val="20"/>
                <w:szCs w:val="20"/>
                <w:color w:val="auto"/>
              </w:rPr>
            </w:pPr>
            <w:r>
              <w:rPr>
                <w:rFonts w:ascii="Arial" w:cs="Arial" w:eastAsia="Arial" w:hAnsi="Arial"/>
                <w:sz w:val="14"/>
                <w:szCs w:val="14"/>
                <w:b w:val="1"/>
                <w:bCs w:val="1"/>
                <w:color w:val="auto"/>
              </w:rPr>
              <w:t>Date</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Date Declared</w:t>
            </w:r>
          </w:p>
        </w:tc>
        <w:tc>
          <w:tcPr>
            <w:tcW w:w="1620" w:type="dxa"/>
            <w:vAlign w:val="bottom"/>
            <w:gridSpan w:val="2"/>
          </w:tcPr>
          <w:p>
            <w:pPr>
              <w:ind w:left="360"/>
              <w:spacing w:after="0"/>
              <w:rPr>
                <w:sz w:val="20"/>
                <w:szCs w:val="20"/>
                <w:color w:val="auto"/>
              </w:rPr>
            </w:pPr>
            <w:r>
              <w:rPr>
                <w:rFonts w:ascii="Arial" w:cs="Arial" w:eastAsia="Arial" w:hAnsi="Arial"/>
                <w:sz w:val="14"/>
                <w:szCs w:val="14"/>
                <w:b w:val="1"/>
                <w:bCs w:val="1"/>
                <w:color w:val="auto"/>
              </w:rPr>
              <w:t>Record Date</w:t>
            </w:r>
          </w:p>
        </w:tc>
        <w:tc>
          <w:tcPr>
            <w:tcW w:w="16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 Issued</w:t>
            </w:r>
          </w:p>
        </w:tc>
        <w:tc>
          <w:tcPr>
            <w:tcW w:w="152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3, 2014</w:t>
            </w:r>
          </w:p>
        </w:tc>
        <w:tc>
          <w:tcPr>
            <w:tcW w:w="10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89"/>
              </w:rPr>
              <w:t>December 31, 2014</w:t>
            </w:r>
          </w:p>
        </w:tc>
        <w:tc>
          <w:tcPr>
            <w:tcW w:w="8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2, 2015</w:t>
            </w:r>
          </w:p>
        </w:tc>
        <w:tc>
          <w:tcPr>
            <w:tcW w:w="1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162,490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firstLine="259"/>
        <w:spacing w:after="0" w:line="259" w:lineRule="auto"/>
        <w:rPr>
          <w:sz w:val="20"/>
          <w:szCs w:val="20"/>
          <w:color w:val="auto"/>
        </w:rPr>
      </w:pPr>
      <w:r>
        <w:rPr>
          <w:rFonts w:ascii="Arial" w:cs="Arial" w:eastAsia="Arial" w:hAnsi="Arial"/>
          <w:sz w:val="18"/>
          <w:szCs w:val="18"/>
          <w:color w:val="auto"/>
        </w:rPr>
        <w:t>Prior to the Company’s IPO, the number of shares issued through the dividend reinvestment plan was determined by dividing the total dollar amount of the dividend payable to such stockholder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87"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color w:val="auto"/>
        </w:rPr>
        <w:t>On November 3, 2014, the Company’s Board approved a stock repurchase plan (the “Company 10b5-1 Plan”) to acquire up to $50 million in the aggregate of the Company’s common stock at prices just below the Company’s net asset value per share, in accordance with the guidelines specified in Rule 10b-18 and Rule 10b5-1 of the Exchange Act.</w:t>
      </w:r>
    </w:p>
    <w:p>
      <w:pPr>
        <w:spacing w:after="0" w:line="181" w:lineRule="exact"/>
        <w:rPr>
          <w:sz w:val="20"/>
          <w:szCs w:val="20"/>
          <w:color w:val="auto"/>
        </w:rPr>
      </w:pPr>
    </w:p>
    <w:p>
      <w:pPr>
        <w:ind w:right="100" w:firstLine="259"/>
        <w:spacing w:after="0" w:line="272" w:lineRule="auto"/>
        <w:rPr>
          <w:sz w:val="20"/>
          <w:szCs w:val="20"/>
          <w:color w:val="auto"/>
        </w:rPr>
      </w:pPr>
      <w:r>
        <w:rPr>
          <w:rFonts w:ascii="Arial" w:cs="Arial" w:eastAsia="Arial" w:hAnsi="Arial"/>
          <w:sz w:val="17"/>
          <w:szCs w:val="17"/>
          <w:color w:val="auto"/>
        </w:rPr>
        <w:t>The Company 10b5-1 Plan is designed to allow the Company to repurchase its common stock at times when it otherwise might be prevented from doing so under insider trading laws. The Company 10b5-1 Plan requires Goldman, Sachs &amp; Co., as agent, to repurchase shares of common stock on the Company’s behalf when the market price per share is below the most recently reported net asset value per share (including any updates, corrections or adjustments publicly announced by the Company to any previously announced net asset value per share). Under the Company 10b5-1 Plan, the agent will increase the volume of purchases made as the price of the Company’s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78" w:lineRule="exact"/>
        <w:rPr>
          <w:sz w:val="20"/>
          <w:szCs w:val="20"/>
          <w:color w:val="auto"/>
        </w:rPr>
      </w:pPr>
    </w:p>
    <w:p>
      <w:pPr>
        <w:ind w:right="30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jc w:val="both"/>
        <w:ind w:right="240" w:firstLine="259"/>
        <w:spacing w:after="0" w:line="264" w:lineRule="auto"/>
        <w:rPr>
          <w:sz w:val="20"/>
          <w:szCs w:val="20"/>
          <w:color w:val="auto"/>
        </w:rPr>
      </w:pPr>
      <w:r>
        <w:rPr>
          <w:rFonts w:ascii="Arial" w:cs="Arial" w:eastAsia="Arial" w:hAnsi="Arial"/>
          <w:sz w:val="18"/>
          <w:szCs w:val="18"/>
          <w:color w:val="auto"/>
        </w:rPr>
        <w:t>On February 24, 2016, the Board authorized the extension of the termination date of the Company 10b5-1 Plan to August 31, 2016. Unless extended or terminated by the Board, the Company 10b5-1 Plan will be in effect through the earlier of August 31, 2016 or such time as the current approved repurchase amount of up to $50 million has been fully utilized, subject to certain conditions.</w:t>
      </w:r>
    </w:p>
    <w:p>
      <w:pPr>
        <w:spacing w:after="0" w:line="181" w:lineRule="exact"/>
        <w:rPr>
          <w:sz w:val="20"/>
          <w:szCs w:val="20"/>
          <w:color w:val="auto"/>
        </w:rPr>
      </w:pPr>
    </w:p>
    <w:p>
      <w:pPr>
        <w:jc w:val="both"/>
        <w:ind w:right="80" w:firstLine="259"/>
        <w:spacing w:after="0" w:line="264" w:lineRule="auto"/>
        <w:rPr>
          <w:sz w:val="20"/>
          <w:szCs w:val="20"/>
          <w:color w:val="auto"/>
        </w:rPr>
      </w:pPr>
      <w:r>
        <w:rPr>
          <w:rFonts w:ascii="Arial" w:cs="Arial" w:eastAsia="Arial" w:hAnsi="Arial"/>
          <w:sz w:val="18"/>
          <w:szCs w:val="18"/>
          <w:color w:val="auto"/>
        </w:rPr>
        <w:t>During the three months ended March 31, 2016, the Company repurchased 86,081 shares under the Company 10b5-1 Plan at a weighted average price per share of $15.44, inclusive of commissions, for a total cost of $1.3 million. No shares were repurchased under the Company 10b5-1 Plan during three months ended March 31, 2015.</w:t>
      </w:r>
    </w:p>
    <w:p>
      <w:pPr>
        <w:spacing w:after="0" w:line="366" w:lineRule="exact"/>
        <w:rPr>
          <w:sz w:val="20"/>
          <w:szCs w:val="20"/>
          <w:color w:val="auto"/>
        </w:rPr>
      </w:pPr>
    </w:p>
    <w:p>
      <w:pPr>
        <w:ind w:left="280" w:hanging="272"/>
        <w:spacing w:after="0"/>
        <w:tabs>
          <w:tab w:leader="none" w:pos="2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4"/>
          </w:tcPr>
          <w:p>
            <w:pPr>
              <w:jc w:val="right"/>
              <w:ind w:right="570"/>
              <w:spacing w:after="0"/>
              <w:rPr>
                <w:sz w:val="20"/>
                <w:szCs w:val="20"/>
                <w:color w:val="auto"/>
              </w:rPr>
            </w:pPr>
            <w:r>
              <w:rPr>
                <w:rFonts w:ascii="Arial" w:cs="Arial" w:eastAsia="Arial" w:hAnsi="Arial"/>
                <w:sz w:val="14"/>
                <w:szCs w:val="14"/>
                <w:b w:val="1"/>
                <w:bCs w:val="1"/>
                <w:color w:val="auto"/>
              </w:rPr>
              <w:t>Three Months Ended</w:t>
            </w:r>
          </w:p>
        </w:tc>
        <w:tc>
          <w:tcPr>
            <w:tcW w:w="174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0" w:type="dxa"/>
            <w:vAlign w:val="bottom"/>
            <w:tcBorders>
              <w:top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March 31, 2016</w:t>
            </w:r>
          </w:p>
        </w:tc>
        <w:tc>
          <w:tcPr>
            <w:tcW w:w="1340" w:type="dxa"/>
            <w:vAlign w:val="bottom"/>
            <w:tcBorders>
              <w:top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March 31, 2015</w:t>
            </w:r>
          </w:p>
        </w:tc>
        <w:tc>
          <w:tcPr>
            <w:tcW w:w="1740" w:type="dxa"/>
            <w:vAlign w:val="bottom"/>
          </w:tcPr>
          <w:p>
            <w:pPr>
              <w:spacing w:after="0"/>
              <w:rPr>
                <w:sz w:val="13"/>
                <w:szCs w:val="13"/>
                <w:color w:val="auto"/>
              </w:rPr>
            </w:pPr>
          </w:p>
        </w:tc>
      </w:tr>
      <w:tr>
        <w:trPr>
          <w:trHeight w:val="223"/>
        </w:trPr>
        <w:tc>
          <w:tcPr>
            <w:tcW w:w="1720" w:type="dxa"/>
            <w:vAlign w:val="bottom"/>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6"/>
              </w:rPr>
              <w:t>Increase in net assets resulting from operations</w:t>
            </w:r>
          </w:p>
        </w:tc>
        <w:tc>
          <w:tcPr>
            <w:tcW w:w="17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17,771</w:t>
            </w:r>
          </w:p>
        </w:tc>
        <w:tc>
          <w:tcPr>
            <w:tcW w:w="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24,468</w:t>
            </w:r>
          </w:p>
        </w:tc>
        <w:tc>
          <w:tcPr>
            <w:tcW w:w="1740" w:type="dxa"/>
            <w:vAlign w:val="bottom"/>
          </w:tcPr>
          <w:p>
            <w:pPr>
              <w:spacing w:after="0"/>
              <w:rPr>
                <w:sz w:val="19"/>
                <w:szCs w:val="19"/>
                <w:color w:val="auto"/>
              </w:rPr>
            </w:pPr>
          </w:p>
        </w:tc>
      </w:tr>
      <w:tr>
        <w:trPr>
          <w:trHeight w:val="215"/>
        </w:trPr>
        <w:tc>
          <w:tcPr>
            <w:tcW w:w="17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Weighted average shares of common stock</w:t>
            </w: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3660" w:type="dxa"/>
            <w:vAlign w:val="bottom"/>
          </w:tcPr>
          <w:p>
            <w:pPr>
              <w:ind w:left="140"/>
              <w:spacing w:after="0"/>
              <w:rPr>
                <w:sz w:val="20"/>
                <w:szCs w:val="20"/>
                <w:color w:val="auto"/>
              </w:rPr>
            </w:pPr>
            <w:r>
              <w:rPr>
                <w:rFonts w:ascii="Arial" w:cs="Arial" w:eastAsia="Arial" w:hAnsi="Arial"/>
                <w:sz w:val="18"/>
                <w:szCs w:val="18"/>
                <w:color w:val="auto"/>
              </w:rPr>
              <w:t>outstanding—basic and diluted</w:t>
            </w: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55,802,270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53,902,074</w:t>
            </w:r>
          </w:p>
        </w:tc>
        <w:tc>
          <w:tcPr>
            <w:tcW w:w="1740" w:type="dxa"/>
            <w:vAlign w:val="bottom"/>
          </w:tcPr>
          <w:p>
            <w:pPr>
              <w:spacing w:after="0"/>
              <w:rPr>
                <w:sz w:val="20"/>
                <w:szCs w:val="20"/>
                <w:color w:val="auto"/>
              </w:rPr>
            </w:pPr>
          </w:p>
        </w:tc>
      </w:tr>
      <w:tr>
        <w:trPr>
          <w:trHeight w:val="230"/>
        </w:trPr>
        <w:tc>
          <w:tcPr>
            <w:tcW w:w="17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w w:val="95"/>
              </w:rPr>
              <w:t>Earnings per common share—basic and diluted</w:t>
            </w:r>
          </w:p>
        </w:tc>
        <w:tc>
          <w:tcPr>
            <w:tcW w:w="198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1740" w:type="dxa"/>
            <w:vAlign w:val="bottom"/>
          </w:tcPr>
          <w:p>
            <w:pPr>
              <w:spacing w:after="0"/>
              <w:rPr>
                <w:sz w:val="19"/>
                <w:szCs w:val="19"/>
                <w:color w:val="auto"/>
              </w:rPr>
            </w:pPr>
          </w:p>
        </w:tc>
      </w:tr>
      <w:tr>
        <w:trPr>
          <w:trHeight w:val="648"/>
        </w:trPr>
        <w:tc>
          <w:tcPr>
            <w:tcW w:w="17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780" w:type="dxa"/>
            <w:vAlign w:val="bottom"/>
          </w:tcPr>
          <w:p>
            <w:pPr>
              <w:jc w:val="right"/>
              <w:ind w:right="127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35" w:name="page36"/>
    <w:bookmarkEnd w:id="35"/>
    <w:p>
      <w:pPr>
        <w:ind w:firstLine="259"/>
        <w:spacing w:after="0" w:line="259" w:lineRule="auto"/>
        <w:rPr>
          <w:sz w:val="20"/>
          <w:szCs w:val="20"/>
          <w:color w:val="auto"/>
        </w:rPr>
      </w:pPr>
      <w:r>
        <w:rPr>
          <w:rFonts w:ascii="Arial" w:cs="Arial" w:eastAsia="Arial" w:hAnsi="Arial"/>
          <w:sz w:val="18"/>
          <w:szCs w:val="18"/>
          <w:color w:val="auto"/>
        </w:rPr>
        <w:t>For the purpose of calculating diluted earnings per common share, the average closing price of the Company’s common stock for the three months ended March 31, 2016 was less than the conversion price for the Convertible Senior Notes outstanding as of March 31, 2016. Therefore, for all periods presented in the financial statements, the underlying shares for the intrinsic value of the embedded options in the Convertible Senior Notes have no impact on the computation of diluted earnings per common share.</w:t>
      </w:r>
    </w:p>
    <w:p>
      <w:pPr>
        <w:spacing w:after="0" w:line="372"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dividends declared during the three months ended March 31, 2016 and 2015:</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4"/>
              </w:rPr>
              <w:t>March 31, 2016</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0" w:type="dxa"/>
            <w:vAlign w:val="bottom"/>
            <w:gridSpan w:val="2"/>
            <w:vMerge w:val="continue"/>
          </w:tcPr>
          <w:p>
            <w:pPr>
              <w:spacing w:after="0"/>
              <w:rPr>
                <w:sz w:val="13"/>
                <w:szCs w:val="13"/>
                <w:color w:val="auto"/>
              </w:rPr>
            </w:pPr>
          </w:p>
        </w:tc>
        <w:tc>
          <w:tcPr>
            <w:tcW w:w="136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Record Date</w:t>
            </w:r>
          </w:p>
        </w:tc>
        <w:tc>
          <w:tcPr>
            <w:tcW w:w="100" w:type="dxa"/>
            <w:vAlign w:val="bottom"/>
          </w:tcPr>
          <w:p>
            <w:pPr>
              <w:spacing w:after="0"/>
              <w:rPr>
                <w:sz w:val="13"/>
                <w:szCs w:val="13"/>
                <w:color w:val="auto"/>
              </w:rPr>
            </w:pPr>
          </w:p>
        </w:tc>
        <w:tc>
          <w:tcPr>
            <w:tcW w:w="138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24, 2016</w:t>
            </w:r>
          </w:p>
        </w:tc>
        <w:tc>
          <w:tcPr>
            <w:tcW w:w="1360" w:type="dxa"/>
            <w:vAlign w:val="bottom"/>
            <w:tcBorders>
              <w:top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w w:val="91"/>
              </w:rPr>
              <w:t>March 31, 2016</w:t>
            </w:r>
          </w:p>
        </w:tc>
        <w:tc>
          <w:tcPr>
            <w:tcW w:w="1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ind w:left="320"/>
              <w:spacing w:after="0"/>
              <w:rPr>
                <w:sz w:val="20"/>
                <w:szCs w:val="20"/>
                <w:color w:val="auto"/>
              </w:rPr>
            </w:pPr>
            <w:r>
              <w:rPr>
                <w:rFonts w:ascii="Arial" w:cs="Arial" w:eastAsia="Arial" w:hAnsi="Arial"/>
                <w:sz w:val="18"/>
                <w:szCs w:val="18"/>
                <w:color w:val="auto"/>
                <w:w w:val="93"/>
              </w:rPr>
              <w:t>April 29, 2016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4"/>
              </w:rPr>
              <w:t>March 31, 2015</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0" w:type="dxa"/>
            <w:vAlign w:val="bottom"/>
            <w:gridSpan w:val="2"/>
            <w:vMerge w:val="continue"/>
          </w:tcPr>
          <w:p>
            <w:pPr>
              <w:spacing w:after="0"/>
              <w:rPr>
                <w:sz w:val="13"/>
                <w:szCs w:val="13"/>
                <w:color w:val="auto"/>
              </w:rPr>
            </w:pPr>
          </w:p>
        </w:tc>
        <w:tc>
          <w:tcPr>
            <w:tcW w:w="136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Record Date</w:t>
            </w:r>
          </w:p>
        </w:tc>
        <w:tc>
          <w:tcPr>
            <w:tcW w:w="100" w:type="dxa"/>
            <w:vAlign w:val="bottom"/>
          </w:tcPr>
          <w:p>
            <w:pPr>
              <w:spacing w:after="0"/>
              <w:rPr>
                <w:sz w:val="13"/>
                <w:szCs w:val="13"/>
                <w:color w:val="auto"/>
              </w:rPr>
            </w:pPr>
          </w:p>
        </w:tc>
        <w:tc>
          <w:tcPr>
            <w:tcW w:w="138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24, 2015</w:t>
            </w:r>
          </w:p>
        </w:tc>
        <w:tc>
          <w:tcPr>
            <w:tcW w:w="1360" w:type="dxa"/>
            <w:vAlign w:val="bottom"/>
            <w:tcBorders>
              <w:top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w w:val="91"/>
              </w:rPr>
              <w:t>March 31, 2015</w:t>
            </w:r>
          </w:p>
        </w:tc>
        <w:tc>
          <w:tcPr>
            <w:tcW w:w="1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ind w:left="320"/>
              <w:spacing w:after="0"/>
              <w:rPr>
                <w:sz w:val="20"/>
                <w:szCs w:val="20"/>
                <w:color w:val="auto"/>
              </w:rPr>
            </w:pPr>
            <w:r>
              <w:rPr>
                <w:rFonts w:ascii="Arial" w:cs="Arial" w:eastAsia="Arial" w:hAnsi="Arial"/>
                <w:sz w:val="18"/>
                <w:szCs w:val="18"/>
                <w:color w:val="auto"/>
                <w:w w:val="93"/>
              </w:rPr>
              <w:t>April 30, 2015</w:t>
            </w:r>
          </w:p>
        </w:tc>
        <w:tc>
          <w:tcPr>
            <w:tcW w:w="120" w:type="dxa"/>
            <w:vAlign w:val="bottom"/>
            <w:tcBorders>
              <w:top w:val="single" w:sz="8" w:color="CFF0FC"/>
            </w:tcBorders>
            <w:gridSpan w:val="2"/>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520" w:type="dxa"/>
            <w:vAlign w:val="bottom"/>
          </w:tcPr>
          <w:p>
            <w:pPr>
              <w:jc w:val="right"/>
              <w:ind w:right="36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dividends declared during the three months ended March 31, 2016 and 2015 were derived from net investment income, determined on a tax basis.</w:t>
      </w:r>
    </w:p>
    <w:p>
      <w:pPr>
        <w:spacing w:after="0" w:line="231" w:lineRule="exact"/>
        <w:rPr>
          <w:sz w:val="20"/>
          <w:szCs w:val="20"/>
          <w:color w:val="auto"/>
        </w:rPr>
      </w:pPr>
    </w:p>
    <w:p>
      <w:pPr>
        <w:ind w:left="280" w:hanging="272"/>
        <w:spacing w:after="0"/>
        <w:tabs>
          <w:tab w:leader="none" w:pos="2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tax character of shareholder distributions attributable to the three months ended March 31, 2016 and 2015 were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4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2016</w:t>
            </w:r>
          </w:p>
        </w:tc>
        <w:tc>
          <w:tcPr>
            <w:tcW w:w="14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2015</w:t>
            </w: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Ordinary Income </w:t>
            </w:r>
            <w:r>
              <w:rPr>
                <w:rFonts w:ascii="Arial" w:cs="Arial" w:eastAsia="Arial" w:hAnsi="Arial"/>
                <w:sz w:val="15"/>
                <w:szCs w:val="15"/>
                <w:color w:val="auto"/>
              </w:rPr>
              <w:t>(1)</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23,098</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21,044</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Capital Gains</w:t>
            </w:r>
          </w:p>
        </w:tc>
        <w:tc>
          <w:tcPr>
            <w:tcW w:w="14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21,044</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260" w:hanging="512"/>
        <w:spacing w:after="0" w:line="277"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the three months ended March 31, 2016 and 2015, 81.8% and 75.9% of ordinary income qualified as interest related dividend which is exempt from U.S. withholding tax applicable to non U.S. shareholders.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reconciles increase in net assets resulting from operations for the three months ended March 31, 2016 and 2015 to taxable income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2016 and 2015:</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March 31, 2016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March 31, 2015</w:t>
            </w: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24,468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 loss on investments</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(1,560)</w:t>
            </w:r>
          </w:p>
        </w:tc>
      </w:tr>
      <w:tr>
        <w:trPr>
          <w:trHeight w:val="230"/>
        </w:trPr>
        <w:tc>
          <w:tcPr>
            <w:tcW w:w="4940" w:type="dxa"/>
            <w:vAlign w:val="bottom"/>
          </w:tcPr>
          <w:p>
            <w:pPr>
              <w:ind w:left="240"/>
              <w:spacing w:after="0"/>
              <w:rPr>
                <w:sz w:val="20"/>
                <w:szCs w:val="20"/>
                <w:color w:val="auto"/>
              </w:rPr>
            </w:pPr>
            <w:r>
              <w:rPr>
                <w:rFonts w:ascii="Arial" w:cs="Arial" w:eastAsia="Arial" w:hAnsi="Arial"/>
                <w:sz w:val="18"/>
                <w:szCs w:val="18"/>
                <w:color w:val="auto"/>
              </w:rPr>
              <w:t>Other income (loss) for tax purposes, not book</w:t>
            </w:r>
          </w:p>
        </w:tc>
        <w:tc>
          <w:tcPr>
            <w:tcW w:w="16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r>
      <w:tr>
        <w:trPr>
          <w:trHeight w:val="230"/>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organization costs</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r>
      <w:tr>
        <w:trPr>
          <w:trHeight w:val="230"/>
        </w:trPr>
        <w:tc>
          <w:tcPr>
            <w:tcW w:w="4940" w:type="dxa"/>
            <w:vAlign w:val="bottom"/>
          </w:tcPr>
          <w:p>
            <w:pPr>
              <w:ind w:left="240"/>
              <w:spacing w:after="0"/>
              <w:rPr>
                <w:sz w:val="20"/>
                <w:szCs w:val="20"/>
                <w:color w:val="auto"/>
              </w:rPr>
            </w:pPr>
            <w:r>
              <w:rPr>
                <w:rFonts w:ascii="Arial" w:cs="Arial" w:eastAsia="Arial" w:hAnsi="Arial"/>
                <w:sz w:val="18"/>
                <w:szCs w:val="18"/>
                <w:color w:val="auto"/>
              </w:rPr>
              <w:t>Other expenses not currently deductible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19"/>
                <w:szCs w:val="19"/>
                <w:color w:val="auto"/>
              </w:rPr>
            </w:pPr>
          </w:p>
        </w:tc>
      </w:tr>
      <w:tr>
        <w:trPr>
          <w:trHeight w:val="230"/>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book-tax differences</w:t>
            </w: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80" w:type="dxa"/>
            <w:vAlign w:val="bottom"/>
            <w:shd w:val="clear" w:color="auto" w:fill="CFF0FC"/>
          </w:tcPr>
          <w:p>
            <w:pPr>
              <w:spacing w:after="0"/>
              <w:rPr>
                <w:sz w:val="19"/>
                <w:szCs w:val="19"/>
                <w:color w:val="auto"/>
              </w:rPr>
            </w:pPr>
          </w:p>
        </w:tc>
      </w:tr>
      <w:tr>
        <w:trPr>
          <w:trHeight w:val="223"/>
        </w:trPr>
        <w:tc>
          <w:tcPr>
            <w:tcW w:w="4940" w:type="dxa"/>
            <w:vAlign w:val="bottom"/>
          </w:tcPr>
          <w:p>
            <w:pPr>
              <w:ind w:left="500"/>
              <w:spacing w:after="0"/>
              <w:rPr>
                <w:sz w:val="20"/>
                <w:szCs w:val="20"/>
                <w:color w:val="auto"/>
              </w:rPr>
            </w:pPr>
            <w:r>
              <w:rPr>
                <w:rFonts w:ascii="Arial" w:cs="Arial" w:eastAsia="Arial" w:hAnsi="Arial"/>
                <w:sz w:val="18"/>
                <w:szCs w:val="18"/>
                <w:b w:val="1"/>
                <w:bCs w:val="1"/>
                <w:color w:val="auto"/>
              </w:rPr>
              <w:t>Taxable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24,190</w:t>
            </w:r>
          </w:p>
        </w:tc>
        <w:tc>
          <w:tcPr>
            <w:tcW w:w="8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Note: Taxable income is an estimate and is not fully determined until the Company’s tax return is filed.</w:t>
      </w:r>
    </w:p>
    <w:p>
      <w:pPr>
        <w:spacing w:after="0" w:line="225" w:lineRule="exact"/>
        <w:rPr>
          <w:sz w:val="20"/>
          <w:szCs w:val="20"/>
          <w:color w:val="auto"/>
        </w:rPr>
      </w:pPr>
    </w:p>
    <w:p>
      <w:pPr>
        <w:jc w:val="both"/>
        <w:ind w:right="160" w:firstLine="259"/>
        <w:spacing w:after="0" w:line="264"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82" w:right="319" w:bottom="1440" w:gutter="0" w:footer="0" w:header="0"/>
        </w:sectPr>
      </w:pPr>
    </w:p>
    <w:bookmarkStart w:id="36" w:name="page37"/>
    <w:bookmarkEnd w:id="36"/>
    <w:p>
      <w:pPr>
        <w:ind w:firstLine="259"/>
        <w:spacing w:after="0" w:line="257"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88" w:lineRule="exact"/>
        <w:rPr>
          <w:sz w:val="20"/>
          <w:szCs w:val="20"/>
          <w:color w:val="auto"/>
        </w:rPr>
      </w:pPr>
    </w:p>
    <w:p>
      <w:pPr>
        <w:ind w:right="460" w:firstLine="259"/>
        <w:spacing w:after="0" w:line="276" w:lineRule="auto"/>
        <w:rPr>
          <w:sz w:val="20"/>
          <w:szCs w:val="20"/>
          <w:color w:val="auto"/>
        </w:rPr>
      </w:pPr>
      <w:r>
        <w:rPr>
          <w:rFonts w:ascii="Arial" w:cs="Arial" w:eastAsia="Arial" w:hAnsi="Arial"/>
          <w:sz w:val="17"/>
          <w:szCs w:val="17"/>
          <w:color w:val="auto"/>
        </w:rPr>
        <w:t>During the three months ended March 31, 2016, permanent differences were principally related to $1.6 million of recharacterization of prepayment penalties for tax purposes between ordinary income and capital gains, $0.4 million attributable to accrued U.S. federal excise taxes, and $0.2 million attributable to foreign currency reclassifications. During the three months ended March 31, 2015, permanent differences were principally related to $1.7 million of recharacterization of prepayment penalties for tax purposes between ordinary income and capital gains, $1.9 million attributable to derivative reclassifications, and $0.3 million attributable to accrued U.S. federal excise taxes.</w:t>
      </w:r>
    </w:p>
    <w:p>
      <w:pPr>
        <w:spacing w:after="0" w:line="173" w:lineRule="exact"/>
        <w:rPr>
          <w:sz w:val="20"/>
          <w:szCs w:val="20"/>
          <w:color w:val="auto"/>
        </w:rPr>
      </w:pPr>
    </w:p>
    <w:p>
      <w:pPr>
        <w:jc w:val="both"/>
        <w:ind w:right="540" w:firstLine="259"/>
        <w:spacing w:after="0" w:line="259" w:lineRule="auto"/>
        <w:rPr>
          <w:sz w:val="20"/>
          <w:szCs w:val="20"/>
          <w:color w:val="auto"/>
        </w:rPr>
      </w:pPr>
      <w:r>
        <w:rPr>
          <w:rFonts w:ascii="Arial" w:cs="Arial" w:eastAsia="Arial" w:hAnsi="Arial"/>
          <w:sz w:val="18"/>
          <w:szCs w:val="18"/>
          <w:color w:val="auto"/>
        </w:rPr>
        <w:t xml:space="preserve">The Company does not have any uncertain tax positions that met the recognition or measurement criteria of ASC 740-10-25, </w:t>
      </w:r>
      <w:r>
        <w:rPr>
          <w:rFonts w:ascii="Arial" w:cs="Arial" w:eastAsia="Arial" w:hAnsi="Arial"/>
          <w:sz w:val="18"/>
          <w:szCs w:val="18"/>
          <w:i w:val="1"/>
          <w:iCs w:val="1"/>
          <w:color w:val="auto"/>
        </w:rPr>
        <w:t>Income Taxes</w:t>
      </w:r>
      <w:r>
        <w:rPr>
          <w:rFonts w:ascii="Arial" w:cs="Arial" w:eastAsia="Arial" w:hAnsi="Arial"/>
          <w:sz w:val="18"/>
          <w:szCs w:val="18"/>
          <w:color w:val="auto"/>
        </w:rPr>
        <w:t>, and the Company does not have any unrecognized tax benefits as of the periods presented herein. Although the Company files federal and state tax returns, the Company’s major tax jurisdiction is federal. The Company’s inception-to-date federal tax year remains subject to examination by the Internal Revenue Service.</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tax cost of the Company’s investments as of March 31, 2016 and December 31, 2015, approximates their amortized cost.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121" w:lineRule="exact"/>
        <w:rPr>
          <w:sz w:val="20"/>
          <w:szCs w:val="20"/>
          <w:color w:val="auto"/>
        </w:rPr>
      </w:pPr>
    </w:p>
    <w:p>
      <w:pPr>
        <w:ind w:right="480" w:firstLine="259"/>
        <w:spacing w:after="0" w:line="308" w:lineRule="auto"/>
        <w:rPr>
          <w:sz w:val="20"/>
          <w:szCs w:val="20"/>
          <w:color w:val="auto"/>
        </w:rPr>
      </w:pPr>
      <w:r>
        <w:rPr>
          <w:rFonts w:ascii="Arial" w:cs="Arial" w:eastAsia="Arial" w:hAnsi="Arial"/>
          <w:sz w:val="17"/>
          <w:szCs w:val="17"/>
          <w:color w:val="auto"/>
        </w:rPr>
        <w:t>The following per share data and ratios have been derived from information provided in the consolidated financial statements. The following are the financial highlights for one share of common stock outstanding during the three months ended March 31, 2016 and 2015.</w:t>
      </w:r>
    </w:p>
    <w:p>
      <w:pPr>
        <w:spacing w:after="0" w:line="152"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March 31, 2016</w:t>
            </w:r>
          </w:p>
        </w:tc>
        <w:tc>
          <w:tcPr>
            <w:tcW w:w="140" w:type="dxa"/>
            <w:vAlign w:val="bottom"/>
          </w:tcPr>
          <w:p>
            <w:pPr>
              <w:spacing w:after="0"/>
              <w:rPr>
                <w:sz w:val="14"/>
                <w:szCs w:val="14"/>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March 31, 2015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5"/>
                <w:szCs w:val="15"/>
                <w:b w:val="1"/>
                <w:bCs w:val="1"/>
                <w:color w:val="auto"/>
              </w:rPr>
              <w:t>(7)</w:t>
            </w: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15.15</w:t>
            </w:r>
          </w:p>
        </w:tc>
        <w:tc>
          <w:tcPr>
            <w:tcW w:w="3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15.53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realized and unrealized gain (loss) </w:t>
            </w:r>
            <w:r>
              <w:rPr>
                <w:rFonts w:ascii="Arial" w:cs="Arial" w:eastAsia="Arial" w:hAnsi="Arial"/>
                <w:sz w:val="15"/>
                <w:szCs w:val="15"/>
                <w:color w:val="auto"/>
              </w:rPr>
              <w:t>(1)</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Total from operations</w:t>
            </w: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net of</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offering costs </w:t>
            </w:r>
            <w:r>
              <w:rPr>
                <w:rFonts w:ascii="Arial" w:cs="Arial" w:eastAsia="Arial" w:hAnsi="Arial"/>
                <w:sz w:val="15"/>
                <w:szCs w:val="15"/>
                <w:color w:val="auto"/>
              </w:rPr>
              <w:t>(2)</w:t>
            </w: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Dividends declared from net investment</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 xml:space="preserve">income </w:t>
            </w:r>
            <w:r>
              <w:rPr>
                <w:rFonts w:ascii="Arial" w:cs="Arial" w:eastAsia="Arial" w:hAnsi="Arial"/>
                <w:sz w:val="15"/>
                <w:szCs w:val="15"/>
                <w:color w:val="auto"/>
              </w:rPr>
              <w:t>(2)</w:t>
            </w:r>
          </w:p>
        </w:tc>
        <w:tc>
          <w:tcPr>
            <w:tcW w:w="16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(0.39)</w:t>
            </w:r>
          </w:p>
        </w:tc>
        <w:tc>
          <w:tcPr>
            <w:tcW w:w="14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increase (decrease) in net assets</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3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CFF0FC"/>
            </w:tcBorders>
          </w:tcPr>
          <w:p>
            <w:pPr>
              <w:ind w:left="220"/>
              <w:spacing w:after="0"/>
              <w:rPr>
                <w:sz w:val="20"/>
                <w:szCs w:val="20"/>
                <w:color w:val="auto"/>
              </w:rPr>
            </w:pPr>
            <w:r>
              <w:rPr>
                <w:rFonts w:ascii="Arial" w:cs="Arial" w:eastAsia="Arial" w:hAnsi="Arial"/>
                <w:sz w:val="18"/>
                <w:szCs w:val="18"/>
                <w:b w:val="1"/>
                <w:bCs w:val="1"/>
                <w:color w:val="auto"/>
              </w:rPr>
              <w:t>Net Asset Value, End of Period</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Per share market value at end of period</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17.21</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15"/>
                <w:szCs w:val="15"/>
                <w:color w:val="auto"/>
              </w:rPr>
              <w:t>(3)</w:t>
            </w:r>
          </w:p>
        </w:tc>
        <w:tc>
          <w:tcPr>
            <w:tcW w:w="16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return based on net asset value </w:t>
            </w:r>
            <w:r>
              <w:rPr>
                <w:rFonts w:ascii="Arial" w:cs="Arial" w:eastAsia="Arial" w:hAnsi="Arial"/>
                <w:sz w:val="15"/>
                <w:szCs w:val="15"/>
                <w:color w:val="auto"/>
              </w:rPr>
              <w:t>(4)</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Shares Outstanding, End of Period</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59,225,688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53,959,848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Ratios / Supplemental Data </w:t>
            </w:r>
            <w:r>
              <w:rPr>
                <w:rFonts w:ascii="Arial" w:cs="Arial" w:eastAsia="Arial" w:hAnsi="Arial"/>
                <w:sz w:val="15"/>
                <w:szCs w:val="15"/>
                <w:b w:val="1"/>
                <w:bCs w:val="1"/>
                <w:color w:val="auto"/>
              </w:rPr>
              <w:t>(5)</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Ratio of net expenses to average</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 xml:space="preserve">net assets </w:t>
            </w:r>
            <w:r>
              <w:rPr>
                <w:rFonts w:ascii="Arial" w:cs="Arial" w:eastAsia="Arial" w:hAnsi="Arial"/>
                <w:sz w:val="15"/>
                <w:szCs w:val="15"/>
                <w:color w:val="auto"/>
              </w:rPr>
              <w:t>(6)</w:t>
            </w:r>
          </w:p>
        </w:tc>
        <w:tc>
          <w:tcPr>
            <w:tcW w:w="16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9.12%</w:t>
            </w:r>
          </w:p>
        </w:tc>
        <w:tc>
          <w:tcPr>
            <w:tcW w:w="14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Ratio of net investment income</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 average net assets</w:t>
            </w:r>
          </w:p>
        </w:tc>
        <w:tc>
          <w:tcPr>
            <w:tcW w:w="1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10.82%</w:t>
            </w:r>
          </w:p>
        </w:tc>
        <w:tc>
          <w:tcPr>
            <w:tcW w:w="1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Portfolio turnover</w:t>
            </w:r>
          </w:p>
        </w:tc>
        <w:tc>
          <w:tcPr>
            <w:tcW w:w="16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16.13%</w:t>
            </w:r>
          </w:p>
        </w:tc>
        <w:tc>
          <w:tcPr>
            <w:tcW w:w="14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Net assets, end of period</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894,671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841,530</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7" w:name="page38"/>
    <w:bookmarkEnd w:id="37"/>
    <w:p>
      <w:pPr>
        <w:jc w:val="both"/>
        <w:ind w:left="520" w:right="220" w:hanging="512"/>
        <w:spacing w:after="0" w:line="256"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 On an annualized basis, the total return based on market value for the three months ended March 31, 2016 and 2015 is 7.40% and 11.77%, respectively.</w:t>
      </w:r>
    </w:p>
    <w:p>
      <w:pPr>
        <w:ind w:left="520" w:right="140" w:hanging="512"/>
        <w:spacing w:after="0" w:line="250"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 On an annualized basis, the total return based on net asset value for the three months ended March 31, 2016 and 2015 is 9.28% and 18.55%, respectively.</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ratios reflect an annualized amount.</w:t>
      </w:r>
    </w:p>
    <w:p>
      <w:pPr>
        <w:spacing w:after="0" w:line="9" w:lineRule="exact"/>
        <w:rPr>
          <w:rFonts w:ascii="Arial" w:cs="Arial" w:eastAsia="Arial" w:hAnsi="Arial"/>
          <w:sz w:val="18"/>
          <w:szCs w:val="18"/>
          <w:color w:val="auto"/>
        </w:rPr>
      </w:pPr>
    </w:p>
    <w:p>
      <w:pPr>
        <w:ind w:left="520" w:right="80" w:hanging="512"/>
        <w:spacing w:after="0" w:line="265"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ratio of net expenses to average net assets in the table above reflects the Adviser’s waivers of its right to receive a portion of the Management Fee and Incentive Fees with respect to our ownership of shares of common stock of TICC Capital Corp. Excluding the effects of waivers, the ratio of net expenses to average net assets would have been 9.17% for the three months ended March 31, 2016. No Management Fees or Incentive Fees were waived for the three months ended March 31, 2015, which was prior to our ownership of TICC Shares.</w:t>
      </w: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Table may not sum due to rounding.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The Company’s management has evaluated subsequent events through the date of issuance of the Consolidated Financial Statements included herein. There have been no subsequent events that occurred during such period that would require disclosure in this Form 10-Q or would be required to be recognized in the Consolidated Financial Statements as of and for the three months ended March 31, 2016.</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 Looking Statements” set forth on page 3 of this Quarterly Report on Form 10-Q.</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that were used to support our asset-backed credit facility, and TSL MR, LLC, a Delaware limited liability company, in which we hold certain investments. Our results reflect our ramp-up of initial investments, which is now complete, as well as the ongoing measured growth of our portfolio of investments.</w:t>
      </w:r>
    </w:p>
    <w:p>
      <w:pPr>
        <w:spacing w:after="0" w:line="188"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62" w:lineRule="exact"/>
        <w:rPr>
          <w:sz w:val="20"/>
          <w:szCs w:val="20"/>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17" w:lineRule="exact"/>
        <w:rPr>
          <w:rFonts w:ascii="Arial" w:cs="Arial" w:eastAsia="Arial" w:hAnsi="Arial"/>
          <w:sz w:val="18"/>
          <w:szCs w:val="18"/>
          <w:color w:val="auto"/>
        </w:rPr>
      </w:pPr>
    </w:p>
    <w:p>
      <w:pPr>
        <w:ind w:left="520" w:right="520" w:hanging="255"/>
        <w:spacing w:after="0" w:line="277"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225" w:lineRule="exact"/>
        <w:rPr>
          <w:sz w:val="20"/>
          <w:szCs w:val="20"/>
          <w:color w:val="auto"/>
        </w:rPr>
      </w:pPr>
    </w:p>
    <w:p>
      <w:pPr>
        <w:ind w:right="180" w:firstLine="259"/>
        <w:spacing w:after="0" w:line="279" w:lineRule="auto"/>
        <w:rPr>
          <w:sz w:val="20"/>
          <w:szCs w:val="20"/>
          <w:color w:val="auto"/>
        </w:rPr>
      </w:pPr>
      <w:r>
        <w:rPr>
          <w:rFonts w:ascii="Arial" w:cs="Arial" w:eastAsia="Arial" w:hAnsi="Arial"/>
          <w:sz w:val="17"/>
          <w:szCs w:val="17"/>
          <w:color w:val="auto"/>
        </w:rPr>
        <w:t>We have in place a stock repurchase plan, the Company 10b5-1 Plan, to acquire up to $50 million in the aggregate of our common stock at prices below our net asset value over a specified period, in accordance with the guidelines specified in Rule 10b-18 and Rule 10b5-1 of the Exchange Act. We put the Company 10b5-1 Plan in place because we believe that if our common stock is trading below our then-current net asset value, it is in the best interest of our stockholders for us to reinvest in our portfolio and increase our leverage ratio through share repurchases.</w:t>
      </w:r>
    </w:p>
    <w:p>
      <w:pPr>
        <w:spacing w:after="0" w:line="171" w:lineRule="exact"/>
        <w:rPr>
          <w:sz w:val="20"/>
          <w:szCs w:val="20"/>
          <w:color w:val="auto"/>
        </w:rPr>
      </w:pPr>
    </w:p>
    <w:p>
      <w:pPr>
        <w:jc w:val="both"/>
        <w:ind w:right="80" w:firstLine="259"/>
        <w:spacing w:after="0" w:line="259"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ind w:right="120"/>
        <w:spacing w:after="0" w:line="312" w:lineRule="auto"/>
        <w:rPr>
          <w:sz w:val="20"/>
          <w:szCs w:val="20"/>
          <w:color w:val="auto"/>
        </w:rPr>
      </w:pPr>
      <w:r>
        <w:rPr>
          <w:rFonts w:ascii="Arial" w:cs="Arial" w:eastAsia="Arial" w:hAnsi="Arial"/>
          <w:sz w:val="16"/>
          <w:szCs w:val="16"/>
          <w:color w:val="auto"/>
        </w:rPr>
        <w:t>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47"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On August 4, 2015, our Board authorized us to enter into a new stock repurchase plan, the Company 10b5-1 Plan, to acquire up to $50 million in the aggregate of our common stock at prices just below our net asset value over a specified period, in accordance with the guidelines specified in Rule 10b-18 and Rule 10b5-1 of the Exchange Act. On February 24, 2016, our Board authorized the extension of the termination date of the Company 10b5-1 plan to August 31, 2016. Unless extended or terminated by the Board, the Company 10b5-1 Plan will be in effect through the earlier of August 31, 2016 or such time as the current approved repurchase amount of up to $50 million has been fully utilized, subject to certain conditions.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100" w:firstLine="259"/>
        <w:spacing w:after="0" w:line="276"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March 31, 2016, we have originated more than $4.4 billion aggregate principal amount of investments and retained approximately $3.1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73" w:lineRule="exact"/>
        <w:rPr>
          <w:sz w:val="20"/>
          <w:szCs w:val="20"/>
          <w:color w:val="auto"/>
        </w:rPr>
      </w:pPr>
    </w:p>
    <w:p>
      <w:pPr>
        <w:ind w:right="100" w:firstLine="259"/>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March 31, 2016, our core portfolio companies, which excludes certain investments that fall outside of our typical borrower profile and represent 86% of our total investments based on fair value, had weighted average annual revenue of $137.5 million and weighted average annual EBITDA of $35.7 million.</w:t>
      </w:r>
    </w:p>
    <w:p>
      <w:pPr>
        <w:spacing w:after="0" w:line="187"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The debt in which we invest typically is not rated by any rating agency, but if these instruments were rated, they would likely receive a rating of below investment grade (that is, below BBB- or Baa3), which is often referred to as “junk”.</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2016, the average investment size in each of our portfolio companies was approximately $32.6 million based on fair value.</w:t>
      </w:r>
    </w:p>
    <w:p>
      <w:pPr>
        <w:spacing w:after="0" w:line="225" w:lineRule="exact"/>
        <w:rPr>
          <w:sz w:val="20"/>
          <w:szCs w:val="20"/>
          <w:color w:val="auto"/>
        </w:rPr>
      </w:pPr>
    </w:p>
    <w:p>
      <w:pPr>
        <w:ind w:right="240" w:firstLine="259"/>
        <w:spacing w:after="0" w:line="308" w:lineRule="auto"/>
        <w:rPr>
          <w:sz w:val="20"/>
          <w:szCs w:val="20"/>
          <w:color w:val="auto"/>
        </w:rPr>
      </w:pPr>
      <w:r>
        <w:rPr>
          <w:rFonts w:ascii="Arial" w:cs="Arial" w:eastAsia="Arial" w:hAnsi="Arial"/>
          <w:sz w:val="17"/>
          <w:szCs w:val="17"/>
          <w:color w:val="auto"/>
        </w:rPr>
        <w:t>The companies in which we invest use our capital to support organic growth, acquisitions, market or product expansion and recapitalizations (including restructurings). As of March 31, 2016, the largest single investment based on fair value represented 4.7% of our total investment portfolio.</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ind w:right="240" w:firstLine="259"/>
        <w:spacing w:after="0" w:line="264"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2016, no industry represented more than 20.1% of our total investment portfolio.</w:t>
      </w:r>
    </w:p>
    <w:p>
      <w:pPr>
        <w:spacing w:after="0" w:line="225"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i w:val="1"/>
          <w:iCs w:val="1"/>
          <w:color w:val="auto"/>
        </w:rPr>
        <w:t xml:space="preserve">Investment Structuring. </w:t>
      </w:r>
      <w:r>
        <w:rPr>
          <w:rFonts w:ascii="Arial" w:cs="Arial" w:eastAsia="Arial" w:hAnsi="Arial"/>
          <w:sz w:val="18"/>
          <w:szCs w:val="18"/>
          <w:color w:val="auto"/>
        </w:rPr>
        <w:t>We focus on investing at the top of the capital structure and protecting that position. As of March 31, 2016, approximately 96.7%</w:t>
      </w:r>
      <w:r>
        <w:rPr>
          <w:rFonts w:ascii="Arial" w:cs="Arial" w:eastAsia="Arial" w:hAnsi="Arial"/>
          <w:sz w:val="18"/>
          <w:szCs w:val="18"/>
          <w:i w:val="1"/>
          <w:iCs w:val="1"/>
          <w:color w:val="auto"/>
        </w:rPr>
        <w:t xml:space="preserve"> </w:t>
      </w:r>
      <w:r>
        <w:rPr>
          <w:rFonts w:ascii="Arial" w:cs="Arial" w:eastAsia="Arial" w:hAnsi="Arial"/>
          <w:sz w:val="18"/>
          <w:szCs w:val="18"/>
          <w:color w:val="auto"/>
        </w:rPr>
        <w:t>of our portfolio was invested in secured debt, including 89.0% in first-lien debt investments. We carefully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ind w:right="120"/>
        <w:spacing w:after="0" w:line="276" w:lineRule="auto"/>
        <w:rPr>
          <w:sz w:val="20"/>
          <w:szCs w:val="20"/>
          <w:color w:val="auto"/>
        </w:rPr>
      </w:pPr>
      <w:r>
        <w:rPr>
          <w:rFonts w:ascii="Arial" w:cs="Arial" w:eastAsia="Arial" w:hAnsi="Arial"/>
          <w:sz w:val="17"/>
          <w:szCs w:val="17"/>
          <w:color w:val="auto"/>
        </w:rPr>
        <w:t>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March 31, 2016, the weighted average term on new investment commitments in new portfolio companies was 5.0 years.</w:t>
      </w:r>
    </w:p>
    <w:p>
      <w:pPr>
        <w:spacing w:after="0" w:line="173"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ind w:right="80" w:firstLine="259"/>
        <w:spacing w:after="0" w:line="276" w:lineRule="auto"/>
        <w:rPr>
          <w:sz w:val="20"/>
          <w:szCs w:val="20"/>
          <w:color w:val="auto"/>
        </w:rPr>
      </w:pPr>
      <w:r>
        <w:rPr>
          <w:rFonts w:ascii="Arial" w:cs="Arial" w:eastAsia="Arial" w:hAnsi="Arial"/>
          <w:sz w:val="17"/>
          <w:szCs w:val="17"/>
          <w:i w:val="1"/>
          <w:iCs w:val="1"/>
          <w:color w:val="auto"/>
        </w:rPr>
        <w:t xml:space="preserve">Risk Mitigation. </w:t>
      </w:r>
      <w:r>
        <w:rPr>
          <w:rFonts w:ascii="Arial" w:cs="Arial" w:eastAsia="Arial" w:hAnsi="Arial"/>
          <w:sz w:val="17"/>
          <w:szCs w:val="17"/>
          <w:color w:val="auto"/>
        </w:rPr>
        <w:t>We seek to mitigate non-credit-related risk on our returns in several ways, including call protection provisions to protect future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As of March 31, 2016, we had call protection on 84.6% of our debt investments based on fair value, with weighted average call prices of 106.3% for the first year, 103.3% for the second year and 101.6% for the third year, in each case from the date of the initial investment. As of March 31, 2016, 96.2% of our debt investments based on fair value bore interest at floating rates (when including investment specific hedges), with 94.2% of these subject to interest rate floors, which we believe helps act as a portfolio-wide hedge against inflation.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TSSP and TPG</w:t>
      </w:r>
    </w:p>
    <w:p>
      <w:pPr>
        <w:spacing w:after="0" w:line="117" w:lineRule="exact"/>
        <w:rPr>
          <w:sz w:val="20"/>
          <w:szCs w:val="20"/>
          <w:color w:val="auto"/>
        </w:rPr>
      </w:pPr>
    </w:p>
    <w:p>
      <w:pPr>
        <w:ind w:right="40" w:firstLine="259"/>
        <w:spacing w:after="0" w:line="273" w:lineRule="auto"/>
        <w:rPr>
          <w:sz w:val="20"/>
          <w:szCs w:val="20"/>
          <w:color w:val="auto"/>
        </w:rPr>
      </w:pPr>
      <w:r>
        <w:rPr>
          <w:rFonts w:ascii="Arial" w:cs="Arial" w:eastAsia="Arial" w:hAnsi="Arial"/>
          <w:sz w:val="17"/>
          <w:szCs w:val="17"/>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TPG Special Situations Partners, or TSSP.</w:t>
      </w:r>
    </w:p>
    <w:p>
      <w:pPr>
        <w:spacing w:after="0" w:line="178" w:lineRule="exact"/>
        <w:rPr>
          <w:sz w:val="20"/>
          <w:szCs w:val="20"/>
          <w:color w:val="auto"/>
        </w:rPr>
      </w:pPr>
    </w:p>
    <w:p>
      <w:pPr>
        <w:ind w:right="200" w:firstLine="259"/>
        <w:spacing w:after="0" w:line="272" w:lineRule="auto"/>
        <w:rPr>
          <w:sz w:val="20"/>
          <w:szCs w:val="20"/>
          <w:color w:val="auto"/>
        </w:rPr>
      </w:pPr>
      <w:r>
        <w:rPr>
          <w:rFonts w:ascii="Arial" w:cs="Arial" w:eastAsia="Arial" w:hAnsi="Arial"/>
          <w:sz w:val="17"/>
          <w:szCs w:val="17"/>
          <w:color w:val="auto"/>
        </w:rPr>
        <w:t>TSSP, with over $16 billion of assets under management as of March 31, 2016, is TPG’s special situations and credit platform and encompasses TPG Specialty Lending, TPG Opportunities Partners and TSSP Adjacent Opportunities Partners, which invest in special situations and distressed investments across the credit cycle, Austin Credit Macro, which is focused on macro credit opportunities, TSL Europe, which is aimed at European middle-market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130 investment and operating professionals. Twenty three (23) of these personnel are dedicated to our business, including 16 investment professionals.</w:t>
      </w:r>
    </w:p>
    <w:p>
      <w:pPr>
        <w:spacing w:after="0" w:line="178" w:lineRule="exact"/>
        <w:rPr>
          <w:sz w:val="20"/>
          <w:szCs w:val="20"/>
          <w:color w:val="auto"/>
        </w:rPr>
      </w:pPr>
    </w:p>
    <w:p>
      <w:pPr>
        <w:ind w:right="80" w:firstLine="259"/>
        <w:spacing w:after="0" w:line="273" w:lineRule="auto"/>
        <w:rPr>
          <w:sz w:val="20"/>
          <w:szCs w:val="20"/>
          <w:color w:val="auto"/>
        </w:rPr>
      </w:pPr>
      <w:r>
        <w:rPr>
          <w:rFonts w:ascii="Arial" w:cs="Arial" w:eastAsia="Arial" w:hAnsi="Arial"/>
          <w:sz w:val="17"/>
          <w:szCs w:val="17"/>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78" w:lineRule="exact"/>
        <w:rPr>
          <w:sz w:val="20"/>
          <w:szCs w:val="20"/>
          <w:color w:val="auto"/>
        </w:rPr>
      </w:pPr>
    </w:p>
    <w:p>
      <w:pPr>
        <w:jc w:val="both"/>
        <w:ind w:right="120" w:firstLine="259"/>
        <w:spacing w:after="0" w:line="259"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7" w:lineRule="exact"/>
        <w:rPr>
          <w:sz w:val="20"/>
          <w:szCs w:val="20"/>
          <w:color w:val="auto"/>
        </w:rPr>
      </w:pPr>
    </w:p>
    <w:p>
      <w:pPr>
        <w:jc w:val="both"/>
        <w:ind w:right="160" w:firstLine="259"/>
        <w:spacing w:after="0" w:line="312"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0" w:name="page41"/>
    <w:bookmarkEnd w:id="40"/>
    <w:p>
      <w:pPr>
        <w:ind w:firstLine="259"/>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240" w:firstLine="259"/>
        <w:spacing w:after="0" w:line="312"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47" w:lineRule="exact"/>
        <w:rPr>
          <w:sz w:val="20"/>
          <w:szCs w:val="20"/>
          <w:color w:val="auto"/>
        </w:rPr>
      </w:pPr>
    </w:p>
    <w:p>
      <w:pPr>
        <w:ind w:right="460" w:firstLine="259"/>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20" w:firstLine="259"/>
        <w:spacing w:after="0" w:line="255"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direct equity investments, capital gains on the sales of loans and debt and equity securities and various loan origination and other fees. Our debt investments typically have a term of two to six years, and, as of March 31, 2016, 96.2% of these investments based on fair value bear interest at a floating rate (when including investment specific hedges), with 94.2% of these subject to interest rate floors. Interest on debt investments is generally payable quarterly or semiannually. Some of our investments provide for deferred interest payments or PIK interest. For the three months ended March 31, 2016, 4.8% of our total investment income was comprised of PIK interest.</w:t>
      </w:r>
    </w:p>
    <w:p>
      <w:pPr>
        <w:spacing w:after="0" w:line="193"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and Convertible Senior Notes, after taking into account the effect of the interest rate swaps we have entered into in connection with the Convertible Senior Notes, all bear interest at floating rates. Macro trends in base interest rates like LIBOR may affect our net investment income over the long term. However, because we generally originate loans to a small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79" w:lineRule="exact"/>
        <w:rPr>
          <w:sz w:val="20"/>
          <w:szCs w:val="20"/>
          <w:color w:val="auto"/>
        </w:rPr>
      </w:pPr>
    </w:p>
    <w:p>
      <w:pPr>
        <w:ind w:right="220" w:firstLine="259"/>
        <w:spacing w:after="0" w:line="297" w:lineRule="auto"/>
        <w:rPr>
          <w:sz w:val="20"/>
          <w:szCs w:val="20"/>
          <w:color w:val="auto"/>
        </w:rPr>
      </w:pPr>
      <w:r>
        <w:rPr>
          <w:rFonts w:ascii="Arial" w:cs="Arial" w:eastAsia="Arial" w:hAnsi="Arial"/>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58"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 draw instruments. Repayments of our debt investments can reduce interest income from period to period. We record prepayment premiums on loans as interest income. We also may generate revenue in the form of commitment, amendment, structuring, syndication or due diligence fees, fees for providing managerial assistance and consulting fees. The frequency or volume of these repayments may fluctuate significantly.</w:t>
      </w:r>
    </w:p>
    <w:p>
      <w:pPr>
        <w:spacing w:after="0" w:line="188" w:lineRule="exact"/>
        <w:rPr>
          <w:sz w:val="20"/>
          <w:szCs w:val="20"/>
          <w:color w:val="auto"/>
        </w:rPr>
      </w:pPr>
    </w:p>
    <w:p>
      <w:pPr>
        <w:ind w:right="500" w:firstLine="259"/>
        <w:spacing w:after="0" w:line="277" w:lineRule="auto"/>
        <w:rPr>
          <w:sz w:val="20"/>
          <w:szCs w:val="20"/>
          <w:color w:val="auto"/>
        </w:rPr>
      </w:pPr>
      <w:r>
        <w:rPr>
          <w:rFonts w:ascii="Arial" w:cs="Arial" w:eastAsia="Arial" w:hAnsi="Arial"/>
          <w:sz w:val="18"/>
          <w:szCs w:val="18"/>
          <w:color w:val="auto"/>
        </w:rPr>
        <w:t>Dividend income 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right="440" w:firstLine="259"/>
        <w:spacing w:after="0" w:line="277"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1" w:name="page42"/>
    <w:bookmarkEnd w:id="41"/>
    <w:p>
      <w:pPr>
        <w:spacing w:after="0" w:line="277" w:lineRule="auto"/>
        <w:rPr>
          <w:sz w:val="20"/>
          <w:szCs w:val="20"/>
          <w:color w:val="auto"/>
        </w:rPr>
      </w:pPr>
      <w:r>
        <w:rPr>
          <w:rFonts w:ascii="Arial" w:cs="Arial" w:eastAsia="Arial" w:hAnsi="Arial"/>
          <w:sz w:val="18"/>
          <w:szCs w:val="18"/>
          <w:color w:val="auto"/>
        </w:rPr>
        <w:t>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right="140" w:firstLine="259"/>
        <w:spacing w:after="0" w:line="264"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73" w:lineRule="exact"/>
        <w:rPr>
          <w:sz w:val="20"/>
          <w:szCs w:val="20"/>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color w:val="auto"/>
        </w:rPr>
      </w:pPr>
    </w:p>
    <w:p>
      <w:pPr>
        <w:ind w:left="520" w:right="460" w:hanging="255"/>
        <w:spacing w:after="0" w:line="264"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Adviser’s allocable share of costs incurred in providing significant managerial assistance to those portfolio companies that request it;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17" w:lineRule="exact"/>
        <w:rPr>
          <w:rFonts w:ascii="Arial" w:cs="Arial" w:eastAsia="Arial" w:hAnsi="Arial"/>
          <w:sz w:val="18"/>
          <w:szCs w:val="18"/>
          <w:color w:val="auto"/>
        </w:rPr>
      </w:pPr>
    </w:p>
    <w:p>
      <w:pPr>
        <w:ind w:left="520" w:hanging="255"/>
        <w:spacing w:after="0" w:line="302" w:lineRule="auto"/>
        <w:tabs>
          <w:tab w:leader="none" w:pos="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spend time on those related activities (based on the percentage of time those individuals devote, on an estimated basis, to our business and affairs);</w:t>
      </w:r>
    </w:p>
    <w:p>
      <w:pPr>
        <w:spacing w:after="0" w:line="46" w:lineRule="exact"/>
        <w:rPr>
          <w:rFonts w:ascii="Arial" w:cs="Arial" w:eastAsia="Arial" w:hAnsi="Arial"/>
          <w:sz w:val="16"/>
          <w:szCs w:val="16"/>
          <w:color w:val="auto"/>
        </w:rPr>
      </w:pPr>
    </w:p>
    <w:p>
      <w:pPr>
        <w:ind w:left="520" w:right="320" w:hanging="255"/>
        <w:spacing w:after="0" w:line="342" w:lineRule="auto"/>
        <w:tabs>
          <w:tab w:leader="none" w:pos="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our total borrowings are limited so that our asset coverage ratio cannot fall below 200%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to financing facilities from time to time.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70"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The limited number of providers of capital to middle-market companies, combined with expected increases in required capital levels for financial institutions, reduces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87"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81" w:lineRule="exact"/>
        <w:rPr>
          <w:sz w:val="20"/>
          <w:szCs w:val="20"/>
          <w:color w:val="auto"/>
        </w:rPr>
      </w:pPr>
    </w:p>
    <w:p>
      <w:pPr>
        <w:ind w:right="220" w:firstLine="259"/>
        <w:spacing w:after="0" w:line="302"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200" w:firstLine="259"/>
        <w:spacing w:after="0" w:line="259" w:lineRule="auto"/>
        <w:rPr>
          <w:sz w:val="20"/>
          <w:szCs w:val="20"/>
          <w:color w:val="auto"/>
        </w:rPr>
      </w:pPr>
      <w:r>
        <w:rPr>
          <w:rFonts w:ascii="Arial" w:cs="Arial" w:eastAsia="Arial" w:hAnsi="Arial"/>
          <w:sz w:val="18"/>
          <w:szCs w:val="18"/>
          <w:color w:val="auto"/>
        </w:rPr>
        <w:t>As of March 31, 2016, our portfolio based on fair value consisted of 89.0% first-lien debt investments, 7.7% second-lien debt investments, 1.9% mezzanine and unsecured debt investments and 1.4% equity and other investments. As of December 31, 2015, our portfolio based on fair value consisted of 88.2% first-lien debt investments, 8.1% second-lien debt investments, 1.9% mezzanine and unsecured debt investments, and 1.8% equity and other investments.</w:t>
      </w:r>
    </w:p>
    <w:p>
      <w:pPr>
        <w:spacing w:after="0" w:line="187" w:lineRule="exact"/>
        <w:rPr>
          <w:sz w:val="20"/>
          <w:szCs w:val="20"/>
          <w:color w:val="auto"/>
        </w:rPr>
      </w:pPr>
    </w:p>
    <w:p>
      <w:pPr>
        <w:ind w:right="380" w:firstLine="259"/>
        <w:spacing w:after="0" w:line="312" w:lineRule="auto"/>
        <w:rPr>
          <w:sz w:val="20"/>
          <w:szCs w:val="20"/>
          <w:color w:val="auto"/>
        </w:rPr>
      </w:pPr>
      <w:r>
        <w:rPr>
          <w:rFonts w:ascii="Arial" w:cs="Arial" w:eastAsia="Arial" w:hAnsi="Arial"/>
          <w:sz w:val="16"/>
          <w:szCs w:val="16"/>
          <w:color w:val="auto"/>
        </w:rPr>
        <w:t>As of March 31, 2016 and December 31, 2015, our weighted average total yield of debt and income producing securities at fair value (which includes interest income and amortization of fees and discounts) was 10.5% and 10.3%, respectively, and our weighted average total yield of debt and income producing securities at amortized cost (which includes interest income and amortization of fees and discounts) was 10.3% and 10.1%, respectively.</w:t>
      </w:r>
    </w:p>
    <w:p>
      <w:pPr>
        <w:spacing w:after="0" w:line="147" w:lineRule="exact"/>
        <w:rPr>
          <w:sz w:val="20"/>
          <w:szCs w:val="20"/>
          <w:color w:val="auto"/>
        </w:rPr>
      </w:pPr>
    </w:p>
    <w:p>
      <w:pPr>
        <w:ind w:right="620" w:firstLine="259"/>
        <w:spacing w:after="0" w:line="277" w:lineRule="auto"/>
        <w:rPr>
          <w:sz w:val="20"/>
          <w:szCs w:val="20"/>
          <w:color w:val="auto"/>
        </w:rPr>
      </w:pPr>
      <w:r>
        <w:rPr>
          <w:rFonts w:ascii="Arial" w:cs="Arial" w:eastAsia="Arial" w:hAnsi="Arial"/>
          <w:sz w:val="18"/>
          <w:szCs w:val="18"/>
          <w:color w:val="auto"/>
        </w:rPr>
        <w:t>As of March 31, 2016 and December 31, 2015, we had investments in 48 and 46 portfolio companies, respectively, with an aggregate fair value of $1,563.7 million and $1,485.7 million, respectively.</w:t>
      </w:r>
    </w:p>
    <w:p>
      <w:pPr>
        <w:spacing w:after="0" w:line="170"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For the three months ended March 31, 2016, we made new investment commitments of $129.6 million, $78.5 million in four new portfolio companies and $51.1 million in four existing portfolio companies. For this period, we had $45.8 million aggregate principal amount in exits and repayments, resulting in a net portfolio increase of $83.8 million aggregate principal amount.</w:t>
      </w:r>
    </w:p>
    <w:p>
      <w:pPr>
        <w:spacing w:after="0" w:line="181"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For the three months ended March 31, 2015, we made new investment commitments of $137.8 million, $101.0 million in three new portfolio companies and $36.8 million in three existing portfolio companies. For this period, we had $60.8 million aggregate principal amount in exits and repayments, resulting in a net portfolio increase of $71.0 million aggregate principal amount.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ind w:right="480" w:firstLine="259"/>
        <w:spacing w:after="0" w:line="277" w:lineRule="auto"/>
        <w:rPr>
          <w:sz w:val="20"/>
          <w:szCs w:val="20"/>
          <w:color w:val="auto"/>
        </w:rPr>
      </w:pPr>
      <w:r>
        <w:rPr>
          <w:rFonts w:ascii="Arial" w:cs="Arial" w:eastAsia="Arial" w:hAnsi="Arial"/>
          <w:sz w:val="18"/>
          <w:szCs w:val="18"/>
          <w:color w:val="auto"/>
        </w:rPr>
        <w:t>Our investment activity for the three months ended March 31, 2016 and 2015 is presented below (information presented herein is at par value unless otherwise indicated).</w:t>
      </w:r>
    </w:p>
    <w:p>
      <w:pPr>
        <w:spacing w:after="0" w:line="243"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5120" w:type="dxa"/>
            <w:vAlign w:val="bottom"/>
            <w:gridSpan w:val="2"/>
            <w:vMerge w:val="restart"/>
          </w:tcPr>
          <w:p>
            <w:pPr>
              <w:ind w:left="1140"/>
              <w:spacing w:after="0"/>
              <w:rPr>
                <w:sz w:val="20"/>
                <w:szCs w:val="20"/>
                <w:color w:val="auto"/>
              </w:rPr>
            </w:pPr>
            <w:r>
              <w:rPr>
                <w:rFonts w:ascii="Arial" w:cs="Arial" w:eastAsia="Arial" w:hAnsi="Arial"/>
                <w:sz w:val="14"/>
                <w:szCs w:val="14"/>
                <w:color w:val="auto"/>
              </w:rPr>
              <w:t>($ in millions)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40" w:type="dxa"/>
            <w:vAlign w:val="bottom"/>
            <w:gridSpan w:val="9"/>
          </w:tcPr>
          <w:p>
            <w:pPr>
              <w:jc w:val="right"/>
              <w:ind w:right="800"/>
              <w:spacing w:after="0"/>
              <w:rPr>
                <w:sz w:val="20"/>
                <w:szCs w:val="20"/>
                <w:color w:val="auto"/>
              </w:rPr>
            </w:pPr>
            <w:r>
              <w:rPr>
                <w:rFonts w:ascii="Arial" w:cs="Arial" w:eastAsia="Arial" w:hAnsi="Arial"/>
                <w:sz w:val="14"/>
                <w:szCs w:val="14"/>
                <w:b w:val="1"/>
                <w:bCs w:val="1"/>
                <w:color w:val="auto"/>
                <w:w w:val="95"/>
              </w:rPr>
              <w:t>Three Months Ended</w:t>
            </w: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1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Borders>
              <w:top w:val="single" w:sz="8" w:color="auto"/>
            </w:tcBorders>
            <w:gridSpan w:val="6"/>
          </w:tcPr>
          <w:p>
            <w:pPr>
              <w:jc w:val="right"/>
              <w:ind w:right="320"/>
              <w:spacing w:after="0" w:line="155" w:lineRule="exact"/>
              <w:rPr>
                <w:sz w:val="20"/>
                <w:szCs w:val="20"/>
                <w:color w:val="auto"/>
              </w:rPr>
            </w:pPr>
            <w:r>
              <w:rPr>
                <w:rFonts w:ascii="Arial" w:cs="Arial" w:eastAsia="Arial" w:hAnsi="Arial"/>
                <w:sz w:val="14"/>
                <w:szCs w:val="14"/>
                <w:b w:val="1"/>
                <w:bCs w:val="1"/>
                <w:color w:val="auto"/>
              </w:rPr>
              <w:t>March 31, 2016</w:t>
            </w: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w w:val="98"/>
              </w:rPr>
              <w:t>March 31, 2015</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Gross originations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gridSpan w:val="3"/>
          </w:tcPr>
          <w:p>
            <w:pPr>
              <w:jc w:val="right"/>
              <w:ind w:right="6"/>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267.8</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Syndications/sell downs</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1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8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gridSpan w:val="2"/>
          </w:tcPr>
          <w:p>
            <w:pPr>
              <w:jc w:val="right"/>
              <w:ind w:right="6"/>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137.8</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gridSpan w:val="3"/>
          </w:tcPr>
          <w:p>
            <w:pPr>
              <w:jc w:val="right"/>
              <w:ind w:right="6"/>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122.0</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Mezzanine and unsecured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80" w:type="dxa"/>
            <w:vAlign w:val="bottom"/>
          </w:tcPr>
          <w:p>
            <w:pPr>
              <w:ind w:left="50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gridSpan w:val="2"/>
          </w:tcPr>
          <w:p>
            <w:pPr>
              <w:jc w:val="right"/>
              <w:ind w:right="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131.8</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7"/>
              </w:rPr>
              <w:t>Principal amount of investments sold or repaid:</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gridSpan w:val="3"/>
          </w:tcPr>
          <w:p>
            <w:pPr>
              <w:jc w:val="right"/>
              <w:ind w:right="6"/>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43.8</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Mezzanine and unsecured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80" w:type="dxa"/>
            <w:vAlign w:val="bottom"/>
            <w:tcBorders>
              <w:top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5120" w:type="dxa"/>
            <w:vAlign w:val="bottom"/>
            <w:gridSpan w:val="2"/>
          </w:tcPr>
          <w:p>
            <w:pPr>
              <w:ind w:left="1140"/>
              <w:spacing w:after="0" w:line="205" w:lineRule="exact"/>
              <w:rPr>
                <w:sz w:val="20"/>
                <w:szCs w:val="20"/>
                <w:color w:val="auto"/>
              </w:rPr>
            </w:pPr>
            <w:r>
              <w:rPr>
                <w:rFonts w:ascii="Arial" w:cs="Arial" w:eastAsia="Arial" w:hAnsi="Arial"/>
                <w:sz w:val="18"/>
                <w:szCs w:val="18"/>
                <w:b w:val="1"/>
                <w:bCs w:val="1"/>
                <w:color w:val="auto"/>
              </w:rPr>
              <w:t>Number of new investment commitments in</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8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5"/>
              </w:rPr>
              <w:t>Average new investment commitment amount in</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gridSpan w:val="3"/>
            <w:shd w:val="clear" w:color="auto" w:fill="CFF0FC"/>
          </w:tcPr>
          <w:p>
            <w:pPr>
              <w:jc w:val="right"/>
              <w:ind w:right="6"/>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80" w:type="dxa"/>
            <w:vAlign w:val="bottom"/>
            <w:shd w:val="clear" w:color="auto" w:fill="CFF0FC"/>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980" w:type="dxa"/>
            <w:vAlign w:val="bottom"/>
          </w:tcPr>
          <w:p>
            <w:pPr>
              <w:ind w:left="140"/>
              <w:spacing w:after="0"/>
              <w:rPr>
                <w:sz w:val="20"/>
                <w:szCs w:val="20"/>
                <w:color w:val="auto"/>
              </w:rPr>
            </w:pPr>
            <w:r>
              <w:rPr>
                <w:rFonts w:ascii="Arial" w:cs="Arial" w:eastAsia="Arial" w:hAnsi="Arial"/>
                <w:sz w:val="18"/>
                <w:szCs w:val="18"/>
                <w:b w:val="1"/>
                <w:bCs w:val="1"/>
                <w:color w:val="auto"/>
              </w:rPr>
              <w:t>commitments in new portfolio companies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80" w:type="dxa"/>
            <w:vAlign w:val="bottom"/>
          </w:tcPr>
          <w:p>
            <w:pPr>
              <w:ind w:left="140"/>
              <w:spacing w:after="0"/>
              <w:rPr>
                <w:sz w:val="20"/>
                <w:szCs w:val="20"/>
                <w:color w:val="auto"/>
              </w:rPr>
            </w:pPr>
            <w:r>
              <w:rPr>
                <w:rFonts w:ascii="Arial" w:cs="Arial" w:eastAsia="Arial" w:hAnsi="Arial"/>
                <w:sz w:val="18"/>
                <w:szCs w:val="18"/>
                <w:b w:val="1"/>
                <w:bCs w:val="1"/>
                <w:color w:val="auto"/>
              </w:rPr>
              <w:t>(in years)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3"/>
              </w:rPr>
              <w:t>Percentage of new debt investment commitments</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floating rates</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98.3%</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92.9%</w:t>
            </w: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w w:val="93"/>
              </w:rPr>
              <w:t>Percentage of new debt investment commitments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80" w:type="dxa"/>
            <w:vAlign w:val="bottom"/>
          </w:tcPr>
          <w:p>
            <w:pPr>
              <w:ind w:left="140"/>
              <w:spacing w:after="0"/>
              <w:rPr>
                <w:sz w:val="20"/>
                <w:szCs w:val="20"/>
                <w:color w:val="auto"/>
              </w:rPr>
            </w:pPr>
            <w:r>
              <w:rPr>
                <w:rFonts w:ascii="Arial" w:cs="Arial" w:eastAsia="Arial" w:hAnsi="Arial"/>
                <w:sz w:val="18"/>
                <w:szCs w:val="18"/>
                <w:b w:val="1"/>
                <w:bCs w:val="1"/>
                <w:color w:val="auto"/>
              </w:rPr>
              <w:t>at fixed rates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7.1%</w:t>
            </w: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9.0%</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10.2%</w:t>
            </w: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80" w:type="dxa"/>
            <w:vAlign w:val="bottom"/>
          </w:tcPr>
          <w:p>
            <w:pPr>
              <w:ind w:left="140"/>
              <w:spacing w:after="0"/>
              <w:rPr>
                <w:sz w:val="20"/>
                <w:szCs w:val="20"/>
                <w:color w:val="auto"/>
              </w:rPr>
            </w:pPr>
            <w:r>
              <w:rPr>
                <w:rFonts w:ascii="Arial" w:cs="Arial" w:eastAsia="Arial" w:hAnsi="Arial"/>
                <w:sz w:val="18"/>
                <w:szCs w:val="18"/>
                <w:b w:val="1"/>
                <w:bCs w:val="1"/>
                <w:color w:val="auto"/>
              </w:rPr>
              <w:t>floating rate investment commitments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9.3%</w:t>
            </w: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9"/>
              </w:rPr>
              <w:t>Weighted average interest rate on investments</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sold or paid down</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8.8%</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8.6%</w:t>
            </w: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6860" w:type="dxa"/>
            <w:vAlign w:val="bottom"/>
            <w:gridSpan w:val="8"/>
          </w:tcPr>
          <w:p>
            <w:pPr>
              <w:jc w:val="right"/>
              <w:ind w:right="226"/>
              <w:spacing w:after="0"/>
              <w:rPr>
                <w:sz w:val="20"/>
                <w:szCs w:val="20"/>
                <w:color w:val="auto"/>
              </w:rPr>
            </w:pPr>
            <w:r>
              <w:rPr>
                <w:rFonts w:ascii="Arial" w:cs="Arial" w:eastAsia="Arial" w:hAnsi="Arial"/>
                <w:sz w:val="18"/>
                <w:szCs w:val="18"/>
                <w:color w:val="auto"/>
                <w:w w:val="91"/>
              </w:rPr>
              <w:t>As of March 31, 2016 and December 31, 2015, our investments consisted of the following:</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440" w:type="dxa"/>
            <w:vAlign w:val="bottom"/>
            <w:gridSpan w:val="3"/>
            <w:vMerge w:val="restart"/>
          </w:tcPr>
          <w:p>
            <w:pPr>
              <w:ind w:left="320"/>
              <w:spacing w:after="0"/>
              <w:rPr>
                <w:sz w:val="20"/>
                <w:szCs w:val="20"/>
                <w:color w:val="auto"/>
              </w:rPr>
            </w:pPr>
            <w:r>
              <w:rPr>
                <w:rFonts w:ascii="Arial" w:cs="Arial" w:eastAsia="Arial" w:hAnsi="Arial"/>
                <w:sz w:val="14"/>
                <w:szCs w:val="14"/>
                <w:color w:val="auto"/>
              </w:rPr>
              <w:t>($ in millions)</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w w:val="96"/>
              </w:rPr>
              <w:t>March 31, 2016</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2015</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44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ind w:right="286"/>
              <w:spacing w:after="0" w:line="155"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3"/>
                <w:szCs w:val="13"/>
                <w:color w:val="auto"/>
              </w:rPr>
            </w:pPr>
          </w:p>
        </w:tc>
        <w:tc>
          <w:tcPr>
            <w:tcW w:w="104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w w:val="96"/>
              </w:rPr>
              <w:t>Amortized Cost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jc w:val="right"/>
              <w:ind w:right="440"/>
              <w:spacing w:after="0" w:line="155" w:lineRule="exact"/>
              <w:rPr>
                <w:sz w:val="20"/>
                <w:szCs w:val="20"/>
                <w:color w:val="auto"/>
              </w:rPr>
            </w:pPr>
            <w:r>
              <w:rPr>
                <w:rFonts w:ascii="Arial" w:cs="Arial" w:eastAsia="Arial" w:hAnsi="Arial"/>
                <w:sz w:val="14"/>
                <w:szCs w:val="14"/>
                <w:b w:val="1"/>
                <w:bCs w:val="1"/>
                <w:color w:val="auto"/>
                <w:w w:val="98"/>
              </w:rPr>
              <w:t>Fair Value</w:t>
            </w:r>
          </w:p>
        </w:tc>
        <w:tc>
          <w:tcPr>
            <w:tcW w:w="10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Amortized Cost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5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1,391.2</w:t>
            </w: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1,414.5</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1,310.2</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1,333.1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Second-lien debt investments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51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Equity and other investments</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51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1,563.7</w:t>
            </w: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1,611.8</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gridSpan w:val="2"/>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1,485.7</w:t>
            </w:r>
          </w:p>
        </w:tc>
        <w:tc>
          <w:tcPr>
            <w:tcW w:w="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1,529.7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tables show the fair value and amortized cost of our performing and non-accrual investments as of March 31, 2016 and December 31, 2015:</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vMerge w:val="restart"/>
          </w:tcPr>
          <w:p>
            <w:pPr>
              <w:spacing w:after="0"/>
              <w:rPr>
                <w:sz w:val="14"/>
                <w:szCs w:val="14"/>
                <w:color w:val="auto"/>
              </w:rPr>
            </w:pPr>
          </w:p>
        </w:tc>
        <w:tc>
          <w:tcPr>
            <w:tcW w:w="27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4"/>
          </w:tcPr>
          <w:p>
            <w:pPr>
              <w:jc w:val="right"/>
              <w:ind w:right="1050"/>
              <w:spacing w:after="0"/>
              <w:rPr>
                <w:sz w:val="20"/>
                <w:szCs w:val="20"/>
                <w:color w:val="auto"/>
              </w:rPr>
            </w:pPr>
            <w:r>
              <w:rPr>
                <w:rFonts w:ascii="Arial" w:cs="Arial" w:eastAsia="Arial" w:hAnsi="Arial"/>
                <w:sz w:val="14"/>
                <w:szCs w:val="14"/>
                <w:b w:val="1"/>
                <w:bCs w:val="1"/>
                <w:color w:val="auto"/>
              </w:rPr>
              <w:t>March 31, 2016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December 31, 2015</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vMerge w:val="continue"/>
          </w:tcPr>
          <w:p>
            <w:pPr>
              <w:spacing w:after="0"/>
              <w:rPr>
                <w:sz w:val="13"/>
                <w:szCs w:val="13"/>
                <w:color w:val="auto"/>
              </w:rPr>
            </w:pPr>
          </w:p>
        </w:tc>
        <w:tc>
          <w:tcPr>
            <w:tcW w:w="2720" w:type="dxa"/>
            <w:vAlign w:val="bottom"/>
            <w:tcBorders>
              <w:bottom w:val="single" w:sz="8" w:color="CFF0FC"/>
            </w:tcBorders>
            <w:vMerge w:val="continue"/>
          </w:tcPr>
          <w:p>
            <w:pPr>
              <w:spacing w:after="0"/>
              <w:rPr>
                <w:sz w:val="13"/>
                <w:szCs w:val="13"/>
                <w:color w:val="auto"/>
              </w:rPr>
            </w:pPr>
          </w:p>
        </w:tc>
        <w:tc>
          <w:tcPr>
            <w:tcW w:w="16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6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1,556.7</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1,485.7</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9"/>
                <w:szCs w:val="19"/>
                <w:color w:val="auto"/>
              </w:rPr>
            </w:pP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72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6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2720" w:type="dxa"/>
            <w:vAlign w:val="bottom"/>
            <w:vMerge w:val="continue"/>
            <w:shd w:val="clear" w:color="auto" w:fill="CFF0FC"/>
          </w:tcPr>
          <w:p>
            <w:pPr>
              <w:spacing w:after="0"/>
              <w:rPr>
                <w:sz w:val="19"/>
                <w:szCs w:val="19"/>
                <w:color w:val="auto"/>
              </w:rPr>
            </w:pPr>
          </w:p>
        </w:tc>
        <w:tc>
          <w:tcPr>
            <w:tcW w:w="16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1,563.7</w:t>
            </w: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1,485.7</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72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236"/>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44" w:name="page45"/>
    <w:bookmarkEnd w:id="44"/>
    <w:tbl>
      <w:tblPr>
        <w:tblLayout w:type="fixed"/>
        <w:tblInd w:w="580" w:type="dxa"/>
        <w:tblCellMar>
          <w:top w:w="0" w:type="dxa"/>
          <w:left w:w="0" w:type="dxa"/>
          <w:bottom w:w="0" w:type="dxa"/>
          <w:right w:w="0" w:type="dxa"/>
        </w:tblCellMar>
      </w:tblPr>
      <w:tr>
        <w:trPr>
          <w:trHeight w:val="171"/>
        </w:trPr>
        <w:tc>
          <w:tcPr>
            <w:tcW w:w="27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4"/>
          </w:tcPr>
          <w:p>
            <w:pPr>
              <w:jc w:val="right"/>
              <w:ind w:right="1050"/>
              <w:spacing w:after="0"/>
              <w:rPr>
                <w:sz w:val="20"/>
                <w:szCs w:val="20"/>
                <w:color w:val="auto"/>
              </w:rPr>
            </w:pPr>
            <w:r>
              <w:rPr>
                <w:rFonts w:ascii="Arial" w:cs="Arial" w:eastAsia="Arial" w:hAnsi="Arial"/>
                <w:sz w:val="14"/>
                <w:szCs w:val="14"/>
                <w:b w:val="1"/>
                <w:bCs w:val="1"/>
                <w:color w:val="auto"/>
              </w:rPr>
              <w:t>March 31, 2016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6"/>
        </w:trPr>
        <w:tc>
          <w:tcPr>
            <w:tcW w:w="2700" w:type="dxa"/>
            <w:vAlign w:val="bottom"/>
            <w:tcBorders>
              <w:bottom w:val="single" w:sz="8" w:color="CFF0FC"/>
            </w:tcBorders>
            <w:vMerge w:val="continue"/>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4"/>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1,600.9</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1,529.7</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9"/>
                <w:szCs w:val="19"/>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0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60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00" w:type="dxa"/>
            <w:vAlign w:val="bottom"/>
            <w:vMerge w:val="continue"/>
            <w:shd w:val="clear" w:color="auto" w:fill="CFF0FC"/>
          </w:tcPr>
          <w:p>
            <w:pPr>
              <w:spacing w:after="0"/>
              <w:rPr>
                <w:sz w:val="19"/>
                <w:szCs w:val="19"/>
                <w:color w:val="auto"/>
              </w:rPr>
            </w:pPr>
          </w:p>
        </w:tc>
        <w:tc>
          <w:tcPr>
            <w:tcW w:w="16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1,611.8</w:t>
            </w:r>
          </w:p>
        </w:tc>
        <w:tc>
          <w:tcPr>
            <w:tcW w:w="2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1,529.7</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70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20" w:hanging="512"/>
        <w:spacing w:after="0" w:line="276"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weighted average yields and interest rates of our debt investments at fair value as of March 31, 2016 and December 31, 2015 were as follows:</w:t>
      </w:r>
    </w:p>
    <w:p>
      <w:pPr>
        <w:spacing w:after="0" w:line="309"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 2016</w:t>
            </w:r>
          </w:p>
        </w:tc>
        <w:tc>
          <w:tcPr>
            <w:tcW w:w="15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December 31, 2015</w:t>
            </w:r>
          </w:p>
        </w:tc>
      </w:tr>
      <w:tr>
        <w:trPr>
          <w:trHeight w:val="209"/>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total yield of debt and income</w:t>
            </w:r>
          </w:p>
        </w:tc>
        <w:tc>
          <w:tcPr>
            <w:tcW w:w="13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producing securities</w:t>
            </w: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10.5%</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10.3%</w:t>
            </w:r>
          </w:p>
        </w:tc>
      </w:tr>
      <w:tr>
        <w:trPr>
          <w:trHeight w:val="215"/>
        </w:trPr>
        <w:tc>
          <w:tcPr>
            <w:tcW w:w="4780" w:type="dxa"/>
            <w:vAlign w:val="bottom"/>
          </w:tcPr>
          <w:p>
            <w:pPr>
              <w:spacing w:after="0"/>
              <w:rPr>
                <w:sz w:val="20"/>
                <w:szCs w:val="20"/>
                <w:color w:val="auto"/>
              </w:rPr>
            </w:pPr>
            <w:r>
              <w:rPr>
                <w:rFonts w:ascii="Arial" w:cs="Arial" w:eastAsia="Arial" w:hAnsi="Arial"/>
                <w:sz w:val="18"/>
                <w:szCs w:val="18"/>
                <w:color w:val="auto"/>
              </w:rPr>
              <w:t>Weighted average interest rate of debt and income</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producing securities</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r>
      <w:tr>
        <w:trPr>
          <w:trHeight w:val="215"/>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spread over LIBOR of all floating</w:t>
            </w: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investments</w:t>
            </w: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8.9%</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w:t>
            </w:r>
          </w:p>
        </w:tc>
      </w:tr>
    </w:tbl>
    <w:p>
      <w:pPr>
        <w:spacing w:after="0" w:line="242"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73" w:lineRule="exact"/>
        <w:rPr>
          <w:sz w:val="20"/>
          <w:szCs w:val="20"/>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color w:val="auto"/>
        </w:rPr>
      </w:pPr>
    </w:p>
    <w:p>
      <w:pPr>
        <w:ind w:left="520" w:right="220" w:hanging="255"/>
        <w:spacing w:after="0" w:line="277"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3" w:lineRule="exact"/>
        <w:rPr>
          <w:sz w:val="20"/>
          <w:szCs w:val="20"/>
          <w:color w:val="auto"/>
        </w:rPr>
      </w:pPr>
    </w:p>
    <w:p>
      <w:pPr>
        <w:ind w:left="520" w:right="20" w:hanging="255"/>
        <w:spacing w:after="0" w:line="264"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73" w:lineRule="exact"/>
        <w:rPr>
          <w:rFonts w:ascii="Arial" w:cs="Arial" w:eastAsia="Arial" w:hAnsi="Arial"/>
          <w:sz w:val="18"/>
          <w:szCs w:val="18"/>
          <w:color w:val="auto"/>
        </w:rPr>
      </w:pPr>
    </w:p>
    <w:p>
      <w:pPr>
        <w:ind w:left="520" w:right="260" w:hanging="255"/>
        <w:spacing w:after="0" w:line="264"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73" w:lineRule="exact"/>
        <w:rPr>
          <w:rFonts w:ascii="Arial" w:cs="Arial" w:eastAsia="Arial" w:hAnsi="Arial"/>
          <w:sz w:val="18"/>
          <w:szCs w:val="18"/>
          <w:color w:val="auto"/>
        </w:rPr>
      </w:pPr>
    </w:p>
    <w:p>
      <w:pPr>
        <w:ind w:left="520" w:hanging="255"/>
        <w:spacing w:after="0" w:line="264"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30" w:right="259" w:bottom="1440" w:gutter="0" w:footer="0" w:header="0"/>
        </w:sectPr>
      </w:pPr>
    </w:p>
    <w:bookmarkStart w:id="45" w:name="page46"/>
    <w:bookmarkEnd w:id="45"/>
    <w:p>
      <w:pPr>
        <w:ind w:left="520" w:right="260" w:hanging="255"/>
        <w:spacing w:after="0" w:line="276"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64" w:lineRule="exact"/>
        <w:rPr>
          <w:rFonts w:ascii="Arial" w:cs="Arial" w:eastAsia="Arial" w:hAnsi="Arial"/>
          <w:sz w:val="17"/>
          <w:szCs w:val="17"/>
          <w:color w:val="auto"/>
        </w:rPr>
      </w:pPr>
    </w:p>
    <w:p>
      <w:pPr>
        <w:ind w:left="520" w:right="160" w:hanging="255"/>
        <w:spacing w:after="0" w:line="259"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7" w:lineRule="exact"/>
        <w:rPr>
          <w:sz w:val="20"/>
          <w:szCs w:val="20"/>
          <w:color w:val="auto"/>
        </w:rPr>
      </w:pPr>
    </w:p>
    <w:p>
      <w:pPr>
        <w:ind w:right="340" w:firstLine="259"/>
        <w:spacing w:after="0" w:line="264"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March 31, 2016 and December 31, 2015. Investment performance ratings are accurate only as of those dates and may change due to subsequent developments relating to a portfolio company’s business or financial condition, market conditions or developments, and other factors.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b w:val="1"/>
                <w:bCs w:val="1"/>
                <w:color w:val="auto"/>
              </w:rPr>
              <w:t>March 31, 2016</w:t>
            </w:r>
          </w:p>
        </w:tc>
        <w:tc>
          <w:tcPr>
            <w:tcW w:w="10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95"/>
              </w:rPr>
              <w:t>December 31, 2015</w:t>
            </w:r>
          </w:p>
        </w:tc>
        <w:tc>
          <w:tcPr>
            <w:tcW w:w="1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20" w:type="dxa"/>
            <w:vAlign w:val="bottom"/>
            <w:gridSpan w:val="3"/>
          </w:tcPr>
          <w:p>
            <w:pPr>
              <w:jc w:val="center"/>
              <w:ind w:right="108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760" w:type="dxa"/>
            <w:vAlign w:val="bottom"/>
            <w:gridSpan w:val="4"/>
          </w:tcPr>
          <w:p>
            <w:pPr>
              <w:jc w:val="center"/>
              <w:ind w:right="82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3"/>
          </w:tcPr>
          <w:p>
            <w:pPr>
              <w:jc w:val="center"/>
              <w:ind w:right="1060"/>
              <w:spacing w:after="0"/>
              <w:rPr>
                <w:sz w:val="20"/>
                <w:szCs w:val="20"/>
                <w:color w:val="auto"/>
              </w:rPr>
            </w:pPr>
            <w:r>
              <w:rPr>
                <w:rFonts w:ascii="Arial" w:cs="Arial" w:eastAsia="Arial" w:hAnsi="Arial"/>
                <w:sz w:val="14"/>
                <w:szCs w:val="14"/>
                <w:b w:val="1"/>
                <w:bCs w:val="1"/>
                <w:color w:val="auto"/>
                <w:w w:val="95"/>
              </w:rPr>
              <w:t>Fair Value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6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w w:val="95"/>
              </w:rPr>
              <w:t>Fair Value</w:t>
            </w:r>
          </w:p>
        </w:tc>
        <w:tc>
          <w:tcPr>
            <w:tcW w:w="16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w:t>
            </w:r>
          </w:p>
        </w:tc>
        <w:tc>
          <w:tcPr>
            <w:tcW w:w="3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3"/>
              </w:rPr>
              <w:t>($ in millions)</w:t>
            </w:r>
          </w:p>
        </w:tc>
        <w:tc>
          <w:tcPr>
            <w:tcW w:w="34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91"/>
              </w:rPr>
              <w:t>in millions)</w:t>
            </w:r>
          </w:p>
        </w:tc>
        <w:tc>
          <w:tcPr>
            <w:tcW w:w="34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99"/>
              </w:rPr>
              <w:t>Total Portfolio</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1,076.4</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68.8%</w:t>
            </w: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1,078.3</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30"/>
        </w:trPr>
        <w:tc>
          <w:tcPr>
            <w:tcW w:w="2000" w:type="dxa"/>
            <w:vAlign w:val="bottom"/>
          </w:tcPr>
          <w:p>
            <w:pPr>
              <w:jc w:val="right"/>
              <w:ind w:right="816"/>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407.3</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26.1</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266.1</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tcPr>
          <w:p>
            <w:pPr>
              <w:jc w:val="right"/>
              <w:ind w:right="816"/>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28.5</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26.8</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3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4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32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1,563.7</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700" w:type="dxa"/>
            <w:vAlign w:val="bottom"/>
          </w:tcPr>
          <w:p>
            <w:pPr>
              <w:jc w:val="right"/>
              <w:ind w:right="54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1,485.7</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results for the three months ended March 31, 2016 and 2015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6120" w:type="dxa"/>
            <w:vAlign w:val="bottom"/>
            <w:gridSpan w:val="2"/>
            <w:vMerge w:val="restart"/>
          </w:tcPr>
          <w:p>
            <w:pPr>
              <w:ind w:left="1360"/>
              <w:spacing w:after="0"/>
              <w:rPr>
                <w:sz w:val="20"/>
                <w:szCs w:val="20"/>
                <w:color w:val="auto"/>
              </w:rPr>
            </w:pPr>
            <w:r>
              <w:rPr>
                <w:rFonts w:ascii="Arial" w:cs="Arial" w:eastAsia="Arial" w:hAnsi="Arial"/>
                <w:sz w:val="14"/>
                <w:szCs w:val="14"/>
                <w:color w:val="auto"/>
              </w:rPr>
              <w:t>($ in millions)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612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 income</w:t>
            </w:r>
          </w:p>
        </w:tc>
        <w:tc>
          <w:tcPr>
            <w:tcW w:w="6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Net expenses</w:t>
            </w:r>
          </w:p>
        </w:tc>
        <w:tc>
          <w:tcPr>
            <w:tcW w:w="6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 before income taxes</w:t>
            </w: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7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Less: Income taxes, including excise taxes</w:t>
            </w:r>
          </w:p>
        </w:tc>
        <w:tc>
          <w:tcPr>
            <w:tcW w:w="6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w:t>
            </w: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 xml:space="preserve">Net realized gains </w:t>
            </w:r>
            <w:r>
              <w:rPr>
                <w:rFonts w:ascii="Arial" w:cs="Arial" w:eastAsia="Arial" w:hAnsi="Arial"/>
                <w:sz w:val="15"/>
                <w:szCs w:val="15"/>
                <w:color w:val="auto"/>
              </w:rPr>
              <w:t>(1)</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change in unrealized gains (losses) </w:t>
            </w:r>
            <w:r>
              <w:rPr>
                <w:rFonts w:ascii="Arial" w:cs="Arial" w:eastAsia="Arial" w:hAnsi="Arial"/>
                <w:sz w:val="15"/>
                <w:szCs w:val="15"/>
                <w:color w:val="auto"/>
              </w:rPr>
              <w:t>(1)</w:t>
            </w: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760" w:type="dxa"/>
            <w:vAlign w:val="bottom"/>
          </w:tcPr>
          <w:p>
            <w:pPr>
              <w:ind w:left="2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w w:val="90"/>
              </w:rPr>
              <w:t>(1)</w:t>
            </w:r>
          </w:p>
        </w:tc>
        <w:tc>
          <w:tcPr>
            <w:tcW w:w="6120" w:type="dxa"/>
            <w:vAlign w:val="bottom"/>
            <w:gridSpan w:val="2"/>
            <w:vMerge w:val="restart"/>
          </w:tcPr>
          <w:p>
            <w:pPr>
              <w:ind w:left="160"/>
              <w:spacing w:after="0"/>
              <w:rPr>
                <w:sz w:val="20"/>
                <w:szCs w:val="20"/>
                <w:color w:val="auto"/>
              </w:rPr>
            </w:pPr>
            <w:r>
              <w:rPr>
                <w:rFonts w:ascii="Arial" w:cs="Arial" w:eastAsia="Arial" w:hAnsi="Arial"/>
                <w:sz w:val="18"/>
                <w:szCs w:val="18"/>
                <w:color w:val="auto"/>
              </w:rPr>
              <w:t>Includes foreign exchange hedging activity.</w:t>
            </w: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vMerge w:val="continue"/>
          </w:tcPr>
          <w:p>
            <w:pPr>
              <w:spacing w:after="0"/>
              <w:rPr>
                <w:sz w:val="24"/>
                <w:szCs w:val="24"/>
                <w:color w:val="auto"/>
              </w:rPr>
            </w:pPr>
          </w:p>
        </w:tc>
        <w:tc>
          <w:tcPr>
            <w:tcW w:w="612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gridSpan w:val="2"/>
            <w:vMerge w:val="restart"/>
          </w:tcPr>
          <w:p>
            <w:pPr>
              <w:ind w:left="1720"/>
              <w:spacing w:after="0"/>
              <w:rPr>
                <w:sz w:val="20"/>
                <w:szCs w:val="20"/>
                <w:color w:val="auto"/>
              </w:rPr>
            </w:pPr>
            <w:r>
              <w:rPr>
                <w:rFonts w:ascii="Arial" w:cs="Arial" w:eastAsia="Arial" w:hAnsi="Arial"/>
                <w:sz w:val="14"/>
                <w:szCs w:val="14"/>
                <w:color w:val="auto"/>
              </w:rPr>
              <w:t>($ in millions)</w:t>
            </w:r>
          </w:p>
        </w:tc>
        <w:tc>
          <w:tcPr>
            <w:tcW w:w="2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8"/>
              </w:rPr>
              <w:t>Three Months Ended March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40" w:type="dxa"/>
            <w:vAlign w:val="bottom"/>
            <w:gridSpan w:val="2"/>
            <w:vMerge w:val="continue"/>
          </w:tcPr>
          <w:p>
            <w:pPr>
              <w:spacing w:after="0"/>
              <w:rPr>
                <w:sz w:val="13"/>
                <w:szCs w:val="13"/>
                <w:color w:val="auto"/>
              </w:rPr>
            </w:pPr>
          </w:p>
        </w:tc>
        <w:tc>
          <w:tcPr>
            <w:tcW w:w="23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2015</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from investments</w:t>
            </w:r>
          </w:p>
        </w:tc>
        <w:tc>
          <w:tcPr>
            <w:tcW w:w="23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Dividend income</w:t>
            </w:r>
          </w:p>
        </w:tc>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23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020" w:type="dxa"/>
            <w:vAlign w:val="bottom"/>
          </w:tcPr>
          <w:p>
            <w:pPr>
              <w:ind w:left="240"/>
              <w:spacing w:after="0"/>
              <w:rPr>
                <w:sz w:val="20"/>
                <w:szCs w:val="20"/>
                <w:color w:val="auto"/>
              </w:rPr>
            </w:pPr>
            <w:r>
              <w:rPr>
                <w:rFonts w:ascii="Arial" w:cs="Arial" w:eastAsia="Arial" w:hAnsi="Arial"/>
                <w:sz w:val="18"/>
                <w:szCs w:val="18"/>
                <w:b w:val="1"/>
                <w:bCs w:val="1"/>
                <w:color w:val="auto"/>
              </w:rPr>
              <w:t>Total investment income</w:t>
            </w:r>
          </w:p>
        </w:tc>
        <w:tc>
          <w:tcPr>
            <w:tcW w:w="23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380" w:type="dxa"/>
            <w:vAlign w:val="bottom"/>
            <w:vMerge w:val="restart"/>
          </w:tcPr>
          <w:p>
            <w:pPr>
              <w:jc w:val="right"/>
              <w:ind w:right="1230"/>
              <w:spacing w:after="0"/>
              <w:rPr>
                <w:sz w:val="20"/>
                <w:szCs w:val="20"/>
                <w:color w:val="auto"/>
              </w:rPr>
            </w:pPr>
            <w:r>
              <w:rPr>
                <w:rFonts w:ascii="Arial" w:cs="Arial" w:eastAsia="Arial" w:hAnsi="Arial"/>
                <w:sz w:val="18"/>
                <w:szCs w:val="18"/>
                <w:color w:val="auto"/>
              </w:rPr>
              <w:t>46</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46" w:name="page47"/>
    <w:bookmarkEnd w:id="46"/>
    <w:p>
      <w:pPr>
        <w:ind w:right="40" w:firstLine="259"/>
        <w:spacing w:after="0" w:line="288" w:lineRule="auto"/>
        <w:rPr>
          <w:sz w:val="20"/>
          <w:szCs w:val="20"/>
          <w:color w:val="auto"/>
        </w:rPr>
      </w:pPr>
      <w:r>
        <w:rPr>
          <w:rFonts w:ascii="Arial" w:cs="Arial" w:eastAsia="Arial" w:hAnsi="Arial"/>
          <w:sz w:val="16"/>
          <w:szCs w:val="16"/>
          <w:color w:val="auto"/>
        </w:rPr>
        <w:t>Interest from investments, which includes amortization of upfront fees and prepayment fees, increased from $34.3 million for the three months ended March 31, 2015 to $41.5 million for the three months ended March 31, 2016. The average size of our investment portfolio increased from $1.3 billion during the three months ended March 31, 2015 to $1.5 billion during the three months ended March 31, 2016. In addition, accelerated amortization of upfront fees primarily from unscheduled paydowns increased from $0.3 million for the three months ended March 31, 2015 to $0.7 million for the three months ended March 31, 2016. Prepayment fees decreased from $1.7 million for the three months ended March 31, 2015 to $1.6 million for the three months ended March 31, 2016. The accelerated amortization and prepayment fees primarily resulted from full paydowns on two portfolio investments during the three months ended March 31, 2015 and a full paydown on one portfolio investment and earning a prepayment fee on one existing portfolio investment during the three months ended March 31, 2016. Dividend income for the three months ended March 31, 2016 was $0.5 million. We did not have dividend income for the three months ended March 31, 2015. Other income decreased from $3.4 million for the three months ended March 31, 2015 to $0.7 million for the three months ended March 31, 2016, primarily due to higher syndication, amendment and agency fees earned during the first quarter of 2015.</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expenses for the three months ended March 31, 2016 and 2015 were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80" w:type="dxa"/>
            <w:vAlign w:val="bottom"/>
          </w:tcPr>
          <w:p>
            <w:pPr>
              <w:spacing w:after="0"/>
              <w:rPr>
                <w:sz w:val="14"/>
                <w:szCs w:val="14"/>
                <w:color w:val="auto"/>
              </w:rPr>
            </w:pPr>
          </w:p>
        </w:tc>
        <w:tc>
          <w:tcPr>
            <w:tcW w:w="24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400" w:type="dxa"/>
            <w:vAlign w:val="bottom"/>
            <w:tcBorders>
              <w:bottom w:val="single" w:sz="8" w:color="CFF0FC"/>
            </w:tcBorders>
            <w:vMerge w:val="continue"/>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related to pre-incentive fee net investment income</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jc w:val="right"/>
              <w:ind w:right="4032"/>
              <w:spacing w:after="0"/>
              <w:rPr>
                <w:sz w:val="20"/>
                <w:szCs w:val="20"/>
                <w:color w:val="auto"/>
              </w:rPr>
            </w:pPr>
            <w:r>
              <w:rPr>
                <w:rFonts w:ascii="Arial" w:cs="Arial" w:eastAsia="Arial" w:hAnsi="Arial"/>
                <w:sz w:val="18"/>
                <w:szCs w:val="18"/>
                <w:color w:val="auto"/>
              </w:rPr>
              <w:t>(net of waivers)</w:t>
            </w: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Incentive fees related to realized/unrealized capital gains</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Directors fees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w:t>
            </w: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jc w:val="right"/>
              <w:ind w:right="4032"/>
              <w:spacing w:after="0"/>
              <w:rPr>
                <w:sz w:val="20"/>
                <w:szCs w:val="20"/>
                <w:color w:val="auto"/>
              </w:rPr>
            </w:pPr>
            <w:r>
              <w:rPr>
                <w:rFonts w:ascii="Arial" w:cs="Arial" w:eastAsia="Arial" w:hAnsi="Arial"/>
                <w:sz w:val="18"/>
                <w:szCs w:val="18"/>
                <w:b w:val="1"/>
                <w:bCs w:val="1"/>
                <w:color w:val="auto"/>
              </w:rPr>
              <w:t>Net Expenses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right="100" w:firstLine="259"/>
        <w:spacing w:after="0" w:line="259" w:lineRule="auto"/>
        <w:rPr>
          <w:sz w:val="20"/>
          <w:szCs w:val="20"/>
          <w:color w:val="auto"/>
        </w:rPr>
      </w:pPr>
      <w:r>
        <w:rPr>
          <w:rFonts w:ascii="Arial" w:cs="Arial" w:eastAsia="Arial" w:hAnsi="Arial"/>
          <w:sz w:val="18"/>
          <w:szCs w:val="18"/>
          <w:color w:val="auto"/>
        </w:rPr>
        <w:t>Interest expense, including other debt financing expenses, increased from $4.2 million for the three months ended March 31, 2015 to $5.3 million for the three months ended March 31, 2016. This increase was primarily due to an increase in the weighted average debt outstanding from $422 million for the three months ended March 31, 2015 to $666 million for the three months ended March 31, 2016. The average interest rate on our debt outstanding was 2.6% for the three months ended March 31, 2015 and March 31, 2016.</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right="60" w:firstLine="259"/>
        <w:spacing w:after="0" w:line="273" w:lineRule="auto"/>
        <w:rPr>
          <w:sz w:val="20"/>
          <w:szCs w:val="20"/>
          <w:color w:val="auto"/>
        </w:rPr>
      </w:pPr>
      <w:r>
        <w:rPr>
          <w:rFonts w:ascii="Arial" w:cs="Arial" w:eastAsia="Arial" w:hAnsi="Arial"/>
          <w:sz w:val="17"/>
          <w:szCs w:val="17"/>
          <w:color w:val="auto"/>
        </w:rPr>
        <w:t>Management Fees (net of waivers) increased from $5.0 million for the three months ended March 31, 2015 to $5.7 million for the three months ended March 31, 2016. Management Fees increased from $5.0 million for the three months ended March 31, 2015 to $5.7 million for the three months ended March 31, 2016 due to the increase in total assets, which increased from an average of $1.3 billion for the three months ended March 31, 2015 to an average of $1.5 billion for the three months ended March 31, 2016. Management Fees waived were $14,623 for the three months ended March 31, 2016, consisting solely of Management Fees attributable to our ownership of shares of common stock in TICC Capital Corp., or the TICC Shares; no management fees were waived for the three months ended March 31, 2015, which was prior to our ownership of TICC Shares.</w:t>
      </w:r>
    </w:p>
    <w:p>
      <w:pPr>
        <w:spacing w:after="0" w:line="178"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The Adviser has voluntarily waived the Management Fee on our ownership of the TICC Shares for any period in which TICC Capital Corp. remains our portfolio company. Any waived Management Fees are not subject to recoupment by the Adviser. Following our IPO, with the exception of its waiver of Management Fees attributable to our ownership of the TICC Shares, the Adviser has not waived its right to receive the full Management Fee payable pursuant to the Investment Advisory Agreement. There can be no assurance that the Adviser will continue to waive Management Fees related to the TICC Shares, as the Adviser can discontinue the voluntary waiver at any time. Accordingly, we may be required to continue to pay the full amount of the Management Fee, including with respect to the TICC Shares, in future periods.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7" w:name="page48"/>
    <w:bookmarkEnd w:id="47"/>
    <w:p>
      <w:pPr>
        <w:ind w:left="260"/>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Incentive Fees (net of waivers) related to pre-Incentive Fee net investment income increased from $4.5 million for the three months ended March 31, 2015 to $4.8 million for the three months ended March 31, 2016. This increase resulted from the increase in prepayment fees and accelerated amortization of upfront fees primarily from unscheduled paydowns. For the three months ended March 31, 2016, Incentive Fees related to pre-Incentive Fee net investment income of $0.1 million were waived, consisting solely of Incentive Fees attributable to our ownership of the TICC Shares. There were no Incentive Fees related to pre-Incentive Fee net investment income waived for the three months ended March 31, 2015, which was prior to our ownership of TICC Shares. Incentive Fees related to capital gains and losses were $0.5 million for the three months ended March 31, 2015. There were no Incentive Fees related to capital gains and losses for the three months ended March 31, 2016 due to unrealized losses on our investments.</w:t>
      </w:r>
    </w:p>
    <w:p>
      <w:pPr>
        <w:spacing w:after="0" w:line="178"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The Adviser has voluntarily waived the Incentive Fees attributable to pre-Incentive Fee net investment income accrued by us as a result of our ownership of the TICC Shares for any period in which TICC Capital Corp. remains our portfolio company. The Adviser has not waived any part of the Incentive Fee related to capital gains and losses attributable to our ownership of the TICC Shares and, accordingly, any realized capital gains or losses and unrealized capital depreciation with respect to the TICC Shares will be applied against our cumulative realized capital gains on which the Incentive Fee related to capital gains and losses is calculated.</w:t>
      </w:r>
    </w:p>
    <w:p>
      <w:pPr>
        <w:spacing w:after="0" w:line="188" w:lineRule="exact"/>
        <w:rPr>
          <w:sz w:val="20"/>
          <w:szCs w:val="20"/>
          <w:color w:val="auto"/>
        </w:rPr>
      </w:pPr>
    </w:p>
    <w:p>
      <w:pPr>
        <w:jc w:val="both"/>
        <w:ind w:right="40" w:firstLine="259"/>
        <w:spacing w:after="0" w:line="264" w:lineRule="auto"/>
        <w:rPr>
          <w:sz w:val="20"/>
          <w:szCs w:val="20"/>
          <w:color w:val="auto"/>
        </w:rPr>
      </w:pPr>
      <w:r>
        <w:rPr>
          <w:rFonts w:ascii="Arial" w:cs="Arial" w:eastAsia="Arial" w:hAnsi="Arial"/>
          <w:sz w:val="18"/>
          <w:szCs w:val="18"/>
          <w:color w:val="auto"/>
        </w:rPr>
        <w:t>Any waived Incentive Fees are not subject to recoupment by the Adviser. There can be no assurance that the Adviser will continue to waive any Incentive Fee related to the TICC Shares, as the Adviser can discontinue the voluntary waiver at any time. Accordingly, we may be required to continue to pay the full amount of the Incentive Fee, including with respect to the TICC Shares, in future periods.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Professional fees increased from $1.2 million for the three months ended March 31, 2015 to $1.9 million for the three months ended March 31, 2016 and other general and administrative fees increased from $1.1 million for the three months ended March 31, 2015 to $1.3 million for the three months ended March 31, 2016, both due to an increase in costs associated with servicing a growing investment portfolio.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140" w:firstLine="259"/>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7"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For the three months ended March 31, 2016 and 2015, we recorded a net expense of $0.4 million and $0.3 million, respectively, for U.S. federal excise tax.</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summarizes our net realized and unrealized gains (losses) for the three months ended March 31, 2016 and 2015:</w:t>
      </w:r>
    </w:p>
    <w:p>
      <w:pPr>
        <w:spacing w:after="0" w:line="32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26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80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6260" w:type="dxa"/>
            <w:vAlign w:val="bottom"/>
            <w:vMerge w:val="continue"/>
          </w:tcPr>
          <w:p>
            <w:pPr>
              <w:spacing w:after="0"/>
              <w:rPr>
                <w:sz w:val="13"/>
                <w:szCs w:val="13"/>
                <w:color w:val="auto"/>
              </w:rPr>
            </w:pPr>
          </w:p>
        </w:tc>
        <w:tc>
          <w:tcPr>
            <w:tcW w:w="130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130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-8255</wp:posOffset>
            </wp:positionV>
            <wp:extent cx="5797550" cy="291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97550" cy="29146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p>
      <w:pPr>
        <w:spacing w:after="0" w:line="10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realized gains on investments</w:t>
      </w:r>
    </w:p>
    <w:p>
      <w:pPr>
        <w:spacing w:after="0" w:line="13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realized gains on interest rate swaps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realized gains (losses) on foreign currency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realized gains on foreign currency forward contracts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realized losses on foreign currency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realized gains on foreign currency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579755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11"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Net realized gains</w:t>
      </w:r>
    </w:p>
    <w:p>
      <w:pPr>
        <w:spacing w:after="0" w:line="29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Change in unrealized gains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579755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Change in unrealized losses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579755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11"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Net Change in Unrealized Losses on Investments</w:t>
      </w:r>
    </w:p>
    <w:p>
      <w:pPr>
        <w:spacing w:after="0" w:line="67" w:lineRule="exact"/>
        <w:rPr>
          <w:sz w:val="20"/>
          <w:szCs w:val="20"/>
          <w:color w:val="auto"/>
        </w:rPr>
      </w:pPr>
    </w:p>
    <w:p>
      <w:pPr>
        <w:ind w:left="1140" w:right="420"/>
        <w:spacing w:after="0" w:line="266" w:lineRule="auto"/>
        <w:rPr>
          <w:sz w:val="20"/>
          <w:szCs w:val="20"/>
          <w:color w:val="auto"/>
        </w:rPr>
      </w:pPr>
      <w:r>
        <w:rPr>
          <w:rFonts w:ascii="Arial" w:cs="Arial" w:eastAsia="Arial" w:hAnsi="Arial"/>
          <w:sz w:val="18"/>
          <w:szCs w:val="18"/>
          <w:color w:val="auto"/>
        </w:rPr>
        <w:t>Unrealized appreciation (depreciation) on foreign currency borrowings Unrealized appreciation (depreciation) on foreign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-144145</wp:posOffset>
            </wp:positionV>
            <wp:extent cx="5797550" cy="2832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97550" cy="283210"/>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8"/>
          <w:szCs w:val="18"/>
          <w:color w:val="auto"/>
        </w:rPr>
        <w:t>currency cash and forward contracts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Unrealized appreciation (depreciation) on interest rate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5797550" cy="3003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97550" cy="300355"/>
                    </a:xfrm>
                    <a:prstGeom prst="rect">
                      <a:avLst/>
                    </a:prstGeom>
                    <a:noFill/>
                  </pic:spPr>
                </pic:pic>
              </a:graphicData>
            </a:graphic>
          </wp:anchor>
        </w:drawing>
      </w:r>
    </w:p>
    <w:p>
      <w:pPr>
        <w:spacing w:after="0" w:line="11" w:lineRule="exact"/>
        <w:rPr>
          <w:sz w:val="20"/>
          <w:szCs w:val="20"/>
          <w:color w:val="auto"/>
        </w:rPr>
      </w:pPr>
    </w:p>
    <w:p>
      <w:pPr>
        <w:ind w:left="1280" w:right="1520" w:hanging="134"/>
        <w:spacing w:after="0" w:line="347" w:lineRule="auto"/>
        <w:rPr>
          <w:sz w:val="20"/>
          <w:szCs w:val="20"/>
          <w:color w:val="auto"/>
        </w:rPr>
      </w:pPr>
      <w:r>
        <w:rPr>
          <w:rFonts w:ascii="Arial" w:cs="Arial" w:eastAsia="Arial" w:hAnsi="Arial"/>
          <w:sz w:val="16"/>
          <w:szCs w:val="16"/>
          <w:b w:val="1"/>
          <w:bCs w:val="1"/>
          <w:color w:val="auto"/>
        </w:rPr>
        <w:t>Net Change in Unrealized Gains (Losses) on Foreign Currency Transactions and Interest Rate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120015</wp:posOffset>
            </wp:positionV>
            <wp:extent cx="579755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4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jc w:val="right"/>
              <w:ind w:right="325"/>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24"/>
                <w:szCs w:val="24"/>
                <w:color w:val="auto"/>
              </w:rPr>
            </w:pPr>
          </w:p>
        </w:tc>
        <w:tc>
          <w:tcPr>
            <w:tcW w:w="500" w:type="dxa"/>
            <w:vAlign w:val="bottom"/>
            <w:gridSpan w:val="2"/>
          </w:tcPr>
          <w:p>
            <w:pPr>
              <w:jc w:val="right"/>
              <w:ind w:right="325"/>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9"/>
                <w:szCs w:val="19"/>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0" w:type="dxa"/>
            <w:vAlign w:val="bottom"/>
            <w:gridSpan w:val="2"/>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500" w:type="dxa"/>
            <w:vAlign w:val="bottom"/>
            <w:gridSpan w:val="2"/>
          </w:tcPr>
          <w:p>
            <w:pPr>
              <w:jc w:val="right"/>
              <w:ind w:right="325"/>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ectPr>
          <w:pgSz w:w="11900" w:h="16838" w:orient="portrait"/>
          <w:cols w:equalWidth="0" w:num="2">
            <w:col w:w="6680" w:space="720"/>
            <w:col w:w="3980"/>
          </w:cols>
          <w:pgMar w:left="240" w:top="665" w:right="279" w:bottom="1440" w:gutter="0" w:footer="0" w:header="0"/>
          <w:type w:val="continuous"/>
        </w:sectPr>
      </w:pPr>
    </w:p>
    <w:p>
      <w:pPr>
        <w:ind w:left="1140"/>
        <w:spacing w:after="0"/>
        <w:tabs>
          <w:tab w:leader="none" w:pos="7380" w:val="left"/>
          <w:tab w:leader="none" w:pos="8360" w:val="left"/>
          <w:tab w:leader="none" w:pos="8880" w:val="left"/>
          <w:tab w:leader="none" w:pos="9920" w:val="left"/>
        </w:tabs>
        <w:rPr>
          <w:sz w:val="20"/>
          <w:szCs w:val="20"/>
          <w:color w:val="auto"/>
        </w:rPr>
      </w:pPr>
      <w:r>
        <w:rPr>
          <w:rFonts w:ascii="Arial" w:cs="Arial" w:eastAsia="Arial" w:hAnsi="Arial"/>
          <w:sz w:val="18"/>
          <w:szCs w:val="18"/>
          <w:b w:val="1"/>
          <w:bCs w:val="1"/>
          <w:color w:val="auto"/>
        </w:rPr>
        <w:t>Net Change in Unrealized Gains (Losses)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(5.6)</w:t>
        <w:tab/>
        <w:t>$</w:t>
      </w:r>
      <w:r>
        <w:rPr>
          <w:sz w:val="20"/>
          <w:szCs w:val="20"/>
          <w:color w:val="auto"/>
        </w:rPr>
        <w:tab/>
      </w: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34290</wp:posOffset>
            </wp:positionV>
            <wp:extent cx="17665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50" w:lineRule="exact"/>
        <w:rPr>
          <w:sz w:val="20"/>
          <w:szCs w:val="20"/>
          <w:color w:val="auto"/>
        </w:rPr>
      </w:pPr>
    </w:p>
    <w:p>
      <w:pPr>
        <w:ind w:right="20" w:firstLine="259"/>
        <w:spacing w:after="0" w:line="289" w:lineRule="auto"/>
        <w:rPr>
          <w:sz w:val="20"/>
          <w:szCs w:val="20"/>
          <w:color w:val="auto"/>
        </w:rPr>
      </w:pPr>
      <w:r>
        <w:rPr>
          <w:rFonts w:ascii="Arial" w:cs="Arial" w:eastAsia="Arial" w:hAnsi="Arial"/>
          <w:sz w:val="16"/>
          <w:szCs w:val="16"/>
          <w:color w:val="auto"/>
        </w:rPr>
        <w:t>For the three months ended March 31, 2016, we did not have realized gains or losses on investments. For the three months ended March 31, 2015, we had net realized gains on investments of $0.3 million. For the three months ended March 31, 2016, we did not have realized gains or losses on interest rate swaps. For the three months ended March 31, 2015, we had net realized gains on interest rate swaps of $1.8 million. For the three months ended March 31, 2016 and 2015, we had net realized losses of $0.1 million and net realized gains of less than $0.1 million, respectively, on foreign currency transactions, primarily as a result of translating foreign currency related to our non-USD denominated investments. We did not have realized gains or losses on foreign currency forward contracts for the three months ended March 31, 2016. For the three months ended March 31, 2015, we had net realized gains on foreign currency forward contracts of less than $0.1 million, primarily as a result of settling our foreign currency forward contracts. For the three months ended March 31, 2016 and 2015, we had net realized losses of less than $0.1 million and $0.1 million, respectively, on foreign currency investments. For the three months ended March 31, 2016 and 2015, we had net realized gains of $0.3 million and $0.1 million, respectively, on foreign currency borrowings.</w:t>
      </w:r>
    </w:p>
    <w:p>
      <w:pPr>
        <w:spacing w:after="0" w:line="16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For the three months ended March 31, 2016 we had $9.5 million in unrealized appreciation on 30 portfolio company investments, which was offset by $13.7 million in unrealized depreciation on 18 portfolio company investments.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w:t>
      </w:r>
    </w:p>
    <w:p>
      <w:pPr>
        <w:spacing w:after="0" w:line="18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For the three months ended March 31, 2015 we had $7.2 million in unrealized appreciation on 22 portfolio company investments, which was offset by $12.5 million in unrealized depreciation on 15 portfolio company investments.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w:t>
      </w:r>
    </w:p>
    <w:p>
      <w:pPr>
        <w:spacing w:after="0" w:line="187" w:lineRule="exact"/>
        <w:rPr>
          <w:sz w:val="20"/>
          <w:szCs w:val="20"/>
          <w:color w:val="auto"/>
        </w:rPr>
      </w:pPr>
    </w:p>
    <w:p>
      <w:pPr>
        <w:ind w:right="100" w:firstLine="259"/>
        <w:spacing w:after="0" w:line="255" w:lineRule="auto"/>
        <w:rPr>
          <w:sz w:val="20"/>
          <w:szCs w:val="20"/>
          <w:color w:val="auto"/>
        </w:rPr>
      </w:pPr>
      <w:r>
        <w:rPr>
          <w:rFonts w:ascii="Arial" w:cs="Arial" w:eastAsia="Arial" w:hAnsi="Arial"/>
          <w:sz w:val="18"/>
          <w:szCs w:val="18"/>
          <w:color w:val="auto"/>
        </w:rPr>
        <w:t>For the three months ended March 31, 2016 and 2015, we had unrealized depreciation on foreign currency borrowings of $2.7 million and unrealized appreciation on foreign currency borrowings of $7.2 million, respectively, as a result of fluctuations in the GBP, SEK and EUR exchange rates. For the three months ended March 31, 2016, we had unrealized appreciation on foreign currency cash and forward contracts of $0.1 million. For the three months ended March 31, 2015, we had unrealized depreciation on foreign currency cash and forward contracts of less than $0.1 million. For the three months ended March 31, 2016 and 2015, we had unrealized appreciation on interest rate swaps of $1.2 million and unrealized depreciation on interest rate swaps of $0.3 million, respectively, due to fluctuations in interest rates.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Aggregate Cash Flow Realized Gross Internal Rate of Return</w:t>
      </w:r>
    </w:p>
    <w:p>
      <w:pPr>
        <w:spacing w:after="0" w:line="117" w:lineRule="exact"/>
        <w:rPr>
          <w:sz w:val="20"/>
          <w:szCs w:val="20"/>
          <w:color w:val="auto"/>
        </w:rPr>
      </w:pPr>
    </w:p>
    <w:p>
      <w:pPr>
        <w:jc w:val="both"/>
        <w:ind w:right="140" w:firstLine="259"/>
        <w:spacing w:after="0" w:line="264" w:lineRule="auto"/>
        <w:rPr>
          <w:sz w:val="20"/>
          <w:szCs w:val="20"/>
          <w:color w:val="auto"/>
        </w:rPr>
      </w:pPr>
      <w:r>
        <w:rPr>
          <w:rFonts w:ascii="Arial" w:cs="Arial" w:eastAsia="Arial" w:hAnsi="Arial"/>
          <w:sz w:val="18"/>
          <w:szCs w:val="18"/>
          <w:color w:val="auto"/>
        </w:rPr>
        <w:t>Since we began investing in 2011 through March 31, 2016, our exited investments have resulted in an aggregate cash flow realized gross internal rate of return to us of 16.2% (based on cash invested of $1.3 billion and total proceeds from these exited investments of $1.6 billion). Ninety percent of these exited investments resulted in an aggregate cash flow realized gross internal rate of return to us of 10% or greater.</w:t>
      </w:r>
    </w:p>
    <w:p>
      <w:pPr>
        <w:spacing w:after="0" w:line="181"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181" w:lineRule="exact"/>
        <w:rPr>
          <w:sz w:val="20"/>
          <w:szCs w:val="20"/>
          <w:color w:val="auto"/>
        </w:rPr>
      </w:pPr>
    </w:p>
    <w:p>
      <w:pPr>
        <w:jc w:val="both"/>
        <w:ind w:right="100" w:firstLine="259"/>
        <w:spacing w:after="0" w:line="312"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47" w:lineRule="exact"/>
        <w:rPr>
          <w:sz w:val="20"/>
          <w:szCs w:val="20"/>
          <w:color w:val="auto"/>
        </w:rPr>
      </w:pPr>
    </w:p>
    <w:p>
      <w:pPr>
        <w:ind w:right="240" w:firstLine="259"/>
        <w:spacing w:after="0" w:line="302"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154"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1" w:lineRule="exact"/>
        <w:rPr>
          <w:sz w:val="20"/>
          <w:szCs w:val="20"/>
          <w:color w:val="auto"/>
        </w:rPr>
      </w:pPr>
    </w:p>
    <w:p>
      <w:pPr>
        <w:ind w:right="80" w:firstLine="259"/>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right="460" w:firstLine="259"/>
        <w:spacing w:after="0" w:line="277" w:lineRule="auto"/>
        <w:rPr>
          <w:sz w:val="20"/>
          <w:szCs w:val="20"/>
          <w:color w:val="auto"/>
        </w:rPr>
      </w:pPr>
      <w:r>
        <w:rPr>
          <w:rFonts w:ascii="Arial" w:cs="Arial" w:eastAsia="Arial" w:hAnsi="Arial"/>
          <w:sz w:val="18"/>
          <w:szCs w:val="18"/>
          <w:color w:val="auto"/>
        </w:rPr>
        <w:t>Aggregate cash flow realized gross IRR on our exited investments reflects only invested and realized cash amounts as described above, and does not reflect any unrealized gains or losses in our portfolio.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117"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Our current approach to hedging the foreign currency exposure in our non-U.S. dollar denominated investments is primarily to borrow the necessary local currency under our Revolving Credit Facility to fund these investments. For the three months ended March 31, 2016, we had $2.7 million of unrealized losses on the translation of our non-U.S. dollar denominated debt into U.S. dollars; such amounts approximate the corresponding unrealized gains and losses on the translation of our non-U.S. dollar denominated investments into U.S. dollars for the three months ended March 31, 2016. See Note 2 for additional disclosure regarding our accounting for foreign currency. See Note 7 for additional disclosure regarding the amounts of outstanding debt denominated in each foreign currency at March 31, 2016. See our consolidated schedule of investments for additional disclosure regarding the foreign currency amounts (in both par and fair value) of our non-U.S. dollar denominated investments.</w:t>
      </w:r>
    </w:p>
    <w:p>
      <w:pPr>
        <w:spacing w:after="0" w:line="178" w:lineRule="exact"/>
        <w:rPr>
          <w:sz w:val="20"/>
          <w:szCs w:val="20"/>
          <w:color w:val="auto"/>
        </w:rPr>
      </w:pPr>
    </w:p>
    <w:p>
      <w:pPr>
        <w:ind w:right="40" w:firstLine="259"/>
        <w:spacing w:after="0" w:line="302" w:lineRule="auto"/>
        <w:rPr>
          <w:sz w:val="20"/>
          <w:szCs w:val="20"/>
          <w:color w:val="auto"/>
        </w:rPr>
      </w:pPr>
      <w:r>
        <w:rPr>
          <w:rFonts w:ascii="Arial" w:cs="Arial" w:eastAsia="Arial" w:hAnsi="Arial"/>
          <w:sz w:val="16"/>
          <w:szCs w:val="16"/>
          <w:color w:val="auto"/>
        </w:rPr>
        <w:t>During the three months ended March 31, 2015, we entered into foreign currency forward contracts related to our non-USD denominated investments. We did not enter into foreign currency forward contracts related to our non-USD denominated investments during the three months ended March 31, 2016. As of March 31, 2016 and 2015, we did not have any open foreign currency forward contracts. We bear the costs incurred in connection with entering into, administering and settling derivative contracts. There can be no assurance any hedging strategy we employ will be successful.</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62" w:lineRule="exact"/>
        <w:rPr>
          <w:sz w:val="20"/>
          <w:szCs w:val="20"/>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cash distributions to the holders of our shares.</w:t>
      </w:r>
    </w:p>
    <w:p>
      <w:pPr>
        <w:spacing w:after="0" w:line="225" w:lineRule="exact"/>
        <w:rPr>
          <w:sz w:val="20"/>
          <w:szCs w:val="20"/>
          <w:color w:val="auto"/>
        </w:rPr>
      </w:pPr>
    </w:p>
    <w:p>
      <w:pPr>
        <w:ind w:right="20" w:firstLine="259"/>
        <w:spacing w:after="0" w:line="270" w:lineRule="auto"/>
        <w:rPr>
          <w:sz w:val="20"/>
          <w:szCs w:val="20"/>
          <w:color w:val="auto"/>
        </w:rPr>
      </w:pPr>
      <w:r>
        <w:rPr>
          <w:rFonts w:ascii="Arial" w:cs="Arial" w:eastAsia="Arial" w:hAnsi="Arial"/>
          <w:sz w:val="17"/>
          <w:szCs w:val="17"/>
          <w:color w:val="auto"/>
        </w:rPr>
        <w:t>The capital commitments of our private phase investors terminated upon the completion of our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March 31, 2016 and December 31, 2015, our asset coverage ratio was 240.7% and 225.7%, respectively. We carefully consider our unfunded commitments for the purpose of planning our capital resources and ongoing liquidity, including our financial leverage. Further, we maintain sufficient borrowing capacity within the 200% asset coverage limitation to cover any outstanding unfunded commitments we are required to fund.</w:t>
      </w:r>
    </w:p>
    <w:p>
      <w:pPr>
        <w:spacing w:after="0" w:line="182" w:lineRule="exact"/>
        <w:rPr>
          <w:sz w:val="20"/>
          <w:szCs w:val="20"/>
          <w:color w:val="auto"/>
        </w:rPr>
      </w:pPr>
    </w:p>
    <w:p>
      <w:pPr>
        <w:jc w:val="both"/>
        <w:ind w:right="20" w:firstLine="259"/>
        <w:spacing w:after="0" w:line="264" w:lineRule="auto"/>
        <w:rPr>
          <w:sz w:val="20"/>
          <w:szCs w:val="20"/>
          <w:color w:val="auto"/>
        </w:rPr>
      </w:pPr>
      <w:r>
        <w:rPr>
          <w:rFonts w:ascii="Arial" w:cs="Arial" w:eastAsia="Arial" w:hAnsi="Arial"/>
          <w:sz w:val="18"/>
          <w:szCs w:val="18"/>
          <w:color w:val="auto"/>
        </w:rPr>
        <w:t>Cash and cash equivalents as of March 31, 2016, taken together with cash available under our credit facilities, is expected to be sufficient for our investing activities and to conduct our operations in the near term. As of March 31, 2016, we had approximately $298.0 million of availability on our Revolving Credit Facility.</w:t>
      </w:r>
    </w:p>
    <w:p>
      <w:pPr>
        <w:spacing w:after="0" w:line="181" w:lineRule="exact"/>
        <w:rPr>
          <w:sz w:val="20"/>
          <w:szCs w:val="20"/>
          <w:color w:val="auto"/>
        </w:rPr>
      </w:pPr>
    </w:p>
    <w:p>
      <w:pPr>
        <w:ind w:right="140" w:firstLine="259"/>
        <w:spacing w:after="0" w:line="273" w:lineRule="auto"/>
        <w:rPr>
          <w:sz w:val="20"/>
          <w:szCs w:val="20"/>
          <w:color w:val="auto"/>
        </w:rPr>
      </w:pPr>
      <w:r>
        <w:rPr>
          <w:rFonts w:ascii="Arial" w:cs="Arial" w:eastAsia="Arial" w:hAnsi="Arial"/>
          <w:sz w:val="17"/>
          <w:szCs w:val="17"/>
          <w:color w:val="auto"/>
        </w:rPr>
        <w:t>As of March 31, 2016, we had $4.0 million in cash and cash equivalents, an increase of $1.6 million from December 31, 2015. During the three months ended March 31, 2016, we used $37.0 million in cash for operating activities, primarily as a result of funding portfolio investments of $137.4 million, which was partially offset by repayments on investments of $61.5 million, other operating activity of $21.1 million, and an increase in net assets resulting from operations of $17.8 million. Lastly, cash provided by financing activities was $38.6 million during the period, primarily due to borrowings of $95.5 million and proceeds from issuance of common stock, net of offering and underwriting costs, of $78.3 million, which was partially offset by repayments on debt of $115.0 million, purchases of treasury stock of $1.4 million, and dividends paid of $18.8 million.</w:t>
      </w:r>
    </w:p>
    <w:p>
      <w:pPr>
        <w:spacing w:after="0" w:line="178" w:lineRule="exact"/>
        <w:rPr>
          <w:sz w:val="20"/>
          <w:szCs w:val="20"/>
          <w:color w:val="auto"/>
        </w:rPr>
      </w:pPr>
    </w:p>
    <w:p>
      <w:pPr>
        <w:ind w:right="380" w:firstLine="259"/>
        <w:spacing w:after="0" w:line="277" w:lineRule="auto"/>
        <w:rPr>
          <w:sz w:val="20"/>
          <w:szCs w:val="20"/>
          <w:color w:val="auto"/>
        </w:rPr>
      </w:pPr>
      <w:r>
        <w:rPr>
          <w:rFonts w:ascii="Arial" w:cs="Arial" w:eastAsia="Arial" w:hAnsi="Arial"/>
          <w:sz w:val="18"/>
          <w:szCs w:val="18"/>
          <w:color w:val="auto"/>
        </w:rPr>
        <w:t>As of March 31, 2016, we had $0.8 million of restricted cash pledged as collateral under our interest rate swap agreements, a decrease of $0.1 million from December 31,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On March 3, 2016, we issued 5,000,000 shares of common stock at $16.42 per share. Net of underwriting fees and offering costs, we received total cash proceeds of $78.3 million.</w:t>
      </w:r>
    </w:p>
    <w:p>
      <w:pPr>
        <w:spacing w:after="0" w:line="170" w:lineRule="exact"/>
        <w:rPr>
          <w:sz w:val="20"/>
          <w:szCs w:val="20"/>
          <w:color w:val="auto"/>
        </w:rPr>
      </w:pPr>
    </w:p>
    <w:p>
      <w:pPr>
        <w:ind w:right="120" w:firstLine="259"/>
        <w:spacing w:after="0" w:line="302" w:lineRule="auto"/>
        <w:rPr>
          <w:sz w:val="20"/>
          <w:szCs w:val="20"/>
          <w:color w:val="auto"/>
        </w:rPr>
      </w:pPr>
      <w:r>
        <w:rPr>
          <w:rFonts w:ascii="Arial" w:cs="Arial" w:eastAsia="Arial" w:hAnsi="Arial"/>
          <w:sz w:val="16"/>
          <w:szCs w:val="16"/>
          <w:color w:val="auto"/>
        </w:rPr>
        <w:t>During the three months ended March 31, 2016 and 2015, we issued 147,809 and 162,490 shares of our common stock, respectively, to investors who have not opted out of our dividend reinvestment plan for proceeds of $2.3 million and $2.7 million, respectively. On May 2, 2016, we issued 186,204 shares of our common stock through our dividend reinvestment plan for proceeds of $2.9 million, which is not reflected in the number of shares issued for the three months ended March 31, 2016 in this section or the consolidated financial statements for the three months ended March 31, 2016.</w:t>
      </w:r>
    </w:p>
    <w:p>
      <w:pPr>
        <w:spacing w:after="0" w:line="154" w:lineRule="exact"/>
        <w:rPr>
          <w:sz w:val="20"/>
          <w:szCs w:val="20"/>
          <w:color w:val="auto"/>
        </w:rPr>
      </w:pPr>
    </w:p>
    <w:p>
      <w:pPr>
        <w:ind w:right="120" w:firstLine="259"/>
        <w:spacing w:after="0" w:line="302" w:lineRule="auto"/>
        <w:rPr>
          <w:sz w:val="20"/>
          <w:szCs w:val="20"/>
          <w:color w:val="auto"/>
        </w:rPr>
      </w:pPr>
      <w:r>
        <w:rPr>
          <w:rFonts w:ascii="Arial" w:cs="Arial" w:eastAsia="Arial" w:hAnsi="Arial"/>
          <w:sz w:val="16"/>
          <w:szCs w:val="16"/>
          <w:color w:val="auto"/>
        </w:rPr>
        <w:t>On November 3, 2014, the Board approved the Company 10b5-1 Plan to acquire up to $50 million in the aggregate of our common stock at prices just below our net asset value over a specified period, in accordance with the guidelines specified in Rule 10b-18 and Rule 10b5-1 of the Exchange Act. We put the Company 10b5-1 Plan in place because we believe that, in the current market conditions, if our common stock is trading below our then-current net asset value, it is in the best interest of our stockholders for us to reinvest in our portfolio and increase our leverage ratio through share repurchases.</w:t>
      </w:r>
    </w:p>
    <w:p>
      <w:pPr>
        <w:spacing w:after="0" w:line="154"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28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1" w:name="page52"/>
    <w:bookmarkEnd w:id="51"/>
    <w:p>
      <w:pPr>
        <w:ind w:right="120" w:firstLine="259"/>
        <w:spacing w:after="0" w:line="257" w:lineRule="auto"/>
        <w:rPr>
          <w:sz w:val="20"/>
          <w:szCs w:val="20"/>
          <w:color w:val="auto"/>
        </w:rPr>
      </w:pPr>
      <w:r>
        <w:rPr>
          <w:rFonts w:ascii="Arial" w:cs="Arial" w:eastAsia="Arial" w:hAnsi="Arial"/>
          <w:sz w:val="18"/>
          <w:szCs w:val="18"/>
          <w:color w:val="auto"/>
        </w:rPr>
        <w:t>The Company 10b5-1 Plan expired in accordance with its terms on June 30, 2015. On August 4, 2015, the Board authorized us to enter into a new stock repurchase plan, on substantially the same terms as the prior stock repurchase plan. On February 24, 2016, the Board authorized the extension of the termination date of the Company 10b5-1 Plan to August 31, 2016. Unless extended or terminated by the Board, the Company 10b5-1 Plan will be in effect through the earlier of August 31, 2016 or such time as the current approved repurchase amount of up to $50 million has been fully utilized, subject to certain conditions.</w:t>
      </w:r>
    </w:p>
    <w:p>
      <w:pPr>
        <w:spacing w:after="0" w:line="188"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During the three months ended March 31, 2016, 86,081 shares were repurchased under the Company 10b5-1 Plan at a weighted average price per share of $15.44, inclusive of commissions, for a total cost of $1.3 million. No shares were repurchased under the Company 10b5-1 Plan during the three months ended March 31, 2015.</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March 31, 2016 and December 31, 2015:</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837"/>
              <w:spacing w:after="0"/>
              <w:rPr>
                <w:sz w:val="20"/>
                <w:szCs w:val="20"/>
                <w:color w:val="auto"/>
              </w:rPr>
            </w:pPr>
            <w:r>
              <w:rPr>
                <w:rFonts w:ascii="Arial" w:cs="Arial" w:eastAsia="Arial" w:hAnsi="Arial"/>
                <w:sz w:val="14"/>
                <w:szCs w:val="14"/>
                <w:b w:val="1"/>
                <w:bCs w:val="1"/>
                <w:color w:val="auto"/>
              </w:rPr>
              <w:t>March 31, 2016</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4440" w:type="dxa"/>
            <w:vAlign w:val="bottom"/>
          </w:tcPr>
          <w:p>
            <w:pPr>
              <w:spacing w:after="0"/>
              <w:rPr>
                <w:sz w:val="12"/>
                <w:szCs w:val="12"/>
                <w:color w:val="auto"/>
              </w:rPr>
            </w:pPr>
          </w:p>
        </w:tc>
        <w:tc>
          <w:tcPr>
            <w:tcW w:w="12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w w:val="93"/>
              </w:rPr>
              <w:t>Aggregate Principal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ind w:right="199"/>
              <w:spacing w:after="0" w:line="147" w:lineRule="exact"/>
              <w:rPr>
                <w:sz w:val="20"/>
                <w:szCs w:val="20"/>
                <w:color w:val="auto"/>
              </w:rPr>
            </w:pPr>
            <w:r>
              <w:rPr>
                <w:rFonts w:ascii="Arial" w:cs="Arial" w:eastAsia="Arial" w:hAnsi="Arial"/>
                <w:sz w:val="14"/>
                <w:szCs w:val="14"/>
                <w:b w:val="1"/>
                <w:bCs w:val="1"/>
                <w:color w:val="auto"/>
                <w:w w:val="99"/>
              </w:rPr>
              <w:t>Outstanding</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ind w:right="337"/>
              <w:spacing w:after="0" w:line="147"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57"/>
              <w:spacing w:after="0" w:line="147"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r>
      <w:tr>
        <w:trPr>
          <w:trHeight w:val="171"/>
        </w:trPr>
        <w:tc>
          <w:tcPr>
            <w:tcW w:w="4440" w:type="dxa"/>
            <w:vAlign w:val="bottom"/>
          </w:tcPr>
          <w:p>
            <w:pPr>
              <w:spacing w:after="0"/>
              <w:rPr>
                <w:sz w:val="20"/>
                <w:szCs w:val="20"/>
                <w:color w:val="auto"/>
              </w:rPr>
            </w:pPr>
            <w:r>
              <w:rPr>
                <w:rFonts w:ascii="Arial" w:cs="Arial" w:eastAsia="Arial" w:hAnsi="Arial"/>
                <w:sz w:val="14"/>
                <w:szCs w:val="14"/>
                <w:color w:val="auto"/>
              </w:rPr>
              <w:t>($ in millions)</w:t>
            </w: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96"/>
              </w:rPr>
              <w:t>Amount Committed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299"/>
              <w:spacing w:after="0"/>
              <w:rPr>
                <w:sz w:val="20"/>
                <w:szCs w:val="20"/>
                <w:color w:val="auto"/>
              </w:rPr>
            </w:pPr>
            <w:r>
              <w:rPr>
                <w:rFonts w:ascii="Arial" w:cs="Arial" w:eastAsia="Arial" w:hAnsi="Arial"/>
                <w:sz w:val="14"/>
                <w:szCs w:val="14"/>
                <w:b w:val="1"/>
                <w:bCs w:val="1"/>
                <w:color w:val="auto"/>
              </w:rPr>
              <w:t>Principal</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197"/>
              <w:spacing w:after="0"/>
              <w:rPr>
                <w:sz w:val="20"/>
                <w:szCs w:val="20"/>
                <w:color w:val="auto"/>
              </w:rPr>
            </w:pPr>
            <w:r>
              <w:rPr>
                <w:rFonts w:ascii="Arial" w:cs="Arial" w:eastAsia="Arial" w:hAnsi="Arial"/>
                <w:sz w:val="14"/>
                <w:szCs w:val="14"/>
                <w:b w:val="1"/>
                <w:bCs w:val="1"/>
                <w:color w:val="auto"/>
              </w:rPr>
              <w:t xml:space="preserve">Available </w:t>
            </w:r>
            <w:r>
              <w:rPr>
                <w:rFonts w:ascii="Arial" w:cs="Arial" w:eastAsia="Arial" w:hAnsi="Arial"/>
                <w:sz w:val="12"/>
                <w:szCs w:val="12"/>
                <w:b w:val="1"/>
                <w:bCs w:val="1"/>
                <w:color w:val="auto"/>
              </w:rPr>
              <w:t>(1)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523.2</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298.0</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Convertible Senior Notes</w:t>
            </w: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120" w:type="dxa"/>
            <w:vAlign w:val="bottom"/>
            <w:tcBorders>
              <w:bottom w:val="single" w:sz="8" w:color="CFF0FC"/>
            </w:tcBorders>
          </w:tcPr>
          <w:p>
            <w:pPr>
              <w:spacing w:after="0"/>
              <w:rPr>
                <w:sz w:val="19"/>
                <w:szCs w:val="19"/>
                <w:color w:val="auto"/>
              </w:rPr>
            </w:pPr>
          </w:p>
        </w:tc>
      </w:tr>
      <w:tr>
        <w:trPr>
          <w:trHeight w:val="223"/>
        </w:trPr>
        <w:tc>
          <w:tcPr>
            <w:tcW w:w="4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4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936.3</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638.2</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298.0</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260" w:hanging="512"/>
        <w:spacing w:after="0" w:line="261"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and Convertible Senior Notes are presented net of deferred financing costs of $6.9 million and $2.9 million, respectively.</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b w:val="1"/>
                <w:bCs w:val="1"/>
                <w:color w:val="auto"/>
              </w:rPr>
              <w:t>December 31, 2015</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4440" w:type="dxa"/>
            <w:vAlign w:val="bottom"/>
          </w:tcPr>
          <w:p>
            <w:pPr>
              <w:spacing w:after="0"/>
              <w:rPr>
                <w:sz w:val="12"/>
                <w:szCs w:val="12"/>
                <w:color w:val="auto"/>
              </w:rPr>
            </w:pPr>
          </w:p>
        </w:tc>
        <w:tc>
          <w:tcPr>
            <w:tcW w:w="12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w w:val="93"/>
              </w:rPr>
              <w:t>Aggregate Principal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ind w:right="199"/>
              <w:spacing w:after="0" w:line="147" w:lineRule="exact"/>
              <w:rPr>
                <w:sz w:val="20"/>
                <w:szCs w:val="20"/>
                <w:color w:val="auto"/>
              </w:rPr>
            </w:pPr>
            <w:r>
              <w:rPr>
                <w:rFonts w:ascii="Arial" w:cs="Arial" w:eastAsia="Arial" w:hAnsi="Arial"/>
                <w:sz w:val="14"/>
                <w:szCs w:val="14"/>
                <w:b w:val="1"/>
                <w:bCs w:val="1"/>
                <w:color w:val="auto"/>
                <w:w w:val="99"/>
              </w:rPr>
              <w:t>Outstanding</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ind w:right="337"/>
              <w:spacing w:after="0" w:line="147"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57"/>
              <w:spacing w:after="0" w:line="147"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r>
      <w:tr>
        <w:trPr>
          <w:trHeight w:val="171"/>
        </w:trPr>
        <w:tc>
          <w:tcPr>
            <w:tcW w:w="4440" w:type="dxa"/>
            <w:vAlign w:val="bottom"/>
          </w:tcPr>
          <w:p>
            <w:pPr>
              <w:spacing w:after="0"/>
              <w:rPr>
                <w:sz w:val="20"/>
                <w:szCs w:val="20"/>
                <w:color w:val="auto"/>
              </w:rPr>
            </w:pPr>
            <w:r>
              <w:rPr>
                <w:rFonts w:ascii="Arial" w:cs="Arial" w:eastAsia="Arial" w:hAnsi="Arial"/>
                <w:sz w:val="14"/>
                <w:szCs w:val="14"/>
                <w:color w:val="auto"/>
              </w:rPr>
              <w:t>($ in millions)</w:t>
            </w: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96"/>
              </w:rPr>
              <w:t>Amount Committed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299"/>
              <w:spacing w:after="0"/>
              <w:rPr>
                <w:sz w:val="20"/>
                <w:szCs w:val="20"/>
                <w:color w:val="auto"/>
              </w:rPr>
            </w:pPr>
            <w:r>
              <w:rPr>
                <w:rFonts w:ascii="Arial" w:cs="Arial" w:eastAsia="Arial" w:hAnsi="Arial"/>
                <w:sz w:val="14"/>
                <w:szCs w:val="14"/>
                <w:b w:val="1"/>
                <w:bCs w:val="1"/>
                <w:color w:val="auto"/>
              </w:rPr>
              <w:t>Principal</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197"/>
              <w:spacing w:after="0"/>
              <w:rPr>
                <w:sz w:val="20"/>
                <w:szCs w:val="20"/>
                <w:color w:val="auto"/>
              </w:rPr>
            </w:pPr>
            <w:r>
              <w:rPr>
                <w:rFonts w:ascii="Arial" w:cs="Arial" w:eastAsia="Arial" w:hAnsi="Arial"/>
                <w:sz w:val="14"/>
                <w:szCs w:val="14"/>
                <w:b w:val="1"/>
                <w:bCs w:val="1"/>
                <w:color w:val="auto"/>
              </w:rPr>
              <w:t xml:space="preserve">Available </w:t>
            </w:r>
            <w:r>
              <w:rPr>
                <w:rFonts w:ascii="Arial" w:cs="Arial" w:eastAsia="Arial" w:hAnsi="Arial"/>
                <w:sz w:val="12"/>
                <w:szCs w:val="12"/>
                <w:b w:val="1"/>
                <w:bCs w:val="1"/>
                <w:color w:val="auto"/>
              </w:rPr>
              <w:t>(1)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540.3</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280.9</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Convertible Senior Notes</w:t>
            </w: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120" w:type="dxa"/>
            <w:vAlign w:val="bottom"/>
            <w:tcBorders>
              <w:bottom w:val="single" w:sz="8" w:color="CFF0FC"/>
            </w:tcBorders>
          </w:tcPr>
          <w:p>
            <w:pPr>
              <w:spacing w:after="0"/>
              <w:rPr>
                <w:sz w:val="19"/>
                <w:szCs w:val="19"/>
                <w:color w:val="auto"/>
              </w:rPr>
            </w:pPr>
          </w:p>
        </w:tc>
      </w:tr>
      <w:tr>
        <w:trPr>
          <w:trHeight w:val="223"/>
        </w:trPr>
        <w:tc>
          <w:tcPr>
            <w:tcW w:w="4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4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936.3</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655.3</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280.9</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260" w:hanging="512"/>
        <w:spacing w:after="0" w:line="261"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and Convertible Senior Notes are presented net of deferred financing costs of $7.3 million and $3.1 million, respectively.</w:t>
      </w:r>
    </w:p>
    <w:p>
      <w:pPr>
        <w:spacing w:after="0" w:line="184"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As of March 31, 2016 and December 31, 2015, we were in compliance with the terms of our debt arrangements. We intend to continue to utilize our credit facilities to fund investments and for other general corporate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On August 23, 2012, we entered into a senior secured revolving credit agreement with SunTrust Bank, as administrative agent, and J.P. Morgan Chase Bank, N.A., as syndication agent, and certain other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 allowed us, under certain circumstances, to 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78" w:lineRule="exact"/>
        <w:rPr>
          <w:sz w:val="20"/>
          <w:szCs w:val="20"/>
          <w:color w:val="auto"/>
        </w:rPr>
      </w:pPr>
    </w:p>
    <w:p>
      <w:pPr>
        <w:ind w:right="420" w:firstLine="259"/>
        <w:spacing w:after="0" w:line="277" w:lineRule="auto"/>
        <w:rPr>
          <w:sz w:val="20"/>
          <w:szCs w:val="20"/>
          <w:color w:val="auto"/>
        </w:rPr>
      </w:pPr>
      <w:r>
        <w:rPr>
          <w:rFonts w:ascii="Arial" w:cs="Arial" w:eastAsia="Arial" w:hAnsi="Arial"/>
          <w:sz w:val="18"/>
          <w:szCs w:val="18"/>
          <w:color w:val="auto"/>
        </w:rPr>
        <w:t>On February 27, 2014, we further amended and restated the agreement. The second amended and restated agreement (the Revolving Credit Facility), among other things:</w:t>
      </w:r>
    </w:p>
    <w:p>
      <w:pPr>
        <w:spacing w:after="0" w:line="62" w:lineRule="exact"/>
        <w:rPr>
          <w:sz w:val="20"/>
          <w:szCs w:val="20"/>
          <w:color w:val="auto"/>
        </w:rPr>
      </w:pPr>
    </w:p>
    <w:p>
      <w:pPr>
        <w:ind w:left="520" w:hanging="255"/>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17" w:lineRule="exact"/>
        <w:rPr>
          <w:rFonts w:ascii="Arial" w:cs="Arial" w:eastAsia="Arial" w:hAnsi="Arial"/>
          <w:sz w:val="18"/>
          <w:szCs w:val="18"/>
          <w:color w:val="auto"/>
        </w:rPr>
      </w:pPr>
    </w:p>
    <w:p>
      <w:pPr>
        <w:ind w:left="520" w:right="500" w:hanging="255"/>
        <w:spacing w:after="0" w:line="27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us, under certain circumstances, to increase the size of the facility up to $956.3 million;</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2" w:name="page53"/>
    <w:bookmarkEnd w:id="52"/>
    <w:p>
      <w:pPr>
        <w:ind w:left="520" w:right="180" w:hanging="255"/>
        <w:spacing w:after="0" w:line="277"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we, subject to certain conditions, may make borrowings under the facility;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firstLine="259"/>
        <w:spacing w:after="0" w:line="342" w:lineRule="auto"/>
        <w:rPr>
          <w:sz w:val="20"/>
          <w:szCs w:val="20"/>
          <w:color w:val="auto"/>
        </w:rPr>
      </w:pPr>
      <w:r>
        <w:rPr>
          <w:rFonts w:ascii="Arial" w:cs="Arial" w:eastAsia="Arial" w:hAnsi="Arial"/>
          <w:sz w:val="16"/>
          <w:szCs w:val="16"/>
          <w:color w:val="auto"/>
        </w:rPr>
        <w:t>On May 30, 2014, we entered into agreements with various financial institutions pursuant to which each of the institutions agreed to provide commitments through the accordion feature of our Revolving Credit Facility, increasing the aggregate commitments from $581.3 million to $781.3 million.</w:t>
      </w:r>
    </w:p>
    <w:p>
      <w:pPr>
        <w:spacing w:after="0" w:line="124" w:lineRule="exact"/>
        <w:rPr>
          <w:sz w:val="20"/>
          <w:szCs w:val="20"/>
          <w:color w:val="auto"/>
        </w:rPr>
      </w:pPr>
    </w:p>
    <w:p>
      <w:pPr>
        <w:jc w:val="both"/>
        <w:ind w:right="220" w:firstLine="259"/>
        <w:spacing w:after="0" w:line="264" w:lineRule="auto"/>
        <w:rPr>
          <w:sz w:val="20"/>
          <w:szCs w:val="20"/>
          <w:color w:val="auto"/>
        </w:rPr>
      </w:pPr>
      <w:r>
        <w:rPr>
          <w:rFonts w:ascii="Arial" w:cs="Arial" w:eastAsia="Arial" w:hAnsi="Arial"/>
          <w:sz w:val="18"/>
          <w:szCs w:val="18"/>
          <w:color w:val="auto"/>
        </w:rPr>
        <w:t>On June 27, 2014, we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October 17, 2014, we entered into a third amendment to the Revolving Credit Facility:</w:t>
      </w:r>
    </w:p>
    <w:p>
      <w:pPr>
        <w:spacing w:after="0" w:line="117" w:lineRule="exact"/>
        <w:rPr>
          <w:sz w:val="20"/>
          <w:szCs w:val="20"/>
          <w:color w:val="auto"/>
        </w:rPr>
      </w:pPr>
    </w:p>
    <w:p>
      <w:pPr>
        <w:ind w:left="520" w:right="120" w:hanging="255"/>
        <w:spacing w:after="0" w:line="308" w:lineRule="auto"/>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38" w:lineRule="exact"/>
        <w:rPr>
          <w:rFonts w:ascii="Arial" w:cs="Arial" w:eastAsia="Arial" w:hAnsi="Arial"/>
          <w:sz w:val="17"/>
          <w:szCs w:val="17"/>
          <w:color w:val="auto"/>
        </w:rPr>
      </w:pPr>
    </w:p>
    <w:p>
      <w:pPr>
        <w:ind w:left="520" w:hanging="255"/>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ind w:right="160" w:firstLine="259"/>
        <w:spacing w:after="0" w:line="286" w:lineRule="auto"/>
        <w:rPr>
          <w:sz w:val="20"/>
          <w:szCs w:val="20"/>
          <w:color w:val="auto"/>
        </w:rPr>
      </w:pPr>
      <w:r>
        <w:rPr>
          <w:rFonts w:ascii="Arial" w:cs="Arial" w:eastAsia="Arial" w:hAnsi="Arial"/>
          <w:sz w:val="17"/>
          <w:szCs w:val="17"/>
          <w:color w:val="auto"/>
        </w:rPr>
        <w:t>On October 23, 2014, we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October 2, 2015, we entered into a fourth amendment to the Revolving Credit Facility:</w:t>
      </w:r>
    </w:p>
    <w:p>
      <w:pPr>
        <w:spacing w:after="0" w:line="117" w:lineRule="exact"/>
        <w:rPr>
          <w:sz w:val="20"/>
          <w:szCs w:val="20"/>
          <w:color w:val="auto"/>
        </w:rPr>
      </w:pPr>
    </w:p>
    <w:p>
      <w:pPr>
        <w:ind w:left="520" w:right="120" w:hanging="255"/>
        <w:spacing w:after="0" w:line="264"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decreasing the applicable margin with respect to (i) any loan bearing interest at a rate determined by reference to the Alternate Base Rate from 1.00% to 0.75% and (ii) any loan bearing interest at a rate determined by reference to the Adjusted LIBO Rate from 2.00% to 1.75%, in each case, if the Borrowing Base is equal to or greater than 1.85 times the Combined Debt Amount;</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increasing the aggregate commitments from $781.3 million to $821.3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extending the revolving period from October 17, 2018 to October 2, 2019;</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extending the stated maturity date from October 17, 2019 to October 2, 2020; and</w:t>
      </w:r>
    </w:p>
    <w:p>
      <w:pPr>
        <w:spacing w:after="0" w:line="117" w:lineRule="exact"/>
        <w:rPr>
          <w:rFonts w:ascii="Arial" w:cs="Arial" w:eastAsia="Arial" w:hAnsi="Arial"/>
          <w:sz w:val="18"/>
          <w:szCs w:val="18"/>
          <w:color w:val="auto"/>
        </w:rPr>
      </w:pPr>
    </w:p>
    <w:p>
      <w:pPr>
        <w:ind w:left="520" w:right="100" w:hanging="255"/>
        <w:spacing w:after="0" w:line="277"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increasing the accordion feature, which allows us, under certain circumstances, to increase the size of the Revolving Credit Facility, from a maximum of $956.3 million to a maximum of $1.25 billion.</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December 10, 2015, TPG SL SPV, LLC became a guarantor under the Revolving Credit Facility.</w:t>
      </w:r>
    </w:p>
    <w:p>
      <w:pPr>
        <w:spacing w:after="0" w:line="225" w:lineRule="exact"/>
        <w:rPr>
          <w:sz w:val="20"/>
          <w:szCs w:val="20"/>
          <w:color w:val="auto"/>
        </w:rPr>
      </w:pPr>
    </w:p>
    <w:p>
      <w:pPr>
        <w:ind w:right="240" w:firstLine="259"/>
        <w:spacing w:after="0" w:line="264" w:lineRule="auto"/>
        <w:rPr>
          <w:sz w:val="20"/>
          <w:szCs w:val="20"/>
          <w:color w:val="auto"/>
        </w:rPr>
      </w:pPr>
      <w:r>
        <w:rPr>
          <w:rFonts w:ascii="Arial" w:cs="Arial" w:eastAsia="Arial" w:hAnsi="Arial"/>
          <w:sz w:val="18"/>
          <w:szCs w:val="18"/>
          <w:color w:val="auto"/>
        </w:rPr>
        <w:t>We may borrow amounts in U.S. dollars or certain other permitted currencies. As of March 31, 2016, we had outstanding debt denominated in Swedish Krona (SEK) of 192.6 million, Euro (EUR) of 41.9 million and Pound Sterling (GBP) of 21.0 million on our Revolving Credit Facility, included in the Outstanding Principal amount in the table above.</w:t>
      </w:r>
    </w:p>
    <w:p>
      <w:pPr>
        <w:spacing w:after="0" w:line="181" w:lineRule="exact"/>
        <w:rPr>
          <w:sz w:val="20"/>
          <w:szCs w:val="20"/>
          <w:color w:val="auto"/>
        </w:rPr>
      </w:pPr>
    </w:p>
    <w:p>
      <w:pPr>
        <w:jc w:val="both"/>
        <w:ind w:right="60" w:firstLine="259"/>
        <w:spacing w:after="0" w:line="259"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87"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The Revolving Credit Facility is guaranteed by TPG SL SPV, LLC, TC Lending, LLC and TSL MR, LLC and may be guaranteed by certain domestic subsidiaries in the future. The Revolving Credit Facility is secured by a perfected first-priority security interest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3" w:name="page54"/>
    <w:bookmarkEnd w:id="53"/>
    <w:p>
      <w:pPr>
        <w:ind w:right="20"/>
        <w:spacing w:after="0" w:line="277" w:lineRule="auto"/>
        <w:rPr>
          <w:sz w:val="20"/>
          <w:szCs w:val="20"/>
          <w:color w:val="auto"/>
        </w:rPr>
      </w:pPr>
      <w:r>
        <w:rPr>
          <w:rFonts w:ascii="Arial" w:cs="Arial" w:eastAsia="Arial" w:hAnsi="Arial"/>
          <w:sz w:val="18"/>
          <w:szCs w:val="18"/>
          <w:color w:val="auto"/>
        </w:rPr>
        <w:t>substantially all the portfolio investments held by us and each guarantor. Proceeds from borrowings may be used for general corporate purposes, including the funding of portfolio investments.</w:t>
      </w:r>
    </w:p>
    <w:p>
      <w:pPr>
        <w:spacing w:after="0" w:line="170"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62" w:lineRule="exact"/>
        <w:rPr>
          <w:sz w:val="20"/>
          <w:szCs w:val="20"/>
          <w:color w:val="auto"/>
        </w:rPr>
      </w:pPr>
    </w:p>
    <w:p>
      <w:pPr>
        <w:ind w:left="520" w:hanging="255"/>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17" w:lineRule="exact"/>
        <w:rPr>
          <w:rFonts w:ascii="Arial" w:cs="Arial" w:eastAsia="Arial" w:hAnsi="Arial"/>
          <w:sz w:val="18"/>
          <w:szCs w:val="18"/>
          <w:color w:val="auto"/>
        </w:rPr>
      </w:pPr>
    </w:p>
    <w:p>
      <w:pPr>
        <w:ind w:left="520" w:right="60" w:hanging="255"/>
        <w:spacing w:after="0" w:line="277"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liquidity test under which we must maintain cash and liquid investments of at least 10% of the covered debt amount under circumstances where our adjusted covered debt balance is greater than 90% of our adjusted borrowing base under the facility;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October 2, 2015.</w:t>
      </w:r>
    </w:p>
    <w:p>
      <w:pPr>
        <w:spacing w:after="0" w:line="225"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Net proceeds received from our IPO, the exercise of the underwriters’ over-allotment option from the IPO, and net proceeds received from the issuance of the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firstLine="259"/>
        <w:spacing w:after="0" w:line="291" w:lineRule="auto"/>
        <w:rPr>
          <w:sz w:val="20"/>
          <w:szCs w:val="20"/>
          <w:color w:val="auto"/>
        </w:rPr>
      </w:pPr>
      <w:r>
        <w:rPr>
          <w:rFonts w:ascii="Arial" w:cs="Arial" w:eastAsia="Arial" w:hAnsi="Arial"/>
          <w:sz w:val="16"/>
          <w:szCs w:val="16"/>
          <w:color w:val="auto"/>
        </w:rPr>
        <w:t>On May 8, 2012, the Closing Date, our wholly owned subsidiary, TPG SL SPV, LLC, entered into a credit and security agreement with Natixis, New York Branch. Also on May 8, 2012, we contributed certain investments to TPG SL SPV pursuant to the terms of a Master Sale and Contribution Agreement by and between us and TPG SL SPV. We consolidate TPG SL SPV in our consolidated financial statements, and no gain or loss was recognized as a result of the contribution. Proceeds from the SPV Asset Facility were permitted to be used to finance the acquisition of eligible assets by TPG SL SPV, including the purchase of such assets from us. We retain a residual interest in assets contributed to or acquired by TPG SL SPV through our ownership of TPG SL SPV. The facility size was subject to availability under the borrowing base, which was based on the amount of TPG SL SPV’s assets from time to time, and satisfaction of certain conditions, including an asset coverage test, an asset quality test and certain concentration limits.</w:t>
      </w:r>
    </w:p>
    <w:p>
      <w:pPr>
        <w:spacing w:after="0" w:line="167" w:lineRule="exact"/>
        <w:rPr>
          <w:sz w:val="20"/>
          <w:szCs w:val="20"/>
          <w:color w:val="auto"/>
        </w:rPr>
      </w:pPr>
    </w:p>
    <w:p>
      <w:pPr>
        <w:ind w:right="80" w:firstLine="259"/>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The reinvestment period was subsequently reopened for the period from January 21, 2014 to January 21, 2015, thereby extending the Commitment Termination Date to January 21, 2015. Proceeds received by TPG SL SPV from interest, dividends or fees on assets were required to be used to pay expenses and interest on outstanding borrowings, and the excess could be returned to us,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were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67" w:lineRule="exact"/>
        <w:rPr>
          <w:sz w:val="20"/>
          <w:szCs w:val="20"/>
          <w:color w:val="auto"/>
        </w:rPr>
      </w:pPr>
    </w:p>
    <w:p>
      <w:pPr>
        <w:ind w:right="280" w:firstLine="259"/>
        <w:spacing w:after="0" w:line="264" w:lineRule="auto"/>
        <w:rPr>
          <w:sz w:val="20"/>
          <w:szCs w:val="20"/>
          <w:color w:val="auto"/>
        </w:rPr>
      </w:pPr>
      <w:r>
        <w:rPr>
          <w:rFonts w:ascii="Arial" w:cs="Arial" w:eastAsia="Arial" w:hAnsi="Arial"/>
          <w:sz w:val="18"/>
          <w:szCs w:val="18"/>
          <w:color w:val="auto"/>
        </w:rPr>
        <w:t>After giving effect to amendments to the credit and security agreement in January 2014 and March 2015, the facility had commitments of $175 million and the pricing ranged from cost of funds plus 225 basis points to LIBOR plus 235 basis points and the facility was scheduled to mature on January 21, 2021.</w:t>
      </w:r>
    </w:p>
    <w:p>
      <w:pPr>
        <w:spacing w:after="0" w:line="181" w:lineRule="exact"/>
        <w:rPr>
          <w:sz w:val="20"/>
          <w:szCs w:val="20"/>
          <w:color w:val="auto"/>
        </w:rPr>
      </w:pPr>
    </w:p>
    <w:p>
      <w:pPr>
        <w:ind w:right="340" w:firstLine="259"/>
        <w:spacing w:after="0" w:line="257" w:lineRule="auto"/>
        <w:rPr>
          <w:sz w:val="20"/>
          <w:szCs w:val="20"/>
          <w:color w:val="auto"/>
        </w:rPr>
      </w:pPr>
      <w:r>
        <w:rPr>
          <w:rFonts w:ascii="Arial" w:cs="Arial" w:eastAsia="Arial" w:hAnsi="Arial"/>
          <w:sz w:val="18"/>
          <w:szCs w:val="18"/>
          <w:color w:val="auto"/>
        </w:rPr>
        <w:t>The undrawn portion of the commitment bore an unutilized commitment fee of 0.75%. This fee ceased to accrue on January 21, 2015 when the reinvestment period ended. The SPV Asset Facility contained customary covenants, including covenants relating to separateness from the Adviser and its affiliates and long-term credit ratings with respect to the underlying collateral obligations, and events of default. The SPV Asset Facility was secured by a perfected first priority security interest in the assets of TPG SL SPV and on any payments received by TPG SL SPV in respect of such assets, which accordingly were not available to pay our other debt obligations.</w:t>
      </w:r>
    </w:p>
    <w:p>
      <w:pPr>
        <w:spacing w:after="0" w:line="188" w:lineRule="exact"/>
        <w:rPr>
          <w:sz w:val="20"/>
          <w:szCs w:val="20"/>
          <w:color w:val="auto"/>
        </w:rPr>
      </w:pPr>
    </w:p>
    <w:p>
      <w:pPr>
        <w:ind w:firstLine="259"/>
        <w:spacing w:after="0" w:line="308" w:lineRule="auto"/>
        <w:rPr>
          <w:sz w:val="20"/>
          <w:szCs w:val="20"/>
          <w:color w:val="auto"/>
        </w:rPr>
      </w:pPr>
      <w:r>
        <w:rPr>
          <w:rFonts w:ascii="Arial" w:cs="Arial" w:eastAsia="Arial" w:hAnsi="Arial"/>
          <w:sz w:val="17"/>
          <w:szCs w:val="17"/>
          <w:color w:val="auto"/>
        </w:rPr>
        <w:t>On September 25, 2015, TPG SL SPV prepaid all loans outstanding under the facility and the facility was terminated. Upon termination of the facility, the security interests in the assets of TPG SL SPV and on payments received by TPG SL SPV in respect of such assets were released.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1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On June 10, 2014, we issued in a private offering $115 million aggregate principal amount convertible senior notes due December 2019, or the Convertible Senior Notes. The Convertible Senior Notes were issued in a private placement only to qualified institutional buyers pursuant to Rule 144A under the Securities Act. The Convertible Senior Notes are unsecured and bear interest at a rate of 4.50% per year, payable semiannually. The Convertible Senior Notes will mature on December 15, 2019. In certain circumstances,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4" w:name="page55"/>
    <w:bookmarkEnd w:id="54"/>
    <w:p>
      <w:pPr>
        <w:spacing w:after="0" w:line="272" w:lineRule="auto"/>
        <w:rPr>
          <w:sz w:val="20"/>
          <w:szCs w:val="20"/>
          <w:color w:val="auto"/>
        </w:rPr>
      </w:pPr>
      <w:r>
        <w:rPr>
          <w:rFonts w:ascii="Arial" w:cs="Arial" w:eastAsia="Arial" w:hAnsi="Arial"/>
          <w:sz w:val="17"/>
          <w:szCs w:val="17"/>
          <w:color w:val="auto"/>
        </w:rPr>
        <w:t>Convertible Senior Notes will be convertible into cash, shares of our common stock or a combination of cash and shares of our common stock, at our election, at an initial conversion rate of 38.7162 shares of common stock per $1,000 principal amount of Convertible Senior Notes, which is equivalent to an initial conversion price of approximately $25.83 per share of our common stock, subject to customary anti-dilution adjustments. The sale of the Convertible Senior Notes generated net proceeds of approximately $110.8 million. We used the net proceeds of the offering to pay down debt under the Revolving Credit Facility. In connection with the offering of Convertible Senior Notes, we have entered into interest rate swaps to continue to align the interest rates of our liabilities with our investment portfolio, which consists of predominately floating rate loans. As a result of the swaps, our effective interest rate on the Convertible Senior Notes is three-month LIBOR plus 286 basis points.</w:t>
      </w:r>
    </w:p>
    <w:p>
      <w:pPr>
        <w:spacing w:after="0" w:line="178" w:lineRule="exact"/>
        <w:rPr>
          <w:sz w:val="20"/>
          <w:szCs w:val="20"/>
          <w:color w:val="auto"/>
        </w:rPr>
      </w:pPr>
    </w:p>
    <w:p>
      <w:pPr>
        <w:ind w:right="80" w:firstLine="259"/>
        <w:spacing w:after="0" w:line="289" w:lineRule="auto"/>
        <w:rPr>
          <w:sz w:val="20"/>
          <w:szCs w:val="20"/>
          <w:color w:val="auto"/>
        </w:rPr>
      </w:pPr>
      <w:r>
        <w:rPr>
          <w:rFonts w:ascii="Arial" w:cs="Arial" w:eastAsia="Arial" w:hAnsi="Arial"/>
          <w:sz w:val="16"/>
          <w:szCs w:val="16"/>
          <w:color w:val="auto"/>
        </w:rPr>
        <w:t>Holders may convert their Convertible Senior Notes at their option at any time prior to June 15, 2019 only under the following circumstances: (1) 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or the measurement period, in which the trading price (as defined in the indenture governing the Convertible Senior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67" w:lineRule="exact"/>
        <w:rPr>
          <w:sz w:val="20"/>
          <w:szCs w:val="20"/>
          <w:color w:val="auto"/>
        </w:rPr>
      </w:pPr>
    </w:p>
    <w:p>
      <w:pPr>
        <w:ind w:right="200" w:firstLine="259"/>
        <w:spacing w:after="0" w:line="302" w:lineRule="auto"/>
        <w:rPr>
          <w:sz w:val="20"/>
          <w:szCs w:val="20"/>
          <w:color w:val="auto"/>
        </w:rPr>
      </w:pPr>
      <w:r>
        <w:rPr>
          <w:rFonts w:ascii="Arial" w:cs="Arial" w:eastAsia="Arial" w:hAnsi="Arial"/>
          <w:sz w:val="16"/>
          <w:szCs w:val="16"/>
          <w:color w:val="auto"/>
        </w:rPr>
        <w:t>The notes are senior unsecured obligations and rank senior in right of payment to our future indebtedness that is expressly subordinated in right of payment to the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54" w:lineRule="exact"/>
        <w:rPr>
          <w:sz w:val="20"/>
          <w:szCs w:val="20"/>
          <w:color w:val="auto"/>
        </w:rPr>
      </w:pPr>
    </w:p>
    <w:p>
      <w:pPr>
        <w:ind w:right="480" w:firstLine="259"/>
        <w:spacing w:after="0" w:line="277" w:lineRule="auto"/>
        <w:rPr>
          <w:sz w:val="20"/>
          <w:szCs w:val="20"/>
          <w:color w:val="auto"/>
        </w:rPr>
      </w:pPr>
      <w:r>
        <w:rPr>
          <w:rFonts w:ascii="Arial" w:cs="Arial" w:eastAsia="Arial" w:hAnsi="Arial"/>
          <w:sz w:val="18"/>
          <w:szCs w:val="18"/>
          <w:color w:val="auto"/>
        </w:rPr>
        <w:t>As of March 31, 2016, the principal amount of the Convertible Senior Notes exceeded the value of the underlying shares multiplied by the per share closing price of our common stock.</w:t>
      </w:r>
    </w:p>
    <w:p>
      <w:pPr>
        <w:spacing w:after="0" w:line="170" w:lineRule="exact"/>
        <w:rPr>
          <w:sz w:val="20"/>
          <w:szCs w:val="20"/>
          <w:color w:val="auto"/>
        </w:rPr>
      </w:pPr>
    </w:p>
    <w:p>
      <w:pPr>
        <w:ind w:right="140" w:firstLine="259"/>
        <w:spacing w:after="0" w:line="279" w:lineRule="auto"/>
        <w:rPr>
          <w:sz w:val="20"/>
          <w:szCs w:val="20"/>
          <w:color w:val="auto"/>
        </w:rPr>
      </w:pPr>
      <w:r>
        <w:rPr>
          <w:rFonts w:ascii="Arial" w:cs="Arial" w:eastAsia="Arial" w:hAnsi="Arial"/>
          <w:sz w:val="17"/>
          <w:szCs w:val="17"/>
          <w:color w:val="auto"/>
        </w:rPr>
        <w:t>The Convertible Senior Notes Indenture contains certain covenants, including covenants requiring us to comply with the requirement under the 1940 Act that our asset coverage ratio, as defined in the 1940 Act, equal at least 200% and to provide financial information to the holders of the Convertible Senior Notes under certain circumstances. These covenants are subject to important limitations and exceptions that are described in the Convertible Senior Notes Indenture. As of March 31, 2016, we were in compliance with the terms of the Convertible Senior Notes Indenture.</w:t>
      </w:r>
    </w:p>
    <w:p>
      <w:pPr>
        <w:spacing w:after="0" w:line="171"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The Convertible Senior Notes are accounted for in accordance with Accounting Standards Codification (“ASC”) 470-20. Upon conversion of any of the Convertible Senior Notes, we intend to pay 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Convertible Senior Notes Indenture. We have determined that the embedded conversion options in the Convertible Senior Notes are not required to be separately accounted for as a derivative under U.S. GAAP. In accounting for the Convertible Senior Notes, we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March 31, 2016 and December 31, 2015, we had the following commitments to fund investments:</w:t>
      </w:r>
    </w:p>
    <w:p>
      <w:pPr>
        <w:spacing w:after="0" w:line="19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340" w:type="dxa"/>
            <w:vAlign w:val="bottom"/>
          </w:tcPr>
          <w:p>
            <w:pPr>
              <w:spacing w:after="0"/>
              <w:rPr>
                <w:sz w:val="20"/>
                <w:szCs w:val="20"/>
                <w:color w:val="auto"/>
              </w:rPr>
            </w:pPr>
            <w:r>
              <w:rPr>
                <w:rFonts w:ascii="Arial" w:cs="Arial" w:eastAsia="Arial" w:hAnsi="Arial"/>
                <w:sz w:val="14"/>
                <w:szCs w:val="14"/>
                <w:color w:val="auto"/>
              </w:rPr>
              <w:t>($ in millions)</w:t>
            </w:r>
          </w:p>
        </w:tc>
        <w:tc>
          <w:tcPr>
            <w:tcW w:w="11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March 31, 2016</w:t>
            </w:r>
          </w:p>
        </w:tc>
        <w:tc>
          <w:tcPr>
            <w:tcW w:w="24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 2015</w:t>
            </w: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AppStar Financial, LLC - Revolver</w:t>
            </w:r>
          </w:p>
        </w:tc>
        <w:tc>
          <w:tcPr>
            <w:tcW w:w="440" w:type="dxa"/>
            <w:vAlign w:val="bottom"/>
            <w:tcBorders>
              <w:top w:val="single" w:sz="8" w:color="auto"/>
            </w:tcBorders>
            <w:shd w:val="clear" w:color="auto" w:fill="CFF0FC"/>
          </w:tcPr>
          <w:p>
            <w:pPr>
              <w:jc w:val="right"/>
              <w:ind w:right="28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AvidXchange, Inc. - Delayed Draw Term Loan</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Clarabridge, Inc. - Revolver</w:t>
            </w: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FF0FC"/>
          </w:tcPr>
          <w:p>
            <w:pPr>
              <w:spacing w:after="0"/>
              <w:rPr>
                <w:sz w:val="19"/>
                <w:szCs w:val="19"/>
                <w:color w:val="auto"/>
              </w:rPr>
            </w:pPr>
          </w:p>
        </w:tc>
      </w:tr>
      <w:tr>
        <w:trPr>
          <w:trHeight w:val="215"/>
        </w:trPr>
        <w:tc>
          <w:tcPr>
            <w:tcW w:w="5340" w:type="dxa"/>
            <w:vAlign w:val="bottom"/>
          </w:tcPr>
          <w:p>
            <w:pPr>
              <w:spacing w:after="0"/>
              <w:rPr>
                <w:sz w:val="20"/>
                <w:szCs w:val="20"/>
                <w:color w:val="auto"/>
              </w:rPr>
            </w:pPr>
            <w:r>
              <w:rPr>
                <w:rFonts w:ascii="Arial" w:cs="Arial" w:eastAsia="Arial" w:hAnsi="Arial"/>
                <w:sz w:val="18"/>
                <w:szCs w:val="18"/>
                <w:color w:val="auto"/>
              </w:rPr>
              <w:t>CrunchTime Information Systems, Inc. - Delayed Draw</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340" w:type="dxa"/>
            <w:vAlign w:val="bottom"/>
          </w:tcPr>
          <w:p>
            <w:pPr>
              <w:ind w:left="140"/>
              <w:spacing w:after="0"/>
              <w:rPr>
                <w:sz w:val="20"/>
                <w:szCs w:val="20"/>
                <w:color w:val="auto"/>
              </w:rPr>
            </w:pPr>
            <w:r>
              <w:rPr>
                <w:rFonts w:ascii="Arial" w:cs="Arial" w:eastAsia="Arial" w:hAnsi="Arial"/>
                <w:sz w:val="18"/>
                <w:szCs w:val="18"/>
                <w:color w:val="auto"/>
              </w:rPr>
              <w:t>Term Loan</w:t>
            </w:r>
          </w:p>
        </w:tc>
        <w:tc>
          <w:tcPr>
            <w:tcW w:w="4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20"/>
                <w:szCs w:val="20"/>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CrunchTime Information Systems, Inc. - Revolver</w:t>
            </w: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Ecommerce Industries, Inc. - Delayed Draw Term Loan</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Ecommerce Industries, Inc. - Revolver</w:t>
            </w: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Heartland Automotive Holdings, LLC - Revolver</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Helix Health Ltd. - Revolver</w:t>
            </w: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Highwinds Capital, Inc. - Revolver</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IRGSE Holding Corp. - Revolver</w:t>
            </w: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Leaf US Holdings, Inc. - Revolver</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My Alarm Center, LLC - Delayed Draw</w:t>
            </w: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Network Merchants, Inc. - Revolver</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PayLease, LLC - Revolver</w:t>
            </w: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ScentAir Technologies, Inc. - Multi Draw Term Loan</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ScentAir Technologies, Inc. - Revolver</w:t>
            </w: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FF0FC"/>
          </w:tcPr>
          <w:p>
            <w:pPr>
              <w:spacing w:after="0"/>
              <w:rPr>
                <w:sz w:val="19"/>
                <w:szCs w:val="19"/>
                <w:color w:val="auto"/>
              </w:rPr>
            </w:pPr>
          </w:p>
        </w:tc>
      </w:tr>
      <w:tr>
        <w:trPr>
          <w:trHeight w:val="230"/>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Sears - ABL Revolver</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60" w:type="dxa"/>
            <w:vAlign w:val="bottom"/>
            <w:tcBorders>
              <w:bottom w:val="single" w:sz="8" w:color="CFF0FC"/>
            </w:tcBorders>
          </w:tcPr>
          <w:p>
            <w:pPr>
              <w:spacing w:after="0"/>
              <w:rPr>
                <w:sz w:val="19"/>
                <w:szCs w:val="19"/>
                <w:color w:val="auto"/>
              </w:rPr>
            </w:pPr>
          </w:p>
        </w:tc>
      </w:tr>
      <w:tr>
        <w:trPr>
          <w:trHeight w:val="223"/>
        </w:trPr>
        <w:tc>
          <w:tcPr>
            <w:tcW w:w="53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440" w:type="dxa"/>
            <w:vAlign w:val="bottom"/>
            <w:tcBorders>
              <w:bottom w:val="single" w:sz="8" w:color="auto"/>
            </w:tcBorders>
            <w:shd w:val="clear" w:color="auto" w:fill="CFF0FC"/>
          </w:tcPr>
          <w:p>
            <w:pPr>
              <w:jc w:val="right"/>
              <w:ind w:right="28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2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180" w:firstLine="259"/>
        <w:spacing w:after="0" w:line="259" w:lineRule="auto"/>
        <w:rPr>
          <w:sz w:val="20"/>
          <w:szCs w:val="20"/>
          <w:color w:val="auto"/>
        </w:rPr>
      </w:pPr>
      <w:r>
        <w:rPr>
          <w:rFonts w:ascii="Arial" w:cs="Arial" w:eastAsia="Arial" w:hAnsi="Arial"/>
          <w:sz w:val="18"/>
          <w:szCs w:val="18"/>
          <w:color w:val="auto"/>
        </w:rPr>
        <w:t>We may become a party to financial instruments with off-balance sheet risk in the normal course of our business to meet the financial needs of our portfolio companies. These instruments may include commitments to extend credit and involve, to varying degrees, elements of liquidity and credit risk in excess of the amount recognized in the balance sheet. As of March 31, 2016 and December 31, 2015, we had outstanding commitments to fund investments totaling $68.0 million and $78.6 million, respectively.</w:t>
      </w:r>
    </w:p>
    <w:p>
      <w:pPr>
        <w:spacing w:after="0" w:line="187"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including rent,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our contractual payment obligations as of March 31, 2016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4"/>
                <w:szCs w:val="14"/>
                <w:b w:val="1"/>
                <w:bCs w:val="1"/>
                <w:color w:val="auto"/>
                <w:w w:val="92"/>
              </w:rPr>
              <w:t>Payments Due by Period</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7"/>
              <w:spacing w:after="0" w:line="147" w:lineRule="exact"/>
              <w:rPr>
                <w:sz w:val="20"/>
                <w:szCs w:val="20"/>
                <w:color w:val="auto"/>
              </w:rPr>
            </w:pPr>
            <w:r>
              <w:rPr>
                <w:rFonts w:ascii="Arial" w:cs="Arial" w:eastAsia="Arial" w:hAnsi="Arial"/>
                <w:sz w:val="14"/>
                <w:szCs w:val="14"/>
                <w:b w:val="1"/>
                <w:bCs w:val="1"/>
                <w:color w:val="auto"/>
                <w:w w:val="88"/>
              </w:rPr>
              <w:t>Less than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28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220" w:type="dxa"/>
            <w:vAlign w:val="bottom"/>
          </w:tcPr>
          <w:p>
            <w:pPr>
              <w:spacing w:after="0"/>
              <w:rPr>
                <w:sz w:val="14"/>
                <w:szCs w:val="14"/>
                <w:color w:val="auto"/>
              </w:rPr>
            </w:pPr>
          </w:p>
        </w:tc>
        <w:tc>
          <w:tcPr>
            <w:tcW w:w="80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1 year</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1-3 years</w:t>
            </w: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After 5 years</w:t>
            </w:r>
          </w:p>
        </w:tc>
      </w:tr>
      <w:tr>
        <w:trPr>
          <w:trHeight w:val="223"/>
        </w:trPr>
        <w:tc>
          <w:tcPr>
            <w:tcW w:w="5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Convertible Senior Notes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Total Contractual Obligations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240" w:firstLine="259"/>
        <w:spacing w:after="0" w:line="34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16" w:lineRule="exact"/>
        <w:rPr>
          <w:sz w:val="20"/>
          <w:szCs w:val="20"/>
          <w:color w:val="auto"/>
        </w:rPr>
      </w:pPr>
    </w:p>
    <w:p>
      <w:pPr>
        <w:ind w:left="520" w:right="140" w:hanging="255"/>
        <w:spacing w:after="0" w:line="277"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net tax-exempt interest income (which is the excess of our gross tax exempt interest income over certain disallowed deductions) for such taxable year.</w:t>
      </w:r>
    </w:p>
    <w:p>
      <w:pPr>
        <w:spacing w:after="0" w:line="248"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jc w:val="both"/>
        <w:ind w:right="440" w:firstLine="259"/>
        <w:spacing w:after="0" w:line="264"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1" w:lineRule="exact"/>
        <w:rPr>
          <w:sz w:val="20"/>
          <w:szCs w:val="20"/>
          <w:color w:val="auto"/>
        </w:rPr>
      </w:pPr>
    </w:p>
    <w:p>
      <w:pPr>
        <w:ind w:right="100" w:firstLine="259"/>
        <w:spacing w:after="0" w:line="34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16" w:lineRule="exact"/>
        <w:rPr>
          <w:sz w:val="20"/>
          <w:szCs w:val="20"/>
          <w:color w:val="auto"/>
        </w:rPr>
      </w:pPr>
    </w:p>
    <w:p>
      <w:pPr>
        <w:ind w:left="520" w:hanging="255"/>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17" w:lineRule="exact"/>
        <w:rPr>
          <w:rFonts w:ascii="Arial" w:cs="Arial" w:eastAsia="Arial" w:hAnsi="Arial"/>
          <w:sz w:val="18"/>
          <w:szCs w:val="18"/>
          <w:color w:val="auto"/>
        </w:rPr>
      </w:pPr>
    </w:p>
    <w:p>
      <w:pPr>
        <w:ind w:left="520" w:right="140" w:hanging="255"/>
        <w:spacing w:after="0" w:line="277"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1"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7" w:name="page58"/>
    <w:bookmarkEnd w:id="57"/>
    <w:p>
      <w:pPr>
        <w:ind w:right="200" w:firstLine="259"/>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20" w:hanging="255"/>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17" w:lineRule="exact"/>
        <w:rPr>
          <w:rFonts w:ascii="Arial" w:cs="Arial" w:eastAsia="Arial" w:hAnsi="Arial"/>
          <w:sz w:val="18"/>
          <w:szCs w:val="18"/>
          <w:color w:val="auto"/>
        </w:rPr>
      </w:pPr>
    </w:p>
    <w:p>
      <w:pPr>
        <w:ind w:left="520" w:right="100" w:hanging="255"/>
        <w:spacing w:after="0" w:line="264"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20" w:firstLine="259"/>
        <w:spacing w:after="0" w:line="302" w:lineRule="auto"/>
        <w:rPr>
          <w:sz w:val="20"/>
          <w:szCs w:val="20"/>
          <w:color w:val="auto"/>
        </w:rPr>
      </w:pPr>
      <w:r>
        <w:rPr>
          <w:rFonts w:ascii="Arial" w:cs="Arial" w:eastAsia="Arial" w:hAnsi="Arial"/>
          <w:sz w:val="16"/>
          <w:szCs w:val="16"/>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2015, filed with the SEC on February 24, 2016, and elsewhere in our filings with the SEC.</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259"/>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7" w:lineRule="exact"/>
        <w:rPr>
          <w:sz w:val="20"/>
          <w:szCs w:val="20"/>
          <w:color w:val="auto"/>
        </w:rPr>
      </w:pPr>
    </w:p>
    <w:p>
      <w:pPr>
        <w:ind w:right="700" w:firstLine="259"/>
        <w:spacing w:after="0" w:line="264"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1"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As of March 31, 2016, 96.2% of our debt investments based on fair value in our portfolio bore interest at floating rates (when including investment specific hedges), with 94.2% of these subject to interest rate floors. Our credit facilities also bear interest at floating rates. In connection with our Convertible Senior Notes, which bear interest at a fixed rate, we have entered into fixed-to-floating interest rate swaps in order to continue to align the interest rates of our liabilities with our investment portfolio.</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8" w:name="page59"/>
    <w:bookmarkEnd w:id="58"/>
    <w:p>
      <w:pPr>
        <w:jc w:val="both"/>
        <w:ind w:right="60" w:firstLine="259"/>
        <w:spacing w:after="0" w:line="264" w:lineRule="auto"/>
        <w:rPr>
          <w:sz w:val="20"/>
          <w:szCs w:val="20"/>
          <w:color w:val="auto"/>
        </w:rPr>
      </w:pPr>
      <w:r>
        <w:rPr>
          <w:rFonts w:ascii="Arial" w:cs="Arial" w:eastAsia="Arial" w:hAnsi="Arial"/>
          <w:sz w:val="18"/>
          <w:szCs w:val="18"/>
          <w:color w:val="auto"/>
        </w:rPr>
        <w:t>Assuming that our consolidated balance sheet as of March 31, 2016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8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Basis Point Change</w:t>
            </w:r>
          </w:p>
        </w:tc>
        <w:tc>
          <w:tcPr>
            <w:tcW w:w="120" w:type="dxa"/>
            <w:vAlign w:val="bottom"/>
          </w:tcPr>
          <w:p>
            <w:pPr>
              <w:spacing w:after="0"/>
              <w:rPr>
                <w:sz w:val="14"/>
                <w:szCs w:val="14"/>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Interest Income</w:t>
            </w:r>
          </w:p>
        </w:tc>
        <w:tc>
          <w:tcPr>
            <w:tcW w:w="8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 Expense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Net Income</w:t>
            </w:r>
          </w:p>
        </w:tc>
      </w:tr>
      <w:tr>
        <w:trPr>
          <w:trHeight w:val="223"/>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Up 300 basis points</w:t>
            </w: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Up 200 basis points</w:t>
            </w:r>
          </w:p>
        </w:tc>
        <w:tc>
          <w:tcPr>
            <w:tcW w:w="54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Up 100 basis points</w:t>
            </w:r>
          </w:p>
        </w:tc>
        <w:tc>
          <w:tcPr>
            <w:tcW w:w="540" w:type="dxa"/>
            <w:vAlign w:val="bottom"/>
            <w:gridSpan w:val="2"/>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Down 25 basis points</w:t>
            </w:r>
          </w:p>
        </w:tc>
        <w:tc>
          <w:tcPr>
            <w:tcW w:w="54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0"/>
                <w:szCs w:val="20"/>
                <w:color w:val="auto"/>
              </w:rPr>
            </w:pPr>
          </w:p>
        </w:tc>
      </w:tr>
    </w:tbl>
    <w:p>
      <w:pPr>
        <w:spacing w:after="0" w:line="201"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right="120" w:firstLine="259"/>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b w:val="1"/>
          <w:bCs w:val="1"/>
          <w:i w:val="1"/>
          <w:iCs w:val="1"/>
          <w:color w:val="auto"/>
        </w:rPr>
        <w:t xml:space="preserve">Evaluation of Disclosure Controls and Procedures. </w:t>
      </w:r>
      <w:r>
        <w:rPr>
          <w:rFonts w:ascii="Arial" w:cs="Arial" w:eastAsia="Arial" w:hAnsi="Arial"/>
          <w:sz w:val="17"/>
          <w:szCs w:val="17"/>
          <w:color w:val="auto"/>
        </w:rPr>
        <w:t>As of the end of the period covered by this report, we carried out an evaluation, under the supervision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with the participation of our management, including our Co-Chief Executive Officers and Chief Financial Officer, of the effectiveness of the design and operation of our disclosure controls and procedures (as defined in Rule 13a-15 under the Exchange Act). Based on that evaluation, our Co-Chief Executive Officers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73"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that occurred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PART II –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259"/>
        <w:spacing w:after="0" w:line="302" w:lineRule="auto"/>
        <w:rPr>
          <w:sz w:val="20"/>
          <w:szCs w:val="20"/>
          <w:color w:val="auto"/>
        </w:rPr>
      </w:pPr>
      <w:r>
        <w:rPr>
          <w:rFonts w:ascii="Arial" w:cs="Arial" w:eastAsia="Arial" w:hAnsi="Arial"/>
          <w:sz w:val="16"/>
          <w:szCs w:val="16"/>
          <w:color w:val="auto"/>
        </w:rPr>
        <w:t>In addition to the other information set forth in this report, you should carefully consider the risk factors discussed in Part I, “Item 1A. Risk Factors” in our Annual Report on Form 10-K for the fiscal year ended December 31, 2015 and the risk factors set forth below,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special risks associated with bankruptcy cases.</w:t>
      </w:r>
    </w:p>
    <w:p>
      <w:pPr>
        <w:spacing w:after="0" w:line="117" w:lineRule="exact"/>
        <w:rPr>
          <w:sz w:val="20"/>
          <w:szCs w:val="20"/>
          <w:color w:val="auto"/>
        </w:rPr>
      </w:pPr>
    </w:p>
    <w:p>
      <w:pPr>
        <w:ind w:right="260" w:firstLine="259"/>
        <w:spacing w:after="0" w:line="279" w:lineRule="auto"/>
        <w:rPr>
          <w:sz w:val="20"/>
          <w:szCs w:val="20"/>
          <w:color w:val="auto"/>
        </w:rPr>
      </w:pPr>
      <w:r>
        <w:rPr>
          <w:rFonts w:ascii="Arial" w:cs="Arial" w:eastAsia="Arial" w:hAnsi="Arial"/>
          <w:sz w:val="17"/>
          <w:szCs w:val="17"/>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w:t>
      </w:r>
    </w:p>
    <w:p>
      <w:pPr>
        <w:spacing w:after="0" w:line="63"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80" w:lineRule="exact"/>
        <w:rPr>
          <w:sz w:val="20"/>
          <w:szCs w:val="20"/>
          <w:color w:val="auto"/>
        </w:rPr>
      </w:pPr>
    </w:p>
    <w:p>
      <w:pPr>
        <w:ind w:right="80" w:firstLine="259"/>
        <w:spacing w:after="0" w:line="255" w:lineRule="auto"/>
        <w:rPr>
          <w:sz w:val="20"/>
          <w:szCs w:val="20"/>
          <w:color w:val="auto"/>
        </w:rPr>
      </w:pPr>
      <w:r>
        <w:rPr>
          <w:rFonts w:ascii="Arial" w:cs="Arial" w:eastAsia="Arial" w:hAnsi="Arial"/>
          <w:sz w:val="18"/>
          <w:szCs w:val="18"/>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 To the extent we and an affiliate both hold investments in the same portfolio company that are of a different character, we may also face restrictions on our ability to become actively involved in the event that portfolio company becomes distressed as a result of the restrictions imposed on transactions involving affiliates under the 1940 Act. In such cases, we may be unable to exercise rights we may otherwise have to protect our interests as security holders in such portfolio company.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expose ourselves to risks when we engage in hedging transactions.</w:t>
      </w:r>
    </w:p>
    <w:p>
      <w:pPr>
        <w:spacing w:after="0" w:line="117" w:lineRule="exact"/>
        <w:rPr>
          <w:sz w:val="20"/>
          <w:szCs w:val="20"/>
          <w:color w:val="auto"/>
        </w:rPr>
      </w:pPr>
    </w:p>
    <w:p>
      <w:pPr>
        <w:ind w:right="160" w:firstLine="259"/>
        <w:spacing w:after="0" w:line="276" w:lineRule="auto"/>
        <w:rPr>
          <w:sz w:val="20"/>
          <w:szCs w:val="20"/>
          <w:color w:val="auto"/>
        </w:rPr>
      </w:pPr>
      <w:r>
        <w:rPr>
          <w:rFonts w:ascii="Arial" w:cs="Arial" w:eastAsia="Arial" w:hAnsi="Arial"/>
          <w:sz w:val="17"/>
          <w:szCs w:val="17"/>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counter-party credit risk. To the extent we have non-U.S. investments, particularly investments in non-U.S. denominated currencies, our hedging costs will increase.</w:t>
      </w:r>
    </w:p>
    <w:p>
      <w:pPr>
        <w:spacing w:after="0" w:line="173"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We also have the ability to borrow in certain foreign currencies under the second amended and restated senior secured revolving credit agreement, as amended, with SunTrust Bank, as administrative agent, and certain lenders, which we refer to as the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93" w:lineRule="exact"/>
        <w:rPr>
          <w:sz w:val="20"/>
          <w:szCs w:val="20"/>
          <w:color w:val="auto"/>
        </w:rPr>
      </w:pPr>
    </w:p>
    <w:p>
      <w:pPr>
        <w:ind w:right="440" w:firstLine="259"/>
        <w:spacing w:after="0" w:line="277" w:lineRule="auto"/>
        <w:rPr>
          <w:sz w:val="20"/>
          <w:szCs w:val="20"/>
          <w:color w:val="auto"/>
        </w:rPr>
      </w:pPr>
      <w:r>
        <w:rPr>
          <w:rFonts w:ascii="Arial" w:cs="Arial" w:eastAsia="Arial" w:hAnsi="Arial"/>
          <w:sz w:val="18"/>
          <w:szCs w:val="18"/>
          <w:color w:val="auto"/>
        </w:rPr>
        <w:t>Hedging against a decline in the values of our portfolio positions would not eliminate the possibility of fluctuations in the values of such positions or prevent losses if the values of such positions were to decline.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0" w:name="page61"/>
    <w:bookmarkEnd w:id="60"/>
    <w:p>
      <w:pPr>
        <w:ind w:right="200" w:firstLine="259"/>
        <w:spacing w:after="0" w:line="259" w:lineRule="auto"/>
        <w:rPr>
          <w:sz w:val="20"/>
          <w:szCs w:val="20"/>
          <w:color w:val="auto"/>
        </w:rPr>
      </w:pPr>
      <w:r>
        <w:rPr>
          <w:rFonts w:ascii="Arial" w:cs="Arial" w:eastAsia="Arial" w:hAnsi="Arial"/>
          <w:sz w:val="18"/>
          <w:szCs w:val="18"/>
          <w:color w:val="auto"/>
        </w:rPr>
        <w:t>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187" w:lineRule="exact"/>
        <w:rPr>
          <w:sz w:val="20"/>
          <w:szCs w:val="20"/>
          <w:color w:val="auto"/>
        </w:rPr>
      </w:pPr>
    </w:p>
    <w:p>
      <w:pPr>
        <w:ind w:firstLine="259"/>
        <w:spacing w:after="0" w:line="291" w:lineRule="auto"/>
        <w:rPr>
          <w:sz w:val="20"/>
          <w:szCs w:val="20"/>
          <w:color w:val="auto"/>
        </w:rPr>
      </w:pPr>
      <w:r>
        <w:rPr>
          <w:rFonts w:ascii="Arial" w:cs="Arial" w:eastAsia="Arial" w:hAnsi="Arial"/>
          <w:sz w:val="16"/>
          <w:szCs w:val="16"/>
          <w:color w:val="auto"/>
        </w:rPr>
        <w:t>The success of our hedging strategy will depend on our ability to correctly identify appropriate exposures for hedging. To date, we have entered into hedging transactions to seek to reduce currency exchange rate risk and interest rate risk related to specific portfolio companies. In addition, in connection with the offering of our Convertible Senior Notes, which bear interest at a fixed rate, we entered into fixed-to-floating interest rate swaps to continue to align the interest rates of our liabilities with our investment portfolio, which consists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67"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w:t>
      </w:r>
    </w:p>
    <w:p>
      <w:pPr>
        <w:spacing w:after="0" w:line="188" w:lineRule="exact"/>
        <w:rPr>
          <w:sz w:val="20"/>
          <w:szCs w:val="20"/>
          <w:color w:val="auto"/>
        </w:rPr>
      </w:pPr>
    </w:p>
    <w:p>
      <w:pPr>
        <w:ind w:right="80" w:firstLine="259"/>
        <w:spacing w:after="0" w:line="293" w:lineRule="auto"/>
        <w:rPr>
          <w:sz w:val="20"/>
          <w:szCs w:val="20"/>
          <w:color w:val="auto"/>
        </w:rPr>
      </w:pPr>
      <w:r>
        <w:rPr>
          <w:rFonts w:ascii="Arial" w:cs="Arial" w:eastAsia="Arial" w:hAnsi="Arial"/>
          <w:sz w:val="16"/>
          <w:szCs w:val="16"/>
          <w:color w:val="auto"/>
        </w:rPr>
        <w:t>In addition, recent and anticipated regulatory changes require that certain types of swaps, including interest rate and credit default swaps, be cleared and traded on regulated platforms, and these regulatory changes are expected to apply to foreign exchange transactions in the future. Cleared swaps, such as the interest rate swaps we entered into in connection with our Convertible Senior Notes offering, require us to post collateral. Any failure by us to fulfill any collateral requirement (e.g., a so-called “margin call”) may result in a default and could have a material adverse impact on our business, financial condition and results of operations. U.S. regulators have adopted rules imposing margin requirements for derivatives executed with registered swap dealers that are not cleared. These new requirements could significantly increase the cost of using non-cleared swaps to hedge our interest rate and foreign exchange risk.</w:t>
      </w:r>
    </w:p>
    <w:p>
      <w:pPr>
        <w:spacing w:after="0" w:line="165" w:lineRule="exact"/>
        <w:rPr>
          <w:sz w:val="20"/>
          <w:szCs w:val="20"/>
          <w:color w:val="auto"/>
        </w:rPr>
      </w:pPr>
    </w:p>
    <w:p>
      <w:pPr>
        <w:ind w:right="80" w:firstLine="259"/>
        <w:spacing w:after="0" w:line="272" w:lineRule="auto"/>
        <w:rPr>
          <w:sz w:val="20"/>
          <w:szCs w:val="20"/>
          <w:color w:val="auto"/>
        </w:rPr>
      </w:pPr>
      <w:r>
        <w:rPr>
          <w:rFonts w:ascii="Arial" w:cs="Arial" w:eastAsia="Arial" w:hAnsi="Arial"/>
          <w:sz w:val="17"/>
          <w:szCs w:val="17"/>
          <w:color w:val="auto"/>
        </w:rPr>
        <w:t>Finally, the SEC has issued a proposed rule, Rule 18f-4, that if adopted would potentially constrain our ability to use swaps and other derivatives. Among other requirements, the proposed rule could potentially force us to reduce our use of leverage if our aggregate exposure to swap or derivative positions, together with outstanding leverage and any financial commitments to our portfolio companies, exceeds 150 percent of our net asset value, absent an assessment that our use of derivatives reduces our actual portfolio risk. In addition, we may be required under the proposed rule to carry sufficient cash and cash equivalents to meet our actual, and in some cases, expected future, obligations under any swaps or derivatives we currently have in place, which could cause the returns on our overall portfolio to be lower as a result. We cannot assure you when or if the proposed rule will be adopted by the SEC, and if adopted, whether the final rule will similarly constrain our ability to utilize swaps and derivatives in the future.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The following table provides information regarding shares of our common stock repurchased by the Company for each month in the three month period ended March 31,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00" w:type="dxa"/>
            <w:vAlign w:val="bottom"/>
            <w:gridSpan w:val="2"/>
          </w:tcPr>
          <w:p>
            <w:pPr>
              <w:spacing w:after="0"/>
              <w:rPr>
                <w:sz w:val="20"/>
                <w:szCs w:val="20"/>
                <w:color w:val="auto"/>
              </w:rPr>
            </w:pPr>
            <w:r>
              <w:rPr>
                <w:rFonts w:ascii="Arial" w:cs="Arial" w:eastAsia="Arial" w:hAnsi="Arial"/>
                <w:sz w:val="14"/>
                <w:szCs w:val="14"/>
                <w:color w:val="auto"/>
              </w:rPr>
              <w:t>($ in thousands, except share and per share amounts)</w:t>
            </w:r>
          </w:p>
        </w:tc>
        <w:tc>
          <w:tcPr>
            <w:tcW w:w="1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24"/>
        </w:trPr>
        <w:tc>
          <w:tcPr>
            <w:tcW w:w="3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20" w:type="dxa"/>
            <w:vAlign w:val="bottom"/>
          </w:tcPr>
          <w:p>
            <w:pPr>
              <w:spacing w:after="0"/>
              <w:rPr>
                <w:sz w:val="12"/>
                <w:szCs w:val="12"/>
                <w:color w:val="auto"/>
              </w:rPr>
            </w:pPr>
          </w:p>
        </w:tc>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Value) of Shares that</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Total Number 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Average Price Paid per</w:t>
            </w:r>
          </w:p>
        </w:tc>
        <w:tc>
          <w:tcPr>
            <w:tcW w:w="1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20" w:type="dxa"/>
            <w:vAlign w:val="bottom"/>
          </w:tcPr>
          <w:p>
            <w:pPr>
              <w:spacing w:after="0"/>
              <w:rPr>
                <w:sz w:val="12"/>
                <w:szCs w:val="12"/>
                <w:color w:val="auto"/>
              </w:rPr>
            </w:pPr>
          </w:p>
        </w:tc>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May Yet Be Purchased</w:t>
            </w:r>
          </w:p>
        </w:tc>
        <w:tc>
          <w:tcPr>
            <w:tcW w:w="0" w:type="dxa"/>
            <w:vAlign w:val="bottom"/>
          </w:tcPr>
          <w:p>
            <w:pPr>
              <w:spacing w:after="0"/>
              <w:rPr>
                <w:sz w:val="1"/>
                <w:szCs w:val="1"/>
                <w:color w:val="auto"/>
              </w:rPr>
            </w:pPr>
          </w:p>
        </w:tc>
      </w:tr>
      <w:tr>
        <w:trPr>
          <w:trHeight w:val="149"/>
        </w:trPr>
        <w:tc>
          <w:tcPr>
            <w:tcW w:w="3700" w:type="dxa"/>
            <w:vAlign w:val="bottom"/>
            <w:gridSpan w:val="2"/>
            <w:vMerge w:val="restart"/>
          </w:tcPr>
          <w:p>
            <w:pPr>
              <w:ind w:left="1580"/>
              <w:spacing w:after="0"/>
              <w:rPr>
                <w:sz w:val="20"/>
                <w:szCs w:val="20"/>
                <w:color w:val="auto"/>
              </w:rPr>
            </w:pPr>
            <w:r>
              <w:rPr>
                <w:rFonts w:ascii="Arial" w:cs="Arial" w:eastAsia="Arial" w:hAnsi="Arial"/>
                <w:sz w:val="14"/>
                <w:szCs w:val="14"/>
                <w:b w:val="1"/>
                <w:bCs w:val="1"/>
                <w:color w:val="auto"/>
              </w:rPr>
              <w:t>Period</w:t>
            </w:r>
          </w:p>
        </w:tc>
        <w:tc>
          <w:tcPr>
            <w:tcW w:w="1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20" w:type="dxa"/>
            <w:vAlign w:val="bottom"/>
          </w:tcPr>
          <w:p>
            <w:pPr>
              <w:spacing w:after="0"/>
              <w:rPr>
                <w:sz w:val="12"/>
                <w:szCs w:val="12"/>
                <w:color w:val="auto"/>
              </w:rPr>
            </w:pPr>
          </w:p>
        </w:tc>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3700" w:type="dxa"/>
            <w:vAlign w:val="bottom"/>
            <w:gridSpan w:val="2"/>
            <w:vMerge w:val="continue"/>
          </w:tcPr>
          <w:p>
            <w:pPr>
              <w:spacing w:after="0"/>
              <w:rPr>
                <w:sz w:val="14"/>
                <w:szCs w:val="14"/>
                <w:color w:val="auto"/>
              </w:rPr>
            </w:pPr>
          </w:p>
        </w:tc>
        <w:tc>
          <w:tcPr>
            <w:tcW w:w="1720" w:type="dxa"/>
            <w:vAlign w:val="bottom"/>
          </w:tcPr>
          <w:p>
            <w:pPr>
              <w:jc w:val="right"/>
              <w:ind w:right="236"/>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Programs</w:t>
            </w:r>
            <w:r>
              <w:rPr>
                <w:rFonts w:ascii="Arial" w:cs="Arial" w:eastAsia="Arial" w:hAnsi="Arial"/>
                <w:sz w:val="12"/>
                <w:szCs w:val="12"/>
                <w:b w:val="1"/>
                <w:bCs w:val="1"/>
                <w:color w:val="auto"/>
                <w:w w:val="92"/>
              </w:rPr>
              <w:t>(1)</w:t>
            </w:r>
          </w:p>
        </w:tc>
        <w:tc>
          <w:tcPr>
            <w:tcW w:w="12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Programs</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223"/>
        </w:trPr>
        <w:tc>
          <w:tcPr>
            <w:tcW w:w="3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January 2016</w:t>
            </w:r>
          </w:p>
        </w:tc>
        <w:tc>
          <w:tcPr>
            <w:tcW w:w="12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22,218</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15.54</w:t>
            </w:r>
          </w:p>
        </w:tc>
        <w:tc>
          <w:tcPr>
            <w:tcW w:w="30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22,218</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49,626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February 2016</w:t>
            </w:r>
          </w:p>
        </w:tc>
        <w:tc>
          <w:tcPr>
            <w:tcW w:w="1720" w:type="dxa"/>
            <w:vAlign w:val="bottom"/>
          </w:tcPr>
          <w:p>
            <w:pPr>
              <w:jc w:val="right"/>
              <w:spacing w:after="0"/>
              <w:rPr>
                <w:sz w:val="20"/>
                <w:szCs w:val="20"/>
                <w:color w:val="auto"/>
              </w:rPr>
            </w:pPr>
            <w:r>
              <w:rPr>
                <w:rFonts w:ascii="Arial" w:cs="Arial" w:eastAsia="Arial" w:hAnsi="Arial"/>
                <w:sz w:val="18"/>
                <w:szCs w:val="18"/>
                <w:color w:val="auto"/>
              </w:rPr>
              <w:t>63,863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15.41</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63,863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March 2016</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86,081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15.44</w:t>
            </w:r>
          </w:p>
        </w:tc>
        <w:tc>
          <w:tcPr>
            <w:tcW w:w="30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86,081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60" w:hanging="512"/>
        <w:spacing w:after="0" w:line="302" w:lineRule="auto"/>
        <w:tabs>
          <w:tab w:leader="none" w:pos="5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On August 4, 2015, the Board of Directors authorized the Company to enter into a purchase agreement, the Company 10b5-1 Plan, in accordance with Rules 10b5-1 and 10b-18 under the Exchange Act. On February 24, 2016, the Board authorized the extension of the termination date of the Company 10b5-1 Plan to August 31, 2016. Unless extended or terminated by the Board, the Company 10b5-1 Plan will be in effect through the earlier of August 31, 2016 or such time as the current approved repurchase amount of up to $50 million has been fully utilized, subject to certain conditions.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 Exhibits.</w:t>
      </w:r>
    </w:p>
    <w:p>
      <w:pPr>
        <w:spacing w:after="0" w:line="229"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Co-Chief Executive Officer Pursuant to 18 U.S.C. Section 1350, as Adopted Pursuant to Section 302 of the Sarbanes-Oxley Act of</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2002</w:t>
      </w:r>
    </w:p>
    <w:p>
      <w:pPr>
        <w:spacing w:after="0" w:line="116"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Co-Chief Executive Officer Pursuant to 18 U.S.C. Section 1350, as Adopted Pursuant to Section 302 of the Sarbanes-Oxley Act of</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2002</w:t>
      </w:r>
    </w:p>
    <w:p>
      <w:pPr>
        <w:spacing w:after="0" w:line="116"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302 of the Sarbanes-Oxley Act of 2002</w:t>
      </w:r>
    </w:p>
    <w:p>
      <w:pPr>
        <w:spacing w:after="0" w:line="131" w:lineRule="exact"/>
        <w:rPr>
          <w:sz w:val="20"/>
          <w:szCs w:val="20"/>
          <w:color w:val="auto"/>
        </w:rPr>
      </w:pPr>
    </w:p>
    <w:p>
      <w:pPr>
        <w:ind w:left="580" w:hanging="500"/>
        <w:spacing w:after="0"/>
        <w:tabs>
          <w:tab w:leader="none" w:pos="5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Certification of Co-CEOs and CFO Pursuant to 18 U.S.C. Section 1350, as Adopted Pursuant to Section 906 of the Sarbanes-Oxley Act of 2002</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1"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920" w:type="dxa"/>
            <w:vAlign w:val="bottom"/>
            <w:gridSpan w:val="2"/>
          </w:tcPr>
          <w:p>
            <w:pPr>
              <w:ind w:left="3360"/>
              <w:spacing w:after="0"/>
              <w:rPr>
                <w:sz w:val="20"/>
                <w:szCs w:val="20"/>
                <w:color w:val="auto"/>
              </w:rPr>
            </w:pPr>
            <w:r>
              <w:rPr>
                <w:rFonts w:ascii="Arial" w:cs="Arial" w:eastAsia="Arial" w:hAnsi="Arial"/>
                <w:sz w:val="18"/>
                <w:szCs w:val="18"/>
                <w:color w:val="auto"/>
              </w:rPr>
              <w:t>TPG SPECIALTY LENDING, INC.</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May 4, 2016</w:t>
            </w:r>
          </w:p>
        </w:tc>
        <w:tc>
          <w:tcPr>
            <w:tcW w:w="7920" w:type="dxa"/>
            <w:vAlign w:val="bottom"/>
            <w:gridSpan w:val="2"/>
          </w:tcPr>
          <w:p>
            <w:pPr>
              <w:ind w:left="3360"/>
              <w:spacing w:after="0"/>
              <w:rPr>
                <w:sz w:val="20"/>
                <w:szCs w:val="20"/>
                <w:color w:val="auto"/>
              </w:rPr>
            </w:pPr>
            <w:r>
              <w:rPr>
                <w:rFonts w:ascii="Arial" w:cs="Arial" w:eastAsia="Arial" w:hAnsi="Arial"/>
                <w:sz w:val="18"/>
                <w:szCs w:val="18"/>
                <w:color w:val="auto"/>
              </w:rPr>
              <w:t>By:  /s/ Joshua Easterly</w:t>
            </w:r>
          </w:p>
        </w:tc>
      </w:tr>
      <w:tr>
        <w:trPr>
          <w:trHeight w:val="195"/>
        </w:trPr>
        <w:tc>
          <w:tcPr>
            <w:tcW w:w="35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r>
      <w:tr>
        <w:trPr>
          <w:trHeight w:val="230"/>
        </w:trPr>
        <w:tc>
          <w:tcPr>
            <w:tcW w:w="35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Co-Chief Executive Officer</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May 4, 2016</w:t>
            </w:r>
          </w:p>
        </w:tc>
        <w:tc>
          <w:tcPr>
            <w:tcW w:w="7920" w:type="dxa"/>
            <w:vAlign w:val="bottom"/>
            <w:gridSpan w:val="2"/>
          </w:tcPr>
          <w:p>
            <w:pPr>
              <w:ind w:left="3360"/>
              <w:spacing w:after="0"/>
              <w:rPr>
                <w:sz w:val="20"/>
                <w:szCs w:val="20"/>
                <w:color w:val="auto"/>
              </w:rPr>
            </w:pPr>
            <w:r>
              <w:rPr>
                <w:rFonts w:ascii="Arial" w:cs="Arial" w:eastAsia="Arial" w:hAnsi="Arial"/>
                <w:sz w:val="18"/>
                <w:szCs w:val="18"/>
                <w:color w:val="auto"/>
              </w:rPr>
              <w:t>By:  /s/ Michael Fishman</w:t>
            </w:r>
          </w:p>
        </w:tc>
      </w:tr>
      <w:tr>
        <w:trPr>
          <w:trHeight w:val="195"/>
        </w:trPr>
        <w:tc>
          <w:tcPr>
            <w:tcW w:w="35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Fishman</w:t>
            </w:r>
          </w:p>
        </w:tc>
      </w:tr>
      <w:tr>
        <w:trPr>
          <w:trHeight w:val="230"/>
        </w:trPr>
        <w:tc>
          <w:tcPr>
            <w:tcW w:w="35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Co-Chief Executive Officer</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May 4, 2016</w:t>
            </w:r>
          </w:p>
        </w:tc>
        <w:tc>
          <w:tcPr>
            <w:tcW w:w="7920" w:type="dxa"/>
            <w:vAlign w:val="bottom"/>
            <w:gridSpan w:val="2"/>
          </w:tcPr>
          <w:p>
            <w:pPr>
              <w:ind w:left="3360"/>
              <w:spacing w:after="0"/>
              <w:rPr>
                <w:sz w:val="20"/>
                <w:szCs w:val="20"/>
                <w:color w:val="auto"/>
              </w:rPr>
            </w:pPr>
            <w:r>
              <w:rPr>
                <w:rFonts w:ascii="Arial" w:cs="Arial" w:eastAsia="Arial" w:hAnsi="Arial"/>
                <w:sz w:val="18"/>
                <w:szCs w:val="18"/>
                <w:color w:val="auto"/>
              </w:rPr>
              <w:t>By:  /s/ Ian Simmonds</w:t>
            </w:r>
          </w:p>
        </w:tc>
      </w:tr>
      <w:tr>
        <w:trPr>
          <w:trHeight w:val="195"/>
        </w:trPr>
        <w:tc>
          <w:tcPr>
            <w:tcW w:w="35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5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500" w:type="dxa"/>
            <w:vAlign w:val="bottom"/>
          </w:tcPr>
          <w:p>
            <w:pPr>
              <w:spacing w:after="0"/>
              <w:rPr>
                <w:sz w:val="24"/>
                <w:szCs w:val="24"/>
                <w:color w:val="auto"/>
              </w:rPr>
            </w:pPr>
          </w:p>
        </w:tc>
        <w:tc>
          <w:tcPr>
            <w:tcW w:w="3740" w:type="dxa"/>
            <w:vAlign w:val="bottom"/>
          </w:tcPr>
          <w:p>
            <w:pPr>
              <w:ind w:left="2120"/>
              <w:spacing w:after="0"/>
              <w:rPr>
                <w:sz w:val="20"/>
                <w:szCs w:val="20"/>
                <w:color w:val="auto"/>
              </w:rPr>
            </w:pPr>
            <w:r>
              <w:rPr>
                <w:rFonts w:ascii="Arial" w:cs="Arial" w:eastAsia="Arial" w:hAnsi="Arial"/>
                <w:sz w:val="18"/>
                <w:szCs w:val="18"/>
                <w:color w:val="auto"/>
              </w:rPr>
              <w:t>63</w:t>
            </w:r>
          </w:p>
        </w:tc>
        <w:tc>
          <w:tcPr>
            <w:tcW w:w="41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117" w:lineRule="exact"/>
        <w:rPr>
          <w:sz w:val="20"/>
          <w:szCs w:val="20"/>
          <w:color w:val="auto"/>
        </w:rPr>
      </w:pPr>
    </w:p>
    <w:p>
      <w:pPr>
        <w:ind w:left="780" w:hanging="515"/>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17" w:lineRule="exact"/>
        <w:rPr>
          <w:rFonts w:ascii="Arial" w:cs="Arial" w:eastAsia="Arial" w:hAnsi="Arial"/>
          <w:sz w:val="18"/>
          <w:szCs w:val="18"/>
          <w:color w:val="auto"/>
        </w:rPr>
      </w:pPr>
    </w:p>
    <w:p>
      <w:pPr>
        <w:jc w:val="both"/>
        <w:ind w:left="780" w:right="180" w:hanging="515"/>
        <w:spacing w:after="0" w:line="264"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5"/>
        <w:spacing w:after="0" w:line="308" w:lineRule="auto"/>
        <w:tabs>
          <w:tab w:leader="none" w:pos="7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5"/>
        <w:spacing w:after="0" w:line="264"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00" w:hanging="522"/>
        <w:spacing w:after="0" w:line="264"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40" w:hanging="522"/>
        <w:spacing w:after="0" w:line="264"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300" w:right="400" w:hanging="522"/>
        <w:spacing w:after="0" w:line="342" w:lineRule="auto"/>
        <w:tabs>
          <w:tab w:leader="none" w:pos="13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522"/>
        <w:spacing w:after="0" w:line="264"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260" w:hanging="515"/>
        <w:spacing w:after="0" w:line="342" w:lineRule="auto"/>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40" w:hanging="522"/>
        <w:spacing w:after="0" w:line="342" w:lineRule="auto"/>
        <w:tabs>
          <w:tab w:leader="none" w:pos="13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40" w:hanging="522"/>
        <w:spacing w:after="0" w:line="277"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Date: May 4, 2016</w:t>
            </w:r>
          </w:p>
        </w:tc>
        <w:tc>
          <w:tcPr>
            <w:tcW w:w="7300" w:type="dxa"/>
            <w:vAlign w:val="bottom"/>
            <w:gridSpan w:val="2"/>
          </w:tcPr>
          <w:p>
            <w:pPr>
              <w:ind w:left="2740"/>
              <w:spacing w:after="0"/>
              <w:rPr>
                <w:sz w:val="20"/>
                <w:szCs w:val="20"/>
                <w:color w:val="auto"/>
              </w:rPr>
            </w:pPr>
            <w:r>
              <w:rPr>
                <w:rFonts w:ascii="Arial" w:cs="Arial" w:eastAsia="Arial" w:hAnsi="Arial"/>
                <w:sz w:val="18"/>
                <w:szCs w:val="18"/>
                <w:color w:val="auto"/>
              </w:rPr>
              <w:t>By:  /s/ Joshua Easterly</w:t>
            </w:r>
          </w:p>
        </w:tc>
      </w:tr>
      <w:tr>
        <w:trPr>
          <w:trHeight w:val="195"/>
        </w:trPr>
        <w:tc>
          <w:tcPr>
            <w:tcW w:w="41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r>
      <w:tr>
        <w:trPr>
          <w:trHeight w:val="230"/>
        </w:trPr>
        <w:tc>
          <w:tcPr>
            <w:tcW w:w="4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Co-Chief Executive Officer</w:t>
            </w:r>
          </w:p>
        </w:tc>
      </w:tr>
    </w:tbl>
    <w:p>
      <w:pPr>
        <w:sectPr>
          <w:pgSz w:w="11900" w:h="16838" w:orient="portrait"/>
          <w:cols w:equalWidth="0" w:num="1">
            <w:col w:w="11420"/>
          </w:cols>
          <w:pgMar w:left="240" w:top="12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Fishman, certify that:</w:t>
      </w:r>
    </w:p>
    <w:p>
      <w:pPr>
        <w:spacing w:after="0" w:line="117" w:lineRule="exact"/>
        <w:rPr>
          <w:sz w:val="20"/>
          <w:szCs w:val="20"/>
          <w:color w:val="auto"/>
        </w:rPr>
      </w:pPr>
    </w:p>
    <w:p>
      <w:pPr>
        <w:ind w:left="780" w:hanging="515"/>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17" w:lineRule="exact"/>
        <w:rPr>
          <w:rFonts w:ascii="Arial" w:cs="Arial" w:eastAsia="Arial" w:hAnsi="Arial"/>
          <w:sz w:val="18"/>
          <w:szCs w:val="18"/>
          <w:color w:val="auto"/>
        </w:rPr>
      </w:pPr>
    </w:p>
    <w:p>
      <w:pPr>
        <w:jc w:val="both"/>
        <w:ind w:left="780" w:right="180" w:hanging="515"/>
        <w:spacing w:after="0" w:line="264"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5"/>
        <w:spacing w:after="0" w:line="308"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5"/>
        <w:spacing w:after="0" w:line="264"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00" w:hanging="522"/>
        <w:spacing w:after="0" w:line="264"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40" w:hanging="522"/>
        <w:spacing w:after="0" w:line="264"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300" w:right="400" w:hanging="522"/>
        <w:spacing w:after="0" w:line="342" w:lineRule="auto"/>
        <w:tabs>
          <w:tab w:leader="none" w:pos="13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522"/>
        <w:spacing w:after="0" w:line="264"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260" w:hanging="515"/>
        <w:spacing w:after="0" w:line="342" w:lineRule="auto"/>
        <w:tabs>
          <w:tab w:leader="none" w:pos="7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40" w:hanging="522"/>
        <w:spacing w:after="0" w:line="342" w:lineRule="auto"/>
        <w:tabs>
          <w:tab w:leader="none" w:pos="13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40" w:hanging="522"/>
        <w:spacing w:after="0" w:line="277"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Date: May 4, 2016</w:t>
            </w:r>
          </w:p>
        </w:tc>
        <w:tc>
          <w:tcPr>
            <w:tcW w:w="7300" w:type="dxa"/>
            <w:vAlign w:val="bottom"/>
            <w:gridSpan w:val="2"/>
          </w:tcPr>
          <w:p>
            <w:pPr>
              <w:ind w:left="2740"/>
              <w:spacing w:after="0"/>
              <w:rPr>
                <w:sz w:val="20"/>
                <w:szCs w:val="20"/>
                <w:color w:val="auto"/>
              </w:rPr>
            </w:pPr>
            <w:r>
              <w:rPr>
                <w:rFonts w:ascii="Arial" w:cs="Arial" w:eastAsia="Arial" w:hAnsi="Arial"/>
                <w:sz w:val="18"/>
                <w:szCs w:val="18"/>
                <w:color w:val="auto"/>
              </w:rPr>
              <w:t>By:  /s/ Michael Fishman</w:t>
            </w:r>
          </w:p>
        </w:tc>
      </w:tr>
      <w:tr>
        <w:trPr>
          <w:trHeight w:val="195"/>
        </w:trPr>
        <w:tc>
          <w:tcPr>
            <w:tcW w:w="41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Fishman</w:t>
            </w:r>
          </w:p>
        </w:tc>
      </w:tr>
      <w:tr>
        <w:trPr>
          <w:trHeight w:val="230"/>
        </w:trPr>
        <w:tc>
          <w:tcPr>
            <w:tcW w:w="4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Co-Chief Executive Officer</w:t>
            </w:r>
          </w:p>
        </w:tc>
      </w:tr>
    </w:tbl>
    <w:p>
      <w:pPr>
        <w:sectPr>
          <w:pgSz w:w="11900" w:h="16838" w:orient="portrait"/>
          <w:cols w:equalWidth="0" w:num="1">
            <w:col w:w="11420"/>
          </w:cols>
          <w:pgMar w:left="240" w:top="12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Ian Simmonds, certify that:</w:t>
      </w:r>
    </w:p>
    <w:p>
      <w:pPr>
        <w:spacing w:after="0" w:line="117" w:lineRule="exact"/>
        <w:rPr>
          <w:sz w:val="20"/>
          <w:szCs w:val="20"/>
          <w:color w:val="auto"/>
        </w:rPr>
      </w:pPr>
    </w:p>
    <w:p>
      <w:pPr>
        <w:ind w:left="780" w:hanging="515"/>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17" w:lineRule="exact"/>
        <w:rPr>
          <w:rFonts w:ascii="Arial" w:cs="Arial" w:eastAsia="Arial" w:hAnsi="Arial"/>
          <w:sz w:val="18"/>
          <w:szCs w:val="18"/>
          <w:color w:val="auto"/>
        </w:rPr>
      </w:pPr>
    </w:p>
    <w:p>
      <w:pPr>
        <w:jc w:val="both"/>
        <w:ind w:left="780" w:right="180" w:hanging="515"/>
        <w:spacing w:after="0" w:line="264"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5"/>
        <w:spacing w:after="0" w:line="308" w:lineRule="auto"/>
        <w:tabs>
          <w:tab w:leader="none" w:pos="7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5"/>
        <w:spacing w:after="0" w:line="264"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00" w:hanging="522"/>
        <w:spacing w:after="0" w:line="264"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40" w:hanging="522"/>
        <w:spacing w:after="0" w:line="264"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300" w:right="400" w:hanging="522"/>
        <w:spacing w:after="0" w:line="342" w:lineRule="auto"/>
        <w:tabs>
          <w:tab w:leader="none" w:pos="13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522"/>
        <w:spacing w:after="0" w:line="264"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260" w:hanging="515"/>
        <w:spacing w:after="0" w:line="342" w:lineRule="auto"/>
        <w:tabs>
          <w:tab w:leader="none" w:pos="7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40" w:hanging="522"/>
        <w:spacing w:after="0" w:line="342" w:lineRule="auto"/>
        <w:tabs>
          <w:tab w:leader="none" w:pos="13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40" w:hanging="522"/>
        <w:spacing w:after="0" w:line="277"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Date: May 4, 2016</w:t>
            </w:r>
          </w:p>
        </w:tc>
        <w:tc>
          <w:tcPr>
            <w:tcW w:w="7300" w:type="dxa"/>
            <w:vAlign w:val="bottom"/>
            <w:gridSpan w:val="2"/>
          </w:tcPr>
          <w:p>
            <w:pPr>
              <w:ind w:left="2760"/>
              <w:spacing w:after="0"/>
              <w:rPr>
                <w:sz w:val="20"/>
                <w:szCs w:val="20"/>
                <w:color w:val="auto"/>
              </w:rPr>
            </w:pPr>
            <w:r>
              <w:rPr>
                <w:rFonts w:ascii="Arial" w:cs="Arial" w:eastAsia="Arial" w:hAnsi="Arial"/>
                <w:sz w:val="18"/>
                <w:szCs w:val="18"/>
                <w:color w:val="auto"/>
              </w:rPr>
              <w:t>By:  /</w:t>
            </w:r>
            <w:r>
              <w:rPr>
                <w:rFonts w:ascii="Arial" w:cs="Arial" w:eastAsia="Arial" w:hAnsi="Arial"/>
                <w:sz w:val="13"/>
                <w:szCs w:val="13"/>
                <w:color w:val="auto"/>
              </w:rPr>
              <w:t>S</w:t>
            </w:r>
            <w:r>
              <w:rPr>
                <w:rFonts w:ascii="Arial" w:cs="Arial" w:eastAsia="Arial" w:hAnsi="Arial"/>
                <w:sz w:val="18"/>
                <w:szCs w:val="18"/>
                <w:color w:val="auto"/>
              </w:rPr>
              <w:t>/ Ian Simmonds</w:t>
            </w:r>
          </w:p>
        </w:tc>
      </w:tr>
      <w:tr>
        <w:trPr>
          <w:trHeight w:val="195"/>
        </w:trPr>
        <w:tc>
          <w:tcPr>
            <w:tcW w:w="41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4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35"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connection with the quarterly report on Form 10-Q of TPG Specialty Lending, Inc. (the “Company”) for the quarterly period ended March 31, 2016, as filed with the Securities and Exchange Commission on the date hereof (the “Report”), Joshua Easterly and Michael Fishman, as Co-Chief Executive Officers of the Company, and Ian Simmonds, as Chief Financial Officer of the Company, each hereby certifies, pursuant to 18 U.S.C. § 1350, as adopted pursuant to § 906 of the Sarbanes-Oxley Act of 2002, that, to such officer’s knowledge:</w:t>
      </w:r>
    </w:p>
    <w:p>
      <w:pPr>
        <w:spacing w:after="0" w:line="79" w:lineRule="exact"/>
        <w:rPr>
          <w:sz w:val="20"/>
          <w:szCs w:val="20"/>
          <w:color w:val="auto"/>
        </w:rPr>
      </w:pPr>
    </w:p>
    <w:p>
      <w:pPr>
        <w:ind w:left="780" w:hanging="254"/>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Joshua Easterly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Joshua Easterly</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100"/>
              <w:spacing w:after="0"/>
              <w:rPr>
                <w:sz w:val="20"/>
                <w:szCs w:val="20"/>
                <w:color w:val="auto"/>
              </w:rPr>
            </w:pPr>
            <w:r>
              <w:rPr>
                <w:rFonts w:ascii="Arial" w:cs="Arial" w:eastAsia="Arial" w:hAnsi="Arial"/>
                <w:sz w:val="18"/>
                <w:szCs w:val="18"/>
                <w:color w:val="auto"/>
              </w:rPr>
              <w:t>Co-Chief Executive Officer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100"/>
              <w:spacing w:after="0"/>
              <w:rPr>
                <w:sz w:val="20"/>
                <w:szCs w:val="20"/>
                <w:color w:val="auto"/>
              </w:rPr>
            </w:pPr>
            <w:r>
              <w:rPr>
                <w:rFonts w:ascii="Arial" w:cs="Arial" w:eastAsia="Arial" w:hAnsi="Arial"/>
                <w:sz w:val="18"/>
                <w:szCs w:val="18"/>
                <w:color w:val="auto"/>
              </w:rPr>
              <w:t>May 4, 2016</w:t>
            </w:r>
          </w:p>
        </w:tc>
      </w:tr>
      <w:tr>
        <w:trPr>
          <w:trHeight w:val="459"/>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Fishman</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320"/>
              <w:spacing w:after="0" w:line="195" w:lineRule="exact"/>
              <w:rPr>
                <w:sz w:val="20"/>
                <w:szCs w:val="20"/>
                <w:color w:val="auto"/>
              </w:rPr>
            </w:pPr>
            <w:r>
              <w:rPr>
                <w:rFonts w:ascii="Arial" w:cs="Arial" w:eastAsia="Arial" w:hAnsi="Arial"/>
                <w:sz w:val="18"/>
                <w:szCs w:val="18"/>
                <w:color w:val="auto"/>
              </w:rPr>
              <w:t>Michael Fishman</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320"/>
              <w:spacing w:after="0"/>
              <w:rPr>
                <w:sz w:val="20"/>
                <w:szCs w:val="20"/>
                <w:color w:val="auto"/>
              </w:rPr>
            </w:pPr>
            <w:r>
              <w:rPr>
                <w:rFonts w:ascii="Arial" w:cs="Arial" w:eastAsia="Arial" w:hAnsi="Arial"/>
                <w:sz w:val="18"/>
                <w:szCs w:val="18"/>
                <w:color w:val="auto"/>
              </w:rPr>
              <w:t>Co-Chief Executive Officer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320"/>
              <w:spacing w:after="0"/>
              <w:rPr>
                <w:sz w:val="20"/>
                <w:szCs w:val="20"/>
                <w:color w:val="auto"/>
              </w:rPr>
            </w:pPr>
            <w:r>
              <w:rPr>
                <w:rFonts w:ascii="Arial" w:cs="Arial" w:eastAsia="Arial" w:hAnsi="Arial"/>
                <w:sz w:val="18"/>
                <w:szCs w:val="18"/>
                <w:color w:val="auto"/>
              </w:rPr>
              <w:t>May 4, 2016</w:t>
            </w:r>
          </w:p>
        </w:tc>
      </w:tr>
      <w:tr>
        <w:trPr>
          <w:trHeight w:val="459"/>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Ian Simmonds</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320"/>
              <w:spacing w:after="0" w:line="195" w:lineRule="exact"/>
              <w:rPr>
                <w:sz w:val="20"/>
                <w:szCs w:val="20"/>
                <w:color w:val="auto"/>
              </w:rPr>
            </w:pPr>
            <w:r>
              <w:rPr>
                <w:rFonts w:ascii="Arial" w:cs="Arial" w:eastAsia="Arial" w:hAnsi="Arial"/>
                <w:sz w:val="18"/>
                <w:szCs w:val="18"/>
                <w:color w:val="auto"/>
              </w:rPr>
              <w:t>Ian Simmonds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320"/>
              <w:spacing w:after="0"/>
              <w:rPr>
                <w:sz w:val="20"/>
                <w:szCs w:val="20"/>
                <w:color w:val="auto"/>
              </w:rPr>
            </w:pPr>
            <w:r>
              <w:rPr>
                <w:rFonts w:ascii="Arial" w:cs="Arial" w:eastAsia="Arial" w:hAnsi="Arial"/>
                <w:sz w:val="18"/>
                <w:szCs w:val="18"/>
                <w:color w:val="auto"/>
              </w:rPr>
              <w:t>Chief Financial Officer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320"/>
              <w:spacing w:after="0"/>
              <w:rPr>
                <w:sz w:val="20"/>
                <w:szCs w:val="20"/>
                <w:color w:val="auto"/>
              </w:rPr>
            </w:pPr>
            <w:r>
              <w:rPr>
                <w:rFonts w:ascii="Arial" w:cs="Arial" w:eastAsia="Arial" w:hAnsi="Arial"/>
                <w:sz w:val="18"/>
                <w:szCs w:val="18"/>
                <w:color w:val="auto"/>
              </w:rPr>
              <w:t>May 4, 2016</w:t>
            </w:r>
          </w:p>
        </w:tc>
      </w:tr>
    </w:tbl>
    <w:p>
      <w:pPr>
        <w:spacing w:after="0" w:line="202"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1"/>
      <w:numFmt w:val="decimal"/>
      <w:start w:val="1"/>
    </w:lvl>
    <w:lvl w:ilvl="1">
      <w:lvlJc w:val="left"/>
      <w:lvlText w:val="(%2)"/>
      <w:numFmt w:val="lowerLetter"/>
      <w:start w:val="1"/>
    </w:lvl>
  </w:abstractNum>
  <w:abstractNum w:abstractNumId="5">
    <w:nsid w:val="8138641"/>
    <w:multiLevelType w:val="hybridMultilevel"/>
    <w:lvl w:ilvl="0">
      <w:lvlJc w:val="left"/>
      <w:lvlText w:val="(%1)"/>
      <w:numFmt w:val="decimal"/>
      <w:start w:val="8"/>
    </w:lvl>
    <w:lvl w:ilvl="1">
      <w:lvlJc w:val="left"/>
      <w:lvlText w:val="%2"/>
      <w:numFmt w:val="lowerLetter"/>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decimal"/>
      <w:start w:val="1"/>
    </w:lvl>
    <w:lvl w:ilvl="1">
      <w:lvlJc w:val="left"/>
      <w:lvlText w:val="(%2)"/>
      <w:numFmt w:val="lowerLetter"/>
      <w:start w:val="1"/>
    </w:lvl>
  </w:abstractNum>
  <w:abstractNum w:abstractNumId="8">
    <w:nsid w:val="737B8DDC"/>
    <w:multiLevelType w:val="hybridMultilevel"/>
    <w:lvl w:ilvl="0">
      <w:lvlJc w:val="left"/>
      <w:lvlText w:val="(%1)"/>
      <w:numFmt w:val="decimal"/>
      <w:start w:val="8"/>
    </w:lvl>
    <w:lvl w:ilvl="1">
      <w:lvlJc w:val="left"/>
      <w:lvlText w:val="%2"/>
      <w:numFmt w:val="lowerLetter"/>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1)"/>
      <w:numFmt w:val="lowerRoman"/>
      <w:start w:val="1"/>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1)"/>
      <w:numFmt w:val="decimal"/>
      <w:start w:val="1"/>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1."/>
      <w:numFmt w:val="decimal"/>
      <w:start w:val="10"/>
    </w:lvl>
  </w:abstractNum>
  <w:abstractNum w:abstractNumId="25">
    <w:nsid w:val="2D517796"/>
    <w:multiLevelType w:val="hybridMultilevel"/>
    <w:lvl w:ilvl="0">
      <w:lvlJc w:val="left"/>
      <w:lvlText w:val="%1."/>
      <w:numFmt w:val="decimal"/>
      <w:start w:val="11"/>
    </w:lvl>
  </w:abstractNum>
  <w:abstractNum w:abstractNumId="26">
    <w:nsid w:val="580BD78F"/>
    <w:multiLevelType w:val="hybridMultilevel"/>
    <w:lvl w:ilvl="0">
      <w:lvlJc w:val="left"/>
      <w:lvlText w:val="%1."/>
      <w:numFmt w:val="decimal"/>
      <w:start w:val="12"/>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decimal"/>
      <w:start w:val="3"/>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1"/>
      <w:numFmt w:val="decimal"/>
      <w:start w:val="32"/>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2019-12-29T11:48:12Z</dcterms:created>
  <dcterms:modified xsi:type="dcterms:W3CDTF">2019-12-29T11:48:12Z</dcterms:modified>
</cp:coreProperties>
</file>