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line="230" w:lineRule="auto"/>
        <w:rPr>
          <w:sz w:val="20"/>
          <w:szCs w:val="20"/>
          <w:color w:val="auto"/>
        </w:rPr>
      </w:pPr>
      <w:r>
        <w:rPr>
          <w:rFonts w:ascii="Arial" w:cs="Arial" w:eastAsia="Arial" w:hAnsi="Arial"/>
          <w:sz w:val="22"/>
          <w:szCs w:val="22"/>
          <w:b w:val="1"/>
          <w:bCs w:val="1"/>
          <w:color w:val="auto"/>
        </w:rPr>
        <w:t>Washington, D.C. 20549</w:t>
      </w: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n/a )*</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15,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420" w:hanging="187"/>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rFonts w:ascii="Arial" w:cs="Arial" w:eastAsia="Arial" w:hAnsi="Arial"/>
          <w:sz w:val="18"/>
          <w:szCs w:val="18"/>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-119380</wp:posOffset>
            </wp:positionV>
            <wp:extent cx="570230"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230" cy="2698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436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NAMES OF REPORTING PERSONS I.R.S. IDENTIFICATION NOS. OF ABOVE PERSONS (ENTITIES ONLY)</w:t>
      </w:r>
    </w:p>
    <w:p>
      <w:pPr>
        <w:spacing w:after="0" w:line="225" w:lineRule="exact"/>
        <w:rPr>
          <w:sz w:val="20"/>
          <w:szCs w:val="20"/>
          <w:color w:val="auto"/>
        </w:rPr>
      </w:pPr>
    </w:p>
    <w:p>
      <w:pPr>
        <w:ind w:left="620" w:hanging="380"/>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SILVER CREEK CAPITAL MANAGEMENT LLC</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jc w:val="right"/>
        <w:ind w:left="240" w:right="10360" w:firstLine="376"/>
        <w:spacing w:after="0" w:line="261" w:lineRule="auto"/>
        <w:tabs>
          <w:tab w:leader="none" w:pos="95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 xml:space="preserve">2   </w:t>
      </w:r>
      <w:r>
        <w:rPr>
          <w:rFonts w:ascii="Arial" w:cs="Arial" w:eastAsia="Arial" w:hAnsi="Arial"/>
          <w:sz w:val="18"/>
          <w:szCs w:val="18"/>
          <w:color w:val="auto"/>
        </w:rPr>
        <w:t>(b)  x</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Washington</w:t>
      </w:r>
    </w:p>
    <w:p>
      <w:pPr>
        <w:spacing w:after="0" w:line="6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25"/>
        </w:trPr>
        <w:tc>
          <w:tcPr>
            <w:tcW w:w="1620" w:type="dxa"/>
            <w:vAlign w:val="bottom"/>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9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r>
        <w:trPr>
          <w:trHeight w:val="229"/>
        </w:trPr>
        <w:tc>
          <w:tcPr>
            <w:tcW w:w="162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80"/>
              <w:spacing w:after="0" w:line="203" w:lineRule="exact"/>
              <w:rPr>
                <w:sz w:val="20"/>
                <w:szCs w:val="20"/>
                <w:color w:val="auto"/>
              </w:rPr>
            </w:pPr>
            <w:r>
              <w:rPr>
                <w:rFonts w:ascii="Arial" w:cs="Arial" w:eastAsia="Arial" w:hAnsi="Arial"/>
                <w:sz w:val="18"/>
                <w:szCs w:val="18"/>
                <w:color w:val="auto"/>
              </w:rPr>
              <w:t>BENEFICIALLY</w:t>
            </w:r>
          </w:p>
        </w:tc>
        <w:tc>
          <w:tcPr>
            <w:tcW w:w="460" w:type="dxa"/>
            <w:vAlign w:val="bottom"/>
            <w:tcBorders>
              <w:bottom w:val="single" w:sz="8" w:color="auto"/>
            </w:tcBorders>
            <w:vMerge w:val="continue"/>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7"/>
                <w:szCs w:val="17"/>
                <w:color w:val="auto"/>
              </w:rPr>
            </w:pPr>
          </w:p>
        </w:tc>
        <w:tc>
          <w:tcPr>
            <w:tcW w:w="9240" w:type="dxa"/>
            <w:vAlign w:val="bottom"/>
          </w:tcPr>
          <w:p>
            <w:pPr>
              <w:ind w:left="12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5"/>
              </w:rPr>
              <w:t>EACH REPORTING</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460" w:type="dxa"/>
            <w:vAlign w:val="bottom"/>
            <w:vMerge w:val="continue"/>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20" w:hanging="380"/>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9385</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620" w:hanging="425"/>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x</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620" w:hanging="420"/>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5.7%</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620" w:hanging="425"/>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1300" w:right="140"/>
        <w:spacing w:after="0" w:line="285" w:lineRule="auto"/>
        <w:rPr>
          <w:sz w:val="20"/>
          <w:szCs w:val="20"/>
          <w:color w:val="auto"/>
        </w:rPr>
      </w:pPr>
      <w:r>
        <w:rPr>
          <w:rFonts w:ascii="Arial" w:cs="Arial" w:eastAsia="Arial" w:hAnsi="Arial"/>
          <w:sz w:val="16"/>
          <w:szCs w:val="16"/>
          <w:color w:val="auto"/>
        </w:rPr>
        <w:t>This Schedule 13G is being filed pursuant to Rule 13d-1(c) under the Securities Exchange Act of 1934, as amended (the "Exchange Act"), on behalf of Silver Creek Capital Management LLC, a Washington limited liability company ("Silver Creek Capital"), Silver Creek Advisory Partners LLC, a Delaware limited liability company ("Silver Creek Partners") and the following private investment funds they manage (together, the "Funds"): Silver Creek Special Opportunities Fund III, L.P., a Delaware limited partnership ("SO3"); Silver Creek Special Opportunities Fund Cayman III, L.P., a Cayman Islands exempted limied partnership ("SO3C"); Silver Creek Credit Opportunities</w:t>
      </w:r>
    </w:p>
    <w:p>
      <w:pPr>
        <w:spacing w:after="0" w:line="2" w:lineRule="exact"/>
        <w:rPr>
          <w:sz w:val="20"/>
          <w:szCs w:val="20"/>
          <w:color w:val="auto"/>
        </w:rPr>
      </w:pPr>
    </w:p>
    <w:p>
      <w:pPr>
        <w:ind w:left="1300" w:right="40" w:firstLine="5"/>
        <w:spacing w:after="0" w:line="287" w:lineRule="auto"/>
        <w:tabs>
          <w:tab w:leader="none" w:pos="1465" w:val="left"/>
        </w:tabs>
        <w:numPr>
          <w:ilvl w:val="0"/>
          <w:numId w:val="7"/>
        </w:numPr>
        <w:rPr>
          <w:rFonts w:ascii="Arial" w:cs="Arial" w:eastAsia="Arial" w:hAnsi="Arial"/>
          <w:sz w:val="16"/>
          <w:szCs w:val="16"/>
          <w:color w:val="auto"/>
        </w:rPr>
      </w:pPr>
      <w:r>
        <w:rPr>
          <w:rFonts w:ascii="Arial" w:cs="Arial" w:eastAsia="Arial" w:hAnsi="Arial"/>
          <w:sz w:val="16"/>
          <w:szCs w:val="16"/>
          <w:color w:val="auto"/>
        </w:rPr>
        <w:t>Fund A, L.P, a Cayman Islands exempted limited partnership ("CO2A"); and Silver Creek Credit Opportunities III Fund B, L.P., a Cayman Islands exempted limited partnership ("CO3B") (the Funds, Silver Creek Capital and Silver Creek Partners, each a "Reporting Person"). Silver Creek Capital serves as the investment adviser for SO3 and SO3C. Silver Creek Partners serves as the investment adviser for CO2A and CO3B. Each of Silver Creek Capital and Silver Creek Partners is also the investment manager or adviser to a variety of other private investment funds not including the Funds. This Schedule 13G relates to the Common Stock, par value $.01 per share, of TPG Specialty Lending, Inc. (the "Company"). Unless the context otherwise requires, references herein to the "Common Stock" are to such Common Stock of the Company. The Funds directly own the Common Stock to which this Schedule 13G relates, and each of Silver Creek Capital and Silver Creek Partners may be deemed to have beneficial ownership over such Common Stock by virtue of the authority granted to them by the respective Funds that they advise to vote and to dispose of the securities held by such Funds, including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-119380</wp:posOffset>
            </wp:positionV>
            <wp:extent cx="570230" cy="269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230" cy="2698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436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NAMES OF REPORTING PERSONS I.R.S. IDENTIFICATION NOS. OF ABOVE PERSONS (ENTITIES ONLY)</w:t>
      </w:r>
    </w:p>
    <w:p>
      <w:pPr>
        <w:spacing w:after="0" w:line="225" w:lineRule="exact"/>
        <w:rPr>
          <w:sz w:val="20"/>
          <w:szCs w:val="20"/>
          <w:color w:val="auto"/>
        </w:rPr>
      </w:pPr>
    </w:p>
    <w:p>
      <w:pPr>
        <w:ind w:left="620" w:hanging="380"/>
        <w:spacing w:after="0"/>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Silver Creek Advisory Partners LLC</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jc w:val="right"/>
        <w:ind w:left="240" w:right="10360" w:firstLine="376"/>
        <w:spacing w:after="0" w:line="261" w:lineRule="auto"/>
        <w:tabs>
          <w:tab w:leader="none" w:pos="95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 xml:space="preserve">2   </w:t>
      </w:r>
      <w:r>
        <w:rPr>
          <w:rFonts w:ascii="Arial" w:cs="Arial" w:eastAsia="Arial" w:hAnsi="Arial"/>
          <w:sz w:val="18"/>
          <w:szCs w:val="18"/>
          <w:color w:val="auto"/>
        </w:rPr>
        <w:t>(b)  x</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6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25"/>
        </w:trPr>
        <w:tc>
          <w:tcPr>
            <w:tcW w:w="1620" w:type="dxa"/>
            <w:vAlign w:val="bottom"/>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9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162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80"/>
              <w:spacing w:after="0" w:line="203" w:lineRule="exact"/>
              <w:rPr>
                <w:sz w:val="20"/>
                <w:szCs w:val="20"/>
                <w:color w:val="auto"/>
              </w:rPr>
            </w:pPr>
            <w:r>
              <w:rPr>
                <w:rFonts w:ascii="Arial" w:cs="Arial" w:eastAsia="Arial" w:hAnsi="Arial"/>
                <w:sz w:val="18"/>
                <w:szCs w:val="18"/>
                <w:color w:val="auto"/>
              </w:rPr>
              <w:t>BENEFICIALLY</w:t>
            </w:r>
          </w:p>
        </w:tc>
        <w:tc>
          <w:tcPr>
            <w:tcW w:w="460" w:type="dxa"/>
            <w:vAlign w:val="bottom"/>
            <w:tcBorders>
              <w:bottom w:val="single" w:sz="8" w:color="auto"/>
            </w:tcBorders>
            <w:vMerge w:val="continue"/>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7"/>
                <w:szCs w:val="17"/>
                <w:color w:val="auto"/>
              </w:rPr>
            </w:pPr>
          </w:p>
        </w:tc>
        <w:tc>
          <w:tcPr>
            <w:tcW w:w="9240" w:type="dxa"/>
            <w:vAlign w:val="bottom"/>
          </w:tcPr>
          <w:p>
            <w:pPr>
              <w:ind w:left="12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5"/>
              </w:rPr>
              <w:t>EACH REPORTING</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460" w:type="dxa"/>
            <w:vAlign w:val="bottom"/>
            <w:vMerge w:val="continue"/>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20" w:hanging="380"/>
        <w:spacing w:after="0"/>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9385</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620" w:hanging="425"/>
        <w:spacing w:after="0"/>
        <w:tabs>
          <w:tab w:leader="none" w:pos="6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x</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620" w:hanging="420"/>
        <w:spacing w:after="0"/>
        <w:tabs>
          <w:tab w:leader="none" w:pos="6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5.7%</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620" w:hanging="425"/>
        <w:spacing w:after="0"/>
        <w:tabs>
          <w:tab w:leader="none" w:pos="6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-119380</wp:posOffset>
            </wp:positionV>
            <wp:extent cx="570230" cy="269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230" cy="2698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436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NAMES OF REPORTING PERSONS I.R.S. IDENTIFICATION NOS. OF ABOVE PERSONS (ENTITIES ONLY)</w:t>
      </w:r>
    </w:p>
    <w:p>
      <w:pPr>
        <w:spacing w:after="0" w:line="225" w:lineRule="exact"/>
        <w:rPr>
          <w:sz w:val="20"/>
          <w:szCs w:val="20"/>
          <w:color w:val="auto"/>
        </w:rPr>
      </w:pPr>
    </w:p>
    <w:p>
      <w:pPr>
        <w:ind w:left="620" w:hanging="380"/>
        <w:spacing w:after="0"/>
        <w:tabs>
          <w:tab w:leader="none" w:pos="6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Silver Creek Credit Opportunities III Fund B, L.P.</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jc w:val="right"/>
        <w:ind w:left="240" w:right="10360" w:firstLine="376"/>
        <w:spacing w:after="0" w:line="261" w:lineRule="auto"/>
        <w:tabs>
          <w:tab w:leader="none" w:pos="9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 xml:space="preserve">2   </w:t>
      </w:r>
      <w:r>
        <w:rPr>
          <w:rFonts w:ascii="Arial" w:cs="Arial" w:eastAsia="Arial" w:hAnsi="Arial"/>
          <w:sz w:val="18"/>
          <w:szCs w:val="18"/>
          <w:color w:val="auto"/>
        </w:rPr>
        <w:t>(b)  x</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620" w:hanging="380"/>
        <w:spacing w:after="0"/>
        <w:tabs>
          <w:tab w:leader="none" w:pos="6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6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25"/>
        </w:trPr>
        <w:tc>
          <w:tcPr>
            <w:tcW w:w="1620" w:type="dxa"/>
            <w:vAlign w:val="bottom"/>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9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162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80"/>
              <w:spacing w:after="0" w:line="203" w:lineRule="exact"/>
              <w:rPr>
                <w:sz w:val="20"/>
                <w:szCs w:val="20"/>
                <w:color w:val="auto"/>
              </w:rPr>
            </w:pPr>
            <w:r>
              <w:rPr>
                <w:rFonts w:ascii="Arial" w:cs="Arial" w:eastAsia="Arial" w:hAnsi="Arial"/>
                <w:sz w:val="18"/>
                <w:szCs w:val="18"/>
                <w:color w:val="auto"/>
              </w:rPr>
              <w:t>BENEFICIALLY</w:t>
            </w:r>
          </w:p>
        </w:tc>
        <w:tc>
          <w:tcPr>
            <w:tcW w:w="460" w:type="dxa"/>
            <w:vAlign w:val="bottom"/>
            <w:tcBorders>
              <w:bottom w:val="single" w:sz="8" w:color="auto"/>
            </w:tcBorders>
            <w:vMerge w:val="continue"/>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7"/>
                <w:szCs w:val="17"/>
                <w:color w:val="auto"/>
              </w:rPr>
            </w:pPr>
          </w:p>
        </w:tc>
        <w:tc>
          <w:tcPr>
            <w:tcW w:w="9240" w:type="dxa"/>
            <w:vAlign w:val="bottom"/>
          </w:tcPr>
          <w:p>
            <w:pPr>
              <w:ind w:left="12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5"/>
              </w:rPr>
              <w:t>EACH REPORTING</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460" w:type="dxa"/>
            <w:vAlign w:val="bottom"/>
            <w:vMerge w:val="continue"/>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20" w:hanging="380"/>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9385</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620" w:hanging="425"/>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x</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620" w:hanging="420"/>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5.7%</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620" w:hanging="425"/>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-119380</wp:posOffset>
            </wp:positionV>
            <wp:extent cx="570230" cy="269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230" cy="2698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436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NAMES OF REPORTING PERSONS I.R.S. IDENTIFICATION NOS. OF ABOVE PERSONS (ENTITIES ONLY)</w:t>
      </w:r>
    </w:p>
    <w:p>
      <w:pPr>
        <w:spacing w:after="0" w:line="225" w:lineRule="exact"/>
        <w:rPr>
          <w:sz w:val="20"/>
          <w:szCs w:val="20"/>
          <w:color w:val="auto"/>
        </w:rPr>
      </w:pPr>
    </w:p>
    <w:p>
      <w:pPr>
        <w:ind w:left="620" w:hanging="380"/>
        <w:spacing w:after="0"/>
        <w:tabs>
          <w:tab w:leader="none" w:pos="6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Silver Creek Credit Opportunities II Fund A, L.P.</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jc w:val="right"/>
        <w:ind w:left="240" w:right="10360" w:firstLine="376"/>
        <w:spacing w:after="0" w:line="261" w:lineRule="auto"/>
        <w:tabs>
          <w:tab w:leader="none" w:pos="9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 xml:space="preserve">2   </w:t>
      </w:r>
      <w:r>
        <w:rPr>
          <w:rFonts w:ascii="Arial" w:cs="Arial" w:eastAsia="Arial" w:hAnsi="Arial"/>
          <w:sz w:val="18"/>
          <w:szCs w:val="18"/>
          <w:color w:val="auto"/>
        </w:rPr>
        <w:t>(b)  x</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620" w:hanging="380"/>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6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25"/>
        </w:trPr>
        <w:tc>
          <w:tcPr>
            <w:tcW w:w="1620" w:type="dxa"/>
            <w:vAlign w:val="bottom"/>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9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162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80"/>
              <w:spacing w:after="0" w:line="203" w:lineRule="exact"/>
              <w:rPr>
                <w:sz w:val="20"/>
                <w:szCs w:val="20"/>
                <w:color w:val="auto"/>
              </w:rPr>
            </w:pPr>
            <w:r>
              <w:rPr>
                <w:rFonts w:ascii="Arial" w:cs="Arial" w:eastAsia="Arial" w:hAnsi="Arial"/>
                <w:sz w:val="18"/>
                <w:szCs w:val="18"/>
                <w:color w:val="auto"/>
              </w:rPr>
              <w:t>BENEFICIALLY</w:t>
            </w:r>
          </w:p>
        </w:tc>
        <w:tc>
          <w:tcPr>
            <w:tcW w:w="460" w:type="dxa"/>
            <w:vAlign w:val="bottom"/>
            <w:tcBorders>
              <w:bottom w:val="single" w:sz="8" w:color="auto"/>
            </w:tcBorders>
            <w:vMerge w:val="continue"/>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7"/>
                <w:szCs w:val="17"/>
                <w:color w:val="auto"/>
              </w:rPr>
            </w:pPr>
          </w:p>
        </w:tc>
        <w:tc>
          <w:tcPr>
            <w:tcW w:w="9240" w:type="dxa"/>
            <w:vAlign w:val="bottom"/>
          </w:tcPr>
          <w:p>
            <w:pPr>
              <w:ind w:left="12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5"/>
              </w:rPr>
              <w:t>EACH REPORTING</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460" w:type="dxa"/>
            <w:vAlign w:val="bottom"/>
            <w:vMerge w:val="continue"/>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20" w:hanging="380"/>
        <w:spacing w:after="0"/>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9385</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620" w:hanging="425"/>
        <w:spacing w:after="0"/>
        <w:tabs>
          <w:tab w:leader="none" w:pos="6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x</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620" w:hanging="420"/>
        <w:spacing w:after="0"/>
        <w:tabs>
          <w:tab w:leader="none" w:pos="6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5.7%</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620" w:hanging="425"/>
        <w:spacing w:after="0"/>
        <w:tabs>
          <w:tab w:leader="none" w:pos="6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-119380</wp:posOffset>
            </wp:positionV>
            <wp:extent cx="570230" cy="269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230" cy="2698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436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NAMES OF REPORTING PERSONS I.R.S. IDENTIFICATION NOS. OF ABOVE PERSONS (ENTITIES ONLY)</w:t>
      </w:r>
    </w:p>
    <w:p>
      <w:pPr>
        <w:spacing w:after="0" w:line="225" w:lineRule="exact"/>
        <w:rPr>
          <w:sz w:val="20"/>
          <w:szCs w:val="20"/>
          <w:color w:val="auto"/>
        </w:rPr>
      </w:pPr>
    </w:p>
    <w:p>
      <w:pPr>
        <w:ind w:left="620" w:hanging="380"/>
        <w:spacing w:after="0"/>
        <w:tabs>
          <w:tab w:leader="none" w:pos="6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Silver Creek Special Opportunities Fund Cayman III, L.P.</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jc w:val="right"/>
        <w:ind w:left="240" w:right="10360" w:firstLine="376"/>
        <w:spacing w:after="0" w:line="261" w:lineRule="auto"/>
        <w:tabs>
          <w:tab w:leader="none" w:pos="9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 xml:space="preserve">2   </w:t>
      </w:r>
      <w:r>
        <w:rPr>
          <w:rFonts w:ascii="Arial" w:cs="Arial" w:eastAsia="Arial" w:hAnsi="Arial"/>
          <w:sz w:val="18"/>
          <w:szCs w:val="18"/>
          <w:color w:val="auto"/>
        </w:rPr>
        <w:t>(b)  x</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620" w:hanging="380"/>
        <w:spacing w:after="0"/>
        <w:tabs>
          <w:tab w:leader="none" w:pos="6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6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25"/>
        </w:trPr>
        <w:tc>
          <w:tcPr>
            <w:tcW w:w="1620" w:type="dxa"/>
            <w:vAlign w:val="bottom"/>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9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29"/>
        </w:trPr>
        <w:tc>
          <w:tcPr>
            <w:tcW w:w="162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80"/>
              <w:spacing w:after="0" w:line="203" w:lineRule="exact"/>
              <w:rPr>
                <w:sz w:val="20"/>
                <w:szCs w:val="20"/>
                <w:color w:val="auto"/>
              </w:rPr>
            </w:pPr>
            <w:r>
              <w:rPr>
                <w:rFonts w:ascii="Arial" w:cs="Arial" w:eastAsia="Arial" w:hAnsi="Arial"/>
                <w:sz w:val="18"/>
                <w:szCs w:val="18"/>
                <w:color w:val="auto"/>
              </w:rPr>
              <w:t>BENEFICIALLY</w:t>
            </w:r>
          </w:p>
        </w:tc>
        <w:tc>
          <w:tcPr>
            <w:tcW w:w="460" w:type="dxa"/>
            <w:vAlign w:val="bottom"/>
            <w:tcBorders>
              <w:bottom w:val="single" w:sz="8" w:color="auto"/>
            </w:tcBorders>
            <w:vMerge w:val="continue"/>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7"/>
                <w:szCs w:val="17"/>
                <w:color w:val="auto"/>
              </w:rPr>
            </w:pPr>
          </w:p>
        </w:tc>
        <w:tc>
          <w:tcPr>
            <w:tcW w:w="9240" w:type="dxa"/>
            <w:vAlign w:val="bottom"/>
          </w:tcPr>
          <w:p>
            <w:pPr>
              <w:ind w:left="12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5"/>
              </w:rPr>
              <w:t>EACH REPORTING</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460" w:type="dxa"/>
            <w:vAlign w:val="bottom"/>
            <w:vMerge w:val="continue"/>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20" w:hanging="380"/>
        <w:spacing w:after="0"/>
        <w:tabs>
          <w:tab w:leader="none" w:pos="6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9385</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620" w:hanging="425"/>
        <w:spacing w:after="0"/>
        <w:tabs>
          <w:tab w:leader="none" w:pos="6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x</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620" w:hanging="420"/>
        <w:spacing w:after="0"/>
        <w:tabs>
          <w:tab w:leader="none" w:pos="6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5.7%</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620" w:hanging="425"/>
        <w:spacing w:after="0"/>
        <w:tabs>
          <w:tab w:leader="none" w:pos="6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-119380</wp:posOffset>
            </wp:positionV>
            <wp:extent cx="570230" cy="269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230" cy="2698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436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NAMES OF REPORTING PERSONS I.R.S. IDENTIFICATION NOS. OF ABOVE PERSONS (ENTITIES ONLY)</w:t>
      </w:r>
    </w:p>
    <w:p>
      <w:pPr>
        <w:spacing w:after="0" w:line="225" w:lineRule="exact"/>
        <w:rPr>
          <w:sz w:val="20"/>
          <w:szCs w:val="20"/>
          <w:color w:val="auto"/>
        </w:rPr>
      </w:pPr>
    </w:p>
    <w:p>
      <w:pPr>
        <w:ind w:left="620" w:hanging="380"/>
        <w:spacing w:after="0"/>
        <w:tabs>
          <w:tab w:leader="none" w:pos="6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Silver Creek Special Opportunities Fund III, L.P.</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jc w:val="right"/>
        <w:ind w:left="240" w:right="10360" w:firstLine="376"/>
        <w:spacing w:after="0" w:line="261" w:lineRule="auto"/>
        <w:tabs>
          <w:tab w:leader="none" w:pos="9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 xml:space="preserve">2   </w:t>
      </w:r>
      <w:r>
        <w:rPr>
          <w:rFonts w:ascii="Arial" w:cs="Arial" w:eastAsia="Arial" w:hAnsi="Arial"/>
          <w:sz w:val="18"/>
          <w:szCs w:val="18"/>
          <w:color w:val="auto"/>
        </w:rPr>
        <w:t>(b)  x</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620" w:hanging="380"/>
        <w:spacing w:after="0"/>
        <w:tabs>
          <w:tab w:leader="none" w:pos="6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6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25"/>
        </w:trPr>
        <w:tc>
          <w:tcPr>
            <w:tcW w:w="1620" w:type="dxa"/>
            <w:vAlign w:val="bottom"/>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9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29"/>
        </w:trPr>
        <w:tc>
          <w:tcPr>
            <w:tcW w:w="162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80"/>
              <w:spacing w:after="0" w:line="203" w:lineRule="exact"/>
              <w:rPr>
                <w:sz w:val="20"/>
                <w:szCs w:val="20"/>
                <w:color w:val="auto"/>
              </w:rPr>
            </w:pPr>
            <w:r>
              <w:rPr>
                <w:rFonts w:ascii="Arial" w:cs="Arial" w:eastAsia="Arial" w:hAnsi="Arial"/>
                <w:sz w:val="18"/>
                <w:szCs w:val="18"/>
                <w:color w:val="auto"/>
              </w:rPr>
              <w:t>BENEFICIALLY</w:t>
            </w:r>
          </w:p>
        </w:tc>
        <w:tc>
          <w:tcPr>
            <w:tcW w:w="460" w:type="dxa"/>
            <w:vAlign w:val="bottom"/>
            <w:tcBorders>
              <w:bottom w:val="single" w:sz="8" w:color="auto"/>
            </w:tcBorders>
            <w:vMerge w:val="continue"/>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7"/>
                <w:szCs w:val="17"/>
                <w:color w:val="auto"/>
              </w:rPr>
            </w:pPr>
          </w:p>
        </w:tc>
        <w:tc>
          <w:tcPr>
            <w:tcW w:w="9240" w:type="dxa"/>
            <w:vAlign w:val="bottom"/>
          </w:tcPr>
          <w:p>
            <w:pPr>
              <w:ind w:left="12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5"/>
              </w:rPr>
              <w:t>EACH REPORTING</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460" w:type="dxa"/>
            <w:vAlign w:val="bottom"/>
            <w:vMerge w:val="continue"/>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20" w:hanging="380"/>
        <w:spacing w:after="0"/>
        <w:tabs>
          <w:tab w:leader="none" w:pos="6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9385</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620" w:hanging="425"/>
        <w:spacing w:after="0"/>
        <w:tabs>
          <w:tab w:leader="none" w:pos="62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x</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620" w:hanging="420"/>
        <w:spacing w:after="0"/>
        <w:tabs>
          <w:tab w:leader="none" w:pos="62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5.7%</w:t>
      </w:r>
    </w:p>
    <w:p>
      <w:pPr>
        <w:spacing w:after="0" w:line="9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620" w:hanging="425"/>
        <w:spacing w:after="0"/>
        <w:tabs>
          <w:tab w:leader="none" w:pos="62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TPG Specialty Lending,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Address of Issuer’s Principal Executive Offices 301 Commerce Street, Suite 3300</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38"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Silver Creek Capital Management LLC</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1301 Fifth Avenue, 40th Floor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Seattle, Washington 98101</w:t>
      </w:r>
    </w:p>
    <w:p>
      <w:pPr>
        <w:spacing w:after="0" w:line="237" w:lineRule="exact"/>
        <w:rPr>
          <w:rFonts w:ascii="Arial" w:cs="Arial" w:eastAsia="Arial" w:hAnsi="Arial"/>
          <w:sz w:val="18"/>
          <w:szCs w:val="18"/>
          <w:color w:val="auto"/>
        </w:rPr>
      </w:pPr>
    </w:p>
    <w:p>
      <w:pPr>
        <w:jc w:val="both"/>
        <w:ind w:left="1300" w:right="904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Citizenship Washington</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TPG Specialty Lending, Inc. Common Stock</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CUSIP Number 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 beneficially owned: 9385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5.7</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Shared power to vote or to direct the vote: 9385</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9385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 Joint Filing Agreement, dated February 14, 2012, by and between the Reporting Persons.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10.Certification</w:t>
      </w:r>
    </w:p>
    <w:p>
      <w:pPr>
        <w:spacing w:after="0" w:line="25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Silver Creek Capital Management LLC</w:t>
      </w:r>
    </w:p>
    <w:p>
      <w:pPr>
        <w:sectPr>
          <w:pgSz w:w="11900" w:h="16838" w:orient="portrait"/>
          <w:cols w:equalWidth="0" w:num="1">
            <w:col w:w="11440"/>
          </w:cols>
          <w:pgMar w:left="240" w:top="513" w:right="2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16, 2012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Eric E. Dillon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ectPr>
          <w:pgSz w:w="11900" w:h="16838" w:orient="portrait"/>
          <w:cols w:equalWidth="0" w:num="2">
            <w:col w:w="5000" w:space="720"/>
            <w:col w:w="5720"/>
          </w:cols>
          <w:pgMar w:left="240" w:top="513" w:right="219" w:bottom="1440" w:gutter="0" w:footer="0" w:header="0"/>
          <w:type w:val="continuous"/>
        </w:sect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Silver Creek Advisory Partners LLC</w:t>
      </w:r>
    </w:p>
    <w:p>
      <w:pPr>
        <w:sectPr>
          <w:pgSz w:w="11900" w:h="16838" w:orient="portrait"/>
          <w:cols w:equalWidth="0" w:num="1">
            <w:col w:w="11440"/>
          </w:cols>
          <w:pgMar w:left="240" w:top="513" w:right="2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16, 2012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Eric E. Dillon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ectPr>
          <w:pgSz w:w="11900" w:h="16838" w:orient="portrait"/>
          <w:cols w:equalWidth="0" w:num="2">
            <w:col w:w="5000" w:space="720"/>
            <w:col w:w="5720"/>
          </w:cols>
          <w:pgMar w:left="240" w:top="513" w:right="219" w:bottom="1440" w:gutter="0" w:footer="0" w:header="0"/>
          <w:type w:val="continuous"/>
        </w:sectPr>
      </w:pP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Silver Creek Special Opportunities Fund III, L.P.</w:t>
      </w:r>
    </w:p>
    <w:p>
      <w:pPr>
        <w:sectPr>
          <w:pgSz w:w="11900" w:h="16838" w:orient="portrait"/>
          <w:cols w:equalWidth="0" w:num="1">
            <w:col w:w="11440"/>
          </w:cols>
          <w:pgMar w:left="240" w:top="513" w:right="2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16, 2012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Eric E. Dillon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Silver Creek Special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Opportunities III GP LLC, its General Partner</w:t>
      </w:r>
    </w:p>
    <w:p>
      <w:pPr>
        <w:spacing w:after="0" w:line="200" w:lineRule="exact"/>
        <w:rPr>
          <w:sz w:val="20"/>
          <w:szCs w:val="20"/>
          <w:color w:val="auto"/>
        </w:rPr>
      </w:pPr>
    </w:p>
    <w:p>
      <w:pPr>
        <w:sectPr>
          <w:pgSz w:w="11900" w:h="16838" w:orient="portrait"/>
          <w:cols w:equalWidth="0" w:num="2">
            <w:col w:w="5000" w:space="720"/>
            <w:col w:w="5720"/>
          </w:cols>
          <w:pgMar w:left="240" w:top="513" w:right="219" w:bottom="1440" w:gutter="0" w:footer="0" w:header="0"/>
          <w:type w:val="continuous"/>
        </w:sectPr>
      </w:pPr>
    </w:p>
    <w:p>
      <w:pPr>
        <w:spacing w:after="0" w:line="300"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Silver Creek Special Opportunities Fund Cayman III, L.P.</w:t>
      </w:r>
    </w:p>
    <w:p>
      <w:pPr>
        <w:sectPr>
          <w:pgSz w:w="11900" w:h="16838" w:orient="portrait"/>
          <w:cols w:equalWidth="0" w:num="1">
            <w:col w:w="11440"/>
          </w:cols>
          <w:pgMar w:left="240" w:top="513" w:right="2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16, 2012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Eric E. Dillon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 Silver Creek Special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Opportunities III GP Ltd., its General Partner</w:t>
      </w:r>
    </w:p>
    <w:p>
      <w:pPr>
        <w:spacing w:after="0" w:line="200" w:lineRule="exact"/>
        <w:rPr>
          <w:sz w:val="20"/>
          <w:szCs w:val="20"/>
          <w:color w:val="auto"/>
        </w:rPr>
      </w:pPr>
    </w:p>
    <w:p>
      <w:pPr>
        <w:sectPr>
          <w:pgSz w:w="11900" w:h="16838" w:orient="portrait"/>
          <w:cols w:equalWidth="0" w:num="2">
            <w:col w:w="5000" w:space="720"/>
            <w:col w:w="5720"/>
          </w:cols>
          <w:pgMar w:left="240" w:top="513" w:right="219" w:bottom="1440" w:gutter="0" w:footer="0" w:header="0"/>
          <w:type w:val="continuous"/>
        </w:sectPr>
      </w:pPr>
    </w:p>
    <w:p>
      <w:pPr>
        <w:spacing w:after="0" w:line="300"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Silver Creek Credit Opportunities II Fund A, L.P.</w:t>
      </w:r>
    </w:p>
    <w:p>
      <w:pPr>
        <w:sectPr>
          <w:pgSz w:w="11900" w:h="16838" w:orient="portrait"/>
          <w:cols w:equalWidth="0" w:num="1">
            <w:col w:w="11440"/>
          </w:cols>
          <w:pgMar w:left="240" w:top="513" w:right="2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16, 2012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Eric E. Dillon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 Silver Creek Credit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Opportunities Cayman GP, Ltd., its General</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ectPr>
          <w:pgSz w:w="11900" w:h="16838" w:orient="portrait"/>
          <w:cols w:equalWidth="0" w:num="2">
            <w:col w:w="5000" w:space="720"/>
            <w:col w:w="5720"/>
          </w:cols>
          <w:pgMar w:left="240" w:top="513" w:right="219" w:bottom="1440" w:gutter="0" w:footer="0" w:header="0"/>
          <w:type w:val="continuous"/>
        </w:sect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700" w:type="dxa"/>
            <w:vAlign w:val="bottom"/>
          </w:tcPr>
          <w:p>
            <w:pPr>
              <w:ind w:left="1980"/>
              <w:spacing w:after="0"/>
              <w:rPr>
                <w:sz w:val="20"/>
                <w:szCs w:val="20"/>
                <w:color w:val="auto"/>
              </w:rPr>
            </w:pPr>
            <w:r>
              <w:rPr>
                <w:rFonts w:ascii="Arial" w:cs="Arial" w:eastAsia="Arial" w:hAnsi="Arial"/>
                <w:sz w:val="18"/>
                <w:szCs w:val="18"/>
                <w:b w:val="1"/>
                <w:bCs w:val="1"/>
                <w:color w:val="auto"/>
              </w:rPr>
              <w:t>Silver Creek Credit Opportunities III Fund B, L.P.</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Date: February 16, 2012</w:t>
            </w:r>
          </w:p>
        </w:tc>
        <w:tc>
          <w:tcPr>
            <w:tcW w:w="7700" w:type="dxa"/>
            <w:vAlign w:val="bottom"/>
          </w:tcPr>
          <w:p>
            <w:pPr>
              <w:ind w:left="1980"/>
              <w:spacing w:after="0"/>
              <w:rPr>
                <w:sz w:val="20"/>
                <w:szCs w:val="20"/>
                <w:color w:val="auto"/>
              </w:rPr>
            </w:pPr>
            <w:r>
              <w:rPr>
                <w:rFonts w:ascii="Arial" w:cs="Arial" w:eastAsia="Arial" w:hAnsi="Arial"/>
                <w:sz w:val="18"/>
                <w:szCs w:val="18"/>
                <w:color w:val="auto"/>
              </w:rPr>
              <w:t>By: /s/ Eric E. Dillon</w:t>
            </w:r>
          </w:p>
        </w:tc>
      </w:tr>
      <w:tr>
        <w:trPr>
          <w:trHeight w:val="216"/>
        </w:trPr>
        <w:tc>
          <w:tcPr>
            <w:tcW w:w="3740" w:type="dxa"/>
            <w:vAlign w:val="bottom"/>
          </w:tcPr>
          <w:p>
            <w:pPr>
              <w:spacing w:after="0"/>
              <w:rPr>
                <w:sz w:val="18"/>
                <w:szCs w:val="18"/>
                <w:color w:val="auto"/>
              </w:rPr>
            </w:pPr>
          </w:p>
        </w:tc>
        <w:tc>
          <w:tcPr>
            <w:tcW w:w="7700" w:type="dxa"/>
            <w:vAlign w:val="bottom"/>
          </w:tcPr>
          <w:p>
            <w:pPr>
              <w:ind w:left="2340"/>
              <w:spacing w:after="0"/>
              <w:rPr>
                <w:sz w:val="20"/>
                <w:szCs w:val="20"/>
                <w:color w:val="auto"/>
              </w:rPr>
            </w:pPr>
            <w:r>
              <w:rPr>
                <w:rFonts w:ascii="Arial" w:cs="Arial" w:eastAsia="Arial" w:hAnsi="Arial"/>
                <w:sz w:val="18"/>
                <w:szCs w:val="18"/>
                <w:color w:val="auto"/>
              </w:rPr>
              <w:t>Name: Eric E. Dillon</w:t>
            </w:r>
          </w:p>
        </w:tc>
      </w:tr>
      <w:tr>
        <w:trPr>
          <w:trHeight w:val="216"/>
        </w:trPr>
        <w:tc>
          <w:tcPr>
            <w:tcW w:w="3740" w:type="dxa"/>
            <w:vAlign w:val="bottom"/>
          </w:tcPr>
          <w:p>
            <w:pPr>
              <w:spacing w:after="0"/>
              <w:rPr>
                <w:sz w:val="18"/>
                <w:szCs w:val="18"/>
                <w:color w:val="auto"/>
              </w:rPr>
            </w:pPr>
          </w:p>
        </w:tc>
        <w:tc>
          <w:tcPr>
            <w:tcW w:w="7700" w:type="dxa"/>
            <w:vAlign w:val="bottom"/>
          </w:tcPr>
          <w:p>
            <w:pPr>
              <w:ind w:left="2340"/>
              <w:spacing w:after="0"/>
              <w:rPr>
                <w:sz w:val="20"/>
                <w:szCs w:val="20"/>
                <w:color w:val="auto"/>
              </w:rPr>
            </w:pPr>
            <w:r>
              <w:rPr>
                <w:rFonts w:ascii="Arial" w:cs="Arial" w:eastAsia="Arial" w:hAnsi="Arial"/>
                <w:sz w:val="18"/>
                <w:szCs w:val="18"/>
                <w:color w:val="auto"/>
              </w:rPr>
              <w:t>Title: Director, Silver Creek Credit</w:t>
            </w:r>
          </w:p>
        </w:tc>
      </w:tr>
      <w:tr>
        <w:trPr>
          <w:trHeight w:val="216"/>
        </w:trPr>
        <w:tc>
          <w:tcPr>
            <w:tcW w:w="3740" w:type="dxa"/>
            <w:vAlign w:val="bottom"/>
          </w:tcPr>
          <w:p>
            <w:pPr>
              <w:spacing w:after="0"/>
              <w:rPr>
                <w:sz w:val="18"/>
                <w:szCs w:val="18"/>
                <w:color w:val="auto"/>
              </w:rPr>
            </w:pPr>
          </w:p>
        </w:tc>
        <w:tc>
          <w:tcPr>
            <w:tcW w:w="7700" w:type="dxa"/>
            <w:vAlign w:val="bottom"/>
          </w:tcPr>
          <w:p>
            <w:pPr>
              <w:ind w:left="2340"/>
              <w:spacing w:after="0"/>
              <w:rPr>
                <w:sz w:val="20"/>
                <w:szCs w:val="20"/>
                <w:color w:val="auto"/>
              </w:rPr>
            </w:pPr>
            <w:r>
              <w:rPr>
                <w:rFonts w:ascii="Arial" w:cs="Arial" w:eastAsia="Arial" w:hAnsi="Arial"/>
                <w:sz w:val="18"/>
                <w:szCs w:val="18"/>
                <w:color w:val="auto"/>
              </w:rPr>
              <w:t>Opportunities Cayman GP, Ltd., its General</w:t>
            </w:r>
          </w:p>
        </w:tc>
      </w:tr>
      <w:tr>
        <w:trPr>
          <w:trHeight w:val="230"/>
        </w:trPr>
        <w:tc>
          <w:tcPr>
            <w:tcW w:w="3740" w:type="dxa"/>
            <w:vAlign w:val="bottom"/>
          </w:tcPr>
          <w:p>
            <w:pPr>
              <w:spacing w:after="0"/>
              <w:rPr>
                <w:sz w:val="20"/>
                <w:szCs w:val="20"/>
                <w:color w:val="auto"/>
              </w:rPr>
            </w:pPr>
          </w:p>
        </w:tc>
        <w:tc>
          <w:tcPr>
            <w:tcW w:w="7700" w:type="dxa"/>
            <w:vAlign w:val="bottom"/>
          </w:tcPr>
          <w:p>
            <w:pPr>
              <w:ind w:left="2340"/>
              <w:spacing w:after="0"/>
              <w:rPr>
                <w:sz w:val="20"/>
                <w:szCs w:val="20"/>
                <w:color w:val="auto"/>
              </w:rPr>
            </w:pPr>
            <w:r>
              <w:rPr>
                <w:rFonts w:ascii="Arial" w:cs="Arial" w:eastAsia="Arial" w:hAnsi="Arial"/>
                <w:sz w:val="18"/>
                <w:szCs w:val="18"/>
                <w:color w:val="auto"/>
              </w:rPr>
              <w:t>Partner</w:t>
            </w:r>
          </w:p>
        </w:tc>
      </w:tr>
      <w:tr>
        <w:trPr>
          <w:trHeight w:val="605"/>
        </w:trPr>
        <w:tc>
          <w:tcPr>
            <w:tcW w:w="3740" w:type="dxa"/>
            <w:vAlign w:val="bottom"/>
            <w:tcBorders>
              <w:bottom w:val="single" w:sz="8" w:color="808080"/>
            </w:tcBorders>
          </w:tcPr>
          <w:p>
            <w:pPr>
              <w:spacing w:after="0"/>
              <w:rPr>
                <w:sz w:val="24"/>
                <w:szCs w:val="24"/>
                <w:color w:val="auto"/>
              </w:rPr>
            </w:pPr>
          </w:p>
        </w:tc>
        <w:tc>
          <w:tcPr>
            <w:tcW w:w="7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 FOR SCHEDULE 13D WITH RESPECT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38" w:lineRule="exact"/>
        <w:rPr>
          <w:sz w:val="20"/>
          <w:szCs w:val="20"/>
          <w:color w:val="auto"/>
        </w:rPr>
      </w:pPr>
    </w:p>
    <w:p>
      <w:pPr>
        <w:jc w:val="both"/>
        <w:ind w:firstLine="222"/>
        <w:spacing w:after="0" w:line="273"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 This Agreement may be executed in any number of counterparts and all of such counterparts taken together shall constitute one and the same instrument.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SILVER CREEK CAPITAL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Eric E. Dillon</w:t>
      </w:r>
    </w:p>
    <w:p>
      <w:pPr>
        <w:spacing w:after="0" w:line="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SILVER CREEK SPECIAL OPPORTUNITIES FUND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E. Dillon</w:t>
            </w:r>
          </w:p>
        </w:tc>
        <w:tc>
          <w:tcPr>
            <w:tcW w:w="396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660" w:type="dxa"/>
            <w:vAlign w:val="bottom"/>
            <w:gridSpan w:val="2"/>
          </w:tcPr>
          <w:p>
            <w:pPr>
              <w:ind w:left="100"/>
              <w:spacing w:after="0"/>
              <w:rPr>
                <w:sz w:val="20"/>
                <w:szCs w:val="20"/>
                <w:color w:val="auto"/>
              </w:rPr>
            </w:pPr>
            <w:r>
              <w:rPr>
                <w:rFonts w:ascii="Arial" w:cs="Arial" w:eastAsia="Arial" w:hAnsi="Arial"/>
                <w:sz w:val="18"/>
                <w:szCs w:val="18"/>
                <w:color w:val="auto"/>
                <w:w w:val="91"/>
              </w:rPr>
              <w:t>Manager, Silver Creek Special Opportunities III GP LLC, its General Partner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SILVER CREEK SPECIAL OPPORTUNITIES FUND CAYMAN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E. Dillon</w:t>
            </w:r>
          </w:p>
        </w:tc>
        <w:tc>
          <w:tcPr>
            <w:tcW w:w="912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0820" w:type="dxa"/>
            <w:vAlign w:val="bottom"/>
            <w:gridSpan w:val="2"/>
          </w:tcPr>
          <w:p>
            <w:pPr>
              <w:ind w:left="100"/>
              <w:spacing w:after="0"/>
              <w:rPr>
                <w:sz w:val="20"/>
                <w:szCs w:val="20"/>
                <w:color w:val="auto"/>
              </w:rPr>
            </w:pPr>
            <w:r>
              <w:rPr>
                <w:rFonts w:ascii="Arial" w:cs="Arial" w:eastAsia="Arial" w:hAnsi="Arial"/>
                <w:sz w:val="18"/>
                <w:szCs w:val="18"/>
                <w:color w:val="auto"/>
              </w:rPr>
              <w:t>Director, Silver Creek Special Opportunities III GP Ltd., its General Partner</w:t>
            </w:r>
          </w:p>
        </w:tc>
      </w:tr>
      <w:tr>
        <w:trPr>
          <w:trHeight w:val="659"/>
        </w:trPr>
        <w:tc>
          <w:tcPr>
            <w:tcW w:w="6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SILVER CREEK ADVISORY PARTNERS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Eric E. Dillon</w:t>
      </w:r>
    </w:p>
    <w:p>
      <w:pPr>
        <w:spacing w:after="0" w:line="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SILVER CREEK CREDIT OPPORTUNITIES II FUND A,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E. Dillon</w:t>
            </w:r>
          </w:p>
        </w:tc>
        <w:tc>
          <w:tcPr>
            <w:tcW w:w="42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w w:val="90"/>
              </w:rPr>
              <w:t>Director, Silver Creek Credit Opportunities Cayman GP, Ltd., its General Partner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SILVER CREEK CREDIT OPPORTUNITIES III FUND B,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E. Dillon</w:t>
            </w:r>
          </w:p>
        </w:tc>
        <w:tc>
          <w:tcPr>
            <w:tcW w:w="91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0840" w:type="dxa"/>
            <w:vAlign w:val="bottom"/>
            <w:gridSpan w:val="2"/>
          </w:tcPr>
          <w:p>
            <w:pPr>
              <w:ind w:left="100"/>
              <w:spacing w:after="0"/>
              <w:rPr>
                <w:sz w:val="20"/>
                <w:szCs w:val="20"/>
                <w:color w:val="auto"/>
              </w:rPr>
            </w:pPr>
            <w:r>
              <w:rPr>
                <w:rFonts w:ascii="Arial" w:cs="Arial" w:eastAsia="Arial" w:hAnsi="Arial"/>
                <w:sz w:val="18"/>
                <w:szCs w:val="18"/>
                <w:color w:val="auto"/>
              </w:rPr>
              <w:t>Director, Silver Creek Credit Opportunities Cayman GP, Ltd., its General Partner</w:t>
            </w:r>
          </w:p>
        </w:tc>
      </w:tr>
      <w:tr>
        <w:trPr>
          <w:trHeight w:val="577"/>
        </w:trPr>
        <w:tc>
          <w:tcPr>
            <w:tcW w:w="6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9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lvl w:ilvl="1">
      <w:lvlJc w:val="left"/>
      <w:lvlText w:val="o"/>
      <w:numFmt w:val="bullet"/>
      <w:start w:val="1"/>
    </w:lvl>
  </w:abstractNum>
  <w:abstractNum w:abstractNumId="1">
    <w:nsid w:val="7C83E458"/>
    <w:multiLevelType w:val="hybridMultilevel"/>
    <w:lvl w:ilvl="0">
      <w:lvlJc w:val="left"/>
      <w:lvlText w:val="1"/>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4"/>
      <w:numFmt w:val="bullet"/>
      <w:start w:val="1"/>
    </w:lvl>
  </w:abstractNum>
  <w:abstractNum w:abstractNumId="4">
    <w:nsid w:val="436C6125"/>
    <w:multiLevelType w:val="hybridMultilevel"/>
    <w:lvl w:ilvl="0">
      <w:lvlJc w:val="left"/>
      <w:lvlText w:val="9"/>
      <w:numFmt w:val="bullet"/>
      <w:start w:val="1"/>
    </w:lvl>
  </w:abstractNum>
  <w:abstractNum w:abstractNumId="5">
    <w:nsid w:val="628C895D"/>
    <w:multiLevelType w:val="hybridMultilevel"/>
    <w:lvl w:ilvl="0">
      <w:lvlJc w:val="left"/>
      <w:lvlText w:val="%1"/>
      <w:numFmt w:val="decimal"/>
      <w:start w:val="10"/>
    </w:lvl>
  </w:abstractNum>
  <w:abstractNum w:abstractNumId="6">
    <w:nsid w:val="333AB105"/>
    <w:multiLevelType w:val="hybridMultilevel"/>
    <w:lvl w:ilvl="0">
      <w:lvlJc w:val="left"/>
      <w:lvlText w:val="%1"/>
      <w:numFmt w:val="upperLetter"/>
      <w:start w:val="35"/>
    </w:lvl>
  </w:abstractNum>
  <w:abstractNum w:abstractNumId="7">
    <w:nsid w:val="721DA317"/>
    <w:multiLevelType w:val="hybridMultilevel"/>
    <w:lvl w:ilvl="0">
      <w:lvlJc w:val="left"/>
      <w:lvlText w:val="1"/>
      <w:numFmt w:val="bullet"/>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4"/>
      <w:numFmt w:val="bullet"/>
      <w:start w:val="1"/>
    </w:lvl>
  </w:abstractNum>
  <w:abstractNum w:abstractNumId="10">
    <w:nsid w:val="6763845E"/>
    <w:multiLevelType w:val="hybridMultilevel"/>
    <w:lvl w:ilvl="0">
      <w:lvlJc w:val="left"/>
      <w:lvlText w:val="9"/>
      <w:numFmt w:val="bullet"/>
      <w:start w:val="1"/>
    </w:lvl>
  </w:abstractNum>
  <w:abstractNum w:abstractNumId="11">
    <w:nsid w:val="75A2A8D4"/>
    <w:multiLevelType w:val="hybridMultilevel"/>
    <w:lvl w:ilvl="0">
      <w:lvlJc w:val="left"/>
      <w:lvlText w:val="%1"/>
      <w:numFmt w:val="decimal"/>
      <w:start w:val="10"/>
    </w:lvl>
  </w:abstractNum>
  <w:abstractNum w:abstractNumId="12">
    <w:nsid w:val="8EDBDAB"/>
    <w:multiLevelType w:val="hybridMultilevel"/>
    <w:lvl w:ilvl="0">
      <w:lvlJc w:val="left"/>
      <w:lvlText w:val="1"/>
      <w:numFmt w:val="bullet"/>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4"/>
      <w:numFmt w:val="bullet"/>
      <w:start w:val="1"/>
    </w:lvl>
  </w:abstractNum>
  <w:abstractNum w:abstractNumId="15">
    <w:nsid w:val="B03E0C6"/>
    <w:multiLevelType w:val="hybridMultilevel"/>
    <w:lvl w:ilvl="0">
      <w:lvlJc w:val="left"/>
      <w:lvlText w:val="9"/>
      <w:numFmt w:val="bullet"/>
      <w:start w:val="1"/>
    </w:lvl>
  </w:abstractNum>
  <w:abstractNum w:abstractNumId="16">
    <w:nsid w:val="189A769B"/>
    <w:multiLevelType w:val="hybridMultilevel"/>
    <w:lvl w:ilvl="0">
      <w:lvlJc w:val="left"/>
      <w:lvlText w:val="%1"/>
      <w:numFmt w:val="decimal"/>
      <w:start w:val="10"/>
    </w:lvl>
  </w:abstractNum>
  <w:abstractNum w:abstractNumId="17">
    <w:nsid w:val="54E49EB4"/>
    <w:multiLevelType w:val="hybridMultilevel"/>
    <w:lvl w:ilvl="0">
      <w:lvlJc w:val="left"/>
      <w:lvlText w:val="1"/>
      <w:numFmt w:val="bullet"/>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4"/>
      <w:numFmt w:val="bullet"/>
      <w:start w:val="1"/>
    </w:lvl>
  </w:abstractNum>
  <w:abstractNum w:abstractNumId="20">
    <w:nsid w:val="836C40E"/>
    <w:multiLevelType w:val="hybridMultilevel"/>
    <w:lvl w:ilvl="0">
      <w:lvlJc w:val="left"/>
      <w:lvlText w:val="9"/>
      <w:numFmt w:val="bullet"/>
      <w:start w:val="1"/>
    </w:lvl>
  </w:abstractNum>
  <w:abstractNum w:abstractNumId="21">
    <w:nsid w:val="2901D82"/>
    <w:multiLevelType w:val="hybridMultilevel"/>
    <w:lvl w:ilvl="0">
      <w:lvlJc w:val="left"/>
      <w:lvlText w:val="%1"/>
      <w:numFmt w:val="decimal"/>
      <w:start w:val="10"/>
    </w:lvl>
  </w:abstractNum>
  <w:abstractNum w:abstractNumId="22">
    <w:nsid w:val="3A95F874"/>
    <w:multiLevelType w:val="hybridMultilevel"/>
    <w:lvl w:ilvl="0">
      <w:lvlJc w:val="left"/>
      <w:lvlText w:val="1"/>
      <w:numFmt w:val="bullet"/>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4"/>
      <w:numFmt w:val="bullet"/>
      <w:start w:val="1"/>
    </w:lvl>
  </w:abstractNum>
  <w:abstractNum w:abstractNumId="25">
    <w:nsid w:val="7C3DBD3D"/>
    <w:multiLevelType w:val="hybridMultilevel"/>
    <w:lvl w:ilvl="0">
      <w:lvlJc w:val="left"/>
      <w:lvlText w:val="9"/>
      <w:numFmt w:val="bullet"/>
      <w:start w:val="1"/>
    </w:lvl>
  </w:abstractNum>
  <w:abstractNum w:abstractNumId="26">
    <w:nsid w:val="737B8DDC"/>
    <w:multiLevelType w:val="hybridMultilevel"/>
    <w:lvl w:ilvl="0">
      <w:lvlJc w:val="left"/>
      <w:lvlText w:val="%1"/>
      <w:numFmt w:val="decimal"/>
      <w:start w:val="10"/>
    </w:lvl>
  </w:abstractNum>
  <w:abstractNum w:abstractNumId="27">
    <w:nsid w:val="6CEAF087"/>
    <w:multiLevelType w:val="hybridMultilevel"/>
    <w:lvl w:ilvl="0">
      <w:lvlJc w:val="left"/>
      <w:lvlText w:val="1"/>
      <w:numFmt w:val="bullet"/>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4"/>
      <w:numFmt w:val="bullet"/>
      <w:start w:val="1"/>
    </w:lvl>
  </w:abstractNum>
  <w:abstractNum w:abstractNumId="30">
    <w:nsid w:val="3006C83E"/>
    <w:multiLevelType w:val="hybridMultilevel"/>
    <w:lvl w:ilvl="0">
      <w:lvlJc w:val="left"/>
      <w:lvlText w:val="9"/>
      <w:numFmt w:val="bullet"/>
      <w:start w:val="1"/>
    </w:lvl>
  </w:abstractNum>
  <w:abstractNum w:abstractNumId="31">
    <w:nsid w:val="614FD4A1"/>
    <w:multiLevelType w:val="hybridMultilevel"/>
    <w:lvl w:ilvl="0">
      <w:lvlJc w:val="left"/>
      <w:lvlText w:val="%1"/>
      <w:numFmt w:val="decimal"/>
      <w:start w:val="10"/>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2019-12-09T19:37:47Z</dcterms:created>
  <dcterms:modified xsi:type="dcterms:W3CDTF">2019-12-09T19:37:47Z</dcterms:modified>
</cp:coreProperties>
</file>