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3"/>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60" w:type="dxa"/>
            <w:vAlign w:val="bottom"/>
            <w:gridSpan w:val="3"/>
            <w:vMerge w:val="restart"/>
          </w:tcPr>
          <w:p>
            <w:pPr>
              <w:ind w:left="720"/>
              <w:spacing w:after="0"/>
              <w:rPr>
                <w:sz w:val="20"/>
                <w:szCs w:val="20"/>
                <w:color w:val="auto"/>
              </w:rPr>
            </w:pPr>
            <w:r>
              <w:rPr>
                <w:rFonts w:ascii="Arial" w:cs="Arial" w:eastAsia="Arial" w:hAnsi="Arial"/>
                <w:sz w:val="18"/>
                <w:szCs w:val="18"/>
                <w:color w:val="0000FF"/>
              </w:rPr>
              <w:t>03/26/2014</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290.56</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color w:val="0000FF"/>
              </w:rPr>
              <w:t>4,180.53</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2,799,517 shares of Common Stock of the Issuer, including 4,180.53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Ronald Cami is signing on behalf of Mr. Kirshenbaum pursuant to the authorization and designation letter dated March 10, 2014, which is filed as an exhibit hereto.</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March 10,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Alan Kirshenbaum</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Alan Kirshenbaum</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2019-12-16T08:42:25Z</dcterms:created>
  <dcterms:modified xsi:type="dcterms:W3CDTF">2019-12-16T08:42:25Z</dcterms:modified>
</cp:coreProperties>
</file>