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13)</w:t>
      </w:r>
    </w:p>
    <w:p>
      <w:pPr>
        <w:spacing w:after="0" w:line="18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Authorized to Receive Notices and Communications)</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ind w:right="640" w:firstLine="324"/>
        <w:spacing w:after="0" w:line="274"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 -1(e), 240.13d -1(f) or 240.13d -1(g), check the following box. </w:t>
      </w:r>
      <w:r>
        <w:rPr>
          <w:rFonts w:ascii="Arial" w:cs="Arial" w:eastAsia="Arial" w:hAnsi="Arial"/>
          <w:sz w:val="21"/>
          <w:szCs w:val="21"/>
          <w:color w:val="auto"/>
        </w:rPr>
        <w:t>[_]</w:t>
      </w:r>
    </w:p>
    <w:p>
      <w:pPr>
        <w:spacing w:after="0" w:line="163"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 -7</w:t>
      </w:r>
      <w:r>
        <w:rPr>
          <w:rFonts w:ascii="Arial" w:cs="Arial" w:eastAsia="Arial" w:hAnsi="Arial"/>
          <w:sz w:val="18"/>
          <w:szCs w:val="18"/>
          <w:i w:val="1"/>
          <w:iCs w:val="1"/>
          <w:color w:val="auto"/>
        </w:rPr>
        <w:t xml:space="preserve"> </w:t>
      </w:r>
      <w:r>
        <w:rPr>
          <w:rFonts w:ascii="Arial" w:cs="Arial" w:eastAsia="Arial" w:hAnsi="Arial"/>
          <w:sz w:val="18"/>
          <w:szCs w:val="18"/>
          <w:color w:val="auto"/>
        </w:rPr>
        <w:t>for other parties to whom copies are to be sent.</w:t>
      </w:r>
    </w:p>
    <w:p>
      <w:pPr>
        <w:spacing w:after="0" w:line="14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(Continued on following pages)</w:t>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(Page 1 of 12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36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740" w:type="dxa"/>
            <w:vAlign w:val="bottom"/>
            <w:tcBorders>
              <w:top w:val="single" w:sz="8" w:color="808080"/>
            </w:tcBorders>
          </w:tcPr>
          <w:p>
            <w:pPr>
              <w:spacing w:after="0"/>
              <w:rPr>
                <w:sz w:val="24"/>
                <w:szCs w:val="24"/>
                <w:color w:val="auto"/>
              </w:rPr>
            </w:pPr>
          </w:p>
        </w:tc>
        <w:tc>
          <w:tcPr>
            <w:tcW w:w="700" w:type="dxa"/>
            <w:vAlign w:val="bottom"/>
            <w:tcBorders>
              <w:top w:val="single" w:sz="8" w:color="808080"/>
              <w:right w:val="single" w:sz="8" w:color="808080"/>
            </w:tcBorders>
          </w:tcPr>
          <w:p>
            <w:pPr>
              <w:spacing w:after="0"/>
              <w:rPr>
                <w:sz w:val="24"/>
                <w:szCs w:val="24"/>
                <w:color w:val="auto"/>
              </w:rPr>
            </w:pPr>
          </w:p>
        </w:tc>
        <w:tc>
          <w:tcPr>
            <w:tcW w:w="246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980" w:type="dxa"/>
            <w:vAlign w:val="bottom"/>
            <w:tcBorders>
              <w:right w:val="single" w:sz="8" w:color="808080"/>
            </w:tcBorders>
          </w:tcPr>
          <w:p>
            <w:pPr>
              <w:spacing w:after="0"/>
              <w:rPr>
                <w:sz w:val="24"/>
                <w:szCs w:val="24"/>
                <w:color w:val="auto"/>
              </w:rPr>
            </w:pPr>
          </w:p>
        </w:tc>
        <w:tc>
          <w:tcPr>
            <w:tcW w:w="760" w:type="dxa"/>
            <w:vAlign w:val="bottom"/>
            <w:tcBorders>
              <w:top w:val="single" w:sz="8" w:color="808080"/>
            </w:tcBorders>
          </w:tcPr>
          <w:p>
            <w:pPr>
              <w:spacing w:after="0"/>
              <w:rPr>
                <w:sz w:val="24"/>
                <w:szCs w:val="24"/>
                <w:color w:val="auto"/>
              </w:rPr>
            </w:pPr>
          </w:p>
        </w:tc>
        <w:tc>
          <w:tcPr>
            <w:tcW w:w="640" w:type="dxa"/>
            <w:vAlign w:val="bottom"/>
            <w:tcBorders>
              <w:top w:val="single" w:sz="8" w:color="808080"/>
            </w:tcBorders>
          </w:tcPr>
          <w:p>
            <w:pPr>
              <w:spacing w:after="0"/>
              <w:rPr>
                <w:sz w:val="24"/>
                <w:szCs w:val="24"/>
                <w:color w:val="auto"/>
              </w:rPr>
            </w:pPr>
          </w:p>
        </w:tc>
        <w:tc>
          <w:tcPr>
            <w:tcW w:w="1780" w:type="dxa"/>
            <w:vAlign w:val="bottom"/>
            <w:tcBorders>
              <w:top w:val="single" w:sz="8" w:color="808080"/>
              <w:right w:val="single" w:sz="8" w:color="808080"/>
            </w:tcBorders>
          </w:tcPr>
          <w:p>
            <w:pPr>
              <w:ind w:left="360"/>
              <w:spacing w:after="0"/>
              <w:rPr>
                <w:sz w:val="20"/>
                <w:szCs w:val="20"/>
                <w:color w:val="auto"/>
              </w:rPr>
            </w:pPr>
            <w:r>
              <w:rPr>
                <w:rFonts w:ascii="Arial" w:cs="Arial" w:eastAsia="Arial" w:hAnsi="Arial"/>
                <w:sz w:val="18"/>
                <w:szCs w:val="18"/>
                <w:b w:val="1"/>
                <w:bCs w:val="1"/>
                <w:color w:val="auto"/>
                <w:w w:val="84"/>
              </w:rPr>
              <w:t>Page 2 of 12 Pages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808080"/>
            </w:tcBorders>
            <w:gridSpan w:val="4"/>
            <w:vMerge w:val="continue"/>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Borders>
              <w:right w:val="single" w:sz="8" w:color="808080"/>
            </w:tcBorders>
          </w:tcPr>
          <w:p>
            <w:pPr>
              <w:spacing w:after="0"/>
              <w:rPr>
                <w:sz w:val="18"/>
                <w:szCs w:val="18"/>
                <w:color w:val="auto"/>
              </w:rPr>
            </w:pPr>
          </w:p>
        </w:tc>
        <w:tc>
          <w:tcPr>
            <w:tcW w:w="2460" w:type="dxa"/>
            <w:vAlign w:val="bottom"/>
          </w:tcPr>
          <w:p>
            <w:pPr>
              <w:spacing w:after="0"/>
              <w:rPr>
                <w:sz w:val="18"/>
                <w:szCs w:val="18"/>
                <w:color w:val="auto"/>
              </w:rPr>
            </w:pPr>
          </w:p>
        </w:tc>
        <w:tc>
          <w:tcPr>
            <w:tcW w:w="1980" w:type="dxa"/>
            <w:vAlign w:val="bottom"/>
            <w:tcBorders>
              <w:right w:val="single" w:sz="8" w:color="808080"/>
            </w:tcBorders>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gridSpan w:val="2"/>
          </w:tcPr>
          <w:p>
            <w:pPr>
              <w:spacing w:after="0"/>
              <w:rPr>
                <w:sz w:val="3"/>
                <w:szCs w:val="3"/>
                <w:color w:val="auto"/>
              </w:rPr>
            </w:pPr>
          </w:p>
        </w:tc>
        <w:tc>
          <w:tcPr>
            <w:tcW w:w="700" w:type="dxa"/>
            <w:vAlign w:val="bottom"/>
            <w:tcBorders>
              <w:bottom w:val="single" w:sz="8" w:color="808080"/>
              <w:right w:val="single" w:sz="8" w:color="808080"/>
            </w:tcBorders>
          </w:tcPr>
          <w:p>
            <w:pPr>
              <w:spacing w:after="0"/>
              <w:rPr>
                <w:sz w:val="3"/>
                <w:szCs w:val="3"/>
                <w:color w:val="auto"/>
              </w:rPr>
            </w:pPr>
          </w:p>
        </w:tc>
        <w:tc>
          <w:tcPr>
            <w:tcW w:w="2460" w:type="dxa"/>
            <w:vAlign w:val="bottom"/>
          </w:tcPr>
          <w:p>
            <w:pPr>
              <w:spacing w:after="0"/>
              <w:rPr>
                <w:sz w:val="3"/>
                <w:szCs w:val="3"/>
                <w:color w:val="auto"/>
              </w:rPr>
            </w:pPr>
          </w:p>
        </w:tc>
        <w:tc>
          <w:tcPr>
            <w:tcW w:w="1980" w:type="dxa"/>
            <w:vAlign w:val="bottom"/>
            <w:tcBorders>
              <w:right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7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5460" w:type="dxa"/>
            <w:vAlign w:val="bottom"/>
            <w:tcBorders>
              <w:bottom w:val="single" w:sz="8" w:color="808080"/>
            </w:tcBorders>
            <w:gridSpan w:val="5"/>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w:t>
            </w: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ind w:left="100"/>
              <w:spacing w:after="0"/>
              <w:rPr>
                <w:sz w:val="20"/>
                <w:szCs w:val="20"/>
                <w:color w:val="auto"/>
              </w:rPr>
            </w:pPr>
            <w:r>
              <w:rPr>
                <w:rFonts w:ascii="Arial" w:cs="Arial" w:eastAsia="Arial" w:hAnsi="Arial"/>
                <w:sz w:val="18"/>
                <w:szCs w:val="18"/>
                <w:color w:val="auto"/>
              </w:rPr>
              <w:t>TPG Group Holdings (SBS) Advisors, Inc.</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460" w:type="dxa"/>
            <w:vAlign w:val="bottom"/>
            <w:tcBorders>
              <w:bottom w:val="single" w:sz="8" w:color="808080"/>
            </w:tcBorders>
            <w:gridSpan w:val="5"/>
          </w:tcPr>
          <w:p>
            <w:pPr>
              <w:spacing w:after="0"/>
              <w:rPr>
                <w:sz w:val="4"/>
                <w:szCs w:val="4"/>
                <w:color w:val="auto"/>
              </w:rPr>
            </w:pPr>
          </w:p>
        </w:tc>
        <w:tc>
          <w:tcPr>
            <w:tcW w:w="19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7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(a)</w:t>
            </w:r>
          </w:p>
        </w:tc>
        <w:tc>
          <w:tcPr>
            <w:tcW w:w="1780" w:type="dxa"/>
            <w:vAlign w:val="bottom"/>
            <w:tcBorders>
              <w:right w:val="single" w:sz="8" w:color="808080"/>
            </w:tcBorders>
            <w:vMerge w:val="restart"/>
          </w:tcPr>
          <w:p>
            <w:pPr>
              <w:ind w:left="8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tcBorders>
          </w:tcPr>
          <w:p>
            <w:pPr>
              <w:spacing w:after="0"/>
              <w:rPr>
                <w:sz w:val="20"/>
                <w:szCs w:val="20"/>
                <w:color w:val="auto"/>
              </w:rPr>
            </w:pPr>
          </w:p>
        </w:tc>
        <w:tc>
          <w:tcPr>
            <w:tcW w:w="300" w:type="dxa"/>
            <w:vAlign w:val="bottom"/>
            <w:tcBorders>
              <w:right w:val="single" w:sz="8" w:color="808080"/>
            </w:tcBorders>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(b)</w:t>
            </w:r>
          </w:p>
        </w:tc>
        <w:tc>
          <w:tcPr>
            <w:tcW w:w="1780" w:type="dxa"/>
            <w:vAlign w:val="bottom"/>
            <w:tcBorders>
              <w:right w:val="single" w:sz="8" w:color="80808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808080"/>
            </w:tcBorders>
          </w:tcPr>
          <w:p>
            <w:pPr>
              <w:spacing w:after="0"/>
              <w:rPr>
                <w:sz w:val="7"/>
                <w:szCs w:val="7"/>
                <w:color w:val="auto"/>
              </w:rPr>
            </w:pPr>
          </w:p>
        </w:tc>
        <w:tc>
          <w:tcPr>
            <w:tcW w:w="300" w:type="dxa"/>
            <w:vAlign w:val="bottom"/>
            <w:tcBorders>
              <w:right w:val="single" w:sz="8" w:color="808080"/>
            </w:tcBorders>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780" w:type="dxa"/>
            <w:vAlign w:val="bottom"/>
            <w:tcBorders>
              <w:right w:val="single" w:sz="8" w:color="808080"/>
            </w:tcBorders>
            <w:vMerge w:val="restart"/>
          </w:tcPr>
          <w:p>
            <w:pPr>
              <w:ind w:left="8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99"/>
        </w:trPr>
        <w:tc>
          <w:tcPr>
            <w:tcW w:w="500" w:type="dxa"/>
            <w:vAlign w:val="bottom"/>
            <w:tcBorders>
              <w:left w:val="single" w:sz="8" w:color="808080"/>
            </w:tcBorders>
          </w:tcPr>
          <w:p>
            <w:pPr>
              <w:spacing w:after="0"/>
              <w:rPr>
                <w:sz w:val="17"/>
                <w:szCs w:val="17"/>
                <w:color w:val="auto"/>
              </w:rPr>
            </w:pPr>
          </w:p>
        </w:tc>
        <w:tc>
          <w:tcPr>
            <w:tcW w:w="300" w:type="dxa"/>
            <w:vAlign w:val="bottom"/>
            <w:tcBorders>
              <w:right w:val="single" w:sz="8" w:color="808080"/>
            </w:tcBorders>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80" w:type="dxa"/>
            <w:vAlign w:val="bottom"/>
            <w:tcBorders>
              <w:right w:val="single" w:sz="8" w:color="80808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808080"/>
              <w:bottom w:val="single" w:sz="8" w:color="808080"/>
            </w:tcBorders>
          </w:tcPr>
          <w:p>
            <w:pPr>
              <w:spacing w:after="0"/>
              <w:rPr>
                <w:sz w:val="3"/>
                <w:szCs w:val="3"/>
                <w:color w:val="auto"/>
              </w:rPr>
            </w:pPr>
          </w:p>
        </w:tc>
        <w:tc>
          <w:tcPr>
            <w:tcW w:w="300" w:type="dxa"/>
            <w:vAlign w:val="bottom"/>
            <w:tcBorders>
              <w:bottom w:val="single" w:sz="8" w:color="808080"/>
              <w:right w:val="single" w:sz="8" w:color="808080"/>
            </w:tcBorders>
          </w:tcPr>
          <w:p>
            <w:pPr>
              <w:spacing w:after="0"/>
              <w:rPr>
                <w:sz w:val="3"/>
                <w:szCs w:val="3"/>
                <w:color w:val="auto"/>
              </w:rPr>
            </w:pPr>
          </w:p>
        </w:tc>
        <w:tc>
          <w:tcPr>
            <w:tcW w:w="1560" w:type="dxa"/>
            <w:vAlign w:val="bottom"/>
            <w:tcBorders>
              <w:bottom w:val="single" w:sz="8" w:color="808080"/>
            </w:tcBorders>
            <w:gridSpan w:val="2"/>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460" w:type="dxa"/>
            <w:vAlign w:val="bottom"/>
            <w:tcBorders>
              <w:bottom w:val="single" w:sz="8" w:color="808080"/>
            </w:tcBorders>
          </w:tcPr>
          <w:p>
            <w:pPr>
              <w:spacing w:after="0"/>
              <w:rPr>
                <w:sz w:val="3"/>
                <w:szCs w:val="3"/>
                <w:color w:val="auto"/>
              </w:rPr>
            </w:pPr>
          </w:p>
        </w:tc>
        <w:tc>
          <w:tcPr>
            <w:tcW w:w="19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7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808080"/>
            </w:tcBorders>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808080"/>
              <w:bottom w:val="single" w:sz="8" w:color="808080"/>
            </w:tcBorders>
          </w:tcPr>
          <w:p>
            <w:pPr>
              <w:spacing w:after="0"/>
              <w:rPr>
                <w:sz w:val="18"/>
                <w:szCs w:val="18"/>
                <w:color w:val="auto"/>
              </w:rPr>
            </w:pPr>
          </w:p>
        </w:tc>
        <w:tc>
          <w:tcPr>
            <w:tcW w:w="300" w:type="dxa"/>
            <w:vAlign w:val="bottom"/>
            <w:tcBorders>
              <w:bottom w:val="single" w:sz="8" w:color="808080"/>
              <w:right w:val="single" w:sz="8" w:color="808080"/>
            </w:tcBorders>
          </w:tcPr>
          <w:p>
            <w:pPr>
              <w:spacing w:after="0"/>
              <w:rPr>
                <w:sz w:val="18"/>
                <w:szCs w:val="18"/>
                <w:color w:val="auto"/>
              </w:rPr>
            </w:pPr>
          </w:p>
        </w:tc>
        <w:tc>
          <w:tcPr>
            <w:tcW w:w="5460" w:type="dxa"/>
            <w:vAlign w:val="bottom"/>
            <w:tcBorders>
              <w:bottom w:val="single" w:sz="8" w:color="808080"/>
            </w:tcBorders>
            <w:gridSpan w:val="5"/>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5460" w:type="dxa"/>
            <w:vAlign w:val="bottom"/>
            <w:tcBorders>
              <w:bottom w:val="single" w:sz="8" w:color="808080"/>
            </w:tcBorders>
            <w:gridSpan w:val="5"/>
          </w:tcPr>
          <w:p>
            <w:pPr>
              <w:spacing w:after="0"/>
              <w:rPr>
                <w:sz w:val="4"/>
                <w:szCs w:val="4"/>
                <w:color w:val="auto"/>
              </w:rPr>
            </w:pPr>
          </w:p>
        </w:tc>
        <w:tc>
          <w:tcPr>
            <w:tcW w:w="2740" w:type="dxa"/>
            <w:vAlign w:val="bottom"/>
            <w:tcBorders>
              <w:bottom w:val="single" w:sz="8" w:color="808080"/>
            </w:tcBorders>
            <w:gridSpan w:val="2"/>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7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5</w:t>
            </w: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w w:val="97"/>
              </w:rPr>
              <w:t>CHECK IF DISCLOSURE OF LEGAL PROCEEDINGS IS REQUIRED</w:t>
            </w:r>
          </w:p>
        </w:tc>
        <w:tc>
          <w:tcPr>
            <w:tcW w:w="2740" w:type="dxa"/>
            <w:vAlign w:val="bottom"/>
            <w:gridSpan w:val="2"/>
          </w:tcPr>
          <w:p>
            <w:pPr>
              <w:ind w:left="80"/>
              <w:spacing w:after="0"/>
              <w:rPr>
                <w:sz w:val="20"/>
                <w:szCs w:val="20"/>
                <w:color w:val="auto"/>
              </w:rPr>
            </w:pPr>
            <w:r>
              <w:rPr>
                <w:rFonts w:ascii="Arial" w:cs="Arial" w:eastAsia="Arial" w:hAnsi="Arial"/>
                <w:sz w:val="18"/>
                <w:szCs w:val="18"/>
                <w:color w:val="auto"/>
                <w:w w:val="97"/>
              </w:rPr>
              <w:t>PURSUANT TO ITEM 2(d) or 2(e)</w:t>
            </w:r>
          </w:p>
        </w:tc>
        <w:tc>
          <w:tcPr>
            <w:tcW w:w="640" w:type="dxa"/>
            <w:vAlign w:val="bottom"/>
          </w:tcPr>
          <w:p>
            <w:pPr>
              <w:spacing w:after="0"/>
              <w:rPr>
                <w:sz w:val="24"/>
                <w:szCs w:val="24"/>
                <w:color w:val="auto"/>
              </w:rPr>
            </w:pPr>
          </w:p>
        </w:tc>
        <w:tc>
          <w:tcPr>
            <w:tcW w:w="1780" w:type="dxa"/>
            <w:vAlign w:val="bottom"/>
            <w:tcBorders>
              <w:right w:val="single" w:sz="8" w:color="808080"/>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Borders>
              <w:left w:val="single" w:sz="8" w:color="808080"/>
              <w:bottom w:val="single" w:sz="8" w:color="808080"/>
            </w:tcBorders>
          </w:tcPr>
          <w:p>
            <w:pPr>
              <w:spacing w:after="0"/>
              <w:rPr>
                <w:sz w:val="18"/>
                <w:szCs w:val="18"/>
                <w:color w:val="auto"/>
              </w:rPr>
            </w:pPr>
          </w:p>
        </w:tc>
        <w:tc>
          <w:tcPr>
            <w:tcW w:w="300" w:type="dxa"/>
            <w:vAlign w:val="bottom"/>
            <w:tcBorders>
              <w:bottom w:val="single" w:sz="8" w:color="808080"/>
              <w:right w:val="single" w:sz="8" w:color="808080"/>
            </w:tcBorders>
          </w:tcPr>
          <w:p>
            <w:pPr>
              <w:spacing w:after="0"/>
              <w:rPr>
                <w:sz w:val="18"/>
                <w:szCs w:val="18"/>
                <w:color w:val="auto"/>
              </w:rPr>
            </w:pPr>
          </w:p>
        </w:tc>
        <w:tc>
          <w:tcPr>
            <w:tcW w:w="5460" w:type="dxa"/>
            <w:vAlign w:val="bottom"/>
            <w:tcBorders>
              <w:bottom w:val="single" w:sz="8" w:color="808080"/>
            </w:tcBorders>
            <w:gridSpan w:val="5"/>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6</w:t>
            </w: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160" w:type="dxa"/>
            <w:vAlign w:val="bottom"/>
            <w:tcBorders>
              <w:bottom w:val="single" w:sz="8" w:color="808080"/>
            </w:tcBorders>
            <w:gridSpan w:val="2"/>
          </w:tcPr>
          <w:p>
            <w:pPr>
              <w:spacing w:after="0"/>
              <w:rPr>
                <w:sz w:val="4"/>
                <w:szCs w:val="4"/>
                <w:color w:val="auto"/>
              </w:rPr>
            </w:pPr>
          </w:p>
        </w:tc>
        <w:tc>
          <w:tcPr>
            <w:tcW w:w="19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7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79"/>
              </w:rPr>
              <w:t>7</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right w:val="single" w:sz="8" w:color="808080"/>
            </w:tcBorders>
          </w:tcPr>
          <w:p>
            <w:pPr>
              <w:spacing w:after="0"/>
              <w:rPr>
                <w:sz w:val="24"/>
                <w:szCs w:val="24"/>
                <w:color w:val="auto"/>
              </w:rPr>
            </w:pPr>
          </w:p>
        </w:tc>
        <w:tc>
          <w:tcPr>
            <w:tcW w:w="7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4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79"/>
              </w:rPr>
              <w:t>8</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980" w:type="dxa"/>
            <w:vAlign w:val="bottom"/>
            <w:tcBorders>
              <w:left w:val="single" w:sz="8" w:color="808080"/>
              <w:right w:val="single" w:sz="8" w:color="808080"/>
            </w:tcBorders>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Borders>
              <w:right w:val="single" w:sz="8" w:color="808080"/>
            </w:tcBorders>
          </w:tcPr>
          <w:p>
            <w:pPr>
              <w:spacing w:after="0"/>
              <w:rPr>
                <w:sz w:val="11"/>
                <w:szCs w:val="11"/>
                <w:color w:val="auto"/>
              </w:rPr>
            </w:pPr>
          </w:p>
        </w:tc>
        <w:tc>
          <w:tcPr>
            <w:tcW w:w="3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2,604,620 (See Items 3, 4 and 5)</w:t>
            </w:r>
          </w:p>
        </w:tc>
        <w:tc>
          <w:tcPr>
            <w:tcW w:w="1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4"/>
                <w:szCs w:val="14"/>
                <w:color w:val="auto"/>
              </w:rPr>
            </w:pPr>
          </w:p>
        </w:tc>
        <w:tc>
          <w:tcPr>
            <w:tcW w:w="740" w:type="dxa"/>
            <w:vAlign w:val="bottom"/>
            <w:tcBorders>
              <w:right w:val="single" w:sz="8" w:color="808080"/>
            </w:tcBorders>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980" w:type="dxa"/>
            <w:vAlign w:val="bottom"/>
            <w:tcBorders>
              <w:left w:val="single" w:sz="8" w:color="808080"/>
              <w:right w:val="single" w:sz="8" w:color="808080"/>
            </w:tcBorders>
            <w:gridSpan w:val="3"/>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right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460" w:type="dxa"/>
            <w:vAlign w:val="bottom"/>
            <w:tcBorders>
              <w:bottom w:val="single" w:sz="8" w:color="808080"/>
            </w:tcBorders>
          </w:tcPr>
          <w:p>
            <w:pPr>
              <w:spacing w:after="0"/>
              <w:rPr>
                <w:sz w:val="4"/>
                <w:szCs w:val="4"/>
                <w:color w:val="auto"/>
              </w:rPr>
            </w:pPr>
          </w:p>
        </w:tc>
        <w:tc>
          <w:tcPr>
            <w:tcW w:w="19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7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808080"/>
            </w:tcBorders>
          </w:tcPr>
          <w:p>
            <w:pPr>
              <w:spacing w:after="0"/>
              <w:rPr>
                <w:sz w:val="16"/>
                <w:szCs w:val="16"/>
                <w:color w:val="auto"/>
              </w:rPr>
            </w:pPr>
          </w:p>
        </w:tc>
        <w:tc>
          <w:tcPr>
            <w:tcW w:w="1480" w:type="dxa"/>
            <w:vAlign w:val="bottom"/>
            <w:tcBorders>
              <w:right w:val="single" w:sz="8" w:color="808080"/>
            </w:tcBorders>
            <w:gridSpan w:val="2"/>
          </w:tcPr>
          <w:p>
            <w:pPr>
              <w:jc w:val="center"/>
              <w:ind w:right="430"/>
              <w:spacing w:after="0" w:line="195" w:lineRule="exact"/>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6"/>
                <w:szCs w:val="16"/>
                <w:color w:val="auto"/>
              </w:rPr>
            </w:pPr>
          </w:p>
        </w:tc>
        <w:tc>
          <w:tcPr>
            <w:tcW w:w="740" w:type="dxa"/>
            <w:vAlign w:val="bottom"/>
            <w:tcBorders>
              <w:right w:val="single" w:sz="8" w:color="808080"/>
            </w:tcBorders>
            <w:vMerge w:val="restart"/>
          </w:tcPr>
          <w:p>
            <w:pPr>
              <w:jc w:val="center"/>
              <w:ind w:right="330"/>
              <w:spacing w:after="0"/>
              <w:rPr>
                <w:sz w:val="20"/>
                <w:szCs w:val="20"/>
                <w:color w:val="auto"/>
              </w:rPr>
            </w:pPr>
            <w:r>
              <w:rPr>
                <w:rFonts w:ascii="Arial" w:cs="Arial" w:eastAsia="Arial" w:hAnsi="Arial"/>
                <w:sz w:val="18"/>
                <w:szCs w:val="18"/>
                <w:color w:val="auto"/>
                <w:w w:val="79"/>
              </w:rPr>
              <w:t>9</w:t>
            </w:r>
          </w:p>
        </w:tc>
        <w:tc>
          <w:tcPr>
            <w:tcW w:w="316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8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380" w:type="dxa"/>
            <w:vAlign w:val="bottom"/>
          </w:tcPr>
          <w:p>
            <w:pPr>
              <w:spacing w:after="0"/>
              <w:rPr>
                <w:sz w:val="8"/>
                <w:szCs w:val="8"/>
                <w:color w:val="auto"/>
              </w:rPr>
            </w:pPr>
          </w:p>
        </w:tc>
        <w:tc>
          <w:tcPr>
            <w:tcW w:w="740" w:type="dxa"/>
            <w:vAlign w:val="bottom"/>
            <w:tcBorders>
              <w:right w:val="single" w:sz="8" w:color="808080"/>
            </w:tcBorders>
            <w:vMerge w:val="continue"/>
          </w:tcPr>
          <w:p>
            <w:pPr>
              <w:spacing w:after="0"/>
              <w:rPr>
                <w:sz w:val="8"/>
                <w:szCs w:val="8"/>
                <w:color w:val="auto"/>
              </w:rPr>
            </w:pPr>
          </w:p>
        </w:tc>
        <w:tc>
          <w:tcPr>
            <w:tcW w:w="3160" w:type="dxa"/>
            <w:vAlign w:val="bottom"/>
            <w:gridSpan w:val="2"/>
            <w:vMerge w:val="continue"/>
          </w:tcPr>
          <w:p>
            <w:pPr>
              <w:spacing w:after="0"/>
              <w:rPr>
                <w:sz w:val="8"/>
                <w:szCs w:val="8"/>
                <w:color w:val="auto"/>
              </w:rPr>
            </w:pPr>
          </w:p>
        </w:tc>
        <w:tc>
          <w:tcPr>
            <w:tcW w:w="1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8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808080"/>
              <w:right w:val="single" w:sz="8" w:color="808080"/>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Borders>
              <w:right w:val="single" w:sz="8" w:color="808080"/>
            </w:tcBorders>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8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right w:val="single" w:sz="8" w:color="808080"/>
            </w:tcBorders>
          </w:tcPr>
          <w:p>
            <w:pPr>
              <w:spacing w:after="0"/>
              <w:rPr>
                <w:sz w:val="20"/>
                <w:szCs w:val="20"/>
                <w:color w:val="auto"/>
              </w:rPr>
            </w:pPr>
          </w:p>
        </w:tc>
        <w:tc>
          <w:tcPr>
            <w:tcW w:w="700" w:type="dxa"/>
            <w:vAlign w:val="bottom"/>
            <w:tcBorders>
              <w:bottom w:val="single" w:sz="8" w:color="808080"/>
            </w:tcBorders>
            <w:vMerge w:val="continue"/>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198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178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89"/>
              </w:rPr>
              <w:t>10</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spacing w:after="0"/>
              <w:rPr>
                <w:sz w:val="24"/>
                <w:szCs w:val="24"/>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2,604,620 (See Items 3, 4 and 5)</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120" w:type="dxa"/>
            <w:vAlign w:val="bottom"/>
            <w:tcBorders>
              <w:bottom w:val="single" w:sz="8" w:color="808080"/>
              <w:right w:val="single" w:sz="8" w:color="808080"/>
            </w:tcBorders>
            <w:gridSpan w:val="2"/>
          </w:tcPr>
          <w:p>
            <w:pPr>
              <w:spacing w:after="0"/>
              <w:rPr>
                <w:sz w:val="4"/>
                <w:szCs w:val="4"/>
                <w:color w:val="auto"/>
              </w:rPr>
            </w:pPr>
          </w:p>
        </w:tc>
        <w:tc>
          <w:tcPr>
            <w:tcW w:w="5900" w:type="dxa"/>
            <w:vAlign w:val="bottom"/>
            <w:tcBorders>
              <w:bottom w:val="single" w:sz="8" w:color="808080"/>
            </w:tcBorders>
            <w:gridSpan w:val="4"/>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7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21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808080"/>
            </w:tcBorders>
          </w:tcPr>
          <w:p>
            <w:pPr>
              <w:spacing w:after="0"/>
              <w:rPr>
                <w:sz w:val="24"/>
                <w:szCs w:val="24"/>
                <w:color w:val="auto"/>
              </w:rPr>
            </w:pPr>
          </w:p>
        </w:tc>
        <w:tc>
          <w:tcPr>
            <w:tcW w:w="820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ind w:left="100"/>
              <w:spacing w:after="0"/>
              <w:rPr>
                <w:sz w:val="20"/>
                <w:szCs w:val="20"/>
                <w:color w:val="auto"/>
              </w:rPr>
            </w:pPr>
            <w:r>
              <w:rPr>
                <w:rFonts w:ascii="Arial" w:cs="Arial" w:eastAsia="Arial" w:hAnsi="Arial"/>
                <w:sz w:val="18"/>
                <w:szCs w:val="18"/>
                <w:color w:val="auto"/>
              </w:rPr>
              <w:t>2,604,620 (See Items 3, 4 and 5)</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3160" w:type="dxa"/>
            <w:vAlign w:val="bottom"/>
            <w:tcBorders>
              <w:bottom w:val="single" w:sz="8" w:color="808080"/>
            </w:tcBorders>
            <w:gridSpan w:val="2"/>
          </w:tcPr>
          <w:p>
            <w:pPr>
              <w:spacing w:after="0"/>
              <w:rPr>
                <w:sz w:val="4"/>
                <w:szCs w:val="4"/>
                <w:color w:val="auto"/>
              </w:rPr>
            </w:pPr>
          </w:p>
        </w:tc>
        <w:tc>
          <w:tcPr>
            <w:tcW w:w="2740" w:type="dxa"/>
            <w:vAlign w:val="bottom"/>
            <w:tcBorders>
              <w:bottom w:val="single" w:sz="8" w:color="808080"/>
            </w:tcBorders>
            <w:gridSpan w:val="2"/>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7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rPr>
              <w:t>CHECK IF THE AGGREGATE AMOUNT IN ROW (11) EXCLUDES</w:t>
            </w:r>
          </w:p>
        </w:tc>
        <w:tc>
          <w:tcPr>
            <w:tcW w:w="2740" w:type="dxa"/>
            <w:vAlign w:val="bottom"/>
            <w:gridSpan w:val="2"/>
          </w:tcPr>
          <w:p>
            <w:pPr>
              <w:ind w:left="260"/>
              <w:spacing w:after="0"/>
              <w:rPr>
                <w:sz w:val="20"/>
                <w:szCs w:val="20"/>
                <w:color w:val="auto"/>
              </w:rPr>
            </w:pPr>
            <w:r>
              <w:rPr>
                <w:rFonts w:ascii="Arial" w:cs="Arial" w:eastAsia="Arial" w:hAnsi="Arial"/>
                <w:sz w:val="18"/>
                <w:szCs w:val="18"/>
                <w:color w:val="auto"/>
              </w:rPr>
              <w:t>CERTAIN SHARES (see</w:t>
            </w:r>
          </w:p>
        </w:tc>
        <w:tc>
          <w:tcPr>
            <w:tcW w:w="640" w:type="dxa"/>
            <w:vAlign w:val="bottom"/>
          </w:tcPr>
          <w:p>
            <w:pPr>
              <w:spacing w:after="0"/>
              <w:rPr>
                <w:sz w:val="24"/>
                <w:szCs w:val="24"/>
                <w:color w:val="auto"/>
              </w:rPr>
            </w:pPr>
          </w:p>
        </w:tc>
        <w:tc>
          <w:tcPr>
            <w:tcW w:w="1780" w:type="dxa"/>
            <w:vAlign w:val="bottom"/>
            <w:tcBorders>
              <w:right w:val="single" w:sz="8" w:color="808080"/>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left w:val="single" w:sz="8" w:color="808080"/>
              <w:bottom w:val="single" w:sz="8" w:color="808080"/>
            </w:tcBorders>
          </w:tcPr>
          <w:p>
            <w:pPr>
              <w:spacing w:after="0"/>
              <w:rPr>
                <w:sz w:val="20"/>
                <w:szCs w:val="20"/>
                <w:color w:val="auto"/>
              </w:rPr>
            </w:pPr>
          </w:p>
        </w:tc>
        <w:tc>
          <w:tcPr>
            <w:tcW w:w="300" w:type="dxa"/>
            <w:vAlign w:val="bottom"/>
            <w:tcBorders>
              <w:bottom w:val="single" w:sz="8" w:color="808080"/>
              <w:right w:val="single" w:sz="8" w:color="808080"/>
            </w:tcBorders>
          </w:tcPr>
          <w:p>
            <w:pPr>
              <w:spacing w:after="0"/>
              <w:rPr>
                <w:sz w:val="20"/>
                <w:szCs w:val="20"/>
                <w:color w:val="auto"/>
              </w:rPr>
            </w:pPr>
          </w:p>
        </w:tc>
        <w:tc>
          <w:tcPr>
            <w:tcW w:w="1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74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198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178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13</w:t>
            </w: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w w:val="94"/>
              </w:rPr>
              <w:t>6.2% (See Item 5)*</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3160" w:type="dxa"/>
            <w:vAlign w:val="bottom"/>
            <w:tcBorders>
              <w:bottom w:val="single" w:sz="8" w:color="808080"/>
            </w:tcBorders>
            <w:gridSpan w:val="2"/>
          </w:tcPr>
          <w:p>
            <w:pPr>
              <w:spacing w:after="0"/>
              <w:rPr>
                <w:sz w:val="4"/>
                <w:szCs w:val="4"/>
                <w:color w:val="auto"/>
              </w:rPr>
            </w:pPr>
          </w:p>
        </w:tc>
        <w:tc>
          <w:tcPr>
            <w:tcW w:w="19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7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89"/>
              </w:rPr>
              <w:t>14</w:t>
            </w:r>
          </w:p>
        </w:tc>
        <w:tc>
          <w:tcPr>
            <w:tcW w:w="300" w:type="dxa"/>
            <w:vAlign w:val="bottom"/>
            <w:tcBorders>
              <w:right w:val="single" w:sz="8" w:color="808080"/>
            </w:tcBorders>
          </w:tcPr>
          <w:p>
            <w:pPr>
              <w:spacing w:after="0"/>
              <w:rPr>
                <w:sz w:val="24"/>
                <w:szCs w:val="24"/>
                <w:color w:val="auto"/>
              </w:rPr>
            </w:pPr>
          </w:p>
        </w:tc>
        <w:tc>
          <w:tcPr>
            <w:tcW w:w="54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Borders>
              <w:left w:val="single" w:sz="8" w:color="808080"/>
            </w:tcBorders>
          </w:tcPr>
          <w:p>
            <w:pPr>
              <w:spacing w:after="0"/>
              <w:rPr>
                <w:sz w:val="24"/>
                <w:szCs w:val="24"/>
                <w:color w:val="auto"/>
              </w:rPr>
            </w:pPr>
          </w:p>
        </w:tc>
        <w:tc>
          <w:tcPr>
            <w:tcW w:w="3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808080"/>
              <w:bottom w:val="single" w:sz="8" w:color="808080"/>
            </w:tcBorders>
          </w:tcPr>
          <w:p>
            <w:pPr>
              <w:spacing w:after="0"/>
              <w:rPr>
                <w:sz w:val="4"/>
                <w:szCs w:val="4"/>
                <w:color w:val="auto"/>
              </w:rPr>
            </w:pPr>
          </w:p>
        </w:tc>
        <w:tc>
          <w:tcPr>
            <w:tcW w:w="3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460" w:type="dxa"/>
            <w:vAlign w:val="bottom"/>
            <w:tcBorders>
              <w:bottom w:val="single" w:sz="8" w:color="808080"/>
            </w:tcBorders>
          </w:tcPr>
          <w:p>
            <w:pPr>
              <w:spacing w:after="0"/>
              <w:rPr>
                <w:sz w:val="4"/>
                <w:szCs w:val="4"/>
                <w:color w:val="auto"/>
              </w:rPr>
            </w:pPr>
          </w:p>
        </w:tc>
        <w:tc>
          <w:tcPr>
            <w:tcW w:w="19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7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780" w:right="20" w:hanging="432"/>
        <w:spacing w:after="0" w:line="264"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calculation assumes that there are 41,762,724 shares of Common Stock (as defined below) of the Issuer (as defined below) outstanding as of March 4, 2014 as reported on the Form 10-K filed by the Issuer with the Securities and Exchange Commission (the “Commission”) on March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268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720" w:type="dxa"/>
            <w:vAlign w:val="bottom"/>
            <w:tcBorders>
              <w:top w:val="single" w:sz="8" w:color="808080"/>
            </w:tcBorders>
          </w:tcPr>
          <w:p>
            <w:pPr>
              <w:spacing w:after="0"/>
              <w:rPr>
                <w:sz w:val="24"/>
                <w:szCs w:val="24"/>
                <w:color w:val="auto"/>
              </w:rPr>
            </w:pPr>
          </w:p>
        </w:tc>
        <w:tc>
          <w:tcPr>
            <w:tcW w:w="400" w:type="dxa"/>
            <w:vAlign w:val="bottom"/>
            <w:tcBorders>
              <w:top w:val="single" w:sz="8" w:color="808080"/>
              <w:right w:val="single" w:sz="8" w:color="808080"/>
            </w:tcBorders>
          </w:tcPr>
          <w:p>
            <w:pPr>
              <w:spacing w:after="0"/>
              <w:rPr>
                <w:sz w:val="24"/>
                <w:szCs w:val="24"/>
                <w:color w:val="auto"/>
              </w:rPr>
            </w:pPr>
          </w:p>
        </w:tc>
        <w:tc>
          <w:tcPr>
            <w:tcW w:w="280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640" w:type="dxa"/>
            <w:vAlign w:val="bottom"/>
            <w:tcBorders>
              <w:right w:val="single" w:sz="8" w:color="808080"/>
            </w:tcBorders>
          </w:tcPr>
          <w:p>
            <w:pPr>
              <w:spacing w:after="0"/>
              <w:rPr>
                <w:sz w:val="24"/>
                <w:szCs w:val="24"/>
                <w:color w:val="auto"/>
              </w:rPr>
            </w:pPr>
          </w:p>
        </w:tc>
        <w:tc>
          <w:tcPr>
            <w:tcW w:w="1540" w:type="dxa"/>
            <w:vAlign w:val="bottom"/>
            <w:tcBorders>
              <w:top w:val="single" w:sz="8" w:color="808080"/>
            </w:tcBorders>
          </w:tcPr>
          <w:p>
            <w:pPr>
              <w:spacing w:after="0"/>
              <w:rPr>
                <w:sz w:val="24"/>
                <w:szCs w:val="24"/>
                <w:color w:val="auto"/>
              </w:rPr>
            </w:pPr>
          </w:p>
        </w:tc>
        <w:tc>
          <w:tcPr>
            <w:tcW w:w="1640" w:type="dxa"/>
            <w:vAlign w:val="bottom"/>
            <w:tcBorders>
              <w:top w:val="single" w:sz="8" w:color="808080"/>
              <w:right w:val="single" w:sz="8" w:color="808080"/>
            </w:tcBorders>
          </w:tcPr>
          <w:p>
            <w:pPr>
              <w:ind w:left="220"/>
              <w:spacing w:after="0"/>
              <w:rPr>
                <w:sz w:val="20"/>
                <w:szCs w:val="20"/>
                <w:color w:val="auto"/>
              </w:rPr>
            </w:pPr>
            <w:r>
              <w:rPr>
                <w:rFonts w:ascii="Arial" w:cs="Arial" w:eastAsia="Arial" w:hAnsi="Arial"/>
                <w:sz w:val="18"/>
                <w:szCs w:val="18"/>
                <w:b w:val="1"/>
                <w:bCs w:val="1"/>
                <w:color w:val="auto"/>
                <w:w w:val="84"/>
              </w:rPr>
              <w:t>Page 3 of 12 Pages</w:t>
            </w:r>
          </w:p>
        </w:tc>
        <w:tc>
          <w:tcPr>
            <w:tcW w:w="0" w:type="dxa"/>
            <w:vAlign w:val="bottom"/>
          </w:tcPr>
          <w:p>
            <w:pPr>
              <w:spacing w:after="0"/>
              <w:rPr>
                <w:sz w:val="1"/>
                <w:szCs w:val="1"/>
                <w:color w:val="auto"/>
              </w:rPr>
            </w:pPr>
          </w:p>
        </w:tc>
      </w:tr>
      <w:tr>
        <w:trPr>
          <w:trHeight w:val="216"/>
        </w:trPr>
        <w:tc>
          <w:tcPr>
            <w:tcW w:w="2680" w:type="dxa"/>
            <w:vAlign w:val="bottom"/>
            <w:tcBorders>
              <w:left w:val="single" w:sz="8" w:color="808080"/>
            </w:tcBorders>
            <w:gridSpan w:val="4"/>
            <w:vMerge w:val="continue"/>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Borders>
              <w:right w:val="single" w:sz="8" w:color="808080"/>
            </w:tcBorders>
          </w:tcPr>
          <w:p>
            <w:pPr>
              <w:spacing w:after="0"/>
              <w:rPr>
                <w:sz w:val="18"/>
                <w:szCs w:val="18"/>
                <w:color w:val="auto"/>
              </w:rPr>
            </w:pPr>
          </w:p>
        </w:tc>
        <w:tc>
          <w:tcPr>
            <w:tcW w:w="2800" w:type="dxa"/>
            <w:vAlign w:val="bottom"/>
          </w:tcPr>
          <w:p>
            <w:pPr>
              <w:spacing w:after="0"/>
              <w:rPr>
                <w:sz w:val="18"/>
                <w:szCs w:val="18"/>
                <w:color w:val="auto"/>
              </w:rPr>
            </w:pPr>
          </w:p>
        </w:tc>
        <w:tc>
          <w:tcPr>
            <w:tcW w:w="1640" w:type="dxa"/>
            <w:vAlign w:val="bottom"/>
            <w:tcBorders>
              <w:right w:val="single" w:sz="8" w:color="808080"/>
            </w:tcBorders>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gridSpan w:val="2"/>
          </w:tcPr>
          <w:p>
            <w:pPr>
              <w:spacing w:after="0"/>
              <w:rPr>
                <w:sz w:val="3"/>
                <w:szCs w:val="3"/>
                <w:color w:val="auto"/>
              </w:rPr>
            </w:pPr>
          </w:p>
        </w:tc>
        <w:tc>
          <w:tcPr>
            <w:tcW w:w="400" w:type="dxa"/>
            <w:vAlign w:val="bottom"/>
            <w:tcBorders>
              <w:bottom w:val="single" w:sz="8" w:color="808080"/>
              <w:right w:val="single" w:sz="8" w:color="808080"/>
            </w:tcBorders>
          </w:tcPr>
          <w:p>
            <w:pPr>
              <w:spacing w:after="0"/>
              <w:rPr>
                <w:sz w:val="3"/>
                <w:szCs w:val="3"/>
                <w:color w:val="auto"/>
              </w:rPr>
            </w:pPr>
          </w:p>
        </w:tc>
        <w:tc>
          <w:tcPr>
            <w:tcW w:w="2800" w:type="dxa"/>
            <w:vAlign w:val="bottom"/>
          </w:tcPr>
          <w:p>
            <w:pPr>
              <w:spacing w:after="0"/>
              <w:rPr>
                <w:sz w:val="3"/>
                <w:szCs w:val="3"/>
                <w:color w:val="auto"/>
              </w:rPr>
            </w:pPr>
          </w:p>
        </w:tc>
        <w:tc>
          <w:tcPr>
            <w:tcW w:w="1640" w:type="dxa"/>
            <w:vAlign w:val="bottom"/>
            <w:tcBorders>
              <w:right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4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5500" w:type="dxa"/>
            <w:vAlign w:val="bottom"/>
            <w:tcBorders>
              <w:bottom w:val="single" w:sz="8" w:color="808080"/>
            </w:tcBorders>
            <w:gridSpan w:val="5"/>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1</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NAMES OF REPORTING PERSONS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w w:val="92"/>
              </w:rPr>
              <w:t>Tarrant Capital Advisors, Inc.</w:t>
            </w: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2</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1640" w:type="dxa"/>
            <w:vAlign w:val="bottom"/>
          </w:tcPr>
          <w:p>
            <w:pPr>
              <w:spacing w:after="0"/>
              <w:rPr>
                <w:sz w:val="24"/>
                <w:szCs w:val="24"/>
                <w:color w:val="auto"/>
              </w:rPr>
            </w:pPr>
          </w:p>
        </w:tc>
        <w:tc>
          <w:tcPr>
            <w:tcW w:w="1540" w:type="dxa"/>
            <w:vAlign w:val="bottom"/>
          </w:tcPr>
          <w:p>
            <w:pPr>
              <w:ind w:left="1120"/>
              <w:spacing w:after="0"/>
              <w:rPr>
                <w:sz w:val="20"/>
                <w:szCs w:val="20"/>
                <w:color w:val="auto"/>
              </w:rPr>
            </w:pPr>
            <w:r>
              <w:rPr>
                <w:rFonts w:ascii="Arial" w:cs="Arial" w:eastAsia="Arial" w:hAnsi="Arial"/>
                <w:sz w:val="18"/>
                <w:szCs w:val="18"/>
                <w:color w:val="auto"/>
              </w:rPr>
              <w:t>(a)</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tcBorders>
          </w:tcPr>
          <w:p>
            <w:pPr>
              <w:spacing w:after="0"/>
              <w:rPr>
                <w:sz w:val="20"/>
                <w:szCs w:val="20"/>
                <w:color w:val="auto"/>
              </w:rPr>
            </w:pPr>
          </w:p>
        </w:tc>
        <w:tc>
          <w:tcPr>
            <w:tcW w:w="260" w:type="dxa"/>
            <w:vAlign w:val="bottom"/>
            <w:tcBorders>
              <w:right w:val="single" w:sz="8" w:color="808080"/>
            </w:tcBorders>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(see instructions)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vMerge w:val="restart"/>
          </w:tcPr>
          <w:p>
            <w:pPr>
              <w:ind w:left="1120"/>
              <w:spacing w:after="0"/>
              <w:rPr>
                <w:sz w:val="20"/>
                <w:szCs w:val="20"/>
                <w:color w:val="auto"/>
              </w:rPr>
            </w:pPr>
            <w:r>
              <w:rPr>
                <w:rFonts w:ascii="Arial" w:cs="Arial" w:eastAsia="Arial" w:hAnsi="Arial"/>
                <w:sz w:val="18"/>
                <w:szCs w:val="18"/>
                <w:color w:val="auto"/>
              </w:rPr>
              <w:t>(b)</w:t>
            </w:r>
          </w:p>
        </w:tc>
        <w:tc>
          <w:tcPr>
            <w:tcW w:w="1640" w:type="dxa"/>
            <w:vAlign w:val="bottom"/>
            <w:tcBorders>
              <w:right w:val="single" w:sz="8" w:color="808080"/>
            </w:tcBorders>
            <w:vMerge w:val="restart"/>
          </w:tcPr>
          <w:p>
            <w:pPr>
              <w:ind w:left="10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840" w:type="dxa"/>
            <w:vAlign w:val="bottom"/>
            <w:tcBorders>
              <w:left w:val="single" w:sz="8" w:color="808080"/>
            </w:tcBorders>
          </w:tcPr>
          <w:p>
            <w:pPr>
              <w:spacing w:after="0"/>
              <w:rPr>
                <w:sz w:val="12"/>
                <w:szCs w:val="12"/>
                <w:color w:val="auto"/>
              </w:rPr>
            </w:pPr>
          </w:p>
        </w:tc>
        <w:tc>
          <w:tcPr>
            <w:tcW w:w="260" w:type="dxa"/>
            <w:vAlign w:val="bottom"/>
            <w:tcBorders>
              <w:right w:val="single" w:sz="8" w:color="808080"/>
            </w:tcBorders>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4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right w:val="single" w:sz="8" w:color="808080"/>
            </w:tcBorders>
          </w:tcPr>
          <w:p>
            <w:pPr>
              <w:spacing w:after="0"/>
              <w:rPr>
                <w:sz w:val="3"/>
                <w:szCs w:val="3"/>
                <w:color w:val="auto"/>
              </w:rPr>
            </w:pPr>
          </w:p>
        </w:tc>
        <w:tc>
          <w:tcPr>
            <w:tcW w:w="1580" w:type="dxa"/>
            <w:vAlign w:val="bottom"/>
            <w:tcBorders>
              <w:bottom w:val="single" w:sz="8" w:color="808080"/>
            </w:tcBorders>
            <w:gridSpan w:val="2"/>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2800" w:type="dxa"/>
            <w:vAlign w:val="bottom"/>
            <w:tcBorders>
              <w:bottom w:val="single" w:sz="8" w:color="808080"/>
            </w:tcBorders>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3</w:t>
            </w: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808080"/>
              <w:bottom w:val="single" w:sz="8" w:color="808080"/>
            </w:tcBorders>
          </w:tcPr>
          <w:p>
            <w:pPr>
              <w:spacing w:after="0"/>
              <w:rPr>
                <w:sz w:val="18"/>
                <w:szCs w:val="18"/>
                <w:color w:val="auto"/>
              </w:rPr>
            </w:pPr>
          </w:p>
        </w:tc>
        <w:tc>
          <w:tcPr>
            <w:tcW w:w="260" w:type="dxa"/>
            <w:vAlign w:val="bottom"/>
            <w:tcBorders>
              <w:bottom w:val="single" w:sz="8" w:color="808080"/>
              <w:right w:val="single" w:sz="8" w:color="808080"/>
            </w:tcBorders>
          </w:tcPr>
          <w:p>
            <w:pPr>
              <w:spacing w:after="0"/>
              <w:rPr>
                <w:sz w:val="18"/>
                <w:szCs w:val="18"/>
                <w:color w:val="auto"/>
              </w:rPr>
            </w:pPr>
          </w:p>
        </w:tc>
        <w:tc>
          <w:tcPr>
            <w:tcW w:w="5500" w:type="dxa"/>
            <w:vAlign w:val="bottom"/>
            <w:tcBorders>
              <w:bottom w:val="single" w:sz="8" w:color="808080"/>
            </w:tcBorders>
            <w:gridSpan w:val="5"/>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4</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SOURCE OF FUNDS (see instructions)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OO (See Item 3)</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318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5</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w w:val="98"/>
              </w:rPr>
              <w:t>CHECK IF DISCLOSURE OF LEGAL PROCEEDINGS IS REQUIRED</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PURSUANT TO ITEMS 2(d) or</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tcBorders>
          </w:tcPr>
          <w:p>
            <w:pPr>
              <w:spacing w:after="0"/>
              <w:rPr>
                <w:sz w:val="20"/>
                <w:szCs w:val="20"/>
                <w:color w:val="auto"/>
              </w:rPr>
            </w:pPr>
          </w:p>
        </w:tc>
        <w:tc>
          <w:tcPr>
            <w:tcW w:w="260" w:type="dxa"/>
            <w:vAlign w:val="bottom"/>
            <w:tcBorders>
              <w:right w:val="single" w:sz="8" w:color="808080"/>
            </w:tcBorders>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2(e)</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right w:val="single" w:sz="8" w:color="808080"/>
            </w:tcBorders>
          </w:tcPr>
          <w:p>
            <w:pPr>
              <w:spacing w:after="0"/>
              <w:rPr>
                <w:sz w:val="3"/>
                <w:szCs w:val="3"/>
                <w:color w:val="auto"/>
              </w:rPr>
            </w:pPr>
          </w:p>
        </w:tc>
        <w:tc>
          <w:tcPr>
            <w:tcW w:w="5500" w:type="dxa"/>
            <w:vAlign w:val="bottom"/>
            <w:tcBorders>
              <w:bottom w:val="single" w:sz="8" w:color="808080"/>
            </w:tcBorders>
            <w:gridSpan w:val="5"/>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6</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99"/>
              </w:rPr>
              <w:t>7</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right w:val="single" w:sz="8" w:color="808080"/>
            </w:tcBorders>
          </w:tcPr>
          <w:p>
            <w:pPr>
              <w:spacing w:after="0"/>
              <w:rPr>
                <w:sz w:val="24"/>
                <w:szCs w:val="24"/>
                <w:color w:val="auto"/>
              </w:rPr>
            </w:pPr>
          </w:p>
        </w:tc>
        <w:tc>
          <w:tcPr>
            <w:tcW w:w="4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8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99"/>
              </w:rPr>
              <w:t>8</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80" w:type="dxa"/>
            <w:vAlign w:val="bottom"/>
            <w:tcBorders>
              <w:left w:val="single" w:sz="8" w:color="808080"/>
              <w:right w:val="single" w:sz="8" w:color="808080"/>
            </w:tcBorders>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right w:val="single" w:sz="8" w:color="808080"/>
            </w:tcBorders>
          </w:tcPr>
          <w:p>
            <w:pPr>
              <w:spacing w:after="0"/>
              <w:rPr>
                <w:sz w:val="11"/>
                <w:szCs w:val="11"/>
                <w:color w:val="auto"/>
              </w:rPr>
            </w:pPr>
          </w:p>
        </w:tc>
        <w:tc>
          <w:tcPr>
            <w:tcW w:w="3200" w:type="dxa"/>
            <w:vAlign w:val="bottom"/>
            <w:gridSpan w:val="2"/>
            <w:vMerge w:val="restart"/>
          </w:tcPr>
          <w:p>
            <w:pPr>
              <w:ind w:left="100"/>
              <w:spacing w:after="0"/>
              <w:rPr>
                <w:sz w:val="20"/>
                <w:szCs w:val="20"/>
                <w:color w:val="auto"/>
              </w:rPr>
            </w:pPr>
            <w:r>
              <w:rPr>
                <w:rFonts w:ascii="Arial" w:cs="Arial" w:eastAsia="Arial" w:hAnsi="Arial"/>
                <w:sz w:val="18"/>
                <w:szCs w:val="18"/>
                <w:color w:val="auto"/>
              </w:rPr>
              <w:t>2,645,041 (See Items 3, 4 and 5)</w:t>
            </w:r>
          </w:p>
        </w:tc>
        <w:tc>
          <w:tcPr>
            <w:tcW w:w="1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4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 OWNED</w:t>
            </w:r>
          </w:p>
        </w:tc>
        <w:tc>
          <w:tcPr>
            <w:tcW w:w="400" w:type="dxa"/>
            <w:vAlign w:val="bottom"/>
          </w:tcPr>
          <w:p>
            <w:pPr>
              <w:spacing w:after="0"/>
              <w:rPr>
                <w:sz w:val="14"/>
                <w:szCs w:val="14"/>
                <w:color w:val="auto"/>
              </w:rPr>
            </w:pPr>
          </w:p>
        </w:tc>
        <w:tc>
          <w:tcPr>
            <w:tcW w:w="720" w:type="dxa"/>
            <w:vAlign w:val="bottom"/>
            <w:tcBorders>
              <w:right w:val="single" w:sz="8" w:color="808080"/>
            </w:tcBorders>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808080"/>
              <w:right w:val="single" w:sz="8" w:color="808080"/>
            </w:tcBorders>
            <w:gridSpan w:val="3"/>
            <w:vMerge w:val="continue"/>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right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808080"/>
            </w:tcBorders>
          </w:tcPr>
          <w:p>
            <w:pPr>
              <w:spacing w:after="0"/>
              <w:rPr>
                <w:sz w:val="16"/>
                <w:szCs w:val="16"/>
                <w:color w:val="auto"/>
              </w:rPr>
            </w:pPr>
          </w:p>
        </w:tc>
        <w:tc>
          <w:tcPr>
            <w:tcW w:w="1440" w:type="dxa"/>
            <w:vAlign w:val="bottom"/>
            <w:tcBorders>
              <w:right w:val="single" w:sz="8" w:color="808080"/>
            </w:tcBorders>
            <w:gridSpan w:val="2"/>
          </w:tcPr>
          <w:p>
            <w:pPr>
              <w:jc w:val="center"/>
              <w:ind w:right="750"/>
              <w:spacing w:after="0" w:line="195" w:lineRule="exact"/>
              <w:rPr>
                <w:sz w:val="20"/>
                <w:szCs w:val="20"/>
                <w:color w:val="auto"/>
              </w:rPr>
            </w:pPr>
            <w:r>
              <w:rPr>
                <w:rFonts w:ascii="Arial" w:cs="Arial" w:eastAsia="Arial" w:hAnsi="Arial"/>
                <w:sz w:val="18"/>
                <w:szCs w:val="18"/>
                <w:color w:val="auto"/>
                <w:w w:val="99"/>
              </w:rPr>
              <w:t>BY</w:t>
            </w:r>
          </w:p>
        </w:tc>
        <w:tc>
          <w:tcPr>
            <w:tcW w:w="400" w:type="dxa"/>
            <w:vAlign w:val="bottom"/>
          </w:tcPr>
          <w:p>
            <w:pPr>
              <w:spacing w:after="0"/>
              <w:rPr>
                <w:sz w:val="16"/>
                <w:szCs w:val="16"/>
                <w:color w:val="auto"/>
              </w:rPr>
            </w:pPr>
          </w:p>
        </w:tc>
        <w:tc>
          <w:tcPr>
            <w:tcW w:w="720" w:type="dxa"/>
            <w:vAlign w:val="bottom"/>
            <w:tcBorders>
              <w:right w:val="single" w:sz="8" w:color="808080"/>
            </w:tcBorders>
            <w:vMerge w:val="restart"/>
          </w:tcPr>
          <w:p>
            <w:pPr>
              <w:jc w:val="center"/>
              <w:ind w:right="330"/>
              <w:spacing w:after="0"/>
              <w:rPr>
                <w:sz w:val="20"/>
                <w:szCs w:val="20"/>
                <w:color w:val="auto"/>
              </w:rPr>
            </w:pPr>
            <w:r>
              <w:rPr>
                <w:rFonts w:ascii="Arial" w:cs="Arial" w:eastAsia="Arial" w:hAnsi="Arial"/>
                <w:sz w:val="18"/>
                <w:szCs w:val="18"/>
                <w:color w:val="auto"/>
                <w:w w:val="99"/>
              </w:rPr>
              <w:t>9</w:t>
            </w:r>
          </w:p>
        </w:tc>
        <w:tc>
          <w:tcPr>
            <w:tcW w:w="320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EACH REPORTING</w:t>
            </w:r>
          </w:p>
        </w:tc>
        <w:tc>
          <w:tcPr>
            <w:tcW w:w="400" w:type="dxa"/>
            <w:vAlign w:val="bottom"/>
          </w:tcPr>
          <w:p>
            <w:pPr>
              <w:spacing w:after="0"/>
              <w:rPr>
                <w:sz w:val="8"/>
                <w:szCs w:val="8"/>
                <w:color w:val="auto"/>
              </w:rPr>
            </w:pPr>
          </w:p>
        </w:tc>
        <w:tc>
          <w:tcPr>
            <w:tcW w:w="720" w:type="dxa"/>
            <w:vAlign w:val="bottom"/>
            <w:tcBorders>
              <w:right w:val="single" w:sz="8" w:color="808080"/>
            </w:tcBorders>
            <w:vMerge w:val="continue"/>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80" w:type="dxa"/>
            <w:vAlign w:val="bottom"/>
            <w:tcBorders>
              <w:left w:val="single" w:sz="8" w:color="808080"/>
              <w:right w:val="single" w:sz="8" w:color="808080"/>
            </w:tcBorders>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right w:val="single" w:sz="8" w:color="808080"/>
            </w:tcBorders>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40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right w:val="single" w:sz="8" w:color="808080"/>
            </w:tcBorders>
          </w:tcPr>
          <w:p>
            <w:pPr>
              <w:spacing w:after="0"/>
              <w:rPr>
                <w:sz w:val="20"/>
                <w:szCs w:val="20"/>
                <w:color w:val="auto"/>
              </w:rPr>
            </w:pPr>
          </w:p>
        </w:tc>
        <w:tc>
          <w:tcPr>
            <w:tcW w:w="400" w:type="dxa"/>
            <w:vAlign w:val="bottom"/>
            <w:tcBorders>
              <w:bottom w:val="single" w:sz="8" w:color="808080"/>
            </w:tcBorders>
            <w:vMerge w:val="continue"/>
          </w:tcPr>
          <w:p>
            <w:pPr>
              <w:spacing w:after="0"/>
              <w:rPr>
                <w:sz w:val="20"/>
                <w:szCs w:val="20"/>
                <w:color w:val="auto"/>
              </w:rPr>
            </w:pPr>
          </w:p>
        </w:tc>
        <w:tc>
          <w:tcPr>
            <w:tcW w:w="280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89"/>
              </w:rPr>
              <w:t>10</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spacing w:after="0"/>
              <w:rPr>
                <w:sz w:val="24"/>
                <w:szCs w:val="24"/>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2,645,041 (See Items 3, 4 and 5)</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120" w:type="dxa"/>
            <w:vAlign w:val="bottom"/>
            <w:tcBorders>
              <w:bottom w:val="single" w:sz="8" w:color="808080"/>
              <w:right w:val="single" w:sz="8" w:color="808080"/>
            </w:tcBorders>
            <w:gridSpan w:val="2"/>
          </w:tcPr>
          <w:p>
            <w:pPr>
              <w:spacing w:after="0"/>
              <w:rPr>
                <w:sz w:val="4"/>
                <w:szCs w:val="4"/>
                <w:color w:val="auto"/>
              </w:rPr>
            </w:pPr>
          </w:p>
        </w:tc>
        <w:tc>
          <w:tcPr>
            <w:tcW w:w="6380" w:type="dxa"/>
            <w:vAlign w:val="bottom"/>
            <w:tcBorders>
              <w:bottom w:val="single" w:sz="8" w:color="808080"/>
            </w:tcBorders>
            <w:gridSpan w:val="4"/>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11</w:t>
            </w:r>
          </w:p>
        </w:tc>
        <w:tc>
          <w:tcPr>
            <w:tcW w:w="260" w:type="dxa"/>
            <w:vAlign w:val="bottom"/>
            <w:tcBorders>
              <w:right w:val="single" w:sz="8" w:color="808080"/>
            </w:tcBorders>
          </w:tcPr>
          <w:p>
            <w:pPr>
              <w:spacing w:after="0"/>
              <w:rPr>
                <w:sz w:val="24"/>
                <w:szCs w:val="24"/>
                <w:color w:val="auto"/>
              </w:rPr>
            </w:pPr>
          </w:p>
        </w:tc>
        <w:tc>
          <w:tcPr>
            <w:tcW w:w="8680" w:type="dxa"/>
            <w:vAlign w:val="bottom"/>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2,645,041 (See Items 3, 4 and 5)</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318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12</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rPr>
              <w:t>CHECK IF THE AGGREGATE AMOUNT IN ROW (11) EXCLUDES</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CERTAIN SHARES (see</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bottom w:val="single" w:sz="8" w:color="808080"/>
            </w:tcBorders>
          </w:tcPr>
          <w:p>
            <w:pPr>
              <w:spacing w:after="0"/>
              <w:rPr>
                <w:sz w:val="20"/>
                <w:szCs w:val="20"/>
                <w:color w:val="auto"/>
              </w:rPr>
            </w:pPr>
          </w:p>
        </w:tc>
        <w:tc>
          <w:tcPr>
            <w:tcW w:w="260" w:type="dxa"/>
            <w:vAlign w:val="bottom"/>
            <w:tcBorders>
              <w:bottom w:val="single" w:sz="8" w:color="808080"/>
              <w:right w:val="single" w:sz="8" w:color="808080"/>
            </w:tcBorders>
          </w:tcPr>
          <w:p>
            <w:pPr>
              <w:spacing w:after="0"/>
              <w:rPr>
                <w:sz w:val="20"/>
                <w:szCs w:val="20"/>
                <w:color w:val="auto"/>
              </w:rPr>
            </w:pPr>
          </w:p>
        </w:tc>
        <w:tc>
          <w:tcPr>
            <w:tcW w:w="158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72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280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13</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w w:val="94"/>
              </w:rPr>
              <w:t>6.3% (See Item 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14</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CO</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80" w:right="20" w:hanging="577"/>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calculation assumes that there are 41,762,724 shares of Common Stock of the Issuer outstanding as of March 4, 2014 as reported on the Form 10-K filed by the Issuer with the Commission on March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266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720" w:type="dxa"/>
            <w:vAlign w:val="bottom"/>
            <w:tcBorders>
              <w:top w:val="single" w:sz="8" w:color="808080"/>
            </w:tcBorders>
          </w:tcPr>
          <w:p>
            <w:pPr>
              <w:spacing w:after="0"/>
              <w:rPr>
                <w:sz w:val="24"/>
                <w:szCs w:val="24"/>
                <w:color w:val="auto"/>
              </w:rPr>
            </w:pPr>
          </w:p>
        </w:tc>
        <w:tc>
          <w:tcPr>
            <w:tcW w:w="420" w:type="dxa"/>
            <w:vAlign w:val="bottom"/>
            <w:tcBorders>
              <w:top w:val="single" w:sz="8" w:color="808080"/>
              <w:right w:val="single" w:sz="8" w:color="808080"/>
            </w:tcBorders>
          </w:tcPr>
          <w:p>
            <w:pPr>
              <w:spacing w:after="0"/>
              <w:rPr>
                <w:sz w:val="24"/>
                <w:szCs w:val="24"/>
                <w:color w:val="auto"/>
              </w:rPr>
            </w:pPr>
          </w:p>
        </w:tc>
        <w:tc>
          <w:tcPr>
            <w:tcW w:w="276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680" w:type="dxa"/>
            <w:vAlign w:val="bottom"/>
            <w:tcBorders>
              <w:right w:val="single" w:sz="8" w:color="808080"/>
            </w:tcBorders>
          </w:tcPr>
          <w:p>
            <w:pPr>
              <w:spacing w:after="0"/>
              <w:rPr>
                <w:sz w:val="24"/>
                <w:szCs w:val="24"/>
                <w:color w:val="auto"/>
              </w:rPr>
            </w:pPr>
          </w:p>
        </w:tc>
        <w:tc>
          <w:tcPr>
            <w:tcW w:w="1540" w:type="dxa"/>
            <w:vAlign w:val="bottom"/>
            <w:tcBorders>
              <w:top w:val="single" w:sz="8" w:color="808080"/>
            </w:tcBorders>
          </w:tcPr>
          <w:p>
            <w:pPr>
              <w:spacing w:after="0"/>
              <w:rPr>
                <w:sz w:val="24"/>
                <w:szCs w:val="24"/>
                <w:color w:val="auto"/>
              </w:rPr>
            </w:pPr>
          </w:p>
        </w:tc>
        <w:tc>
          <w:tcPr>
            <w:tcW w:w="1640" w:type="dxa"/>
            <w:vAlign w:val="bottom"/>
            <w:tcBorders>
              <w:top w:val="single" w:sz="8" w:color="808080"/>
              <w:right w:val="single" w:sz="8" w:color="808080"/>
            </w:tcBorders>
          </w:tcPr>
          <w:p>
            <w:pPr>
              <w:ind w:left="220"/>
              <w:spacing w:after="0"/>
              <w:rPr>
                <w:sz w:val="20"/>
                <w:szCs w:val="20"/>
                <w:color w:val="auto"/>
              </w:rPr>
            </w:pPr>
            <w:r>
              <w:rPr>
                <w:rFonts w:ascii="Arial" w:cs="Arial" w:eastAsia="Arial" w:hAnsi="Arial"/>
                <w:sz w:val="18"/>
                <w:szCs w:val="18"/>
                <w:b w:val="1"/>
                <w:bCs w:val="1"/>
                <w:color w:val="auto"/>
                <w:w w:val="84"/>
              </w:rPr>
              <w:t>Page 4 of 12 Pages</w:t>
            </w:r>
          </w:p>
        </w:tc>
        <w:tc>
          <w:tcPr>
            <w:tcW w:w="0" w:type="dxa"/>
            <w:vAlign w:val="bottom"/>
          </w:tcPr>
          <w:p>
            <w:pPr>
              <w:spacing w:after="0"/>
              <w:rPr>
                <w:sz w:val="1"/>
                <w:szCs w:val="1"/>
                <w:color w:val="auto"/>
              </w:rPr>
            </w:pPr>
          </w:p>
        </w:tc>
      </w:tr>
      <w:tr>
        <w:trPr>
          <w:trHeight w:val="216"/>
        </w:trPr>
        <w:tc>
          <w:tcPr>
            <w:tcW w:w="2660" w:type="dxa"/>
            <w:vAlign w:val="bottom"/>
            <w:tcBorders>
              <w:left w:val="single" w:sz="8" w:color="808080"/>
            </w:tcBorders>
            <w:gridSpan w:val="4"/>
            <w:vMerge w:val="continue"/>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Borders>
              <w:right w:val="single" w:sz="8" w:color="808080"/>
            </w:tcBorders>
          </w:tcPr>
          <w:p>
            <w:pPr>
              <w:spacing w:after="0"/>
              <w:rPr>
                <w:sz w:val="18"/>
                <w:szCs w:val="18"/>
                <w:color w:val="auto"/>
              </w:rPr>
            </w:pPr>
          </w:p>
        </w:tc>
        <w:tc>
          <w:tcPr>
            <w:tcW w:w="2760" w:type="dxa"/>
            <w:vAlign w:val="bottom"/>
          </w:tcPr>
          <w:p>
            <w:pPr>
              <w:spacing w:after="0"/>
              <w:rPr>
                <w:sz w:val="18"/>
                <w:szCs w:val="18"/>
                <w:color w:val="auto"/>
              </w:rPr>
            </w:pPr>
          </w:p>
        </w:tc>
        <w:tc>
          <w:tcPr>
            <w:tcW w:w="1680" w:type="dxa"/>
            <w:vAlign w:val="bottom"/>
            <w:tcBorders>
              <w:right w:val="single" w:sz="8" w:color="808080"/>
            </w:tcBorders>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gridSpan w:val="2"/>
          </w:tcPr>
          <w:p>
            <w:pPr>
              <w:spacing w:after="0"/>
              <w:rPr>
                <w:sz w:val="3"/>
                <w:szCs w:val="3"/>
                <w:color w:val="auto"/>
              </w:rPr>
            </w:pPr>
          </w:p>
        </w:tc>
        <w:tc>
          <w:tcPr>
            <w:tcW w:w="420" w:type="dxa"/>
            <w:vAlign w:val="bottom"/>
            <w:tcBorders>
              <w:bottom w:val="single" w:sz="8" w:color="808080"/>
              <w:right w:val="single" w:sz="8" w:color="808080"/>
            </w:tcBorders>
          </w:tcPr>
          <w:p>
            <w:pPr>
              <w:spacing w:after="0"/>
              <w:rPr>
                <w:sz w:val="3"/>
                <w:szCs w:val="3"/>
                <w:color w:val="auto"/>
              </w:rPr>
            </w:pPr>
          </w:p>
        </w:tc>
        <w:tc>
          <w:tcPr>
            <w:tcW w:w="2760" w:type="dxa"/>
            <w:vAlign w:val="bottom"/>
          </w:tcPr>
          <w:p>
            <w:pPr>
              <w:spacing w:after="0"/>
              <w:rPr>
                <w:sz w:val="3"/>
                <w:szCs w:val="3"/>
                <w:color w:val="auto"/>
              </w:rPr>
            </w:pPr>
          </w:p>
        </w:tc>
        <w:tc>
          <w:tcPr>
            <w:tcW w:w="1680" w:type="dxa"/>
            <w:vAlign w:val="bottom"/>
            <w:tcBorders>
              <w:right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gridSpan w:val="5"/>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1</w:t>
            </w:r>
          </w:p>
        </w:tc>
        <w:tc>
          <w:tcPr>
            <w:tcW w:w="260" w:type="dxa"/>
            <w:vAlign w:val="bottom"/>
            <w:tcBorders>
              <w:right w:val="single" w:sz="8" w:color="808080"/>
            </w:tcBorders>
          </w:tcPr>
          <w:p>
            <w:pPr>
              <w:spacing w:after="0"/>
              <w:rPr>
                <w:sz w:val="24"/>
                <w:szCs w:val="24"/>
                <w:color w:val="auto"/>
              </w:rPr>
            </w:pPr>
          </w:p>
        </w:tc>
        <w:tc>
          <w:tcPr>
            <w:tcW w:w="5460" w:type="dxa"/>
            <w:vAlign w:val="bottom"/>
            <w:gridSpan w:val="5"/>
          </w:tcPr>
          <w:p>
            <w:pPr>
              <w:ind w:left="120"/>
              <w:spacing w:after="0"/>
              <w:rPr>
                <w:sz w:val="20"/>
                <w:szCs w:val="20"/>
                <w:color w:val="auto"/>
              </w:rPr>
            </w:pPr>
            <w:r>
              <w:rPr>
                <w:rFonts w:ascii="Arial" w:cs="Arial" w:eastAsia="Arial" w:hAnsi="Arial"/>
                <w:sz w:val="18"/>
                <w:szCs w:val="18"/>
                <w:color w:val="auto"/>
              </w:rPr>
              <w:t>NAMES OF REPORTING PERSONS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8"/>
              </w:rPr>
              <w:t>David Bonderman</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460" w:type="dxa"/>
            <w:vAlign w:val="bottom"/>
            <w:tcBorders>
              <w:bottom w:val="single" w:sz="8" w:color="808080"/>
            </w:tcBorders>
            <w:gridSpan w:val="5"/>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2</w:t>
            </w:r>
          </w:p>
        </w:tc>
        <w:tc>
          <w:tcPr>
            <w:tcW w:w="260" w:type="dxa"/>
            <w:vAlign w:val="bottom"/>
            <w:tcBorders>
              <w:right w:val="single" w:sz="8" w:color="808080"/>
            </w:tcBorders>
          </w:tcPr>
          <w:p>
            <w:pPr>
              <w:spacing w:after="0"/>
              <w:rPr>
                <w:sz w:val="24"/>
                <w:szCs w:val="24"/>
                <w:color w:val="auto"/>
              </w:rPr>
            </w:pPr>
          </w:p>
        </w:tc>
        <w:tc>
          <w:tcPr>
            <w:tcW w:w="546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1680" w:type="dxa"/>
            <w:vAlign w:val="bottom"/>
          </w:tcPr>
          <w:p>
            <w:pPr>
              <w:spacing w:after="0"/>
              <w:rPr>
                <w:sz w:val="24"/>
                <w:szCs w:val="24"/>
                <w:color w:val="auto"/>
              </w:rPr>
            </w:pPr>
          </w:p>
        </w:tc>
        <w:tc>
          <w:tcPr>
            <w:tcW w:w="1540" w:type="dxa"/>
            <w:vAlign w:val="bottom"/>
          </w:tcPr>
          <w:p>
            <w:pPr>
              <w:ind w:left="1100"/>
              <w:spacing w:after="0"/>
              <w:rPr>
                <w:sz w:val="20"/>
                <w:szCs w:val="20"/>
                <w:color w:val="auto"/>
              </w:rPr>
            </w:pPr>
            <w:r>
              <w:rPr>
                <w:rFonts w:ascii="Arial" w:cs="Arial" w:eastAsia="Arial" w:hAnsi="Arial"/>
                <w:sz w:val="18"/>
                <w:szCs w:val="18"/>
                <w:color w:val="auto"/>
              </w:rPr>
              <w:t>(a)</w:t>
            </w:r>
          </w:p>
        </w:tc>
        <w:tc>
          <w:tcPr>
            <w:tcW w:w="1640" w:type="dxa"/>
            <w:vAlign w:val="bottom"/>
            <w:tcBorders>
              <w:right w:val="single" w:sz="8" w:color="808080"/>
            </w:tcBorders>
          </w:tcPr>
          <w:p>
            <w:pPr>
              <w:ind w:left="10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tcBorders>
          </w:tcPr>
          <w:p>
            <w:pPr>
              <w:spacing w:after="0"/>
              <w:rPr>
                <w:sz w:val="20"/>
                <w:szCs w:val="20"/>
                <w:color w:val="auto"/>
              </w:rPr>
            </w:pPr>
          </w:p>
        </w:tc>
        <w:tc>
          <w:tcPr>
            <w:tcW w:w="260" w:type="dxa"/>
            <w:vAlign w:val="bottom"/>
            <w:tcBorders>
              <w:right w:val="single" w:sz="8" w:color="808080"/>
            </w:tcBorders>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(see instructions)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vMerge w:val="restart"/>
          </w:tcPr>
          <w:p>
            <w:pPr>
              <w:ind w:left="1100"/>
              <w:spacing w:after="0"/>
              <w:rPr>
                <w:sz w:val="20"/>
                <w:szCs w:val="20"/>
                <w:color w:val="auto"/>
              </w:rPr>
            </w:pPr>
            <w:r>
              <w:rPr>
                <w:rFonts w:ascii="Arial" w:cs="Arial" w:eastAsia="Arial" w:hAnsi="Arial"/>
                <w:sz w:val="18"/>
                <w:szCs w:val="18"/>
                <w:color w:val="auto"/>
              </w:rPr>
              <w:t>(b)</w:t>
            </w:r>
          </w:p>
        </w:tc>
        <w:tc>
          <w:tcPr>
            <w:tcW w:w="1640" w:type="dxa"/>
            <w:vAlign w:val="bottom"/>
            <w:tcBorders>
              <w:right w:val="single" w:sz="8" w:color="808080"/>
            </w:tcBorders>
            <w:vMerge w:val="restart"/>
          </w:tcPr>
          <w:p>
            <w:pPr>
              <w:ind w:left="10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840" w:type="dxa"/>
            <w:vAlign w:val="bottom"/>
            <w:tcBorders>
              <w:left w:val="single" w:sz="8" w:color="808080"/>
            </w:tcBorders>
          </w:tcPr>
          <w:p>
            <w:pPr>
              <w:spacing w:after="0"/>
              <w:rPr>
                <w:sz w:val="12"/>
                <w:szCs w:val="12"/>
                <w:color w:val="auto"/>
              </w:rPr>
            </w:pPr>
          </w:p>
        </w:tc>
        <w:tc>
          <w:tcPr>
            <w:tcW w:w="260" w:type="dxa"/>
            <w:vAlign w:val="bottom"/>
            <w:tcBorders>
              <w:right w:val="single" w:sz="8" w:color="808080"/>
            </w:tcBorders>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4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right w:val="single" w:sz="8" w:color="808080"/>
            </w:tcBorders>
          </w:tcPr>
          <w:p>
            <w:pPr>
              <w:spacing w:after="0"/>
              <w:rPr>
                <w:sz w:val="3"/>
                <w:szCs w:val="3"/>
                <w:color w:val="auto"/>
              </w:rPr>
            </w:pPr>
          </w:p>
        </w:tc>
        <w:tc>
          <w:tcPr>
            <w:tcW w:w="1560" w:type="dxa"/>
            <w:vAlign w:val="bottom"/>
            <w:tcBorders>
              <w:bottom w:val="single" w:sz="8" w:color="808080"/>
            </w:tcBorders>
            <w:gridSpan w:val="2"/>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760" w:type="dxa"/>
            <w:vAlign w:val="bottom"/>
            <w:tcBorders>
              <w:bottom w:val="single" w:sz="8" w:color="808080"/>
            </w:tcBorders>
          </w:tcPr>
          <w:p>
            <w:pPr>
              <w:spacing w:after="0"/>
              <w:rPr>
                <w:sz w:val="3"/>
                <w:szCs w:val="3"/>
                <w:color w:val="auto"/>
              </w:rPr>
            </w:pPr>
          </w:p>
        </w:tc>
        <w:tc>
          <w:tcPr>
            <w:tcW w:w="168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3</w:t>
            </w: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808080"/>
              <w:bottom w:val="single" w:sz="8" w:color="808080"/>
            </w:tcBorders>
          </w:tcPr>
          <w:p>
            <w:pPr>
              <w:spacing w:after="0"/>
              <w:rPr>
                <w:sz w:val="18"/>
                <w:szCs w:val="18"/>
                <w:color w:val="auto"/>
              </w:rPr>
            </w:pPr>
          </w:p>
        </w:tc>
        <w:tc>
          <w:tcPr>
            <w:tcW w:w="260" w:type="dxa"/>
            <w:vAlign w:val="bottom"/>
            <w:tcBorders>
              <w:bottom w:val="single" w:sz="8" w:color="808080"/>
              <w:right w:val="single" w:sz="8" w:color="808080"/>
            </w:tcBorders>
          </w:tcPr>
          <w:p>
            <w:pPr>
              <w:spacing w:after="0"/>
              <w:rPr>
                <w:sz w:val="18"/>
                <w:szCs w:val="18"/>
                <w:color w:val="auto"/>
              </w:rPr>
            </w:pPr>
          </w:p>
        </w:tc>
        <w:tc>
          <w:tcPr>
            <w:tcW w:w="5460" w:type="dxa"/>
            <w:vAlign w:val="bottom"/>
            <w:tcBorders>
              <w:bottom w:val="single" w:sz="8" w:color="808080"/>
            </w:tcBorders>
            <w:gridSpan w:val="5"/>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4</w:t>
            </w:r>
          </w:p>
        </w:tc>
        <w:tc>
          <w:tcPr>
            <w:tcW w:w="260" w:type="dxa"/>
            <w:vAlign w:val="bottom"/>
            <w:tcBorders>
              <w:right w:val="single" w:sz="8" w:color="808080"/>
            </w:tcBorders>
          </w:tcPr>
          <w:p>
            <w:pPr>
              <w:spacing w:after="0"/>
              <w:rPr>
                <w:sz w:val="24"/>
                <w:szCs w:val="24"/>
                <w:color w:val="auto"/>
              </w:rPr>
            </w:pPr>
          </w:p>
        </w:tc>
        <w:tc>
          <w:tcPr>
            <w:tcW w:w="5460" w:type="dxa"/>
            <w:vAlign w:val="bottom"/>
            <w:gridSpan w:val="5"/>
          </w:tcPr>
          <w:p>
            <w:pPr>
              <w:ind w:left="120"/>
              <w:spacing w:after="0"/>
              <w:rPr>
                <w:sz w:val="20"/>
                <w:szCs w:val="20"/>
                <w:color w:val="auto"/>
              </w:rPr>
            </w:pPr>
            <w:r>
              <w:rPr>
                <w:rFonts w:ascii="Arial" w:cs="Arial" w:eastAsia="Arial" w:hAnsi="Arial"/>
                <w:sz w:val="18"/>
                <w:szCs w:val="18"/>
                <w:color w:val="auto"/>
              </w:rPr>
              <w:t>SOURCE OF FUNDS (see instructions)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OO (See Item 3)</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460" w:type="dxa"/>
            <w:vAlign w:val="bottom"/>
            <w:tcBorders>
              <w:bottom w:val="single" w:sz="8" w:color="808080"/>
            </w:tcBorders>
            <w:gridSpan w:val="5"/>
          </w:tcPr>
          <w:p>
            <w:pPr>
              <w:spacing w:after="0"/>
              <w:rPr>
                <w:sz w:val="4"/>
                <w:szCs w:val="4"/>
                <w:color w:val="auto"/>
              </w:rPr>
            </w:pPr>
          </w:p>
        </w:tc>
        <w:tc>
          <w:tcPr>
            <w:tcW w:w="322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5</w:t>
            </w:r>
          </w:p>
        </w:tc>
        <w:tc>
          <w:tcPr>
            <w:tcW w:w="260" w:type="dxa"/>
            <w:vAlign w:val="bottom"/>
            <w:tcBorders>
              <w:right w:val="single" w:sz="8" w:color="808080"/>
            </w:tcBorders>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w w:val="97"/>
              </w:rPr>
              <w:t>CHECK IF DISCLOSURE OF LEGAL PROCEEDINGS IS REQUIRED</w:t>
            </w:r>
          </w:p>
        </w:tc>
        <w:tc>
          <w:tcPr>
            <w:tcW w:w="3220" w:type="dxa"/>
            <w:vAlign w:val="bottom"/>
            <w:gridSpan w:val="2"/>
          </w:tcPr>
          <w:p>
            <w:pPr>
              <w:ind w:left="140"/>
              <w:spacing w:after="0"/>
              <w:rPr>
                <w:sz w:val="20"/>
                <w:szCs w:val="20"/>
                <w:color w:val="auto"/>
              </w:rPr>
            </w:pPr>
            <w:r>
              <w:rPr>
                <w:rFonts w:ascii="Arial" w:cs="Arial" w:eastAsia="Arial" w:hAnsi="Arial"/>
                <w:sz w:val="18"/>
                <w:szCs w:val="18"/>
                <w:color w:val="auto"/>
              </w:rPr>
              <w:t>PURSUANT TO ITEM 2(d) or 2(e)</w:t>
            </w:r>
          </w:p>
        </w:tc>
        <w:tc>
          <w:tcPr>
            <w:tcW w:w="1640" w:type="dxa"/>
            <w:vAlign w:val="bottom"/>
            <w:tcBorders>
              <w:right w:val="single" w:sz="8" w:color="808080"/>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Borders>
              <w:left w:val="single" w:sz="8" w:color="808080"/>
              <w:bottom w:val="single" w:sz="8" w:color="808080"/>
            </w:tcBorders>
          </w:tcPr>
          <w:p>
            <w:pPr>
              <w:spacing w:after="0"/>
              <w:rPr>
                <w:sz w:val="18"/>
                <w:szCs w:val="18"/>
                <w:color w:val="auto"/>
              </w:rPr>
            </w:pPr>
          </w:p>
        </w:tc>
        <w:tc>
          <w:tcPr>
            <w:tcW w:w="260" w:type="dxa"/>
            <w:vAlign w:val="bottom"/>
            <w:tcBorders>
              <w:bottom w:val="single" w:sz="8" w:color="808080"/>
              <w:right w:val="single" w:sz="8" w:color="808080"/>
            </w:tcBorders>
          </w:tcPr>
          <w:p>
            <w:pPr>
              <w:spacing w:after="0"/>
              <w:rPr>
                <w:sz w:val="18"/>
                <w:szCs w:val="18"/>
                <w:color w:val="auto"/>
              </w:rPr>
            </w:pPr>
          </w:p>
        </w:tc>
        <w:tc>
          <w:tcPr>
            <w:tcW w:w="5460" w:type="dxa"/>
            <w:vAlign w:val="bottom"/>
            <w:tcBorders>
              <w:bottom w:val="single" w:sz="8" w:color="808080"/>
            </w:tcBorders>
            <w:gridSpan w:val="5"/>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6</w:t>
            </w:r>
          </w:p>
        </w:tc>
        <w:tc>
          <w:tcPr>
            <w:tcW w:w="260" w:type="dxa"/>
            <w:vAlign w:val="bottom"/>
            <w:tcBorders>
              <w:right w:val="single" w:sz="8" w:color="808080"/>
            </w:tcBorders>
          </w:tcPr>
          <w:p>
            <w:pPr>
              <w:spacing w:after="0"/>
              <w:rPr>
                <w:sz w:val="24"/>
                <w:szCs w:val="24"/>
                <w:color w:val="auto"/>
              </w:rPr>
            </w:pPr>
          </w:p>
        </w:tc>
        <w:tc>
          <w:tcPr>
            <w:tcW w:w="546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180" w:type="dxa"/>
            <w:vAlign w:val="bottom"/>
            <w:tcBorders>
              <w:bottom w:val="single" w:sz="8" w:color="808080"/>
            </w:tcBorders>
            <w:gridSpan w:val="2"/>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79"/>
              </w:rPr>
              <w:t>7</w:t>
            </w: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right w:val="single" w:sz="8" w:color="808080"/>
            </w:tcBorders>
          </w:tcPr>
          <w:p>
            <w:pPr>
              <w:spacing w:after="0"/>
              <w:rPr>
                <w:sz w:val="24"/>
                <w:szCs w:val="24"/>
                <w:color w:val="auto"/>
              </w:rPr>
            </w:pPr>
          </w:p>
        </w:tc>
        <w:tc>
          <w:tcPr>
            <w:tcW w:w="42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7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380" w:type="dxa"/>
            <w:vAlign w:val="bottom"/>
          </w:tcPr>
          <w:p>
            <w:pPr>
              <w:spacing w:after="0"/>
              <w:rPr>
                <w:sz w:val="24"/>
                <w:szCs w:val="24"/>
                <w:color w:val="auto"/>
              </w:rPr>
            </w:pPr>
          </w:p>
        </w:tc>
        <w:tc>
          <w:tcPr>
            <w:tcW w:w="72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79"/>
              </w:rPr>
              <w:t>8</w:t>
            </w: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80" w:type="dxa"/>
            <w:vAlign w:val="bottom"/>
            <w:tcBorders>
              <w:left w:val="single" w:sz="8" w:color="808080"/>
              <w:right w:val="single" w:sz="8" w:color="808080"/>
            </w:tcBorders>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Borders>
              <w:right w:val="single" w:sz="8" w:color="808080"/>
            </w:tcBorders>
          </w:tcPr>
          <w:p>
            <w:pPr>
              <w:spacing w:after="0"/>
              <w:rPr>
                <w:sz w:val="11"/>
                <w:szCs w:val="11"/>
                <w:color w:val="auto"/>
              </w:rPr>
            </w:pPr>
          </w:p>
        </w:tc>
        <w:tc>
          <w:tcPr>
            <w:tcW w:w="3180" w:type="dxa"/>
            <w:vAlign w:val="bottom"/>
            <w:gridSpan w:val="2"/>
            <w:vMerge w:val="restart"/>
          </w:tcPr>
          <w:p>
            <w:pPr>
              <w:ind w:left="100"/>
              <w:spacing w:after="0"/>
              <w:rPr>
                <w:sz w:val="20"/>
                <w:szCs w:val="20"/>
                <w:color w:val="auto"/>
              </w:rPr>
            </w:pPr>
            <w:r>
              <w:rPr>
                <w:rFonts w:ascii="Arial" w:cs="Arial" w:eastAsia="Arial" w:hAnsi="Arial"/>
                <w:sz w:val="18"/>
                <w:szCs w:val="18"/>
                <w:color w:val="auto"/>
              </w:rPr>
              <w:t>3,040,032 (See Items 3, 4 and 5)</w:t>
            </w:r>
          </w:p>
        </w:tc>
        <w:tc>
          <w:tcPr>
            <w:tcW w:w="1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4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 OWNED</w:t>
            </w:r>
          </w:p>
        </w:tc>
        <w:tc>
          <w:tcPr>
            <w:tcW w:w="380" w:type="dxa"/>
            <w:vAlign w:val="bottom"/>
          </w:tcPr>
          <w:p>
            <w:pPr>
              <w:spacing w:after="0"/>
              <w:rPr>
                <w:sz w:val="14"/>
                <w:szCs w:val="14"/>
                <w:color w:val="auto"/>
              </w:rPr>
            </w:pPr>
          </w:p>
        </w:tc>
        <w:tc>
          <w:tcPr>
            <w:tcW w:w="720" w:type="dxa"/>
            <w:vAlign w:val="bottom"/>
            <w:tcBorders>
              <w:right w:val="single" w:sz="8" w:color="808080"/>
            </w:tcBorders>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808080"/>
              <w:right w:val="single" w:sz="8" w:color="808080"/>
            </w:tcBorders>
            <w:gridSpan w:val="3"/>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20" w:type="dxa"/>
            <w:vAlign w:val="bottom"/>
            <w:tcBorders>
              <w:bottom w:val="single" w:sz="8" w:color="808080"/>
              <w:right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760" w:type="dxa"/>
            <w:vAlign w:val="bottom"/>
            <w:tcBorders>
              <w:bottom w:val="single" w:sz="8" w:color="808080"/>
            </w:tcBorders>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808080"/>
            </w:tcBorders>
          </w:tcPr>
          <w:p>
            <w:pPr>
              <w:spacing w:after="0"/>
              <w:rPr>
                <w:sz w:val="16"/>
                <w:szCs w:val="16"/>
                <w:color w:val="auto"/>
              </w:rPr>
            </w:pPr>
          </w:p>
        </w:tc>
        <w:tc>
          <w:tcPr>
            <w:tcW w:w="1440" w:type="dxa"/>
            <w:vAlign w:val="bottom"/>
            <w:tcBorders>
              <w:right w:val="single" w:sz="8" w:color="808080"/>
            </w:tcBorders>
            <w:gridSpan w:val="2"/>
          </w:tcPr>
          <w:p>
            <w:pPr>
              <w:jc w:val="center"/>
              <w:ind w:right="750"/>
              <w:spacing w:after="0" w:line="195" w:lineRule="exact"/>
              <w:rPr>
                <w:sz w:val="20"/>
                <w:szCs w:val="20"/>
                <w:color w:val="auto"/>
              </w:rPr>
            </w:pPr>
            <w:r>
              <w:rPr>
                <w:rFonts w:ascii="Arial" w:cs="Arial" w:eastAsia="Arial" w:hAnsi="Arial"/>
                <w:sz w:val="18"/>
                <w:szCs w:val="18"/>
                <w:color w:val="auto"/>
                <w:w w:val="99"/>
              </w:rPr>
              <w:t>BY</w:t>
            </w:r>
          </w:p>
        </w:tc>
        <w:tc>
          <w:tcPr>
            <w:tcW w:w="380" w:type="dxa"/>
            <w:vAlign w:val="bottom"/>
          </w:tcPr>
          <w:p>
            <w:pPr>
              <w:spacing w:after="0"/>
              <w:rPr>
                <w:sz w:val="16"/>
                <w:szCs w:val="16"/>
                <w:color w:val="auto"/>
              </w:rPr>
            </w:pPr>
          </w:p>
        </w:tc>
        <w:tc>
          <w:tcPr>
            <w:tcW w:w="720" w:type="dxa"/>
            <w:vAlign w:val="bottom"/>
            <w:tcBorders>
              <w:right w:val="single" w:sz="8" w:color="808080"/>
            </w:tcBorders>
            <w:vMerge w:val="restart"/>
          </w:tcPr>
          <w:p>
            <w:pPr>
              <w:jc w:val="center"/>
              <w:ind w:right="310"/>
              <w:spacing w:after="0"/>
              <w:rPr>
                <w:sz w:val="20"/>
                <w:szCs w:val="20"/>
                <w:color w:val="auto"/>
              </w:rPr>
            </w:pPr>
            <w:r>
              <w:rPr>
                <w:rFonts w:ascii="Arial" w:cs="Arial" w:eastAsia="Arial" w:hAnsi="Arial"/>
                <w:sz w:val="18"/>
                <w:szCs w:val="18"/>
                <w:color w:val="auto"/>
                <w:w w:val="79"/>
              </w:rPr>
              <w:t>9</w:t>
            </w:r>
          </w:p>
        </w:tc>
        <w:tc>
          <w:tcPr>
            <w:tcW w:w="318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EACH REPORTING</w:t>
            </w:r>
          </w:p>
        </w:tc>
        <w:tc>
          <w:tcPr>
            <w:tcW w:w="380" w:type="dxa"/>
            <w:vAlign w:val="bottom"/>
          </w:tcPr>
          <w:p>
            <w:pPr>
              <w:spacing w:after="0"/>
              <w:rPr>
                <w:sz w:val="8"/>
                <w:szCs w:val="8"/>
                <w:color w:val="auto"/>
              </w:rPr>
            </w:pPr>
          </w:p>
        </w:tc>
        <w:tc>
          <w:tcPr>
            <w:tcW w:w="720" w:type="dxa"/>
            <w:vAlign w:val="bottom"/>
            <w:tcBorders>
              <w:right w:val="single" w:sz="8" w:color="808080"/>
            </w:tcBorders>
            <w:vMerge w:val="continue"/>
          </w:tcPr>
          <w:p>
            <w:pPr>
              <w:spacing w:after="0"/>
              <w:rPr>
                <w:sz w:val="8"/>
                <w:szCs w:val="8"/>
                <w:color w:val="auto"/>
              </w:rPr>
            </w:pPr>
          </w:p>
        </w:tc>
        <w:tc>
          <w:tcPr>
            <w:tcW w:w="318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80" w:type="dxa"/>
            <w:vAlign w:val="bottom"/>
            <w:tcBorders>
              <w:left w:val="single" w:sz="8" w:color="808080"/>
              <w:right w:val="single" w:sz="8" w:color="808080"/>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right w:val="single" w:sz="8" w:color="808080"/>
            </w:tcBorders>
          </w:tcPr>
          <w:p>
            <w:pPr>
              <w:spacing w:after="0"/>
              <w:rPr>
                <w:sz w:val="10"/>
                <w:szCs w:val="10"/>
                <w:color w:val="auto"/>
              </w:rPr>
            </w:pPr>
          </w:p>
        </w:tc>
        <w:tc>
          <w:tcPr>
            <w:tcW w:w="42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right w:val="single" w:sz="8" w:color="808080"/>
            </w:tcBorders>
          </w:tcPr>
          <w:p>
            <w:pPr>
              <w:spacing w:after="0"/>
              <w:rPr>
                <w:sz w:val="20"/>
                <w:szCs w:val="20"/>
                <w:color w:val="auto"/>
              </w:rPr>
            </w:pPr>
          </w:p>
        </w:tc>
        <w:tc>
          <w:tcPr>
            <w:tcW w:w="420" w:type="dxa"/>
            <w:vAlign w:val="bottom"/>
            <w:tcBorders>
              <w:bottom w:val="single" w:sz="8" w:color="808080"/>
            </w:tcBorders>
            <w:vMerge w:val="continue"/>
          </w:tcPr>
          <w:p>
            <w:pPr>
              <w:spacing w:after="0"/>
              <w:rPr>
                <w:sz w:val="20"/>
                <w:szCs w:val="20"/>
                <w:color w:val="auto"/>
              </w:rPr>
            </w:pPr>
          </w:p>
        </w:tc>
        <w:tc>
          <w:tcPr>
            <w:tcW w:w="2760" w:type="dxa"/>
            <w:vAlign w:val="bottom"/>
            <w:tcBorders>
              <w:bottom w:val="single" w:sz="8" w:color="808080"/>
            </w:tcBorders>
          </w:tcPr>
          <w:p>
            <w:pPr>
              <w:spacing w:after="0"/>
              <w:rPr>
                <w:sz w:val="20"/>
                <w:szCs w:val="20"/>
                <w:color w:val="auto"/>
              </w:rPr>
            </w:pPr>
          </w:p>
        </w:tc>
        <w:tc>
          <w:tcPr>
            <w:tcW w:w="168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89"/>
              </w:rPr>
              <w:t>10</w:t>
            </w: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right w:val="single" w:sz="8" w:color="808080"/>
            </w:tcBorders>
          </w:tcPr>
          <w:p>
            <w:pPr>
              <w:spacing w:after="0"/>
              <w:rPr>
                <w:sz w:val="24"/>
                <w:szCs w:val="24"/>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3,040,032 (See Items 3, 4 and 5)</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100" w:type="dxa"/>
            <w:vAlign w:val="bottom"/>
            <w:tcBorders>
              <w:bottom w:val="single" w:sz="8" w:color="808080"/>
              <w:right w:val="single" w:sz="8" w:color="808080"/>
            </w:tcBorders>
            <w:gridSpan w:val="2"/>
          </w:tcPr>
          <w:p>
            <w:pPr>
              <w:spacing w:after="0"/>
              <w:rPr>
                <w:sz w:val="4"/>
                <w:szCs w:val="4"/>
                <w:color w:val="auto"/>
              </w:rPr>
            </w:pPr>
          </w:p>
        </w:tc>
        <w:tc>
          <w:tcPr>
            <w:tcW w:w="6400" w:type="dxa"/>
            <w:vAlign w:val="bottom"/>
            <w:tcBorders>
              <w:bottom w:val="single" w:sz="8" w:color="808080"/>
            </w:tcBorders>
            <w:gridSpan w:val="4"/>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11</w:t>
            </w:r>
          </w:p>
        </w:tc>
        <w:tc>
          <w:tcPr>
            <w:tcW w:w="260" w:type="dxa"/>
            <w:vAlign w:val="bottom"/>
            <w:tcBorders>
              <w:right w:val="single" w:sz="8" w:color="808080"/>
            </w:tcBorders>
          </w:tcPr>
          <w:p>
            <w:pPr>
              <w:spacing w:after="0"/>
              <w:rPr>
                <w:sz w:val="24"/>
                <w:szCs w:val="24"/>
                <w:color w:val="auto"/>
              </w:rPr>
            </w:pPr>
          </w:p>
        </w:tc>
        <w:tc>
          <w:tcPr>
            <w:tcW w:w="8680" w:type="dxa"/>
            <w:vAlign w:val="bottom"/>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5460" w:type="dxa"/>
            <w:vAlign w:val="bottom"/>
            <w:gridSpan w:val="5"/>
          </w:tcPr>
          <w:p>
            <w:pPr>
              <w:ind w:left="120"/>
              <w:spacing w:after="0"/>
              <w:rPr>
                <w:sz w:val="20"/>
                <w:szCs w:val="20"/>
                <w:color w:val="auto"/>
              </w:rPr>
            </w:pPr>
            <w:r>
              <w:rPr>
                <w:rFonts w:ascii="Arial" w:cs="Arial" w:eastAsia="Arial" w:hAnsi="Arial"/>
                <w:sz w:val="18"/>
                <w:szCs w:val="18"/>
                <w:color w:val="auto"/>
              </w:rPr>
              <w:t>3,040,032 (See Items 3, 4 and 5)</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gridSpan w:val="2"/>
          </w:tcPr>
          <w:p>
            <w:pPr>
              <w:spacing w:after="0"/>
              <w:rPr>
                <w:sz w:val="4"/>
                <w:szCs w:val="4"/>
                <w:color w:val="auto"/>
              </w:rPr>
            </w:pPr>
          </w:p>
        </w:tc>
        <w:tc>
          <w:tcPr>
            <w:tcW w:w="6400" w:type="dxa"/>
            <w:vAlign w:val="bottom"/>
            <w:tcBorders>
              <w:bottom w:val="single" w:sz="8" w:color="808080"/>
            </w:tcBorders>
            <w:gridSpan w:val="4"/>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12</w:t>
            </w:r>
          </w:p>
        </w:tc>
        <w:tc>
          <w:tcPr>
            <w:tcW w:w="260" w:type="dxa"/>
            <w:vAlign w:val="bottom"/>
            <w:tcBorders>
              <w:right w:val="single" w:sz="8" w:color="808080"/>
            </w:tcBorders>
          </w:tcPr>
          <w:p>
            <w:pPr>
              <w:spacing w:after="0"/>
              <w:rPr>
                <w:sz w:val="24"/>
                <w:szCs w:val="24"/>
                <w:color w:val="auto"/>
              </w:rPr>
            </w:pPr>
          </w:p>
        </w:tc>
        <w:tc>
          <w:tcPr>
            <w:tcW w:w="8680" w:type="dxa"/>
            <w:vAlign w:val="bottom"/>
            <w:gridSpan w:val="7"/>
          </w:tcPr>
          <w:p>
            <w:pPr>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1640" w:type="dxa"/>
            <w:vAlign w:val="bottom"/>
            <w:tcBorders>
              <w:right w:val="single" w:sz="8" w:color="808080"/>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bottom w:val="single" w:sz="8" w:color="808080"/>
            </w:tcBorders>
          </w:tcPr>
          <w:p>
            <w:pPr>
              <w:spacing w:after="0"/>
              <w:rPr>
                <w:sz w:val="20"/>
                <w:szCs w:val="20"/>
                <w:color w:val="auto"/>
              </w:rPr>
            </w:pPr>
          </w:p>
        </w:tc>
        <w:tc>
          <w:tcPr>
            <w:tcW w:w="260" w:type="dxa"/>
            <w:vAlign w:val="bottom"/>
            <w:tcBorders>
              <w:bottom w:val="single" w:sz="8" w:color="808080"/>
              <w:right w:val="single" w:sz="8" w:color="808080"/>
            </w:tcBorders>
          </w:tcPr>
          <w:p>
            <w:pPr>
              <w:spacing w:after="0"/>
              <w:rPr>
                <w:sz w:val="20"/>
                <w:szCs w:val="20"/>
                <w:color w:val="auto"/>
              </w:rPr>
            </w:pPr>
          </w:p>
        </w:tc>
        <w:tc>
          <w:tcPr>
            <w:tcW w:w="15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720" w:type="dxa"/>
            <w:vAlign w:val="bottom"/>
            <w:tcBorders>
              <w:bottom w:val="single" w:sz="8" w:color="808080"/>
            </w:tcBorders>
          </w:tcPr>
          <w:p>
            <w:pPr>
              <w:spacing w:after="0"/>
              <w:rPr>
                <w:sz w:val="20"/>
                <w:szCs w:val="20"/>
                <w:color w:val="auto"/>
              </w:rPr>
            </w:pPr>
          </w:p>
        </w:tc>
        <w:tc>
          <w:tcPr>
            <w:tcW w:w="420" w:type="dxa"/>
            <w:vAlign w:val="bottom"/>
            <w:tcBorders>
              <w:bottom w:val="single" w:sz="8" w:color="808080"/>
            </w:tcBorders>
          </w:tcPr>
          <w:p>
            <w:pPr>
              <w:spacing w:after="0"/>
              <w:rPr>
                <w:sz w:val="20"/>
                <w:szCs w:val="20"/>
                <w:color w:val="auto"/>
              </w:rPr>
            </w:pPr>
          </w:p>
        </w:tc>
        <w:tc>
          <w:tcPr>
            <w:tcW w:w="2760" w:type="dxa"/>
            <w:vAlign w:val="bottom"/>
            <w:tcBorders>
              <w:bottom w:val="single" w:sz="8" w:color="808080"/>
            </w:tcBorders>
          </w:tcPr>
          <w:p>
            <w:pPr>
              <w:spacing w:after="0"/>
              <w:rPr>
                <w:sz w:val="20"/>
                <w:szCs w:val="20"/>
                <w:color w:val="auto"/>
              </w:rPr>
            </w:pPr>
          </w:p>
        </w:tc>
        <w:tc>
          <w:tcPr>
            <w:tcW w:w="168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13</w:t>
            </w:r>
          </w:p>
        </w:tc>
        <w:tc>
          <w:tcPr>
            <w:tcW w:w="260" w:type="dxa"/>
            <w:vAlign w:val="bottom"/>
            <w:tcBorders>
              <w:right w:val="single" w:sz="8" w:color="808080"/>
            </w:tcBorders>
          </w:tcPr>
          <w:p>
            <w:pPr>
              <w:spacing w:after="0"/>
              <w:rPr>
                <w:sz w:val="24"/>
                <w:szCs w:val="24"/>
                <w:color w:val="auto"/>
              </w:rPr>
            </w:pPr>
          </w:p>
        </w:tc>
        <w:tc>
          <w:tcPr>
            <w:tcW w:w="546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3"/>
              </w:rPr>
              <w:t>7.3% (See Item 5)*</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gridSpan w:val="2"/>
          </w:tcPr>
          <w:p>
            <w:pPr>
              <w:spacing w:after="0"/>
              <w:rPr>
                <w:sz w:val="4"/>
                <w:szCs w:val="4"/>
                <w:color w:val="auto"/>
              </w:rPr>
            </w:pPr>
          </w:p>
        </w:tc>
        <w:tc>
          <w:tcPr>
            <w:tcW w:w="3180" w:type="dxa"/>
            <w:vAlign w:val="bottom"/>
            <w:tcBorders>
              <w:bottom w:val="single" w:sz="8" w:color="808080"/>
            </w:tcBorders>
            <w:gridSpan w:val="2"/>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14</w:t>
            </w:r>
          </w:p>
        </w:tc>
        <w:tc>
          <w:tcPr>
            <w:tcW w:w="260" w:type="dxa"/>
            <w:vAlign w:val="bottom"/>
            <w:tcBorders>
              <w:right w:val="single" w:sz="8" w:color="808080"/>
            </w:tcBorders>
          </w:tcPr>
          <w:p>
            <w:pPr>
              <w:spacing w:after="0"/>
              <w:rPr>
                <w:sz w:val="24"/>
                <w:szCs w:val="24"/>
                <w:color w:val="auto"/>
              </w:rPr>
            </w:pPr>
          </w:p>
        </w:tc>
        <w:tc>
          <w:tcPr>
            <w:tcW w:w="5460" w:type="dxa"/>
            <w:vAlign w:val="bottom"/>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IN</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760" w:type="dxa"/>
            <w:vAlign w:val="bottom"/>
            <w:tcBorders>
              <w:bottom w:val="single" w:sz="8" w:color="808080"/>
            </w:tcBorders>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80" w:right="20" w:hanging="577"/>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calculation assumes that there are 41,762,724 shares of Common Stock of the Issuer outstanding as of March 4, 2014 as reported on the Form 10-K filed by the Issuer with the Commission on March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268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720" w:type="dxa"/>
            <w:vAlign w:val="bottom"/>
            <w:tcBorders>
              <w:top w:val="single" w:sz="8" w:color="808080"/>
            </w:tcBorders>
          </w:tcPr>
          <w:p>
            <w:pPr>
              <w:spacing w:after="0"/>
              <w:rPr>
                <w:sz w:val="24"/>
                <w:szCs w:val="24"/>
                <w:color w:val="auto"/>
              </w:rPr>
            </w:pPr>
          </w:p>
        </w:tc>
        <w:tc>
          <w:tcPr>
            <w:tcW w:w="400" w:type="dxa"/>
            <w:vAlign w:val="bottom"/>
            <w:tcBorders>
              <w:top w:val="single" w:sz="8" w:color="808080"/>
              <w:right w:val="single" w:sz="8" w:color="808080"/>
            </w:tcBorders>
          </w:tcPr>
          <w:p>
            <w:pPr>
              <w:spacing w:after="0"/>
              <w:rPr>
                <w:sz w:val="24"/>
                <w:szCs w:val="24"/>
                <w:color w:val="auto"/>
              </w:rPr>
            </w:pPr>
          </w:p>
        </w:tc>
        <w:tc>
          <w:tcPr>
            <w:tcW w:w="280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640" w:type="dxa"/>
            <w:vAlign w:val="bottom"/>
            <w:tcBorders>
              <w:right w:val="single" w:sz="8" w:color="808080"/>
            </w:tcBorders>
          </w:tcPr>
          <w:p>
            <w:pPr>
              <w:spacing w:after="0"/>
              <w:rPr>
                <w:sz w:val="24"/>
                <w:szCs w:val="24"/>
                <w:color w:val="auto"/>
              </w:rPr>
            </w:pPr>
          </w:p>
        </w:tc>
        <w:tc>
          <w:tcPr>
            <w:tcW w:w="1540" w:type="dxa"/>
            <w:vAlign w:val="bottom"/>
            <w:tcBorders>
              <w:top w:val="single" w:sz="8" w:color="808080"/>
            </w:tcBorders>
          </w:tcPr>
          <w:p>
            <w:pPr>
              <w:spacing w:after="0"/>
              <w:rPr>
                <w:sz w:val="24"/>
                <w:szCs w:val="24"/>
                <w:color w:val="auto"/>
              </w:rPr>
            </w:pPr>
          </w:p>
        </w:tc>
        <w:tc>
          <w:tcPr>
            <w:tcW w:w="1640" w:type="dxa"/>
            <w:vAlign w:val="bottom"/>
            <w:tcBorders>
              <w:top w:val="single" w:sz="8" w:color="808080"/>
              <w:right w:val="single" w:sz="8" w:color="808080"/>
            </w:tcBorders>
          </w:tcPr>
          <w:p>
            <w:pPr>
              <w:ind w:left="220"/>
              <w:spacing w:after="0"/>
              <w:rPr>
                <w:sz w:val="20"/>
                <w:szCs w:val="20"/>
                <w:color w:val="auto"/>
              </w:rPr>
            </w:pPr>
            <w:r>
              <w:rPr>
                <w:rFonts w:ascii="Arial" w:cs="Arial" w:eastAsia="Arial" w:hAnsi="Arial"/>
                <w:sz w:val="18"/>
                <w:szCs w:val="18"/>
                <w:b w:val="1"/>
                <w:bCs w:val="1"/>
                <w:color w:val="auto"/>
                <w:w w:val="84"/>
              </w:rPr>
              <w:t>Page 5 of 12 Pages</w:t>
            </w:r>
          </w:p>
        </w:tc>
        <w:tc>
          <w:tcPr>
            <w:tcW w:w="0" w:type="dxa"/>
            <w:vAlign w:val="bottom"/>
          </w:tcPr>
          <w:p>
            <w:pPr>
              <w:spacing w:after="0"/>
              <w:rPr>
                <w:sz w:val="1"/>
                <w:szCs w:val="1"/>
                <w:color w:val="auto"/>
              </w:rPr>
            </w:pPr>
          </w:p>
        </w:tc>
      </w:tr>
      <w:tr>
        <w:trPr>
          <w:trHeight w:val="216"/>
        </w:trPr>
        <w:tc>
          <w:tcPr>
            <w:tcW w:w="2680" w:type="dxa"/>
            <w:vAlign w:val="bottom"/>
            <w:tcBorders>
              <w:left w:val="single" w:sz="8" w:color="808080"/>
            </w:tcBorders>
            <w:gridSpan w:val="4"/>
            <w:vMerge w:val="continue"/>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Borders>
              <w:right w:val="single" w:sz="8" w:color="808080"/>
            </w:tcBorders>
          </w:tcPr>
          <w:p>
            <w:pPr>
              <w:spacing w:after="0"/>
              <w:rPr>
                <w:sz w:val="18"/>
                <w:szCs w:val="18"/>
                <w:color w:val="auto"/>
              </w:rPr>
            </w:pPr>
          </w:p>
        </w:tc>
        <w:tc>
          <w:tcPr>
            <w:tcW w:w="2800" w:type="dxa"/>
            <w:vAlign w:val="bottom"/>
          </w:tcPr>
          <w:p>
            <w:pPr>
              <w:spacing w:after="0"/>
              <w:rPr>
                <w:sz w:val="18"/>
                <w:szCs w:val="18"/>
                <w:color w:val="auto"/>
              </w:rPr>
            </w:pPr>
          </w:p>
        </w:tc>
        <w:tc>
          <w:tcPr>
            <w:tcW w:w="1640" w:type="dxa"/>
            <w:vAlign w:val="bottom"/>
            <w:tcBorders>
              <w:right w:val="single" w:sz="8" w:color="808080"/>
            </w:tcBorders>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gridSpan w:val="2"/>
          </w:tcPr>
          <w:p>
            <w:pPr>
              <w:spacing w:after="0"/>
              <w:rPr>
                <w:sz w:val="3"/>
                <w:szCs w:val="3"/>
                <w:color w:val="auto"/>
              </w:rPr>
            </w:pPr>
          </w:p>
        </w:tc>
        <w:tc>
          <w:tcPr>
            <w:tcW w:w="400" w:type="dxa"/>
            <w:vAlign w:val="bottom"/>
            <w:tcBorders>
              <w:bottom w:val="single" w:sz="8" w:color="808080"/>
              <w:right w:val="single" w:sz="8" w:color="808080"/>
            </w:tcBorders>
          </w:tcPr>
          <w:p>
            <w:pPr>
              <w:spacing w:after="0"/>
              <w:rPr>
                <w:sz w:val="3"/>
                <w:szCs w:val="3"/>
                <w:color w:val="auto"/>
              </w:rPr>
            </w:pPr>
          </w:p>
        </w:tc>
        <w:tc>
          <w:tcPr>
            <w:tcW w:w="2800" w:type="dxa"/>
            <w:vAlign w:val="bottom"/>
          </w:tcPr>
          <w:p>
            <w:pPr>
              <w:spacing w:after="0"/>
              <w:rPr>
                <w:sz w:val="3"/>
                <w:szCs w:val="3"/>
                <w:color w:val="auto"/>
              </w:rPr>
            </w:pPr>
          </w:p>
        </w:tc>
        <w:tc>
          <w:tcPr>
            <w:tcW w:w="1640" w:type="dxa"/>
            <w:vAlign w:val="bottom"/>
            <w:tcBorders>
              <w:right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4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5500" w:type="dxa"/>
            <w:vAlign w:val="bottom"/>
            <w:tcBorders>
              <w:bottom w:val="single" w:sz="8" w:color="808080"/>
            </w:tcBorders>
            <w:gridSpan w:val="5"/>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1</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NAMES OF REPORTING PERSONS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James G. Coulter</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2</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1640" w:type="dxa"/>
            <w:vAlign w:val="bottom"/>
          </w:tcPr>
          <w:p>
            <w:pPr>
              <w:spacing w:after="0"/>
              <w:rPr>
                <w:sz w:val="24"/>
                <w:szCs w:val="24"/>
                <w:color w:val="auto"/>
              </w:rPr>
            </w:pPr>
          </w:p>
        </w:tc>
        <w:tc>
          <w:tcPr>
            <w:tcW w:w="1540" w:type="dxa"/>
            <w:vAlign w:val="bottom"/>
          </w:tcPr>
          <w:p>
            <w:pPr>
              <w:ind w:left="1120"/>
              <w:spacing w:after="0"/>
              <w:rPr>
                <w:sz w:val="20"/>
                <w:szCs w:val="20"/>
                <w:color w:val="auto"/>
              </w:rPr>
            </w:pPr>
            <w:r>
              <w:rPr>
                <w:rFonts w:ascii="Arial" w:cs="Arial" w:eastAsia="Arial" w:hAnsi="Arial"/>
                <w:sz w:val="18"/>
                <w:szCs w:val="18"/>
                <w:color w:val="auto"/>
              </w:rPr>
              <w:t>(a)</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tcBorders>
          </w:tcPr>
          <w:p>
            <w:pPr>
              <w:spacing w:after="0"/>
              <w:rPr>
                <w:sz w:val="20"/>
                <w:szCs w:val="20"/>
                <w:color w:val="auto"/>
              </w:rPr>
            </w:pPr>
          </w:p>
        </w:tc>
        <w:tc>
          <w:tcPr>
            <w:tcW w:w="260" w:type="dxa"/>
            <w:vAlign w:val="bottom"/>
            <w:tcBorders>
              <w:right w:val="single" w:sz="8" w:color="808080"/>
            </w:tcBorders>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(see instructions)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vMerge w:val="restart"/>
          </w:tcPr>
          <w:p>
            <w:pPr>
              <w:ind w:left="1120"/>
              <w:spacing w:after="0"/>
              <w:rPr>
                <w:sz w:val="20"/>
                <w:szCs w:val="20"/>
                <w:color w:val="auto"/>
              </w:rPr>
            </w:pPr>
            <w:r>
              <w:rPr>
                <w:rFonts w:ascii="Arial" w:cs="Arial" w:eastAsia="Arial" w:hAnsi="Arial"/>
                <w:sz w:val="18"/>
                <w:szCs w:val="18"/>
                <w:color w:val="auto"/>
              </w:rPr>
              <w:t>(b)</w:t>
            </w:r>
          </w:p>
        </w:tc>
        <w:tc>
          <w:tcPr>
            <w:tcW w:w="1640" w:type="dxa"/>
            <w:vAlign w:val="bottom"/>
            <w:tcBorders>
              <w:right w:val="single" w:sz="8" w:color="808080"/>
            </w:tcBorders>
            <w:vMerge w:val="restart"/>
          </w:tcPr>
          <w:p>
            <w:pPr>
              <w:ind w:left="10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840" w:type="dxa"/>
            <w:vAlign w:val="bottom"/>
            <w:tcBorders>
              <w:left w:val="single" w:sz="8" w:color="808080"/>
            </w:tcBorders>
          </w:tcPr>
          <w:p>
            <w:pPr>
              <w:spacing w:after="0"/>
              <w:rPr>
                <w:sz w:val="12"/>
                <w:szCs w:val="12"/>
                <w:color w:val="auto"/>
              </w:rPr>
            </w:pPr>
          </w:p>
        </w:tc>
        <w:tc>
          <w:tcPr>
            <w:tcW w:w="260" w:type="dxa"/>
            <w:vAlign w:val="bottom"/>
            <w:tcBorders>
              <w:right w:val="single" w:sz="8" w:color="808080"/>
            </w:tcBorders>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4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right w:val="single" w:sz="8" w:color="808080"/>
            </w:tcBorders>
          </w:tcPr>
          <w:p>
            <w:pPr>
              <w:spacing w:after="0"/>
              <w:rPr>
                <w:sz w:val="3"/>
                <w:szCs w:val="3"/>
                <w:color w:val="auto"/>
              </w:rPr>
            </w:pPr>
          </w:p>
        </w:tc>
        <w:tc>
          <w:tcPr>
            <w:tcW w:w="1580" w:type="dxa"/>
            <w:vAlign w:val="bottom"/>
            <w:tcBorders>
              <w:bottom w:val="single" w:sz="8" w:color="808080"/>
            </w:tcBorders>
            <w:gridSpan w:val="2"/>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2800" w:type="dxa"/>
            <w:vAlign w:val="bottom"/>
            <w:tcBorders>
              <w:bottom w:val="single" w:sz="8" w:color="808080"/>
            </w:tcBorders>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3</w:t>
            </w: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808080"/>
              <w:bottom w:val="single" w:sz="8" w:color="808080"/>
            </w:tcBorders>
          </w:tcPr>
          <w:p>
            <w:pPr>
              <w:spacing w:after="0"/>
              <w:rPr>
                <w:sz w:val="18"/>
                <w:szCs w:val="18"/>
                <w:color w:val="auto"/>
              </w:rPr>
            </w:pPr>
          </w:p>
        </w:tc>
        <w:tc>
          <w:tcPr>
            <w:tcW w:w="260" w:type="dxa"/>
            <w:vAlign w:val="bottom"/>
            <w:tcBorders>
              <w:bottom w:val="single" w:sz="8" w:color="808080"/>
              <w:right w:val="single" w:sz="8" w:color="808080"/>
            </w:tcBorders>
          </w:tcPr>
          <w:p>
            <w:pPr>
              <w:spacing w:after="0"/>
              <w:rPr>
                <w:sz w:val="18"/>
                <w:szCs w:val="18"/>
                <w:color w:val="auto"/>
              </w:rPr>
            </w:pPr>
          </w:p>
        </w:tc>
        <w:tc>
          <w:tcPr>
            <w:tcW w:w="5500" w:type="dxa"/>
            <w:vAlign w:val="bottom"/>
            <w:tcBorders>
              <w:bottom w:val="single" w:sz="8" w:color="808080"/>
            </w:tcBorders>
            <w:gridSpan w:val="5"/>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4</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SOURCE OF FUNDS (see instructions)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OO (See Item 3)</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318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5</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w w:val="98"/>
              </w:rPr>
              <w:t>CHECK IF DISCLOSURE OF LEGAL PROCEEDINGS IS REQUIRED</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PURSUANT TO ITEMS 2(d) or</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tcBorders>
          </w:tcPr>
          <w:p>
            <w:pPr>
              <w:spacing w:after="0"/>
              <w:rPr>
                <w:sz w:val="20"/>
                <w:szCs w:val="20"/>
                <w:color w:val="auto"/>
              </w:rPr>
            </w:pPr>
          </w:p>
        </w:tc>
        <w:tc>
          <w:tcPr>
            <w:tcW w:w="260" w:type="dxa"/>
            <w:vAlign w:val="bottom"/>
            <w:tcBorders>
              <w:right w:val="single" w:sz="8" w:color="808080"/>
            </w:tcBorders>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2(e)</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right w:val="single" w:sz="8" w:color="808080"/>
            </w:tcBorders>
          </w:tcPr>
          <w:p>
            <w:pPr>
              <w:spacing w:after="0"/>
              <w:rPr>
                <w:sz w:val="3"/>
                <w:szCs w:val="3"/>
                <w:color w:val="auto"/>
              </w:rPr>
            </w:pPr>
          </w:p>
        </w:tc>
        <w:tc>
          <w:tcPr>
            <w:tcW w:w="5500" w:type="dxa"/>
            <w:vAlign w:val="bottom"/>
            <w:tcBorders>
              <w:bottom w:val="single" w:sz="8" w:color="808080"/>
            </w:tcBorders>
            <w:gridSpan w:val="5"/>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6</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99"/>
              </w:rPr>
              <w:t>7</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right w:val="single" w:sz="8" w:color="808080"/>
            </w:tcBorders>
          </w:tcPr>
          <w:p>
            <w:pPr>
              <w:spacing w:after="0"/>
              <w:rPr>
                <w:sz w:val="24"/>
                <w:szCs w:val="24"/>
                <w:color w:val="auto"/>
              </w:rPr>
            </w:pPr>
          </w:p>
        </w:tc>
        <w:tc>
          <w:tcPr>
            <w:tcW w:w="4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8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99"/>
              </w:rPr>
              <w:t>8</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80" w:type="dxa"/>
            <w:vAlign w:val="bottom"/>
            <w:tcBorders>
              <w:left w:val="single" w:sz="8" w:color="808080"/>
              <w:right w:val="single" w:sz="8" w:color="808080"/>
            </w:tcBorders>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right w:val="single" w:sz="8" w:color="808080"/>
            </w:tcBorders>
          </w:tcPr>
          <w:p>
            <w:pPr>
              <w:spacing w:after="0"/>
              <w:rPr>
                <w:sz w:val="11"/>
                <w:szCs w:val="11"/>
                <w:color w:val="auto"/>
              </w:rPr>
            </w:pPr>
          </w:p>
        </w:tc>
        <w:tc>
          <w:tcPr>
            <w:tcW w:w="3200" w:type="dxa"/>
            <w:vAlign w:val="bottom"/>
            <w:gridSpan w:val="2"/>
            <w:vMerge w:val="restart"/>
          </w:tcPr>
          <w:p>
            <w:pPr>
              <w:ind w:left="100"/>
              <w:spacing w:after="0"/>
              <w:rPr>
                <w:sz w:val="20"/>
                <w:szCs w:val="20"/>
                <w:color w:val="auto"/>
              </w:rPr>
            </w:pPr>
            <w:r>
              <w:rPr>
                <w:rFonts w:ascii="Arial" w:cs="Arial" w:eastAsia="Arial" w:hAnsi="Arial"/>
                <w:sz w:val="18"/>
                <w:szCs w:val="18"/>
                <w:color w:val="auto"/>
              </w:rPr>
              <w:t>3,040,032 (See Items 3, 4 and 5)</w:t>
            </w:r>
          </w:p>
        </w:tc>
        <w:tc>
          <w:tcPr>
            <w:tcW w:w="1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4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 OWNED</w:t>
            </w:r>
          </w:p>
        </w:tc>
        <w:tc>
          <w:tcPr>
            <w:tcW w:w="400" w:type="dxa"/>
            <w:vAlign w:val="bottom"/>
          </w:tcPr>
          <w:p>
            <w:pPr>
              <w:spacing w:after="0"/>
              <w:rPr>
                <w:sz w:val="14"/>
                <w:szCs w:val="14"/>
                <w:color w:val="auto"/>
              </w:rPr>
            </w:pPr>
          </w:p>
        </w:tc>
        <w:tc>
          <w:tcPr>
            <w:tcW w:w="720" w:type="dxa"/>
            <w:vAlign w:val="bottom"/>
            <w:tcBorders>
              <w:right w:val="single" w:sz="8" w:color="808080"/>
            </w:tcBorders>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808080"/>
              <w:right w:val="single" w:sz="8" w:color="808080"/>
            </w:tcBorders>
            <w:gridSpan w:val="3"/>
            <w:vMerge w:val="continue"/>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right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808080"/>
            </w:tcBorders>
          </w:tcPr>
          <w:p>
            <w:pPr>
              <w:spacing w:after="0"/>
              <w:rPr>
                <w:sz w:val="16"/>
                <w:szCs w:val="16"/>
                <w:color w:val="auto"/>
              </w:rPr>
            </w:pPr>
          </w:p>
        </w:tc>
        <w:tc>
          <w:tcPr>
            <w:tcW w:w="1440" w:type="dxa"/>
            <w:vAlign w:val="bottom"/>
            <w:tcBorders>
              <w:right w:val="single" w:sz="8" w:color="808080"/>
            </w:tcBorders>
            <w:gridSpan w:val="2"/>
          </w:tcPr>
          <w:p>
            <w:pPr>
              <w:jc w:val="center"/>
              <w:ind w:right="750"/>
              <w:spacing w:after="0" w:line="195" w:lineRule="exact"/>
              <w:rPr>
                <w:sz w:val="20"/>
                <w:szCs w:val="20"/>
                <w:color w:val="auto"/>
              </w:rPr>
            </w:pPr>
            <w:r>
              <w:rPr>
                <w:rFonts w:ascii="Arial" w:cs="Arial" w:eastAsia="Arial" w:hAnsi="Arial"/>
                <w:sz w:val="18"/>
                <w:szCs w:val="18"/>
                <w:color w:val="auto"/>
                <w:w w:val="99"/>
              </w:rPr>
              <w:t>BY</w:t>
            </w:r>
          </w:p>
        </w:tc>
        <w:tc>
          <w:tcPr>
            <w:tcW w:w="400" w:type="dxa"/>
            <w:vAlign w:val="bottom"/>
          </w:tcPr>
          <w:p>
            <w:pPr>
              <w:spacing w:after="0"/>
              <w:rPr>
                <w:sz w:val="16"/>
                <w:szCs w:val="16"/>
                <w:color w:val="auto"/>
              </w:rPr>
            </w:pPr>
          </w:p>
        </w:tc>
        <w:tc>
          <w:tcPr>
            <w:tcW w:w="720" w:type="dxa"/>
            <w:vAlign w:val="bottom"/>
            <w:tcBorders>
              <w:right w:val="single" w:sz="8" w:color="808080"/>
            </w:tcBorders>
            <w:vMerge w:val="restart"/>
          </w:tcPr>
          <w:p>
            <w:pPr>
              <w:jc w:val="center"/>
              <w:ind w:right="330"/>
              <w:spacing w:after="0"/>
              <w:rPr>
                <w:sz w:val="20"/>
                <w:szCs w:val="20"/>
                <w:color w:val="auto"/>
              </w:rPr>
            </w:pPr>
            <w:r>
              <w:rPr>
                <w:rFonts w:ascii="Arial" w:cs="Arial" w:eastAsia="Arial" w:hAnsi="Arial"/>
                <w:sz w:val="18"/>
                <w:szCs w:val="18"/>
                <w:color w:val="auto"/>
                <w:w w:val="99"/>
              </w:rPr>
              <w:t>9</w:t>
            </w:r>
          </w:p>
        </w:tc>
        <w:tc>
          <w:tcPr>
            <w:tcW w:w="320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EACH REPORTING</w:t>
            </w:r>
          </w:p>
        </w:tc>
        <w:tc>
          <w:tcPr>
            <w:tcW w:w="400" w:type="dxa"/>
            <w:vAlign w:val="bottom"/>
          </w:tcPr>
          <w:p>
            <w:pPr>
              <w:spacing w:after="0"/>
              <w:rPr>
                <w:sz w:val="8"/>
                <w:szCs w:val="8"/>
                <w:color w:val="auto"/>
              </w:rPr>
            </w:pPr>
          </w:p>
        </w:tc>
        <w:tc>
          <w:tcPr>
            <w:tcW w:w="720" w:type="dxa"/>
            <w:vAlign w:val="bottom"/>
            <w:tcBorders>
              <w:right w:val="single" w:sz="8" w:color="808080"/>
            </w:tcBorders>
            <w:vMerge w:val="continue"/>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80" w:type="dxa"/>
            <w:vAlign w:val="bottom"/>
            <w:tcBorders>
              <w:left w:val="single" w:sz="8" w:color="808080"/>
              <w:right w:val="single" w:sz="8" w:color="808080"/>
            </w:tcBorders>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right w:val="single" w:sz="8" w:color="808080"/>
            </w:tcBorders>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40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right w:val="single" w:sz="8" w:color="808080"/>
            </w:tcBorders>
          </w:tcPr>
          <w:p>
            <w:pPr>
              <w:spacing w:after="0"/>
              <w:rPr>
                <w:sz w:val="20"/>
                <w:szCs w:val="20"/>
                <w:color w:val="auto"/>
              </w:rPr>
            </w:pPr>
          </w:p>
        </w:tc>
        <w:tc>
          <w:tcPr>
            <w:tcW w:w="400" w:type="dxa"/>
            <w:vAlign w:val="bottom"/>
            <w:tcBorders>
              <w:bottom w:val="single" w:sz="8" w:color="808080"/>
            </w:tcBorders>
            <w:vMerge w:val="continue"/>
          </w:tcPr>
          <w:p>
            <w:pPr>
              <w:spacing w:after="0"/>
              <w:rPr>
                <w:sz w:val="20"/>
                <w:szCs w:val="20"/>
                <w:color w:val="auto"/>
              </w:rPr>
            </w:pPr>
          </w:p>
        </w:tc>
        <w:tc>
          <w:tcPr>
            <w:tcW w:w="280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89"/>
              </w:rPr>
              <w:t>10</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spacing w:after="0"/>
              <w:rPr>
                <w:sz w:val="24"/>
                <w:szCs w:val="24"/>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3,040,032 (See Items 3, 4 and 5)</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120" w:type="dxa"/>
            <w:vAlign w:val="bottom"/>
            <w:tcBorders>
              <w:bottom w:val="single" w:sz="8" w:color="808080"/>
              <w:right w:val="single" w:sz="8" w:color="808080"/>
            </w:tcBorders>
            <w:gridSpan w:val="2"/>
          </w:tcPr>
          <w:p>
            <w:pPr>
              <w:spacing w:after="0"/>
              <w:rPr>
                <w:sz w:val="4"/>
                <w:szCs w:val="4"/>
                <w:color w:val="auto"/>
              </w:rPr>
            </w:pPr>
          </w:p>
        </w:tc>
        <w:tc>
          <w:tcPr>
            <w:tcW w:w="6380" w:type="dxa"/>
            <w:vAlign w:val="bottom"/>
            <w:tcBorders>
              <w:bottom w:val="single" w:sz="8" w:color="808080"/>
            </w:tcBorders>
            <w:gridSpan w:val="4"/>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11</w:t>
            </w:r>
          </w:p>
        </w:tc>
        <w:tc>
          <w:tcPr>
            <w:tcW w:w="260" w:type="dxa"/>
            <w:vAlign w:val="bottom"/>
            <w:tcBorders>
              <w:right w:val="single" w:sz="8" w:color="808080"/>
            </w:tcBorders>
          </w:tcPr>
          <w:p>
            <w:pPr>
              <w:spacing w:after="0"/>
              <w:rPr>
                <w:sz w:val="24"/>
                <w:szCs w:val="24"/>
                <w:color w:val="auto"/>
              </w:rPr>
            </w:pPr>
          </w:p>
        </w:tc>
        <w:tc>
          <w:tcPr>
            <w:tcW w:w="8680" w:type="dxa"/>
            <w:vAlign w:val="bottom"/>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3,040,032 (See Items 3, 4 and 5)</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318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12</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rPr>
              <w:t>CHECK IF THE AGGREGATE AMOUNT IN ROW (11) EXCLUDES</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CERTAIN SHARES (see</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bottom w:val="single" w:sz="8" w:color="808080"/>
            </w:tcBorders>
          </w:tcPr>
          <w:p>
            <w:pPr>
              <w:spacing w:after="0"/>
              <w:rPr>
                <w:sz w:val="20"/>
                <w:szCs w:val="20"/>
                <w:color w:val="auto"/>
              </w:rPr>
            </w:pPr>
          </w:p>
        </w:tc>
        <w:tc>
          <w:tcPr>
            <w:tcW w:w="260" w:type="dxa"/>
            <w:vAlign w:val="bottom"/>
            <w:tcBorders>
              <w:bottom w:val="single" w:sz="8" w:color="808080"/>
              <w:right w:val="single" w:sz="8" w:color="808080"/>
            </w:tcBorders>
          </w:tcPr>
          <w:p>
            <w:pPr>
              <w:spacing w:after="0"/>
              <w:rPr>
                <w:sz w:val="20"/>
                <w:szCs w:val="20"/>
                <w:color w:val="auto"/>
              </w:rPr>
            </w:pPr>
          </w:p>
        </w:tc>
        <w:tc>
          <w:tcPr>
            <w:tcW w:w="158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72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280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13</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w w:val="94"/>
              </w:rPr>
              <w:t>7.3% (See Item 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14</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IN</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80" w:right="20" w:hanging="577"/>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calculation assumes that there are 41,762,724 shares of Common Stock of the Issuer outstanding as of March 4, 2014 as reported on the Form 10-K filed by the Issuer with the Commission on March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268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720" w:type="dxa"/>
            <w:vAlign w:val="bottom"/>
            <w:tcBorders>
              <w:top w:val="single" w:sz="8" w:color="808080"/>
            </w:tcBorders>
          </w:tcPr>
          <w:p>
            <w:pPr>
              <w:spacing w:after="0"/>
              <w:rPr>
                <w:sz w:val="24"/>
                <w:szCs w:val="24"/>
                <w:color w:val="auto"/>
              </w:rPr>
            </w:pPr>
          </w:p>
        </w:tc>
        <w:tc>
          <w:tcPr>
            <w:tcW w:w="400" w:type="dxa"/>
            <w:vAlign w:val="bottom"/>
            <w:tcBorders>
              <w:top w:val="single" w:sz="8" w:color="808080"/>
              <w:right w:val="single" w:sz="8" w:color="808080"/>
            </w:tcBorders>
          </w:tcPr>
          <w:p>
            <w:pPr>
              <w:spacing w:after="0"/>
              <w:rPr>
                <w:sz w:val="24"/>
                <w:szCs w:val="24"/>
                <w:color w:val="auto"/>
              </w:rPr>
            </w:pPr>
          </w:p>
        </w:tc>
        <w:tc>
          <w:tcPr>
            <w:tcW w:w="280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640" w:type="dxa"/>
            <w:vAlign w:val="bottom"/>
            <w:tcBorders>
              <w:right w:val="single" w:sz="8" w:color="808080"/>
            </w:tcBorders>
          </w:tcPr>
          <w:p>
            <w:pPr>
              <w:spacing w:after="0"/>
              <w:rPr>
                <w:sz w:val="24"/>
                <w:szCs w:val="24"/>
                <w:color w:val="auto"/>
              </w:rPr>
            </w:pPr>
          </w:p>
        </w:tc>
        <w:tc>
          <w:tcPr>
            <w:tcW w:w="1540" w:type="dxa"/>
            <w:vAlign w:val="bottom"/>
            <w:tcBorders>
              <w:top w:val="single" w:sz="8" w:color="808080"/>
            </w:tcBorders>
          </w:tcPr>
          <w:p>
            <w:pPr>
              <w:spacing w:after="0"/>
              <w:rPr>
                <w:sz w:val="24"/>
                <w:szCs w:val="24"/>
                <w:color w:val="auto"/>
              </w:rPr>
            </w:pPr>
          </w:p>
        </w:tc>
        <w:tc>
          <w:tcPr>
            <w:tcW w:w="1640" w:type="dxa"/>
            <w:vAlign w:val="bottom"/>
            <w:tcBorders>
              <w:top w:val="single" w:sz="8" w:color="808080"/>
              <w:right w:val="single" w:sz="8" w:color="808080"/>
            </w:tcBorders>
          </w:tcPr>
          <w:p>
            <w:pPr>
              <w:ind w:left="220"/>
              <w:spacing w:after="0"/>
              <w:rPr>
                <w:sz w:val="20"/>
                <w:szCs w:val="20"/>
                <w:color w:val="auto"/>
              </w:rPr>
            </w:pPr>
            <w:r>
              <w:rPr>
                <w:rFonts w:ascii="Arial" w:cs="Arial" w:eastAsia="Arial" w:hAnsi="Arial"/>
                <w:sz w:val="18"/>
                <w:szCs w:val="18"/>
                <w:b w:val="1"/>
                <w:bCs w:val="1"/>
                <w:color w:val="auto"/>
                <w:w w:val="84"/>
              </w:rPr>
              <w:t>Page 6 of 12 Pages</w:t>
            </w:r>
          </w:p>
        </w:tc>
        <w:tc>
          <w:tcPr>
            <w:tcW w:w="0" w:type="dxa"/>
            <w:vAlign w:val="bottom"/>
          </w:tcPr>
          <w:p>
            <w:pPr>
              <w:spacing w:after="0"/>
              <w:rPr>
                <w:sz w:val="1"/>
                <w:szCs w:val="1"/>
                <w:color w:val="auto"/>
              </w:rPr>
            </w:pPr>
          </w:p>
        </w:tc>
      </w:tr>
      <w:tr>
        <w:trPr>
          <w:trHeight w:val="216"/>
        </w:trPr>
        <w:tc>
          <w:tcPr>
            <w:tcW w:w="2680" w:type="dxa"/>
            <w:vAlign w:val="bottom"/>
            <w:tcBorders>
              <w:left w:val="single" w:sz="8" w:color="808080"/>
            </w:tcBorders>
            <w:gridSpan w:val="4"/>
            <w:vMerge w:val="continue"/>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Borders>
              <w:right w:val="single" w:sz="8" w:color="808080"/>
            </w:tcBorders>
          </w:tcPr>
          <w:p>
            <w:pPr>
              <w:spacing w:after="0"/>
              <w:rPr>
                <w:sz w:val="18"/>
                <w:szCs w:val="18"/>
                <w:color w:val="auto"/>
              </w:rPr>
            </w:pPr>
          </w:p>
        </w:tc>
        <w:tc>
          <w:tcPr>
            <w:tcW w:w="2800" w:type="dxa"/>
            <w:vAlign w:val="bottom"/>
          </w:tcPr>
          <w:p>
            <w:pPr>
              <w:spacing w:after="0"/>
              <w:rPr>
                <w:sz w:val="18"/>
                <w:szCs w:val="18"/>
                <w:color w:val="auto"/>
              </w:rPr>
            </w:pPr>
          </w:p>
        </w:tc>
        <w:tc>
          <w:tcPr>
            <w:tcW w:w="1640" w:type="dxa"/>
            <w:vAlign w:val="bottom"/>
            <w:tcBorders>
              <w:right w:val="single" w:sz="8" w:color="808080"/>
            </w:tcBorders>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gridSpan w:val="2"/>
          </w:tcPr>
          <w:p>
            <w:pPr>
              <w:spacing w:after="0"/>
              <w:rPr>
                <w:sz w:val="3"/>
                <w:szCs w:val="3"/>
                <w:color w:val="auto"/>
              </w:rPr>
            </w:pPr>
          </w:p>
        </w:tc>
        <w:tc>
          <w:tcPr>
            <w:tcW w:w="400" w:type="dxa"/>
            <w:vAlign w:val="bottom"/>
            <w:tcBorders>
              <w:bottom w:val="single" w:sz="8" w:color="808080"/>
              <w:right w:val="single" w:sz="8" w:color="808080"/>
            </w:tcBorders>
          </w:tcPr>
          <w:p>
            <w:pPr>
              <w:spacing w:after="0"/>
              <w:rPr>
                <w:sz w:val="3"/>
                <w:szCs w:val="3"/>
                <w:color w:val="auto"/>
              </w:rPr>
            </w:pPr>
          </w:p>
        </w:tc>
        <w:tc>
          <w:tcPr>
            <w:tcW w:w="2800" w:type="dxa"/>
            <w:vAlign w:val="bottom"/>
          </w:tcPr>
          <w:p>
            <w:pPr>
              <w:spacing w:after="0"/>
              <w:rPr>
                <w:sz w:val="3"/>
                <w:szCs w:val="3"/>
                <w:color w:val="auto"/>
              </w:rPr>
            </w:pPr>
          </w:p>
        </w:tc>
        <w:tc>
          <w:tcPr>
            <w:tcW w:w="1640" w:type="dxa"/>
            <w:vAlign w:val="bottom"/>
            <w:tcBorders>
              <w:right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4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5500" w:type="dxa"/>
            <w:vAlign w:val="bottom"/>
            <w:tcBorders>
              <w:bottom w:val="single" w:sz="8" w:color="808080"/>
            </w:tcBorders>
            <w:gridSpan w:val="5"/>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1</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NAMES OF REPORTING PERSONS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Alan Waxman</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2</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1640" w:type="dxa"/>
            <w:vAlign w:val="bottom"/>
          </w:tcPr>
          <w:p>
            <w:pPr>
              <w:spacing w:after="0"/>
              <w:rPr>
                <w:sz w:val="24"/>
                <w:szCs w:val="24"/>
                <w:color w:val="auto"/>
              </w:rPr>
            </w:pPr>
          </w:p>
        </w:tc>
        <w:tc>
          <w:tcPr>
            <w:tcW w:w="1540" w:type="dxa"/>
            <w:vAlign w:val="bottom"/>
          </w:tcPr>
          <w:p>
            <w:pPr>
              <w:ind w:left="1120"/>
              <w:spacing w:after="0"/>
              <w:rPr>
                <w:sz w:val="20"/>
                <w:szCs w:val="20"/>
                <w:color w:val="auto"/>
              </w:rPr>
            </w:pPr>
            <w:r>
              <w:rPr>
                <w:rFonts w:ascii="Arial" w:cs="Arial" w:eastAsia="Arial" w:hAnsi="Arial"/>
                <w:sz w:val="18"/>
                <w:szCs w:val="18"/>
                <w:color w:val="auto"/>
              </w:rPr>
              <w:t>(a)</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tcBorders>
          </w:tcPr>
          <w:p>
            <w:pPr>
              <w:spacing w:after="0"/>
              <w:rPr>
                <w:sz w:val="20"/>
                <w:szCs w:val="20"/>
                <w:color w:val="auto"/>
              </w:rPr>
            </w:pPr>
          </w:p>
        </w:tc>
        <w:tc>
          <w:tcPr>
            <w:tcW w:w="260" w:type="dxa"/>
            <w:vAlign w:val="bottom"/>
            <w:tcBorders>
              <w:right w:val="single" w:sz="8" w:color="808080"/>
            </w:tcBorders>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(see instructions)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vMerge w:val="restart"/>
          </w:tcPr>
          <w:p>
            <w:pPr>
              <w:ind w:left="1120"/>
              <w:spacing w:after="0"/>
              <w:rPr>
                <w:sz w:val="20"/>
                <w:szCs w:val="20"/>
                <w:color w:val="auto"/>
              </w:rPr>
            </w:pPr>
            <w:r>
              <w:rPr>
                <w:rFonts w:ascii="Arial" w:cs="Arial" w:eastAsia="Arial" w:hAnsi="Arial"/>
                <w:sz w:val="18"/>
                <w:szCs w:val="18"/>
                <w:color w:val="auto"/>
              </w:rPr>
              <w:t>(b)</w:t>
            </w:r>
          </w:p>
        </w:tc>
        <w:tc>
          <w:tcPr>
            <w:tcW w:w="1640" w:type="dxa"/>
            <w:vAlign w:val="bottom"/>
            <w:tcBorders>
              <w:right w:val="single" w:sz="8" w:color="808080"/>
            </w:tcBorders>
            <w:vMerge w:val="restart"/>
          </w:tcPr>
          <w:p>
            <w:pPr>
              <w:ind w:left="10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840" w:type="dxa"/>
            <w:vAlign w:val="bottom"/>
            <w:tcBorders>
              <w:left w:val="single" w:sz="8" w:color="808080"/>
            </w:tcBorders>
          </w:tcPr>
          <w:p>
            <w:pPr>
              <w:spacing w:after="0"/>
              <w:rPr>
                <w:sz w:val="12"/>
                <w:szCs w:val="12"/>
                <w:color w:val="auto"/>
              </w:rPr>
            </w:pPr>
          </w:p>
        </w:tc>
        <w:tc>
          <w:tcPr>
            <w:tcW w:w="260" w:type="dxa"/>
            <w:vAlign w:val="bottom"/>
            <w:tcBorders>
              <w:right w:val="single" w:sz="8" w:color="808080"/>
            </w:tcBorders>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4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right w:val="single" w:sz="8" w:color="808080"/>
            </w:tcBorders>
          </w:tcPr>
          <w:p>
            <w:pPr>
              <w:spacing w:after="0"/>
              <w:rPr>
                <w:sz w:val="3"/>
                <w:szCs w:val="3"/>
                <w:color w:val="auto"/>
              </w:rPr>
            </w:pPr>
          </w:p>
        </w:tc>
        <w:tc>
          <w:tcPr>
            <w:tcW w:w="1580" w:type="dxa"/>
            <w:vAlign w:val="bottom"/>
            <w:tcBorders>
              <w:bottom w:val="single" w:sz="8" w:color="808080"/>
            </w:tcBorders>
            <w:gridSpan w:val="2"/>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2800" w:type="dxa"/>
            <w:vAlign w:val="bottom"/>
            <w:tcBorders>
              <w:bottom w:val="single" w:sz="8" w:color="808080"/>
            </w:tcBorders>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3</w:t>
            </w: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808080"/>
              <w:bottom w:val="single" w:sz="8" w:color="808080"/>
            </w:tcBorders>
          </w:tcPr>
          <w:p>
            <w:pPr>
              <w:spacing w:after="0"/>
              <w:rPr>
                <w:sz w:val="18"/>
                <w:szCs w:val="18"/>
                <w:color w:val="auto"/>
              </w:rPr>
            </w:pPr>
          </w:p>
        </w:tc>
        <w:tc>
          <w:tcPr>
            <w:tcW w:w="260" w:type="dxa"/>
            <w:vAlign w:val="bottom"/>
            <w:tcBorders>
              <w:bottom w:val="single" w:sz="8" w:color="808080"/>
              <w:right w:val="single" w:sz="8" w:color="808080"/>
            </w:tcBorders>
          </w:tcPr>
          <w:p>
            <w:pPr>
              <w:spacing w:after="0"/>
              <w:rPr>
                <w:sz w:val="18"/>
                <w:szCs w:val="18"/>
                <w:color w:val="auto"/>
              </w:rPr>
            </w:pPr>
          </w:p>
        </w:tc>
        <w:tc>
          <w:tcPr>
            <w:tcW w:w="5500" w:type="dxa"/>
            <w:vAlign w:val="bottom"/>
            <w:tcBorders>
              <w:bottom w:val="single" w:sz="8" w:color="808080"/>
            </w:tcBorders>
            <w:gridSpan w:val="5"/>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4</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SOURCE OF FUNDS (see instructions)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OO (See Item 3)</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5500" w:type="dxa"/>
            <w:vAlign w:val="bottom"/>
            <w:tcBorders>
              <w:bottom w:val="single" w:sz="8" w:color="808080"/>
            </w:tcBorders>
            <w:gridSpan w:val="5"/>
          </w:tcPr>
          <w:p>
            <w:pPr>
              <w:spacing w:after="0"/>
              <w:rPr>
                <w:sz w:val="4"/>
                <w:szCs w:val="4"/>
                <w:color w:val="auto"/>
              </w:rPr>
            </w:pPr>
          </w:p>
        </w:tc>
        <w:tc>
          <w:tcPr>
            <w:tcW w:w="318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5</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w w:val="98"/>
              </w:rPr>
              <w:t>CHECK IF DISCLOSURE OF LEGAL PROCEEDINGS IS REQUIRED</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PURSUANT TO ITEMS 2(d) or</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tcBorders>
          </w:tcPr>
          <w:p>
            <w:pPr>
              <w:spacing w:after="0"/>
              <w:rPr>
                <w:sz w:val="20"/>
                <w:szCs w:val="20"/>
                <w:color w:val="auto"/>
              </w:rPr>
            </w:pPr>
          </w:p>
        </w:tc>
        <w:tc>
          <w:tcPr>
            <w:tcW w:w="260" w:type="dxa"/>
            <w:vAlign w:val="bottom"/>
            <w:tcBorders>
              <w:right w:val="single" w:sz="8" w:color="808080"/>
            </w:tcBorders>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2(e)</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840" w:type="dxa"/>
            <w:vAlign w:val="bottom"/>
            <w:tcBorders>
              <w:left w:val="single" w:sz="8" w:color="808080"/>
              <w:bottom w:val="single" w:sz="8" w:color="808080"/>
            </w:tcBorders>
          </w:tcPr>
          <w:p>
            <w:pPr>
              <w:spacing w:after="0"/>
              <w:rPr>
                <w:sz w:val="3"/>
                <w:szCs w:val="3"/>
                <w:color w:val="auto"/>
              </w:rPr>
            </w:pPr>
          </w:p>
        </w:tc>
        <w:tc>
          <w:tcPr>
            <w:tcW w:w="260" w:type="dxa"/>
            <w:vAlign w:val="bottom"/>
            <w:tcBorders>
              <w:bottom w:val="single" w:sz="8" w:color="808080"/>
              <w:right w:val="single" w:sz="8" w:color="808080"/>
            </w:tcBorders>
          </w:tcPr>
          <w:p>
            <w:pPr>
              <w:spacing w:after="0"/>
              <w:rPr>
                <w:sz w:val="3"/>
                <w:szCs w:val="3"/>
                <w:color w:val="auto"/>
              </w:rPr>
            </w:pPr>
          </w:p>
        </w:tc>
        <w:tc>
          <w:tcPr>
            <w:tcW w:w="5500" w:type="dxa"/>
            <w:vAlign w:val="bottom"/>
            <w:tcBorders>
              <w:bottom w:val="single" w:sz="8" w:color="808080"/>
            </w:tcBorders>
            <w:gridSpan w:val="5"/>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6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90"/>
              <w:spacing w:after="0"/>
              <w:rPr>
                <w:sz w:val="20"/>
                <w:szCs w:val="20"/>
                <w:color w:val="auto"/>
              </w:rPr>
            </w:pPr>
            <w:r>
              <w:rPr>
                <w:rFonts w:ascii="Arial" w:cs="Arial" w:eastAsia="Arial" w:hAnsi="Arial"/>
                <w:sz w:val="18"/>
                <w:szCs w:val="18"/>
                <w:color w:val="auto"/>
                <w:w w:val="79"/>
              </w:rPr>
              <w:t>6</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99"/>
              </w:rPr>
              <w:t>7</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right w:val="single" w:sz="8" w:color="808080"/>
            </w:tcBorders>
          </w:tcPr>
          <w:p>
            <w:pPr>
              <w:spacing w:after="0"/>
              <w:rPr>
                <w:sz w:val="24"/>
                <w:szCs w:val="24"/>
                <w:color w:val="auto"/>
              </w:rPr>
            </w:pPr>
          </w:p>
        </w:tc>
        <w:tc>
          <w:tcPr>
            <w:tcW w:w="4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8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99"/>
              </w:rPr>
              <w:t>8</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80" w:type="dxa"/>
            <w:vAlign w:val="bottom"/>
            <w:tcBorders>
              <w:left w:val="single" w:sz="8" w:color="808080"/>
              <w:right w:val="single" w:sz="8" w:color="808080"/>
            </w:tcBorders>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right w:val="single" w:sz="8" w:color="808080"/>
            </w:tcBorders>
          </w:tcPr>
          <w:p>
            <w:pPr>
              <w:spacing w:after="0"/>
              <w:rPr>
                <w:sz w:val="11"/>
                <w:szCs w:val="11"/>
                <w:color w:val="auto"/>
              </w:rPr>
            </w:pPr>
          </w:p>
        </w:tc>
        <w:tc>
          <w:tcPr>
            <w:tcW w:w="3200" w:type="dxa"/>
            <w:vAlign w:val="bottom"/>
            <w:gridSpan w:val="2"/>
            <w:vMerge w:val="restart"/>
          </w:tcPr>
          <w:p>
            <w:pPr>
              <w:ind w:left="100"/>
              <w:spacing w:after="0"/>
              <w:rPr>
                <w:sz w:val="20"/>
                <w:szCs w:val="20"/>
                <w:color w:val="auto"/>
              </w:rPr>
            </w:pPr>
            <w:r>
              <w:rPr>
                <w:rFonts w:ascii="Arial" w:cs="Arial" w:eastAsia="Arial" w:hAnsi="Arial"/>
                <w:sz w:val="18"/>
                <w:szCs w:val="18"/>
                <w:color w:val="auto"/>
              </w:rPr>
              <w:t>2,604,620 (See Items 3, 4 and 5)</w:t>
            </w:r>
          </w:p>
        </w:tc>
        <w:tc>
          <w:tcPr>
            <w:tcW w:w="1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4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 OWNED</w:t>
            </w:r>
          </w:p>
        </w:tc>
        <w:tc>
          <w:tcPr>
            <w:tcW w:w="400" w:type="dxa"/>
            <w:vAlign w:val="bottom"/>
          </w:tcPr>
          <w:p>
            <w:pPr>
              <w:spacing w:after="0"/>
              <w:rPr>
                <w:sz w:val="14"/>
                <w:szCs w:val="14"/>
                <w:color w:val="auto"/>
              </w:rPr>
            </w:pPr>
          </w:p>
        </w:tc>
        <w:tc>
          <w:tcPr>
            <w:tcW w:w="720" w:type="dxa"/>
            <w:vAlign w:val="bottom"/>
            <w:tcBorders>
              <w:right w:val="single" w:sz="8" w:color="808080"/>
            </w:tcBorders>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80" w:type="dxa"/>
            <w:vAlign w:val="bottom"/>
            <w:tcBorders>
              <w:left w:val="single" w:sz="8" w:color="808080"/>
              <w:right w:val="single" w:sz="8" w:color="808080"/>
            </w:tcBorders>
            <w:gridSpan w:val="3"/>
            <w:vMerge w:val="continue"/>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right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808080"/>
            </w:tcBorders>
          </w:tcPr>
          <w:p>
            <w:pPr>
              <w:spacing w:after="0"/>
              <w:rPr>
                <w:sz w:val="16"/>
                <w:szCs w:val="16"/>
                <w:color w:val="auto"/>
              </w:rPr>
            </w:pPr>
          </w:p>
        </w:tc>
        <w:tc>
          <w:tcPr>
            <w:tcW w:w="1440" w:type="dxa"/>
            <w:vAlign w:val="bottom"/>
            <w:tcBorders>
              <w:right w:val="single" w:sz="8" w:color="808080"/>
            </w:tcBorders>
            <w:gridSpan w:val="2"/>
          </w:tcPr>
          <w:p>
            <w:pPr>
              <w:jc w:val="center"/>
              <w:ind w:right="750"/>
              <w:spacing w:after="0" w:line="195" w:lineRule="exact"/>
              <w:rPr>
                <w:sz w:val="20"/>
                <w:szCs w:val="20"/>
                <w:color w:val="auto"/>
              </w:rPr>
            </w:pPr>
            <w:r>
              <w:rPr>
                <w:rFonts w:ascii="Arial" w:cs="Arial" w:eastAsia="Arial" w:hAnsi="Arial"/>
                <w:sz w:val="18"/>
                <w:szCs w:val="18"/>
                <w:color w:val="auto"/>
                <w:w w:val="99"/>
              </w:rPr>
              <w:t>BY</w:t>
            </w:r>
          </w:p>
        </w:tc>
        <w:tc>
          <w:tcPr>
            <w:tcW w:w="400" w:type="dxa"/>
            <w:vAlign w:val="bottom"/>
          </w:tcPr>
          <w:p>
            <w:pPr>
              <w:spacing w:after="0"/>
              <w:rPr>
                <w:sz w:val="16"/>
                <w:szCs w:val="16"/>
                <w:color w:val="auto"/>
              </w:rPr>
            </w:pPr>
          </w:p>
        </w:tc>
        <w:tc>
          <w:tcPr>
            <w:tcW w:w="720" w:type="dxa"/>
            <w:vAlign w:val="bottom"/>
            <w:tcBorders>
              <w:right w:val="single" w:sz="8" w:color="808080"/>
            </w:tcBorders>
            <w:vMerge w:val="restart"/>
          </w:tcPr>
          <w:p>
            <w:pPr>
              <w:jc w:val="center"/>
              <w:ind w:right="330"/>
              <w:spacing w:after="0"/>
              <w:rPr>
                <w:sz w:val="20"/>
                <w:szCs w:val="20"/>
                <w:color w:val="auto"/>
              </w:rPr>
            </w:pPr>
            <w:r>
              <w:rPr>
                <w:rFonts w:ascii="Arial" w:cs="Arial" w:eastAsia="Arial" w:hAnsi="Arial"/>
                <w:sz w:val="18"/>
                <w:szCs w:val="18"/>
                <w:color w:val="auto"/>
                <w:w w:val="99"/>
              </w:rPr>
              <w:t>9</w:t>
            </w:r>
          </w:p>
        </w:tc>
        <w:tc>
          <w:tcPr>
            <w:tcW w:w="320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2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EACH REPORTING</w:t>
            </w:r>
          </w:p>
        </w:tc>
        <w:tc>
          <w:tcPr>
            <w:tcW w:w="400" w:type="dxa"/>
            <w:vAlign w:val="bottom"/>
          </w:tcPr>
          <w:p>
            <w:pPr>
              <w:spacing w:after="0"/>
              <w:rPr>
                <w:sz w:val="8"/>
                <w:szCs w:val="8"/>
                <w:color w:val="auto"/>
              </w:rPr>
            </w:pPr>
          </w:p>
        </w:tc>
        <w:tc>
          <w:tcPr>
            <w:tcW w:w="720" w:type="dxa"/>
            <w:vAlign w:val="bottom"/>
            <w:tcBorders>
              <w:right w:val="single" w:sz="8" w:color="808080"/>
            </w:tcBorders>
            <w:vMerge w:val="continue"/>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80" w:type="dxa"/>
            <w:vAlign w:val="bottom"/>
            <w:tcBorders>
              <w:left w:val="single" w:sz="8" w:color="808080"/>
              <w:right w:val="single" w:sz="8" w:color="808080"/>
            </w:tcBorders>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right w:val="single" w:sz="8" w:color="808080"/>
            </w:tcBorders>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40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right w:val="single" w:sz="8" w:color="808080"/>
            </w:tcBorders>
          </w:tcPr>
          <w:p>
            <w:pPr>
              <w:spacing w:after="0"/>
              <w:rPr>
                <w:sz w:val="20"/>
                <w:szCs w:val="20"/>
                <w:color w:val="auto"/>
              </w:rPr>
            </w:pPr>
          </w:p>
        </w:tc>
        <w:tc>
          <w:tcPr>
            <w:tcW w:w="400" w:type="dxa"/>
            <w:vAlign w:val="bottom"/>
            <w:tcBorders>
              <w:bottom w:val="single" w:sz="8" w:color="808080"/>
            </w:tcBorders>
            <w:vMerge w:val="continue"/>
          </w:tcPr>
          <w:p>
            <w:pPr>
              <w:spacing w:after="0"/>
              <w:rPr>
                <w:sz w:val="20"/>
                <w:szCs w:val="20"/>
                <w:color w:val="auto"/>
              </w:rPr>
            </w:pPr>
          </w:p>
        </w:tc>
        <w:tc>
          <w:tcPr>
            <w:tcW w:w="280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89"/>
              </w:rPr>
              <w:t>10</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right w:val="single" w:sz="8" w:color="808080"/>
            </w:tcBorders>
          </w:tcPr>
          <w:p>
            <w:pPr>
              <w:spacing w:after="0"/>
              <w:rPr>
                <w:sz w:val="24"/>
                <w:szCs w:val="24"/>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2,604,620 (See Items 3, 4 and 5)</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120" w:type="dxa"/>
            <w:vAlign w:val="bottom"/>
            <w:tcBorders>
              <w:bottom w:val="single" w:sz="8" w:color="808080"/>
              <w:right w:val="single" w:sz="8" w:color="808080"/>
            </w:tcBorders>
            <w:gridSpan w:val="2"/>
          </w:tcPr>
          <w:p>
            <w:pPr>
              <w:spacing w:after="0"/>
              <w:rPr>
                <w:sz w:val="4"/>
                <w:szCs w:val="4"/>
                <w:color w:val="auto"/>
              </w:rPr>
            </w:pPr>
          </w:p>
        </w:tc>
        <w:tc>
          <w:tcPr>
            <w:tcW w:w="6380" w:type="dxa"/>
            <w:vAlign w:val="bottom"/>
            <w:tcBorders>
              <w:bottom w:val="single" w:sz="8" w:color="808080"/>
            </w:tcBorders>
            <w:gridSpan w:val="4"/>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11</w:t>
            </w:r>
          </w:p>
        </w:tc>
        <w:tc>
          <w:tcPr>
            <w:tcW w:w="260" w:type="dxa"/>
            <w:vAlign w:val="bottom"/>
            <w:tcBorders>
              <w:right w:val="single" w:sz="8" w:color="808080"/>
            </w:tcBorders>
          </w:tcPr>
          <w:p>
            <w:pPr>
              <w:spacing w:after="0"/>
              <w:rPr>
                <w:sz w:val="24"/>
                <w:szCs w:val="24"/>
                <w:color w:val="auto"/>
              </w:rPr>
            </w:pPr>
          </w:p>
        </w:tc>
        <w:tc>
          <w:tcPr>
            <w:tcW w:w="8680" w:type="dxa"/>
            <w:vAlign w:val="bottom"/>
            <w:gridSpan w:val="7"/>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2,604,620 (See Items 3, 4 and 5)</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318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12</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rPr>
              <w:t>CHECK IF THE AGGREGATE AMOUNT IN ROW (11) EXCLUDES</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CERTAIN SHARES (see</w:t>
            </w:r>
          </w:p>
        </w:tc>
        <w:tc>
          <w:tcPr>
            <w:tcW w:w="1640" w:type="dxa"/>
            <w:vAlign w:val="bottom"/>
            <w:tcBorders>
              <w:right w:val="single" w:sz="8" w:color="808080"/>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bottom w:val="single" w:sz="8" w:color="808080"/>
            </w:tcBorders>
          </w:tcPr>
          <w:p>
            <w:pPr>
              <w:spacing w:after="0"/>
              <w:rPr>
                <w:sz w:val="20"/>
                <w:szCs w:val="20"/>
                <w:color w:val="auto"/>
              </w:rPr>
            </w:pPr>
          </w:p>
        </w:tc>
        <w:tc>
          <w:tcPr>
            <w:tcW w:w="260" w:type="dxa"/>
            <w:vAlign w:val="bottom"/>
            <w:tcBorders>
              <w:bottom w:val="single" w:sz="8" w:color="808080"/>
              <w:right w:val="single" w:sz="8" w:color="808080"/>
            </w:tcBorders>
          </w:tcPr>
          <w:p>
            <w:pPr>
              <w:spacing w:after="0"/>
              <w:rPr>
                <w:sz w:val="20"/>
                <w:szCs w:val="20"/>
                <w:color w:val="auto"/>
              </w:rPr>
            </w:pPr>
          </w:p>
        </w:tc>
        <w:tc>
          <w:tcPr>
            <w:tcW w:w="158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72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280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13</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w w:val="94"/>
              </w:rPr>
              <w:t>6.2% (See Item 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3200" w:type="dxa"/>
            <w:vAlign w:val="bottom"/>
            <w:tcBorders>
              <w:bottom w:val="single" w:sz="8" w:color="808080"/>
            </w:tcBorders>
            <w:gridSpan w:val="2"/>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840" w:type="dxa"/>
            <w:vAlign w:val="bottom"/>
            <w:tcBorders>
              <w:left w:val="single" w:sz="8" w:color="808080"/>
            </w:tcBorders>
          </w:tcPr>
          <w:p>
            <w:pPr>
              <w:jc w:val="center"/>
              <w:ind w:left="170"/>
              <w:spacing w:after="0"/>
              <w:rPr>
                <w:sz w:val="20"/>
                <w:szCs w:val="20"/>
                <w:color w:val="auto"/>
              </w:rPr>
            </w:pPr>
            <w:r>
              <w:rPr>
                <w:rFonts w:ascii="Arial" w:cs="Arial" w:eastAsia="Arial" w:hAnsi="Arial"/>
                <w:sz w:val="18"/>
                <w:szCs w:val="18"/>
                <w:color w:val="auto"/>
                <w:w w:val="89"/>
              </w:rPr>
              <w:t>14</w:t>
            </w:r>
          </w:p>
        </w:tc>
        <w:tc>
          <w:tcPr>
            <w:tcW w:w="260" w:type="dxa"/>
            <w:vAlign w:val="bottom"/>
            <w:tcBorders>
              <w:right w:val="single" w:sz="8" w:color="808080"/>
            </w:tcBorders>
          </w:tcPr>
          <w:p>
            <w:pPr>
              <w:spacing w:after="0"/>
              <w:rPr>
                <w:sz w:val="24"/>
                <w:szCs w:val="24"/>
                <w:color w:val="auto"/>
              </w:rPr>
            </w:pP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Borders>
              <w:left w:val="single" w:sz="8" w:color="808080"/>
            </w:tcBorders>
          </w:tcPr>
          <w:p>
            <w:pPr>
              <w:spacing w:after="0"/>
              <w:rPr>
                <w:sz w:val="24"/>
                <w:szCs w:val="24"/>
                <w:color w:val="auto"/>
              </w:rPr>
            </w:pPr>
          </w:p>
        </w:tc>
        <w:tc>
          <w:tcPr>
            <w:tcW w:w="260" w:type="dxa"/>
            <w:vAlign w:val="bottom"/>
            <w:tcBorders>
              <w:right w:val="single" w:sz="8" w:color="808080"/>
            </w:tcBorders>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IN</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80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6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80" w:right="20" w:hanging="577"/>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calculation assumes that there are 41,762,724 shares of Common Stock of the Issuer outstanding as of March 4, 2014 as reported on the Form 10-K filed by the Issuer with the Commission on March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6" w:name="page7"/>
    <w:bookmarkEnd w:id="6"/>
    <w:p>
      <w:pPr>
        <w:ind w:right="60"/>
        <w:spacing w:after="0" w:line="254" w:lineRule="auto"/>
        <w:rPr>
          <w:sz w:val="20"/>
          <w:szCs w:val="20"/>
          <w:color w:val="auto"/>
        </w:rPr>
      </w:pPr>
      <w:r>
        <w:rPr>
          <w:rFonts w:ascii="Arial" w:cs="Arial" w:eastAsia="Arial" w:hAnsi="Arial"/>
          <w:sz w:val="18"/>
          <w:szCs w:val="18"/>
          <w:color w:val="auto"/>
        </w:rPr>
        <w:t>This Amendment No. 13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and supplements the Schedule 13D filed on June 27, 2011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as amended by Amendment No. 1 filed on August 2, 2011, Amendment No. 2 filed on December 2, 2011 (“</w:t>
      </w:r>
      <w:r>
        <w:rPr>
          <w:rFonts w:ascii="Arial" w:cs="Arial" w:eastAsia="Arial" w:hAnsi="Arial"/>
          <w:sz w:val="18"/>
          <w:szCs w:val="18"/>
          <w:u w:val="single" w:color="auto"/>
          <w:color w:val="auto"/>
        </w:rPr>
        <w:t>Amendment No. 2</w:t>
      </w:r>
      <w:r>
        <w:rPr>
          <w:rFonts w:ascii="Arial" w:cs="Arial" w:eastAsia="Arial" w:hAnsi="Arial"/>
          <w:sz w:val="18"/>
          <w:szCs w:val="18"/>
          <w:color w:val="auto"/>
        </w:rPr>
        <w:t>”), Amendment No. 3 filed on December 20, 2011, Amendment No. 4 filed on February 3, 2012 (“</w:t>
      </w:r>
      <w:r>
        <w:rPr>
          <w:rFonts w:ascii="Arial" w:cs="Arial" w:eastAsia="Arial" w:hAnsi="Arial"/>
          <w:sz w:val="18"/>
          <w:szCs w:val="18"/>
          <w:u w:val="single" w:color="auto"/>
          <w:color w:val="auto"/>
        </w:rPr>
        <w:t>Amendment No. 4</w:t>
      </w:r>
      <w:r>
        <w:rPr>
          <w:rFonts w:ascii="Arial" w:cs="Arial" w:eastAsia="Arial" w:hAnsi="Arial"/>
          <w:sz w:val="18"/>
          <w:szCs w:val="18"/>
          <w:color w:val="auto"/>
        </w:rPr>
        <w:t>”), Amendment No. 5 filed on February 8, 2012, Amendment No. 6 filed on March 20, 2012, Amendment No. 7 filed on June 20, 2012, Amendment No. 8 filed on September 14, 2012, Amendment No. 9 filed on December 12, 2012, Amendment No. 10 filed on February 6, 2013, Amendment No. 11 filed on September 16, 2013 and Amendment No. 12 filed on January 2, 2014 (as so amended,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as further amended and supplemented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by TPG Group Holdings (SBS) Advisors, Inc., Tarrant Capital Advisors, Inc. and Messrs. David Bonderman, James G. Coulter and Alan Waxman with respect to the common stock of the Issuer.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supplements Item 4 of the Original Schedule 13D by inserting the following paragraph after the second to last paragraph thereto:</w:t>
      </w:r>
    </w:p>
    <w:p>
      <w:pPr>
        <w:spacing w:after="0" w:line="2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“TSL Advisers entered into a purchase agreement with Goldman, Sachs &amp; Co. as agent for TSL Advisers, dated as of March 11, 2014 (the “</w:t>
      </w:r>
      <w:r>
        <w:rPr>
          <w:rFonts w:ascii="Arial" w:cs="Arial" w:eastAsia="Arial" w:hAnsi="Arial"/>
          <w:sz w:val="18"/>
          <w:szCs w:val="18"/>
          <w:u w:val="single" w:color="auto"/>
          <w:color w:val="auto"/>
        </w:rPr>
        <w:t>10b5-1</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Goldman, Sachs &amp; Co. will buy up to $25,000,000 in the aggregate of the Common Stock of the Issuer during the period beginning after four full calendar weeks after the closing of the Issuer’s initial public offering and ending on the earlier of the date on which all the capital committed to the 10b5-1 Plan has been exhausted or December 31, 2014, subject to certain conditions.</w:t>
      </w:r>
    </w:p>
    <w:p>
      <w:pPr>
        <w:spacing w:after="0" w:line="14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10b5-1 Plan will require Goldman, Sachs &amp; Co. to purchase for TSL Advisers shares of Common Stock of the Issuer (i) through the date the Issuer announces its earnings for the second quarter of 2014, when the market price per share is below the initial public offering price per share and, (ii) from and after that date, when the market price per share is below the Issuer’s most recently reported net asset value per share (including any updates, corrections or adjustments publicly announced by the Issuer to any previously announced net asset value per share). The purchase of shares by Goldman, Sachs &amp; Co. pursuant to the 10b5-1 Plan is intended to satisfy the conditions of Rules 10b5-1 and 10b-18 under the Act.</w:t>
      </w:r>
    </w:p>
    <w:p>
      <w:pPr>
        <w:spacing w:after="0" w:line="13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References to and descriptions of the 10b5-1 Plan set forth above in this Item 4 do not purport to be complete and are qualified in their entirety by reference to the full text of the 10b5-1 Plan attached as Exhibit 6 and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amends and restates the second paragraph of Item 5 of the Original Schedule 13D in its entirety as set forth below:</w:t>
      </w:r>
    </w:p>
    <w:p>
      <w:pPr>
        <w:spacing w:after="0" w:line="225"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“(a)-(b) The following disclosure assumes that there are a total of 41,762,724 shares of Common Stock of the Issuer outstanding as of March 4, 2014 as reported on the Form 10-K filed by the Issuer with the Commission on March 4, 2014. Pursuant to Rule 13d-3 of the Act, (i) through TSL Advisers and Tarrant, Messrs. Bonderman and Coulter may be deemed to beneficially own 3,040,032 shares of Common Stock, which constitute approximately 7.3% of outstanding Common Stock; (ii) through TSL Advisers, Mr. Waxman may be deemed to beneficially own 2,604,620 shares of Common Stock, which constitute approximately 6.2% of the outstanding Common Stock; (iii) through TSL Advisers, Group Advisors may be deemed to beneficially own 2,604,620 shares of Common Stock, which constitute approximately 6.2% of the outstanding Common Stock; and (iv) through Tarrant, Tarrant Capital may be deemed to beneficially own 2,645,041 shares of Common Stock, which constitute approximately 6.3% of the outstanding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7" w:name="page8"/>
    <w:bookmarkEnd w:id="7"/>
    <w:p>
      <w:pPr>
        <w:ind w:left="652"/>
        <w:spacing w:after="0"/>
        <w:rPr>
          <w:sz w:val="20"/>
          <w:szCs w:val="20"/>
          <w:color w:val="auto"/>
        </w:rPr>
      </w:pPr>
      <w:r>
        <w:rPr>
          <w:rFonts w:ascii="Arial" w:cs="Arial" w:eastAsia="Arial" w:hAnsi="Arial"/>
          <w:sz w:val="18"/>
          <w:szCs w:val="18"/>
          <w:color w:val="auto"/>
        </w:rPr>
        <w:t>This Amendment amends and restates Item 7 of the Original Schedule 13D in its entirety as set forth below:</w:t>
      </w:r>
    </w:p>
    <w:p>
      <w:pPr>
        <w:spacing w:after="0" w:line="117" w:lineRule="exact"/>
        <w:rPr>
          <w:sz w:val="20"/>
          <w:szCs w:val="20"/>
          <w:color w:val="auto"/>
        </w:rPr>
      </w:pPr>
    </w:p>
    <w:p>
      <w:pPr>
        <w:ind w:left="332" w:right="140" w:hanging="332"/>
        <w:spacing w:after="0" w:line="248"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41" w:lineRule="exact"/>
        <w:rPr>
          <w:rFonts w:ascii="Arial" w:cs="Arial" w:eastAsia="Arial" w:hAnsi="Arial"/>
          <w:sz w:val="18"/>
          <w:szCs w:val="18"/>
          <w:color w:val="auto"/>
        </w:rPr>
      </w:pPr>
    </w:p>
    <w:p>
      <w:pPr>
        <w:ind w:left="332" w:right="560" w:hanging="332"/>
        <w:spacing w:after="0" w:line="26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42" w:lineRule="exact"/>
        <w:rPr>
          <w:rFonts w:ascii="Arial" w:cs="Arial" w:eastAsia="Arial" w:hAnsi="Arial"/>
          <w:sz w:val="18"/>
          <w:szCs w:val="18"/>
          <w:color w:val="auto"/>
        </w:rPr>
      </w:pPr>
    </w:p>
    <w:p>
      <w:pPr>
        <w:ind w:left="332" w:hanging="332"/>
        <w:spacing w:after="0" w:line="26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28" w:lineRule="exact"/>
        <w:rPr>
          <w:rFonts w:ascii="Arial" w:cs="Arial" w:eastAsia="Arial" w:hAnsi="Arial"/>
          <w:sz w:val="18"/>
          <w:szCs w:val="18"/>
          <w:color w:val="auto"/>
        </w:rPr>
      </w:pPr>
    </w:p>
    <w:p>
      <w:pPr>
        <w:ind w:left="332" w:right="560" w:hanging="332"/>
        <w:spacing w:after="0" w:line="26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28" w:lineRule="exact"/>
        <w:rPr>
          <w:rFonts w:ascii="Arial" w:cs="Arial" w:eastAsia="Arial" w:hAnsi="Arial"/>
          <w:sz w:val="18"/>
          <w:szCs w:val="18"/>
          <w:color w:val="auto"/>
        </w:rPr>
      </w:pPr>
    </w:p>
    <w:p>
      <w:pPr>
        <w:ind w:left="332" w:right="200" w:hanging="332"/>
        <w:spacing w:after="0" w:line="26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142" w:lineRule="exact"/>
        <w:rPr>
          <w:rFonts w:ascii="Arial" w:cs="Arial" w:eastAsia="Arial" w:hAnsi="Arial"/>
          <w:sz w:val="18"/>
          <w:szCs w:val="18"/>
          <w:color w:val="auto"/>
        </w:rPr>
      </w:pP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Agreement, dated as of March 11, 2014 between TSL Advisers, LLC and Goldman, Sachs &amp; Co.</w:t>
      </w:r>
    </w:p>
    <w:p>
      <w:pPr>
        <w:spacing w:after="0" w:line="171" w:lineRule="exact"/>
        <w:rPr>
          <w:rFonts w:ascii="Arial" w:cs="Arial" w:eastAsia="Arial" w:hAnsi="Arial"/>
          <w:sz w:val="18"/>
          <w:szCs w:val="18"/>
          <w:color w:val="auto"/>
        </w:rPr>
      </w:pP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Authorization and designation letter, dated March 10, 2014, by Alan Waxman.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Page 8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52"/>
          </w:cols>
          <w:pgMar w:left="248" w:top="476" w:right="5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13, 2014</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TPG Group Holdings (SBS)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314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Tarrant Capital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314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David Bonderman</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314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James G. Coulter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314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Alan Waxman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-10160</wp:posOffset>
            </wp:positionV>
            <wp:extent cx="1085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9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48" w:right="319" w:bottom="1440" w:gutter="0" w:footer="0" w:header="0"/>
        </w:sectPr>
      </w:pPr>
    </w:p>
    <w:bookmarkStart w:id="9" w:name="page10"/>
    <w:bookmarkEnd w:id="9"/>
    <w:p>
      <w:pPr>
        <w:ind w:left="332" w:hanging="332"/>
        <w:spacing w:after="0" w:line="253" w:lineRule="auto"/>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Ronald Cami is signing on behalf of Mr. Bonderman pursuant to an authorization and designation letter dated July 1, 2013, which was previously filed with the Securities and Exchange Commission as an exhibit to a Schedule 13D filed by Mr. Bonderman on August 14, 2013 (SEC File No.005-83906).</w:t>
      </w:r>
    </w:p>
    <w:p>
      <w:pPr>
        <w:spacing w:after="0" w:line="133" w:lineRule="exact"/>
        <w:rPr>
          <w:rFonts w:ascii="Arial" w:cs="Arial" w:eastAsia="Arial" w:hAnsi="Arial"/>
          <w:sz w:val="14"/>
          <w:szCs w:val="14"/>
          <w:color w:val="auto"/>
        </w:rPr>
      </w:pPr>
    </w:p>
    <w:p>
      <w:pPr>
        <w:ind w:left="332" w:right="200" w:hanging="332"/>
        <w:spacing w:after="0" w:line="253" w:lineRule="auto"/>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Ronald Cami is signing on behalf of Mr. Coulter pursuant to the authorization and designation letter dated July 1, 2013, which was previously filed with the Securities and Exchange Commission as an exhibit to a Schedule 13D filed by Mr. Coulter on August 14, 2013 (SEC File No. 005-83906).</w:t>
      </w:r>
    </w:p>
    <w:p>
      <w:pPr>
        <w:spacing w:after="0" w:line="146" w:lineRule="exact"/>
        <w:rPr>
          <w:rFonts w:ascii="Arial" w:cs="Arial" w:eastAsia="Arial" w:hAnsi="Arial"/>
          <w:sz w:val="14"/>
          <w:szCs w:val="14"/>
          <w:color w:val="auto"/>
        </w:rPr>
      </w:pPr>
    </w:p>
    <w:p>
      <w:pPr>
        <w:ind w:left="332" w:hanging="332"/>
        <w:spacing w:after="0"/>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Ronald Cami is signing on behalf of Mr. Waxman pursuant to the authorization and designation letter dated March 10, 2014, which is attached as an exhibit hereto.</w:t>
      </w:r>
    </w:p>
    <w:p>
      <w:pPr>
        <w:spacing w:after="0" w:line="168" w:lineRule="exact"/>
        <w:rPr>
          <w:sz w:val="20"/>
          <w:szCs w:val="20"/>
          <w:color w:val="auto"/>
        </w:rPr>
      </w:pPr>
    </w:p>
    <w:p>
      <w:pPr>
        <w:jc w:val="center"/>
        <w:ind w:right="-511"/>
        <w:spacing w:after="0"/>
        <w:rPr>
          <w:sz w:val="20"/>
          <w:szCs w:val="20"/>
          <w:color w:val="auto"/>
        </w:rPr>
      </w:pPr>
      <w:r>
        <w:rPr>
          <w:rFonts w:ascii="Arial" w:cs="Arial" w:eastAsia="Arial" w:hAnsi="Arial"/>
          <w:sz w:val="18"/>
          <w:szCs w:val="18"/>
          <w:color w:val="auto"/>
        </w:rPr>
        <w:t>Page 10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52"/>
          </w:cols>
          <w:pgMar w:left="248" w:top="472" w:right="699" w:bottom="1440" w:gutter="0" w:footer="0" w:header="0"/>
        </w:sectPr>
      </w:pPr>
    </w:p>
    <w:bookmarkStart w:id="10" w:name="page11"/>
    <w:bookmarkEnd w:id="10"/>
    <w:p>
      <w:pPr>
        <w:ind w:left="510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All addresses are c/o TPG Global, LLC, 301 Commerce Street, Suite 3300, Fort Worth, TX 76102.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Bonderman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G. Coulter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E. Viola Vice President, Treasurer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Cami Vice President, Secretary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 Banyasz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Clive D. Bode Vice President and Assistant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W. Boyce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R. Burns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 Cohen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J. Coslet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D. Dattels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Kelvin L. Davis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Geoff M. Duyk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R. Gates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Gilbertson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 Gleser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Asiff Hirji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Hobart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Ransom Langford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MacDougall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Marren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McMillan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McGlashan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Paolillo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P. Schifter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Smith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Todd Sisitsky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Bryan Taylor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Trujillo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Jerome C. Vascellaro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Waxman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Weaver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 C. Weingart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A. Wheeler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 Williams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Nathan H. Wright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C. Reintjes Chief Compliance Officer and Assistant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A. Willmann Assistant Treasurer</w:t>
      </w:r>
    </w:p>
    <w:p>
      <w:pPr>
        <w:spacing w:after="0" w:line="23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Page 11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169545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79"/>
          </w:cols>
          <w:pgMar w:left="580" w:top="472" w:right="1440" w:bottom="1440" w:gutter="0" w:footer="0" w:header="0"/>
        </w:sectPr>
      </w:pPr>
    </w:p>
    <w:bookmarkStart w:id="11" w:name="page12"/>
    <w:bookmarkEnd w:id="11"/>
    <w:p>
      <w:pPr>
        <w:jc w:val="center"/>
        <w:ind w:right="-391"/>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ind w:left="92"/>
        <w:spacing w:after="0"/>
        <w:rPr>
          <w:sz w:val="20"/>
          <w:szCs w:val="20"/>
          <w:color w:val="auto"/>
        </w:rPr>
      </w:pPr>
      <w:r>
        <w:rPr>
          <w:rFonts w:ascii="Arial" w:cs="Arial" w:eastAsia="Arial" w:hAnsi="Arial"/>
          <w:sz w:val="18"/>
          <w:szCs w:val="18"/>
          <w:b w:val="1"/>
          <w:bCs w:val="1"/>
          <w:color w:val="auto"/>
        </w:rPr>
        <w:t>Exhibit</w:t>
      </w:r>
    </w:p>
    <w:p>
      <w:pPr>
        <w:sectPr>
          <w:pgSz w:w="11900" w:h="16838" w:orient="portrait"/>
          <w:cols w:equalWidth="0" w:num="1">
            <w:col w:w="11032"/>
          </w:cols>
          <w:pgMar w:left="248" w:top="472" w:right="619" w:bottom="1440" w:gutter="0" w:footer="0" w:header="0"/>
        </w:sectPr>
      </w:pPr>
    </w:p>
    <w:p>
      <w:pPr>
        <w:spacing w:after="0" w:line="27" w:lineRule="exact"/>
        <w:rPr>
          <w:sz w:val="20"/>
          <w:szCs w:val="20"/>
          <w:color w:val="auto"/>
        </w:rPr>
      </w:pPr>
    </w:p>
    <w:p>
      <w:pPr>
        <w:ind w:left="92"/>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32" w:lineRule="exact"/>
        <w:rPr>
          <w:sz w:val="20"/>
          <w:szCs w:val="20"/>
          <w:color w:val="auto"/>
        </w:rPr>
      </w:pPr>
    </w:p>
    <w:p>
      <w:pPr>
        <w:sectPr>
          <w:pgSz w:w="11900" w:h="16838" w:orient="portrait"/>
          <w:cols w:equalWidth="0" w:num="2">
            <w:col w:w="872" w:space="720"/>
            <w:col w:w="9440"/>
          </w:cols>
          <w:pgMar w:left="248" w:top="472" w:right="619" w:bottom="1440" w:gutter="0" w:footer="0" w:header="0"/>
          <w:type w:val="continuous"/>
        </w:sectPr>
      </w:pPr>
    </w:p>
    <w:p>
      <w:pPr>
        <w:ind w:left="1132" w:right="20" w:hanging="1132"/>
        <w:spacing w:after="0" w:line="247" w:lineRule="auto"/>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43" w:lineRule="exact"/>
        <w:rPr>
          <w:rFonts w:ascii="Arial" w:cs="Arial" w:eastAsia="Arial" w:hAnsi="Arial"/>
          <w:sz w:val="18"/>
          <w:szCs w:val="18"/>
          <w:color w:val="auto"/>
        </w:rPr>
      </w:pPr>
    </w:p>
    <w:p>
      <w:pPr>
        <w:ind w:left="1132" w:hanging="1132"/>
        <w:spacing w:after="0" w:line="262" w:lineRule="auto"/>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42" w:lineRule="exact"/>
        <w:rPr>
          <w:rFonts w:ascii="Arial" w:cs="Arial" w:eastAsia="Arial" w:hAnsi="Arial"/>
          <w:sz w:val="18"/>
          <w:szCs w:val="18"/>
          <w:color w:val="auto"/>
        </w:rPr>
      </w:pPr>
    </w:p>
    <w:p>
      <w:pPr>
        <w:ind w:left="1132" w:right="20" w:hanging="1132"/>
        <w:spacing w:after="0" w:line="262" w:lineRule="auto"/>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28" w:lineRule="exact"/>
        <w:rPr>
          <w:rFonts w:ascii="Arial" w:cs="Arial" w:eastAsia="Arial" w:hAnsi="Arial"/>
          <w:sz w:val="18"/>
          <w:szCs w:val="18"/>
          <w:color w:val="auto"/>
        </w:rPr>
      </w:pPr>
    </w:p>
    <w:p>
      <w:pPr>
        <w:ind w:left="1132" w:hanging="1132"/>
        <w:spacing w:after="0" w:line="262" w:lineRule="auto"/>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28" w:lineRule="exact"/>
        <w:rPr>
          <w:rFonts w:ascii="Arial" w:cs="Arial" w:eastAsia="Arial" w:hAnsi="Arial"/>
          <w:sz w:val="18"/>
          <w:szCs w:val="18"/>
          <w:color w:val="auto"/>
        </w:rPr>
      </w:pPr>
    </w:p>
    <w:p>
      <w:pPr>
        <w:ind w:left="1132" w:right="240" w:hanging="1132"/>
        <w:spacing w:after="0" w:line="262" w:lineRule="auto"/>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142" w:lineRule="exact"/>
        <w:rPr>
          <w:rFonts w:ascii="Arial" w:cs="Arial" w:eastAsia="Arial" w:hAnsi="Arial"/>
          <w:sz w:val="18"/>
          <w:szCs w:val="18"/>
          <w:color w:val="auto"/>
        </w:rPr>
      </w:pPr>
    </w:p>
    <w:p>
      <w:pPr>
        <w:ind w:left="1132" w:hanging="1132"/>
        <w:spacing w:after="0"/>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Agreement, dated as of March 11, 2014 between TSL Advisers, LLC and Goldman, Sachs &amp; Co.</w:t>
      </w:r>
    </w:p>
    <w:p>
      <w:pPr>
        <w:spacing w:after="0" w:line="171" w:lineRule="exact"/>
        <w:rPr>
          <w:rFonts w:ascii="Arial" w:cs="Arial" w:eastAsia="Arial" w:hAnsi="Arial"/>
          <w:sz w:val="18"/>
          <w:szCs w:val="18"/>
          <w:color w:val="auto"/>
        </w:rPr>
      </w:pPr>
    </w:p>
    <w:p>
      <w:pPr>
        <w:ind w:left="1132" w:hanging="1132"/>
        <w:spacing w:after="0"/>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Authorization and designation letter, dated March 10, 2014, by 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-2360295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Page 12 of 12</w:t>
      </w:r>
    </w:p>
    <w:p>
      <w:pPr>
        <w:sectPr>
          <w:pgSz w:w="11900" w:h="16838" w:orient="portrait"/>
          <w:cols w:equalWidth="0" w:num="1">
            <w:col w:w="11032"/>
          </w:cols>
          <w:pgMar w:left="248" w:top="472" w:right="61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PURCHASE AGREEMENT</w:t>
      </w:r>
    </w:p>
    <w:p>
      <w:pPr>
        <w:spacing w:after="0" w:line="200" w:lineRule="exact"/>
        <w:rPr>
          <w:sz w:val="20"/>
          <w:szCs w:val="20"/>
          <w:color w:val="auto"/>
        </w:rPr>
      </w:pPr>
    </w:p>
    <w:p>
      <w:pPr>
        <w:spacing w:after="0" w:line="201" w:lineRule="exact"/>
        <w:rPr>
          <w:sz w:val="20"/>
          <w:szCs w:val="20"/>
          <w:color w:val="auto"/>
        </w:rPr>
      </w:pPr>
    </w:p>
    <w:p>
      <w:pPr>
        <w:ind w:right="160" w:firstLine="1297"/>
        <w:spacing w:after="0" w:line="327" w:lineRule="auto"/>
        <w:rPr>
          <w:sz w:val="20"/>
          <w:szCs w:val="20"/>
          <w:color w:val="auto"/>
        </w:rPr>
      </w:pPr>
      <w:r>
        <w:rPr>
          <w:rFonts w:ascii="Arial" w:cs="Arial" w:eastAsia="Arial" w:hAnsi="Arial"/>
          <w:sz w:val="22"/>
          <w:szCs w:val="22"/>
          <w:color w:val="auto"/>
        </w:rPr>
        <w:t>Purchase Agreement, dated March 11, 2014 (the “Purchase Agreement”), between TSL Advisers, LLC, a Delaware limited liability company (the “Purchaser”), and Goldman, Sachs &amp; Co. (the “Broker”).</w:t>
      </w:r>
    </w:p>
    <w:p>
      <w:pPr>
        <w:spacing w:after="0" w:line="283" w:lineRule="exact"/>
        <w:rPr>
          <w:sz w:val="20"/>
          <w:szCs w:val="20"/>
          <w:color w:val="auto"/>
        </w:rPr>
      </w:pPr>
    </w:p>
    <w:p>
      <w:pPr>
        <w:jc w:val="both"/>
        <w:ind w:firstLine="1297"/>
        <w:spacing w:after="0" w:line="317" w:lineRule="auto"/>
        <w:rPr>
          <w:sz w:val="20"/>
          <w:szCs w:val="20"/>
          <w:color w:val="auto"/>
        </w:rPr>
      </w:pPr>
      <w:r>
        <w:rPr>
          <w:rFonts w:ascii="Arial" w:cs="Arial" w:eastAsia="Arial" w:hAnsi="Arial"/>
          <w:sz w:val="22"/>
          <w:szCs w:val="22"/>
          <w:color w:val="auto"/>
        </w:rPr>
        <w:t>WHEREAS, the Purchaser desires to appoint the Broker to purchase on behalf of the Purchaser shares (“Shares”) of outstanding common stock, $0.01 par value (the “Stock”), issued by TPG Specialty Lending, Inc., a Delaware corporation (“</w:t>
      </w:r>
      <w:r>
        <w:rPr>
          <w:rFonts w:ascii="Arial" w:cs="Arial" w:eastAsia="Arial" w:hAnsi="Arial"/>
          <w:sz w:val="22"/>
          <w:szCs w:val="22"/>
          <w:u w:val="single" w:color="auto"/>
          <w:color w:val="auto"/>
        </w:rPr>
        <w:t>TSL</w:t>
      </w:r>
      <w:r>
        <w:rPr>
          <w:rFonts w:ascii="Arial" w:cs="Arial" w:eastAsia="Arial" w:hAnsi="Arial"/>
          <w:sz w:val="22"/>
          <w:szCs w:val="22"/>
          <w:color w:val="auto"/>
        </w:rPr>
        <w:t>”); and</w:t>
      </w:r>
    </w:p>
    <w:p>
      <w:pPr>
        <w:spacing w:after="0" w:line="294"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22"/>
          <w:szCs w:val="22"/>
          <w:color w:val="auto"/>
        </w:rPr>
        <w:t>WHEREAS, the parties intend that the purchases of Shares made pursuant to this Purchase Agreement shall comply with the requirements of subsection (c)(1)(i) of Rule 10b5-1 (“Rule 10b5-1”) and Rule 10b-18 (“Rule 10b-18”), each under the Securities Exchange Act of 1934, as amended (“Exchange Act”), and that this Purchase Agreement shall be interpreted to comply with the requirements of those rules.</w:t>
      </w:r>
    </w:p>
    <w:p>
      <w:pPr>
        <w:spacing w:after="0" w:line="2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Purchaser and the Broker hereby agree as follows:</w:t>
      </w:r>
    </w:p>
    <w:p>
      <w:pPr>
        <w:spacing w:after="0" w:line="395" w:lineRule="exact"/>
        <w:rPr>
          <w:sz w:val="20"/>
          <w:szCs w:val="20"/>
          <w:color w:val="auto"/>
        </w:rPr>
      </w:pPr>
    </w:p>
    <w:p>
      <w:pPr>
        <w:jc w:val="both"/>
        <w:ind w:firstLine="8"/>
        <w:spacing w:after="0" w:line="312" w:lineRule="auto"/>
        <w:tabs>
          <w:tab w:leader="none" w:pos="22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Broker shall effect one or more purchases of Shares (each, a “Purchase”) as set forth on Annex A. The share amounts and per share prices in Annex A shall be adjusted automatically on a proportionate basis to take into account any stock split, reverse stock split or stock dividend with respect to the Stock that occurs during the period this Purchase Agreement remains in effect. The Broker’s sole compensation for services rendered under this Purchase Agreement shall be a commission of $0.02 per Share purchased.</w:t>
      </w:r>
    </w:p>
    <w:p>
      <w:pPr>
        <w:spacing w:after="0" w:line="300" w:lineRule="exact"/>
        <w:rPr>
          <w:rFonts w:ascii="Arial" w:cs="Arial" w:eastAsia="Arial" w:hAnsi="Arial"/>
          <w:sz w:val="22"/>
          <w:szCs w:val="22"/>
          <w:color w:val="auto"/>
        </w:rPr>
      </w:pPr>
    </w:p>
    <w:p>
      <w:pPr>
        <w:jc w:val="both"/>
        <w:ind w:firstLine="8"/>
        <w:spacing w:after="0" w:line="312" w:lineRule="auto"/>
        <w:tabs>
          <w:tab w:leader="none" w:pos="217" w:val="left"/>
        </w:tabs>
        <w:numPr>
          <w:ilvl w:val="0"/>
          <w:numId w:val="9"/>
        </w:numPr>
        <w:rPr>
          <w:rFonts w:ascii="Arial" w:cs="Arial" w:eastAsia="Arial" w:hAnsi="Arial"/>
          <w:sz w:val="22"/>
          <w:szCs w:val="22"/>
          <w:color w:val="auto"/>
        </w:rPr>
      </w:pPr>
      <w:r>
        <w:rPr>
          <w:rFonts w:ascii="Arial" w:cs="Arial" w:eastAsia="Arial" w:hAnsi="Arial"/>
          <w:sz w:val="22"/>
          <w:szCs w:val="22"/>
          <w:color w:val="auto"/>
        </w:rPr>
        <w:t>Purchases may commence after the initial public offering (the “IPO”) of the Stock by TSL pursuant to a registration statement on Form N-2 (the “Registration Statement”) on the first Trading Day (as defined in Annex A) to occur after four full calendar weeks of trading in the Stock have occurred for purposes of determining ADTV as defined in Rule 10b-18 and shall terminate on the earliest of: (i) the date an aggregate purchase amount of $25,000,000 of Shares (inclusive of commissions) has been purchased pursuant to this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13" w:name="page14"/>
    <w:bookmarkEnd w:id="13"/>
    <w:p>
      <w:pPr>
        <w:spacing w:after="0" w:line="360" w:lineRule="auto"/>
        <w:rPr>
          <w:sz w:val="20"/>
          <w:szCs w:val="20"/>
          <w:color w:val="auto"/>
        </w:rPr>
      </w:pPr>
      <w:r>
        <w:rPr>
          <w:rFonts w:ascii="Arial" w:cs="Arial" w:eastAsia="Arial" w:hAnsi="Arial"/>
          <w:sz w:val="19"/>
          <w:szCs w:val="19"/>
          <w:color w:val="auto"/>
        </w:rPr>
        <w:t>Agreement; (ii) the date that any person publicly announces a tender or exchange offer with respect to the Stock; (iii) the date of public announcement of a merger, acquisition, reorganization, recapitalization or comparable transaction affecting the securities of the Purchaser as a result of which the Stock is to be exchanged or converted into other securities or property; (iv) the date on which the Broker receives notice of the intended or actual commencement of any proceedings in respect of or triggered by the Purchaser’s bankruptcy, insolvency or similar proceeding; (v) the date on which any event of termination described herein shall occur; (vi) promptly after the receipt of written notice of termination signed by a senior officer of the Purchaser and confirmed by telephone, it being understood that any such termination shall not cause Purchases previously effected pursuant to this Purchase Agreement to fail to be entitled to the benefits of Rule 10b5-1(c), and that any such termination notice shall not indicate the reasons for the termination or contain any material non-public information; and (vii) December 31, 2014. Notwithstanding the foregoing or any other provision herein, if (i) any court, arbitrator, governmental, regulatory or stock exchange authority objects to the transactions contemplated hereby and this Agreement cannot be appropriately amended in light of any such objections in a manner acceptable to the Purchaser, acting in its sole discretion, or (ii) the closing date of the IPO (the “Closing Date”) shall not have occurred prior to or on April 11, 2014, then, in each case, this Purchase Agreement shall terminate automatically without any liability of the Purchaser or the Broker and be of no further force and effect.</w:t>
      </w:r>
    </w:p>
    <w:p>
      <w:pPr>
        <w:spacing w:after="0" w:line="274" w:lineRule="exact"/>
        <w:rPr>
          <w:sz w:val="20"/>
          <w:szCs w:val="20"/>
          <w:color w:val="auto"/>
        </w:rPr>
      </w:pPr>
    </w:p>
    <w:p>
      <w:pPr>
        <w:jc w:val="both"/>
        <w:ind w:firstLine="8"/>
        <w:spacing w:after="0" w:line="330" w:lineRule="auto"/>
        <w:tabs>
          <w:tab w:leader="none" w:pos="228"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Broker may make Purchases pursuant to this Purchase Agreement solely in the open market. The Broker agrees to comply with the manner of purchase requirements of paragraphs (b)(2), (b)(3) and (b)(4) of Rule 10b-18 in effecting any Purchase pursuant to this Purchase Agreement. The Purchaser agrees that the Broker shall have full discretion with respect to the execution of all Purchases and the Purchaser agrees not to take any action that would cause any Purchase not to comply with Rule 10b-18, nor to attempt to influence how, when or whether Purchases are made by the Broker.</w:t>
      </w:r>
    </w:p>
    <w:p>
      <w:pPr>
        <w:spacing w:after="0" w:line="284" w:lineRule="exact"/>
        <w:rPr>
          <w:rFonts w:ascii="Arial" w:cs="Arial" w:eastAsia="Arial" w:hAnsi="Arial"/>
          <w:sz w:val="21"/>
          <w:szCs w:val="21"/>
          <w:color w:val="auto"/>
        </w:rPr>
      </w:pPr>
    </w:p>
    <w:p>
      <w:pPr>
        <w:ind w:left="220" w:hanging="212"/>
        <w:spacing w:after="0"/>
        <w:tabs>
          <w:tab w:leader="none" w:pos="2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Purchaser represents, warrants and covenants that:</w:t>
      </w:r>
    </w:p>
    <w:p>
      <w:pPr>
        <w:spacing w:after="0" w:line="395" w:lineRule="exact"/>
        <w:rPr>
          <w:sz w:val="20"/>
          <w:szCs w:val="20"/>
          <w:color w:val="auto"/>
        </w:rPr>
      </w:pPr>
    </w:p>
    <w:p>
      <w:pPr>
        <w:ind w:firstLine="8"/>
        <w:spacing w:after="0" w:line="327" w:lineRule="auto"/>
        <w:tabs>
          <w:tab w:leader="none" w:pos="277"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Board of Managers of the Purchaser has authorized the Purchase of the Shares in compliance with Rule 10b-18 and Rule 10b5-1;</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4" w:name="page15"/>
    <w:bookmarkEnd w:id="14"/>
    <w:p>
      <w:pPr>
        <w:ind w:firstLine="8"/>
        <w:spacing w:after="0" w:line="327" w:lineRule="auto"/>
        <w:tabs>
          <w:tab w:leader="none" w:pos="35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Registration Statement contains a description of the Purchases to be made on behalf of the Purchaser pursuant to this Agreement;</w:t>
      </w:r>
    </w:p>
    <w:p>
      <w:pPr>
        <w:spacing w:after="0" w:line="283" w:lineRule="exact"/>
        <w:rPr>
          <w:rFonts w:ascii="Arial" w:cs="Arial" w:eastAsia="Arial" w:hAnsi="Arial"/>
          <w:sz w:val="22"/>
          <w:szCs w:val="22"/>
          <w:color w:val="auto"/>
        </w:rPr>
      </w:pPr>
    </w:p>
    <w:p>
      <w:pPr>
        <w:jc w:val="both"/>
        <w:ind w:firstLine="8"/>
        <w:spacing w:after="0" w:line="338" w:lineRule="auto"/>
        <w:tabs>
          <w:tab w:leader="none" w:pos="414" w:val="left"/>
        </w:tabs>
        <w:numPr>
          <w:ilvl w:val="0"/>
          <w:numId w:val="12"/>
        </w:numPr>
        <w:rPr>
          <w:rFonts w:ascii="Arial" w:cs="Arial" w:eastAsia="Arial" w:hAnsi="Arial"/>
          <w:sz w:val="21"/>
          <w:szCs w:val="21"/>
          <w:color w:val="auto"/>
        </w:rPr>
      </w:pPr>
      <w:r>
        <w:rPr>
          <w:rFonts w:ascii="Arial" w:cs="Arial" w:eastAsia="Arial" w:hAnsi="Arial"/>
          <w:sz w:val="21"/>
          <w:szCs w:val="21"/>
          <w:color w:val="auto"/>
        </w:rPr>
        <w:t>as of the date hereof, the Purchaser is not aware of material nonpublic information concerning TSL except for any such information as will be disclosed in the Registration Statement on or prior to the Closing Date, and is entering into this Purchase Agreement in good faith and not as part of a plan or scheme to evade the prohibitions of Rule 10b5-1;</w:t>
      </w:r>
    </w:p>
    <w:p>
      <w:pPr>
        <w:spacing w:after="0" w:line="276" w:lineRule="exact"/>
        <w:rPr>
          <w:rFonts w:ascii="Arial" w:cs="Arial" w:eastAsia="Arial" w:hAnsi="Arial"/>
          <w:sz w:val="21"/>
          <w:szCs w:val="21"/>
          <w:color w:val="auto"/>
        </w:rPr>
      </w:pPr>
    </w:p>
    <w:p>
      <w:pPr>
        <w:ind w:right="20" w:firstLine="8"/>
        <w:spacing w:after="0" w:line="417" w:lineRule="auto"/>
        <w:tabs>
          <w:tab w:leader="none" w:pos="379"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Purchaser will not, during the period this Purchase Agreement is in effect, enter into any comparable agreement with any other broker if the period of such comparable agreement shall overlap with the period of this Purchase Agreement;</w:t>
      </w:r>
    </w:p>
    <w:p>
      <w:pPr>
        <w:spacing w:after="0" w:line="213" w:lineRule="exact"/>
        <w:rPr>
          <w:rFonts w:ascii="Arial" w:cs="Arial" w:eastAsia="Arial" w:hAnsi="Arial"/>
          <w:sz w:val="19"/>
          <w:szCs w:val="19"/>
          <w:color w:val="auto"/>
        </w:rPr>
      </w:pPr>
    </w:p>
    <w:p>
      <w:pPr>
        <w:ind w:firstLine="8"/>
        <w:spacing w:after="0" w:line="327" w:lineRule="auto"/>
        <w:tabs>
          <w:tab w:leader="none" w:pos="342" w:val="left"/>
        </w:tabs>
        <w:numPr>
          <w:ilvl w:val="0"/>
          <w:numId w:val="12"/>
        </w:numPr>
        <w:rPr>
          <w:rFonts w:ascii="Arial" w:cs="Arial" w:eastAsia="Arial" w:hAnsi="Arial"/>
          <w:sz w:val="22"/>
          <w:szCs w:val="22"/>
          <w:color w:val="auto"/>
        </w:rPr>
      </w:pPr>
      <w:r>
        <w:rPr>
          <w:rFonts w:ascii="Arial" w:cs="Arial" w:eastAsia="Arial" w:hAnsi="Arial"/>
          <w:sz w:val="22"/>
          <w:szCs w:val="22"/>
          <w:color w:val="auto"/>
        </w:rPr>
        <w:t>Purchases are not prohibited or restricted by any legal, regulatory or contractual restriction or undertaking binding on the Purchaser;</w:t>
      </w:r>
    </w:p>
    <w:p>
      <w:pPr>
        <w:spacing w:after="0" w:line="283" w:lineRule="exact"/>
        <w:rPr>
          <w:rFonts w:ascii="Arial" w:cs="Arial" w:eastAsia="Arial" w:hAnsi="Arial"/>
          <w:sz w:val="22"/>
          <w:szCs w:val="22"/>
          <w:color w:val="auto"/>
        </w:rPr>
      </w:pPr>
    </w:p>
    <w:p>
      <w:pPr>
        <w:jc w:val="both"/>
        <w:ind w:firstLine="8"/>
        <w:spacing w:after="0" w:line="317" w:lineRule="auto"/>
        <w:tabs>
          <w:tab w:leader="none" w:pos="37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Purchaser will not, during the period this Purchase Agreement is in effect, enter into or alter any corresponding or hedging transaction or position with respect to any Shares, or, except as permitted hereunder, alter or deviate from the Purchases contemplated hereby; and</w:t>
      </w:r>
    </w:p>
    <w:p>
      <w:pPr>
        <w:spacing w:after="0" w:line="294" w:lineRule="exact"/>
        <w:rPr>
          <w:sz w:val="20"/>
          <w:szCs w:val="20"/>
          <w:color w:val="auto"/>
        </w:rPr>
      </w:pPr>
    </w:p>
    <w:p>
      <w:pPr>
        <w:ind w:firstLine="8"/>
        <w:spacing w:after="0" w:line="307" w:lineRule="auto"/>
        <w:tabs>
          <w:tab w:leader="none" w:pos="367"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Purchaser will not, during the period this Purchase Agreement is in effect, enter into any transaction to Purchase any Shares that is inconsistent with Rule 10b-18 or applicable law;</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and</w:t>
      </w:r>
    </w:p>
    <w:p>
      <w:pPr>
        <w:spacing w:after="0" w:line="395" w:lineRule="exact"/>
        <w:rPr>
          <w:sz w:val="20"/>
          <w:szCs w:val="20"/>
          <w:color w:val="auto"/>
        </w:rPr>
      </w:pPr>
    </w:p>
    <w:p>
      <w:pPr>
        <w:ind w:firstLine="8"/>
        <w:spacing w:after="0" w:line="307" w:lineRule="auto"/>
        <w:tabs>
          <w:tab w:leader="none" w:pos="48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Purchaser shall immediately notify the Broker if any of the statements contained in paragraphs 4(iv) or 4(v) above become inaccurate prior to the termination of this Purchase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4" w:right="239" w:bottom="1440" w:gutter="0" w:footer="0" w:header="0"/>
        </w:sectPr>
      </w:pPr>
    </w:p>
    <w:bookmarkStart w:id="15" w:name="page16"/>
    <w:bookmarkEnd w:id="15"/>
    <w:p>
      <w:pPr>
        <w:jc w:val="both"/>
        <w:ind w:firstLine="8"/>
        <w:spacing w:after="0" w:line="366" w:lineRule="auto"/>
        <w:tabs>
          <w:tab w:leader="none" w:pos="229" w:val="left"/>
        </w:tabs>
        <w:numPr>
          <w:ilvl w:val="0"/>
          <w:numId w:val="15"/>
        </w:numPr>
        <w:rPr>
          <w:rFonts w:ascii="Arial" w:cs="Arial" w:eastAsia="Arial" w:hAnsi="Arial"/>
          <w:sz w:val="19"/>
          <w:szCs w:val="19"/>
          <w:color w:val="auto"/>
        </w:rPr>
      </w:pPr>
      <w:r>
        <w:rPr>
          <w:rFonts w:ascii="Arial" w:cs="Arial" w:eastAsia="Arial" w:hAnsi="Arial"/>
          <w:sz w:val="19"/>
          <w:szCs w:val="19"/>
          <w:color w:val="auto"/>
        </w:rPr>
        <w:t>Payment for Shares purchased under this Purchase Agreement shall be made in accordance with normal settlement procedures. The Broker shall establish a purchase account for the Purchaser into which Purchased Shares will be deposited against payment to the Broker of the purchase price and the Broker’s compensation. These Shares will be placed into transfer on a weekly basis. The Purchaser agrees that the obligation of the Broker to make Purchases on any day on which Purchases are to occur pursuant to this Purchase Agreement is conditioned upon the Purchaser maintaining compliance with normal settlement procedures. Any failure by the Purchaser to maintain such compliance, as reasonably determined by the Broker, shall be deemed an event of termination, and no further Purchases shall thereafter be made pursuant to this Purchase Agreement.</w:t>
      </w:r>
    </w:p>
    <w:p>
      <w:pPr>
        <w:spacing w:after="0" w:line="260" w:lineRule="exact"/>
        <w:rPr>
          <w:rFonts w:ascii="Arial" w:cs="Arial" w:eastAsia="Arial" w:hAnsi="Arial"/>
          <w:sz w:val="19"/>
          <w:szCs w:val="19"/>
          <w:color w:val="auto"/>
        </w:rPr>
      </w:pPr>
    </w:p>
    <w:p>
      <w:pPr>
        <w:jc w:val="both"/>
        <w:ind w:firstLine="8"/>
        <w:spacing w:after="0" w:line="362" w:lineRule="auto"/>
        <w:tabs>
          <w:tab w:leader="none" w:pos="232"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Broker shall provide the Purchaser with written confirmation of Purchases executed on behalf of the Purchaser on a daily basis (showing the date of the transactions, the number of shares purchased, the price paid, the Broker’s compensation for the Purchases, and settlement dates), as well as other market data or account reports that the Purchaser may reasonably request. Unless otherwise directed by the Purchaser, such confirmation shall be delivered to Joshua Easterly, Alan Kirshenbaum, Steve Willmann, Justin Meagher and the TSL Accounting Group through electronic mail sent to jeasterly@tpg.com, akirshenbaum@tpg.com, SWillmann@tpg.com, jmeagher@tpg.com and TSLAccounting@tpg.com, with a paper copy addressed to the attention of Alan Kirshenbaum, Chief Financial Officer, c/o TPG Specialty Lending, 888 Seventh Ave., 38th Floor, New York, NY 10019, and a copy to Adam Fleisher, Rebecca Tabb, Cameron Wood and Jessica Fan through electronic mail sent to afleisher@cgsh.com, rtabb@cgsh.com, cwood@cgsh.com, jfan@cgsh.com, with a paper copy to the attention of Cameron Wood, c/o Cleary Gottlieb Steen &amp; Hamilton LLP, One Liberty Plaza, New York, NY 10007.</w:t>
      </w:r>
    </w:p>
    <w:p>
      <w:pPr>
        <w:spacing w:after="0" w:line="269" w:lineRule="exact"/>
        <w:rPr>
          <w:rFonts w:ascii="Arial" w:cs="Arial" w:eastAsia="Arial" w:hAnsi="Arial"/>
          <w:sz w:val="19"/>
          <w:szCs w:val="19"/>
          <w:color w:val="auto"/>
        </w:rPr>
      </w:pPr>
    </w:p>
    <w:p>
      <w:pPr>
        <w:jc w:val="both"/>
        <w:ind w:firstLine="8"/>
        <w:spacing w:after="0" w:line="312" w:lineRule="auto"/>
        <w:tabs>
          <w:tab w:leader="none" w:pos="256"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Purchaser understands that the Broker may not be able to effect a Purchase due to a market disruption or a legal or regulatory restriction or a restriction under the terms of any contract applicable to the Broker (including any restriction, whether pursuant to a contract, internal policy or otherwise, applicable to the Broker when it is involved in a distribution of Stock on behalf of the Purchaser or another party) (a “Blackout”). The Purchaser also understands that even in the absence of a Blackout, the Broker may be unable to effect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 w:name="page17"/>
    <w:bookmarkEnd w:id="16"/>
    <w:p>
      <w:pPr>
        <w:jc w:val="both"/>
        <w:spacing w:after="0" w:line="317" w:lineRule="auto"/>
        <w:rPr>
          <w:sz w:val="20"/>
          <w:szCs w:val="20"/>
          <w:color w:val="auto"/>
        </w:rPr>
      </w:pPr>
      <w:r>
        <w:rPr>
          <w:rFonts w:ascii="Arial" w:cs="Arial" w:eastAsia="Arial" w:hAnsi="Arial"/>
          <w:sz w:val="22"/>
          <w:szCs w:val="22"/>
          <w:color w:val="auto"/>
        </w:rPr>
        <w:t>Purchases consistent with ordinary principles of best execution due to insufficient volume of trading, failure of the Stock to reach and sustain a limit order price, or other market factors in effect on the date of a Purchase set forth in Annex A (“Unfilled Purchases”).</w:t>
      </w:r>
    </w:p>
    <w:p>
      <w:pPr>
        <w:spacing w:after="0" w:line="294" w:lineRule="exact"/>
        <w:rPr>
          <w:sz w:val="20"/>
          <w:szCs w:val="20"/>
          <w:color w:val="auto"/>
        </w:rPr>
      </w:pPr>
    </w:p>
    <w:p>
      <w:pPr>
        <w:jc w:val="both"/>
        <w:ind w:firstLine="8"/>
        <w:spacing w:after="0" w:line="361" w:lineRule="auto"/>
        <w:tabs>
          <w:tab w:leader="none" w:pos="243"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Broker agrees that if the Purchaser enters into a transaction that results, in Purchaser’s good faith determination, in the imposition of trading restrictions on the Purchaser (each, a “Purchaser Restriction”), and if the Purchaser shall provide the Broker prior notice, then the Broker will cease effecting Purchases under this Purchase Agreement until notified by the Purchaser that such restrictions have terminated and the Purchaser authorizes the resumption of Purchases; provided that the Purchaser shall authorize such a resumption only if done in good faith and not as part of a plan or scheme to evade the prohibitions of Rule 10b5-1, and at a time when the Purchaser is not aware of material nonpublic information concerning TSL or its securities. All required notifications to the Broker under this paragraph 8 shall be made in writing (signed by Purchaser) and confirmed by telephone as follows: (Attn: Corporate Repurchase Desk, c/o Neil Kearns; Fax No. (212) 493-9487; Tel: (212) 902-5281; or Matthew Chellgren; Fax No. (212) 428-1353; Tel: (212) 902-3198). The Broker shall resume effecting Purchases in accordance with this Purchase Agreement as soon as practicable after the cessation or termination of a Blackout or, subject to resumption being authorized by the Purchaser, a Purchaser Restriction. Any Unfilled Purchase, and any Purchases that would have been executed in accordance with the terms of Annex A but are not executed due to the existence of a Blackout or a Purchaser Restriction, shall be deemed to be cancelled and shall not be effected pursuant to this Purchase Agreement.</w:t>
      </w:r>
    </w:p>
    <w:p>
      <w:pPr>
        <w:spacing w:after="0" w:line="265" w:lineRule="exact"/>
        <w:rPr>
          <w:rFonts w:ascii="Arial" w:cs="Arial" w:eastAsia="Arial" w:hAnsi="Arial"/>
          <w:sz w:val="19"/>
          <w:szCs w:val="19"/>
          <w:color w:val="auto"/>
        </w:rPr>
      </w:pPr>
    </w:p>
    <w:p>
      <w:pPr>
        <w:jc w:val="both"/>
        <w:ind w:firstLine="8"/>
        <w:spacing w:after="0" w:line="376" w:lineRule="auto"/>
        <w:tabs>
          <w:tab w:leader="none" w:pos="224"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Purchaser agrees that it shall not, directly or indirectly, communicate any information relating either to the Stock or to TSL to any employee of the Broker or its affiliates who is involved, directly or indirectly, in executing this Purchase Agreement at any time while this Purchase Agreement is in effect. The Purchaser shall be solely responsible for complying with all reporting or filing requirements, or with any laws not mentioned herein, that may apply to Purchases under this Purchase Agreement.</w:t>
      </w:r>
    </w:p>
    <w:p>
      <w:pPr>
        <w:spacing w:after="0" w:line="251" w:lineRule="exact"/>
        <w:rPr>
          <w:rFonts w:ascii="Arial" w:cs="Arial" w:eastAsia="Arial" w:hAnsi="Arial"/>
          <w:sz w:val="19"/>
          <w:szCs w:val="19"/>
          <w:color w:val="auto"/>
        </w:rPr>
      </w:pPr>
    </w:p>
    <w:p>
      <w:pPr>
        <w:ind w:firstLine="8"/>
        <w:spacing w:after="0" w:line="327" w:lineRule="auto"/>
        <w:tabs>
          <w:tab w:leader="none" w:pos="33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Purchaser agrees that, in the absence of gross negligence, willful misconduct, bad faith or material breach of this Purchase Agreement by the Broker or any of its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 w:name="page18"/>
    <w:bookmarkEnd w:id="17"/>
    <w:p>
      <w:pPr>
        <w:jc w:val="both"/>
        <w:spacing w:after="0" w:line="363" w:lineRule="auto"/>
        <w:rPr>
          <w:sz w:val="20"/>
          <w:szCs w:val="20"/>
          <w:color w:val="auto"/>
        </w:rPr>
      </w:pPr>
      <w:r>
        <w:rPr>
          <w:rFonts w:ascii="Arial" w:cs="Arial" w:eastAsia="Arial" w:hAnsi="Arial"/>
          <w:sz w:val="19"/>
          <w:szCs w:val="19"/>
          <w:color w:val="auto"/>
        </w:rPr>
        <w:t>affiliates, directors, officers, employees and agents (collectively, “Broker Persons”), the Broker Persons shall not have any liability whatsoever to the Purchaser for any action taken or omitted to be taken in connection with this Purchase Agreement or the making of any Purchase. The Purchaser further agrees to hold each Broker Person free and harmless from any and all losses, damages, liabilities or expenses (including reasonable attorneys’ fees and costs) incurred or sustained by such Broker Person in connection with or arising out of any suit, action or proceeding relating to this Purchase Agreement (each, an “Action”) and to reimburse each Broker Person for such Broker Person’s expenses, as they are incurred, in connection with any Action, unless such loss, damage, liability or expense is determined in a non-appealable order of a court of competent jurisdiction to be the result of such the Broker Person’s gross negligence, willful misconduct, bad faith or material breach of this Purchase Agreement. This paragraph 10 shall survive termination of this Purchase Agreement.</w:t>
      </w:r>
    </w:p>
    <w:p>
      <w:pPr>
        <w:spacing w:after="0" w:line="267" w:lineRule="exact"/>
        <w:rPr>
          <w:sz w:val="20"/>
          <w:szCs w:val="20"/>
          <w:color w:val="auto"/>
        </w:rPr>
      </w:pPr>
    </w:p>
    <w:p>
      <w:pPr>
        <w:jc w:val="both"/>
        <w:ind w:firstLine="8"/>
        <w:spacing w:after="0" w:line="314" w:lineRule="auto"/>
        <w:tabs>
          <w:tab w:leader="none" w:pos="384"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This Purchase Agreement is not assignable or transferable, and constitutes the entire agreement between the parties, superseding any prior written or oral agreements or understandings with regard to this Purchase Agreement. This Purchase Agreement may be executed in one or more counterparts, each of which when so executed and delivered shall constitute a single, binding instrument.</w:t>
      </w:r>
    </w:p>
    <w:p>
      <w:pPr>
        <w:spacing w:after="0" w:line="296" w:lineRule="exact"/>
        <w:rPr>
          <w:rFonts w:ascii="Arial" w:cs="Arial" w:eastAsia="Arial" w:hAnsi="Arial"/>
          <w:sz w:val="22"/>
          <w:szCs w:val="22"/>
          <w:color w:val="auto"/>
        </w:rPr>
      </w:pPr>
    </w:p>
    <w:p>
      <w:pPr>
        <w:jc w:val="both"/>
        <w:ind w:firstLine="8"/>
        <w:spacing w:after="0" w:line="322" w:lineRule="auto"/>
        <w:tabs>
          <w:tab w:leader="none" w:pos="342"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This Purchase Agreement shall be governed by and construed in accordance with the laws of the State of New York without regard to conflict of law principles that would result in the application of any law other than the law of the State of New York and may be modified or amended only by a writing signed by the parties hereto and provided that any such modification or amendment shall only be permitted if made in good faith and not as part of a plan or scheme to evade the prohibitions of Rule 10b5-1, and at a time when the Purchaser is not aware of material nonpublic information concerning TSL or its securities. In the event of a modification or amendment to this Purchase Agreement, no Purchases shall be effected during the ten business days immediately following such modification or amendment (other than Purchases already provided for in this Purchase Agreement prior to modification or amendment).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 w:name="page19"/>
    <w:bookmarkEnd w:id="18"/>
    <w:p>
      <w:pPr>
        <w:jc w:val="both"/>
        <w:ind w:firstLine="1305"/>
        <w:spacing w:after="0" w:line="361" w:lineRule="auto"/>
        <w:tabs>
          <w:tab w:leader="none" w:pos="227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Purchaser understands that the Broker may use an automated trading system, known as Cipher, to transmit orders in the Stock. Cipher uses an algorithm that tracks a stock's volume weighted average price (“VWAP”). When used for stock purchase programs, Cipher is programmed to generate purchase orders only at prices conforming to the timing, price and volume requirements of Rule 10b-18. If the last sale price reported in the consolidated system changes after Cipher generates the purchase order, Cipher will automatically send a cancel/correct order when the execution price on the original purchase order, if executed, would have exceeded the price of the intervening last sale. During the course of a trading day, due to rapid changes in market conditions, there may be insufficient time for the cancel/correct order to reach the specialist, market maker or electronic communications network, or to be acted upon by such venues. In those instances, and in any other instance where the purchase would not comply with the provisions of Rule 10b-18, Cipher will not book such executions to the Purchaser’s account. Rather, any such executions will be automatically booked to a Broker error account for subsequent handling as an error trade. The Purchaser agrees that this provision shall serve as notice that such executions may occur and that, absent a specific request from the Purchaser to receive notice thereof, any such executions will be handled in the manner described above. The Broker reserves the right to discontinue use of Cipher at any time.</w:t>
      </w:r>
    </w:p>
    <w:p>
      <w:pPr>
        <w:spacing w:after="0" w:line="265" w:lineRule="exact"/>
        <w:rPr>
          <w:sz w:val="20"/>
          <w:szCs w:val="20"/>
          <w:color w:val="auto"/>
        </w:rPr>
      </w:pPr>
    </w:p>
    <w:p>
      <w:pPr>
        <w:jc w:val="both"/>
        <w:ind w:firstLine="1297"/>
        <w:spacing w:after="0" w:line="366" w:lineRule="auto"/>
        <w:rPr>
          <w:sz w:val="20"/>
          <w:szCs w:val="20"/>
          <w:color w:val="auto"/>
        </w:rPr>
      </w:pPr>
      <w:r>
        <w:rPr>
          <w:rFonts w:ascii="Arial" w:cs="Arial" w:eastAsia="Arial" w:hAnsi="Arial"/>
          <w:sz w:val="19"/>
          <w:szCs w:val="19"/>
          <w:color w:val="auto"/>
        </w:rPr>
        <w:t xml:space="preserve">The Purchaser further understands that, due to the manual process involved in executing and reporting trades on the floor of the New York Stock Exchange, a trade that is otherwise compliant with the price restrictions of Rule 10b-18 may appear to have been effected outside of the price restriction. Such a condition typically occurs as a result of the delays inherent in the New York Stock Exchange (“NYSE”) specialist process of reporting a trade to the Consolidated Tape. In those instances where there is a delay between the execution and reporting of a trade by the specialist on the NYSE floor, a trade reported to the Consolidated Tape by another market may cause the NYSE trade report to appear as an “uptick”, </w:t>
      </w:r>
      <w:r>
        <w:rPr>
          <w:rFonts w:ascii="Arial" w:cs="Arial" w:eastAsia="Arial" w:hAnsi="Arial"/>
          <w:sz w:val="19"/>
          <w:szCs w:val="19"/>
          <w:i w:val="1"/>
          <w:iCs w:val="1"/>
          <w:color w:val="auto"/>
        </w:rPr>
        <w:t>i.e.,</w:t>
      </w:r>
      <w:r>
        <w:rPr>
          <w:rFonts w:ascii="Arial" w:cs="Arial" w:eastAsia="Arial" w:hAnsi="Arial"/>
          <w:sz w:val="19"/>
          <w:szCs w:val="19"/>
          <w:color w:val="auto"/>
        </w:rPr>
        <w:t xml:space="preserve"> a trade executed at a price higher than the highest independent bid or last sale price. These conditions are more likely to occur in actively traded stocks.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color w:val="auto"/>
        </w:rPr>
        <w:t>IN WITNESS WHEREOF, the undersigned have executed and delivered this Purchase Agreement as of the date first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TSL ADVISERS, LLC</w:t>
      </w:r>
    </w:p>
    <w:p>
      <w:pPr>
        <w:spacing w:after="0" w:line="200" w:lineRule="exact"/>
        <w:rPr>
          <w:sz w:val="20"/>
          <w:szCs w:val="20"/>
          <w:color w:val="auto"/>
        </w:rPr>
      </w:pPr>
    </w:p>
    <w:p>
      <w:pPr>
        <w:spacing w:after="0" w:line="201" w:lineRule="exact"/>
        <w:rPr>
          <w:sz w:val="20"/>
          <w:szCs w:val="20"/>
          <w:color w:val="auto"/>
        </w:rPr>
      </w:pPr>
    </w:p>
    <w:p>
      <w:pPr>
        <w:ind w:left="4680"/>
        <w:spacing w:after="0"/>
        <w:rPr>
          <w:sz w:val="20"/>
          <w:szCs w:val="20"/>
          <w:color w:val="auto"/>
        </w:rPr>
      </w:pPr>
      <w:r>
        <w:rPr>
          <w:rFonts w:ascii="Arial" w:cs="Arial" w:eastAsia="Arial" w:hAnsi="Arial"/>
          <w:sz w:val="22"/>
          <w:szCs w:val="22"/>
          <w:u w:val="single" w:color="auto"/>
          <w:color w:val="auto"/>
        </w:rPr>
        <w:t>/s/ Joshua Easterly</w:t>
      </w:r>
    </w:p>
    <w:p>
      <w:pPr>
        <w:spacing w:after="0" w:line="7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 Joshua Easterly</w:t>
      </w:r>
    </w:p>
    <w:p>
      <w:pPr>
        <w:spacing w:after="0" w:line="7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 Vice President</w:t>
      </w:r>
    </w:p>
    <w:p>
      <w:pPr>
        <w:spacing w:after="0" w:line="389"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GOLDMAN, SACHS &amp; CO.</w:t>
      </w:r>
    </w:p>
    <w:p>
      <w:pPr>
        <w:spacing w:after="0" w:line="77" w:lineRule="exact"/>
        <w:rPr>
          <w:sz w:val="20"/>
          <w:szCs w:val="20"/>
          <w:color w:val="auto"/>
        </w:rPr>
      </w:pPr>
    </w:p>
    <w:p>
      <w:pPr>
        <w:ind w:left="4680"/>
        <w:spacing w:after="0"/>
        <w:rPr>
          <w:sz w:val="20"/>
          <w:szCs w:val="20"/>
          <w:color w:val="auto"/>
        </w:rPr>
      </w:pPr>
      <w:r>
        <w:rPr>
          <w:rFonts w:ascii="Arial" w:cs="Arial" w:eastAsia="Arial" w:hAnsi="Arial"/>
          <w:sz w:val="22"/>
          <w:szCs w:val="22"/>
          <w:u w:val="single" w:color="auto"/>
          <w:color w:val="auto"/>
        </w:rPr>
        <w:t>/s/ Neil Kearns</w:t>
      </w:r>
    </w:p>
    <w:p>
      <w:pPr>
        <w:spacing w:after="0" w:line="7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 Neil Kearns</w:t>
      </w:r>
    </w:p>
    <w:p>
      <w:pPr>
        <w:spacing w:after="0" w:line="7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10" w:right="239" w:bottom="1440" w:gutter="0" w:footer="0" w:header="0"/>
        </w:sectPr>
      </w:pPr>
    </w:p>
    <w:bookmarkStart w:id="20" w:name="page21"/>
    <w:bookmarkEnd w:id="20"/>
    <w:p>
      <w:pPr>
        <w:spacing w:after="0" w:line="3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color w:val="auto"/>
        </w:rPr>
        <w:t>March 10, 2014</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This letter confirms that Ronald Cami and David Reintjes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July 1, 2016.</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4979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796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Alan Waxman</w:t>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lowerRoman"/>
      <w:start w:val="2"/>
    </w:lvl>
  </w:abstractNum>
  <w:abstractNum w:abstractNumId="12">
    <w:nsid w:val="41A7C4C9"/>
    <w:multiLevelType w:val="hybridMultilevel"/>
    <w:lvl w:ilvl="0">
      <w:lvlJc w:val="left"/>
      <w:lvlText w:val="(%1)"/>
      <w:numFmt w:val="lowerRoman"/>
      <w:start w:val="6"/>
    </w:lvl>
  </w:abstractNum>
  <w:abstractNum w:abstractNumId="13">
    <w:nsid w:val="6B68079A"/>
    <w:multiLevelType w:val="hybridMultilevel"/>
    <w:lvl w:ilvl="0">
      <w:lvlJc w:val="left"/>
      <w:lvlText w:val="(%1)"/>
      <w:numFmt w:val="lowerRoman"/>
      <w:start w:val="8"/>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2019-12-08T00:06:49Z</dcterms:created>
  <dcterms:modified xsi:type="dcterms:W3CDTF">2019-12-08T00:06:49Z</dcterms:modified>
</cp:coreProperties>
</file>