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14, 2014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333-193986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080" w:type="dxa"/>
        <w:tblCellMar>
          <w:top w:w="0" w:type="dxa"/>
          <w:left w:w="0" w:type="dxa"/>
          <w:bottom w:w="0" w:type="dxa"/>
          <w:right w:w="0" w:type="dxa"/>
        </w:tblCellMar>
      </w:tblPr>
      <w:tr>
        <w:trPr>
          <w:trHeight w:val="225"/>
        </w:trPr>
        <w:tc>
          <w:tcPr>
            <w:tcW w:w="5140" w:type="dxa"/>
            <w:vAlign w:val="bottom"/>
          </w:tcPr>
          <w:p>
            <w:pPr>
              <w:ind w:left="126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00" w:type="dxa"/>
            <w:vAlign w:val="bottom"/>
            <w:vMerge w:val="restart"/>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5140" w:type="dxa"/>
            <w:vAlign w:val="bottom"/>
          </w:tcPr>
          <w:p>
            <w:pPr>
              <w:jc w:val="center"/>
              <w:ind w:right="1952"/>
              <w:spacing w:after="0" w:line="224"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jc w:val="center"/>
              <w:ind w:right="1952"/>
              <w:spacing w:after="0" w:line="243" w:lineRule="exact"/>
              <w:rPr>
                <w:sz w:val="20"/>
                <w:szCs w:val="20"/>
                <w:color w:val="auto"/>
              </w:rPr>
            </w:pPr>
            <w:r>
              <w:rPr>
                <w:rFonts w:ascii="Arial" w:cs="Arial" w:eastAsia="Arial" w:hAnsi="Arial"/>
                <w:sz w:val="22"/>
                <w:szCs w:val="22"/>
                <w:b w:val="1"/>
                <w:bCs w:val="1"/>
                <w:color w:val="auto"/>
                <w:w w:val="89"/>
              </w:rPr>
              <w:t>Pre-Effective Amendment No. 3</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4"/>
        </w:trPr>
        <w:tc>
          <w:tcPr>
            <w:tcW w:w="5140" w:type="dxa"/>
            <w:vAlign w:val="bottom"/>
          </w:tcPr>
          <w:p>
            <w:pPr>
              <w:jc w:val="center"/>
              <w:ind w:right="1952"/>
              <w:spacing w:after="0"/>
              <w:rPr>
                <w:sz w:val="20"/>
                <w:szCs w:val="20"/>
                <w:color w:val="auto"/>
              </w:rPr>
            </w:pPr>
            <w:r>
              <w:rPr>
                <w:rFonts w:ascii="Arial" w:cs="Arial" w:eastAsia="Arial" w:hAnsi="Arial"/>
                <w:sz w:val="22"/>
                <w:szCs w:val="22"/>
                <w:b w:val="1"/>
                <w:bCs w:val="1"/>
                <w:color w:val="auto"/>
                <w:w w:val="88"/>
              </w:rPr>
              <w:t>Post-Effective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(817) 871-4000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85"/>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Michael A. Gerstenzang,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Stuart H. Gelfond, Esq.</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Adam E. Fleisher,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Paul D. Tropp, Esq.</w:t>
            </w:r>
          </w:p>
        </w:tc>
      </w:tr>
      <w:tr>
        <w:trPr>
          <w:trHeight w:val="217"/>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Helena K. Grannis,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2"/>
              </w:rPr>
              <w:t>Cleary Gottlieb Steen &amp; Hamilton LLP</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One New York Plaza</w:t>
            </w:r>
          </w:p>
        </w:tc>
      </w:tr>
      <w:tr>
        <w:trPr>
          <w:trHeight w:val="216"/>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91"/>
              </w:rPr>
              <w:t>One Liberty Plaza</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New York, NY 10004</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New York, NY 10006</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7"/>
              </w:rPr>
              <w:t>Telephone: (212) 859-8000</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Telephone: (212) 225-2000</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8"/>
              </w:rPr>
              <w:t>Facsimile: (212) 859-4000</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Facsimile: (212) 225-3999</w:t>
            </w:r>
          </w:p>
        </w:tc>
        <w:tc>
          <w:tcPr>
            <w:tcW w:w="5780" w:type="dxa"/>
            <w:vAlign w:val="bottom"/>
          </w:tcPr>
          <w:p>
            <w:pPr>
              <w:spacing w:after="0"/>
              <w:rPr>
                <w:sz w:val="19"/>
                <w:szCs w:val="19"/>
                <w:color w:val="auto"/>
              </w:rPr>
            </w:pPr>
          </w:p>
        </w:tc>
      </w:tr>
    </w:tbl>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96"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4"/>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2"/>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Amount Being</w:t>
            </w:r>
          </w:p>
        </w:tc>
        <w:tc>
          <w:tcPr>
            <w:tcW w:w="184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5"/>
              </w:rPr>
              <w:t>Registered</w:t>
            </w:r>
          </w:p>
        </w:tc>
        <w:tc>
          <w:tcPr>
            <w:tcW w:w="184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Price(1)(2)</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6"/>
              </w:rPr>
              <w:t>Registration Fee(3)</w:t>
            </w:r>
          </w:p>
        </w:tc>
      </w:tr>
      <w:tr>
        <w:trPr>
          <w:trHeight w:val="210"/>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$136,850,000</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6"/>
              </w:rPr>
              <w:t>$17,626.28</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underwriters’ option to purchase additional shares of our common stock to cover over-allotments.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the purpose of determining the registration fee.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78" w:lineRule="exact"/>
        <w:rPr>
          <w:sz w:val="24"/>
          <w:szCs w:val="24"/>
          <w:color w:val="auto"/>
        </w:rPr>
      </w:pPr>
    </w:p>
    <w:p>
      <w:pPr>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March 14, 2014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7,000,000 Shares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88" w:lineRule="exact"/>
        <w:rPr>
          <w:sz w:val="20"/>
          <w:szCs w:val="20"/>
          <w:color w:val="auto"/>
        </w:rPr>
      </w:pPr>
    </w:p>
    <w:p>
      <w:pPr>
        <w:ind w:right="40" w:firstLine="342"/>
        <w:spacing w:after="0" w:line="318" w:lineRule="auto"/>
        <w:rPr>
          <w:sz w:val="20"/>
          <w:szCs w:val="20"/>
          <w:color w:val="auto"/>
        </w:rPr>
      </w:pPr>
      <w:r>
        <w:rPr>
          <w:rFonts w:ascii="Arial" w:cs="Arial" w:eastAsia="Arial" w:hAnsi="Arial"/>
          <w:sz w:val="12"/>
          <w:szCs w:val="12"/>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2"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As of December 31, 2013, our investment portfolio consisted of 30 investments in 27 portfolio companies with an aggregate fair value of $1,016.5 million. Following this offering, we intend to continue to pursue an investment strategy focused on direct origination of loans to middle-market companies principally domiciled in the United States.</w:t>
      </w:r>
    </w:p>
    <w:p>
      <w:pPr>
        <w:spacing w:after="0" w:line="58"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$8.5 billion of assets under management as of December 31, 2013, as adjusted for commitments accepted on January 2, 2014. TPG Special Situations Partners is the special situations and credit platform of TPG, a leading global private investment firm founded in 1992 with over $59 billion of assets under management as of December 31, 2013, as adjusted for commitments accepted on January 2, 2014.</w:t>
      </w:r>
    </w:p>
    <w:p>
      <w:pPr>
        <w:spacing w:after="0" w:line="58" w:lineRule="exact"/>
        <w:rPr>
          <w:sz w:val="20"/>
          <w:szCs w:val="20"/>
          <w:color w:val="auto"/>
        </w:rPr>
      </w:pPr>
    </w:p>
    <w:p>
      <w:pPr>
        <w:ind w:right="40" w:firstLine="342"/>
        <w:spacing w:after="0" w:line="233" w:lineRule="auto"/>
        <w:rPr>
          <w:sz w:val="20"/>
          <w:szCs w:val="20"/>
          <w:color w:val="auto"/>
        </w:rPr>
      </w:pPr>
      <w:r>
        <w:rPr>
          <w:rFonts w:ascii="Arial" w:cs="Arial" w:eastAsia="Arial" w:hAnsi="Arial"/>
          <w:sz w:val="14"/>
          <w:szCs w:val="14"/>
          <w:color w:val="auto"/>
        </w:rPr>
        <w:t>Certain of our existing investors, including our Adviser, have agreed to purchase $50 million of our common stock in a private placement transaction at a purchase price per share equal to our initial public offering price per share, subject to a cap of $17.00 per share. The private placement transaction is subject to certain customary closing conditions and also subject to, and will close concurrently with, the completion of this offering.</w:t>
      </w:r>
    </w:p>
    <w:p>
      <w:pPr>
        <w:spacing w:after="0" w:line="58" w:lineRule="exact"/>
        <w:rPr>
          <w:sz w:val="20"/>
          <w:szCs w:val="20"/>
          <w:color w:val="auto"/>
        </w:rPr>
      </w:pPr>
    </w:p>
    <w:p>
      <w:pPr>
        <w:jc w:val="both"/>
        <w:ind w:right="120" w:firstLine="342"/>
        <w:spacing w:after="0" w:line="288" w:lineRule="auto"/>
        <w:rPr>
          <w:sz w:val="20"/>
          <w:szCs w:val="20"/>
          <w:color w:val="auto"/>
        </w:rPr>
      </w:pPr>
      <w:r>
        <w:rPr>
          <w:rFonts w:ascii="Arial" w:cs="Arial" w:eastAsia="Arial" w:hAnsi="Arial"/>
          <w:sz w:val="12"/>
          <w:szCs w:val="12"/>
          <w:color w:val="auto"/>
        </w:rPr>
        <w:t>The Adviser has also entered into an agreement with Goldman, Sachs &amp; Co. in accordance with Rules 10b5-1 and 10b-18 under the Securities Exchange Act of 1934, as amended,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plan has been exhausted or December 31, 2014, subject to certain conditions. See “Related-Party Transactions and Certain Relationships.”</w:t>
      </w:r>
    </w:p>
    <w:p>
      <w:pPr>
        <w:spacing w:after="0" w:line="30" w:lineRule="exact"/>
        <w:rPr>
          <w:sz w:val="20"/>
          <w:szCs w:val="20"/>
          <w:color w:val="auto"/>
        </w:rPr>
      </w:pPr>
    </w:p>
    <w:p>
      <w:pPr>
        <w:ind w:right="200" w:firstLine="342"/>
        <w:spacing w:after="0" w:line="278" w:lineRule="auto"/>
        <w:rPr>
          <w:sz w:val="20"/>
          <w:szCs w:val="20"/>
          <w:color w:val="auto"/>
        </w:rPr>
      </w:pPr>
      <w:r>
        <w:rPr>
          <w:rFonts w:ascii="Arial" w:cs="Arial" w:eastAsia="Arial" w:hAnsi="Arial"/>
          <w:sz w:val="12"/>
          <w:szCs w:val="12"/>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36" w:lineRule="exact"/>
        <w:rPr>
          <w:sz w:val="20"/>
          <w:szCs w:val="20"/>
          <w:color w:val="auto"/>
        </w:rPr>
      </w:pPr>
    </w:p>
    <w:p>
      <w:pPr>
        <w:ind w:right="200" w:firstLine="342"/>
        <w:spacing w:after="0" w:line="233"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This is our initial public offering of our shares of common stock. All of the shares of common stock offered by this prospectus are being sold by us.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are an “emerging growth company,” as defined in Section 2(a) of the U.S. Securities Act of 1933, and will be subject to reduced public company reporting requirements.</w:t>
      </w:r>
    </w:p>
    <w:p>
      <w:pPr>
        <w:spacing w:after="0" w:line="67" w:lineRule="exact"/>
        <w:rPr>
          <w:sz w:val="20"/>
          <w:szCs w:val="20"/>
          <w:color w:val="auto"/>
        </w:rPr>
      </w:pPr>
    </w:p>
    <w:p>
      <w:pPr>
        <w:ind w:right="20" w:firstLine="342"/>
        <w:spacing w:after="0" w:line="241" w:lineRule="auto"/>
        <w:rPr>
          <w:sz w:val="20"/>
          <w:szCs w:val="20"/>
          <w:color w:val="auto"/>
        </w:rPr>
      </w:pPr>
      <w:r>
        <w:rPr>
          <w:rFonts w:ascii="Arial" w:cs="Arial" w:eastAsia="Arial" w:hAnsi="Arial"/>
          <w:sz w:val="14"/>
          <w:szCs w:val="14"/>
          <w:b w:val="1"/>
          <w:bCs w:val="1"/>
          <w:color w:val="auto"/>
        </w:rPr>
        <w:t xml:space="preserve">Our shares of common stock have no history of public trading. </w:t>
      </w:r>
      <w:r>
        <w:rPr>
          <w:rFonts w:ascii="Arial" w:cs="Arial" w:eastAsia="Arial" w:hAnsi="Arial"/>
          <w:sz w:val="14"/>
          <w:szCs w:val="14"/>
          <w:color w:val="auto"/>
        </w:rPr>
        <w:t>We currently expect that the initial public offering price per share of our common stock will be between $16.00 and $17.00 per share. We</w:t>
      </w:r>
      <w:r>
        <w:rPr>
          <w:rFonts w:ascii="Arial" w:cs="Arial" w:eastAsia="Arial" w:hAnsi="Arial"/>
          <w:sz w:val="14"/>
          <w:szCs w:val="14"/>
          <w:b w:val="1"/>
          <w:bCs w:val="1"/>
          <w:color w:val="auto"/>
        </w:rPr>
        <w:t xml:space="preserve"> </w:t>
      </w:r>
      <w:r>
        <w:rPr>
          <w:rFonts w:ascii="Arial" w:cs="Arial" w:eastAsia="Arial" w:hAnsi="Arial"/>
          <w:sz w:val="14"/>
          <w:szCs w:val="14"/>
          <w:color w:val="auto"/>
        </w:rPr>
        <w:t>have applied to have our common stock listed on the New York Stock Exchange under the symbol “TSLX.”</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Assuming an initial public offering price of $16.50 per share, purchasers in this offering will experience dilution of approximately $0.99 per share. See “Dilution” for more information.</w:t>
      </w:r>
    </w:p>
    <w:p>
      <w:pPr>
        <w:spacing w:after="0" w:line="90" w:lineRule="exact"/>
        <w:rPr>
          <w:sz w:val="20"/>
          <w:szCs w:val="20"/>
          <w:color w:val="auto"/>
        </w:rPr>
      </w:pPr>
    </w:p>
    <w:p>
      <w:pPr>
        <w:ind w:right="60" w:firstLine="342"/>
        <w:spacing w:after="0" w:line="23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common stock involves a high degree of risk. Shares of closed-end investment companies, including business development companies, frequently trade at a discount to their net asset values. If our shares trade at a discount to our net asset value, purchasers in this offering will face increased risk of loss. In addition, the companies in which we invest are subject to special risks. Before buying any shares, you should read the discussion of the material risks of investing in our common stock, including the risk of leverage, in “</w:t>
      </w:r>
      <w:hyperlink w:anchor="page26">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22 of this prospectus.</w:t>
      </w:r>
    </w:p>
    <w:p>
      <w:pPr>
        <w:spacing w:after="0" w:line="57" w:lineRule="exact"/>
        <w:rPr>
          <w:sz w:val="20"/>
          <w:szCs w:val="20"/>
          <w:color w:val="auto"/>
        </w:rPr>
      </w:pPr>
    </w:p>
    <w:p>
      <w:pPr>
        <w:ind w:right="80" w:firstLine="342"/>
        <w:spacing w:after="0" w:line="228" w:lineRule="auto"/>
        <w:rPr>
          <w:sz w:val="20"/>
          <w:szCs w:val="20"/>
          <w:color w:val="auto"/>
        </w:rPr>
      </w:pPr>
      <w:r>
        <w:rPr>
          <w:rFonts w:ascii="Arial" w:cs="Arial" w:eastAsia="Arial" w:hAnsi="Arial"/>
          <w:sz w:val="14"/>
          <w:szCs w:val="14"/>
          <w:color w:val="auto"/>
        </w:rPr>
        <w:t>This prospectus contains important information you should know before investing in our common stock. Information required to be included in a Statement of Additional Information may be found in this prospectus. Please read it before you invest and keep it for future reference.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The Securities and Exchange Commission also maintains a website at http://www.sec.gov that contains this information.</w:t>
      </w:r>
    </w:p>
    <w:p>
      <w:pPr>
        <w:spacing w:after="0" w:line="57" w:lineRule="exact"/>
        <w:rPr>
          <w:sz w:val="20"/>
          <w:szCs w:val="20"/>
          <w:color w:val="auto"/>
        </w:rPr>
      </w:pPr>
    </w:p>
    <w:p>
      <w:pPr>
        <w:ind w:right="320" w:firstLine="342"/>
        <w:spacing w:after="0" w:line="241" w:lineRule="auto"/>
        <w:rPr>
          <w:sz w:val="20"/>
          <w:szCs w:val="20"/>
          <w:color w:val="auto"/>
        </w:rPr>
      </w:pPr>
      <w:r>
        <w:rPr>
          <w:rFonts w:ascii="Arial" w:cs="Arial" w:eastAsia="Arial" w:hAnsi="Arial"/>
          <w:sz w:val="14"/>
          <w:szCs w:val="14"/>
          <w:b w:val="1"/>
          <w:bCs w:val="1"/>
          <w:color w:val="auto"/>
        </w:rPr>
        <w:t>The Securities and Exchange Commission has not approved or disapproved these securities or determined if this prospectus is truthful or complete. Any representation to the contrary is a criminal offense.</w:t>
      </w:r>
    </w:p>
    <w:p>
      <w:pPr>
        <w:spacing w:after="0" w:line="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jc w:val="right"/>
              <w:ind w:right="78"/>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jc w:val="right"/>
              <w:ind w:right="18"/>
              <w:spacing w:after="0"/>
              <w:rPr>
                <w:sz w:val="20"/>
                <w:szCs w:val="20"/>
                <w:color w:val="auto"/>
              </w:rPr>
            </w:pPr>
            <w:r>
              <w:rPr>
                <w:rFonts w:ascii="Arial" w:cs="Arial" w:eastAsia="Arial" w:hAnsi="Arial"/>
                <w:sz w:val="14"/>
                <w:szCs w:val="14"/>
                <w:b w:val="1"/>
                <w:bCs w:val="1"/>
                <w:color w:val="auto"/>
                <w:w w:val="97"/>
              </w:rPr>
              <w:t>Share</w:t>
            </w:r>
          </w:p>
        </w:tc>
        <w:tc>
          <w:tcPr>
            <w:tcW w:w="50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42"/>
        </w:trPr>
        <w:tc>
          <w:tcPr>
            <w:tcW w:w="4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25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Sales load (underwriting discount)(1)</w:t>
            </w:r>
          </w:p>
        </w:tc>
        <w:tc>
          <w:tcPr>
            <w:tcW w:w="306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expenses(2)</w:t>
            </w:r>
          </w:p>
        </w:tc>
        <w:tc>
          <w:tcPr>
            <w:tcW w:w="306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“Underwriting” for a more complete description of underwriting compensation.</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estimate that we will incur offering expenses of approximately $3.0 million, or approximately $0.43 per share, in connection with this offering.</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have granted the underwriters an over-allotment option to purchase up to an additional 1,050,000 shares of our common stock from us, at the public offering price, less the sales load payable by us,</w:t>
      </w:r>
    </w:p>
    <w:p>
      <w:pPr>
        <w:spacing w:after="0" w:line="10" w:lineRule="exact"/>
        <w:rPr>
          <w:sz w:val="20"/>
          <w:szCs w:val="20"/>
          <w:color w:val="auto"/>
        </w:rPr>
      </w:pPr>
    </w:p>
    <w:p>
      <w:pPr>
        <w:spacing w:after="0"/>
        <w:tabs>
          <w:tab w:leader="none" w:pos="7940" w:val="left"/>
        </w:tabs>
        <w:rPr>
          <w:sz w:val="20"/>
          <w:szCs w:val="20"/>
          <w:color w:val="auto"/>
        </w:rPr>
      </w:pPr>
      <w:r>
        <w:rPr>
          <w:rFonts w:ascii="Arial" w:cs="Arial" w:eastAsia="Arial" w:hAnsi="Arial"/>
          <w:sz w:val="14"/>
          <w:szCs w:val="14"/>
          <w:color w:val="auto"/>
        </w:rPr>
        <w:t>within 30 days from the date of this prospectus. If the underwriters exercise their over-allotment option in full, the total sales load will be $</w:t>
      </w:r>
      <w:r>
        <w:rPr>
          <w:sz w:val="20"/>
          <w:szCs w:val="20"/>
          <w:color w:val="auto"/>
        </w:rPr>
        <w:tab/>
      </w:r>
      <w:r>
        <w:rPr>
          <w:rFonts w:ascii="Arial" w:cs="Arial" w:eastAsia="Arial" w:hAnsi="Arial"/>
          <w:sz w:val="12"/>
          <w:szCs w:val="12"/>
          <w:color w:val="auto"/>
        </w:rPr>
        <w:t>million and total proceeds to us, before expenses, will be</w:t>
      </w: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3440"/>
        <w:spacing w:after="0"/>
        <w:tabs>
          <w:tab w:leader="none" w:pos="7940" w:val="left"/>
        </w:tabs>
        <w:rPr>
          <w:sz w:val="20"/>
          <w:szCs w:val="20"/>
          <w:color w:val="auto"/>
        </w:rPr>
      </w:pPr>
      <w:r>
        <w:rPr>
          <w:rFonts w:ascii="Arial" w:cs="Arial" w:eastAsia="Arial" w:hAnsi="Arial"/>
          <w:sz w:val="14"/>
          <w:szCs w:val="14"/>
          <w:color w:val="auto"/>
        </w:rPr>
        <w:t>The shares of our common stock will be ready for delivery on or about</w:t>
      </w:r>
      <w:r>
        <w:rPr>
          <w:sz w:val="20"/>
          <w:szCs w:val="20"/>
          <w:color w:val="auto"/>
        </w:rPr>
        <w:tab/>
      </w:r>
      <w:r>
        <w:rPr>
          <w:rFonts w:ascii="Arial" w:cs="Arial" w:eastAsia="Arial" w:hAnsi="Arial"/>
          <w:sz w:val="14"/>
          <w:szCs w:val="14"/>
          <w:color w:val="auto"/>
        </w:rPr>
        <w: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38" w:lineRule="exact"/>
        <w:rPr>
          <w:sz w:val="20"/>
          <w:szCs w:val="20"/>
          <w:color w:val="auto"/>
        </w:rPr>
      </w:pPr>
    </w:p>
    <w:p>
      <w:pPr>
        <w:spacing w:after="0"/>
        <w:tabs>
          <w:tab w:leader="none" w:pos="5260" w:val="left"/>
          <w:tab w:leader="none" w:pos="902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BofA Merrill Lynch</w:t>
      </w:r>
      <w:r>
        <w:rPr>
          <w:sz w:val="20"/>
          <w:szCs w:val="20"/>
          <w:color w:val="auto"/>
        </w:rPr>
        <w:tab/>
      </w:r>
      <w:r>
        <w:rPr>
          <w:rFonts w:ascii="Arial" w:cs="Arial" w:eastAsia="Arial" w:hAnsi="Arial"/>
          <w:sz w:val="22"/>
          <w:szCs w:val="22"/>
          <w:b w:val="1"/>
          <w:bCs w:val="1"/>
          <w:color w:val="auto"/>
        </w:rPr>
        <w:t>Goldman, Sachs &amp; Co.</w:t>
      </w:r>
    </w:p>
    <w:p>
      <w:pPr>
        <w:spacing w:after="0" w:line="33" w:lineRule="exact"/>
        <w:rPr>
          <w:sz w:val="20"/>
          <w:szCs w:val="20"/>
          <w:color w:val="auto"/>
        </w:rPr>
      </w:pPr>
    </w:p>
    <w:p>
      <w:pPr>
        <w:ind w:left="440"/>
        <w:spacing w:after="0"/>
        <w:tabs>
          <w:tab w:leader="none" w:pos="4040" w:val="left"/>
          <w:tab w:leader="none" w:pos="1006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Wells Fargo Securities</w:t>
      </w:r>
      <w:r>
        <w:rPr>
          <w:sz w:val="20"/>
          <w:szCs w:val="20"/>
          <w:color w:val="auto"/>
        </w:rPr>
        <w:tab/>
      </w:r>
      <w:r>
        <w:rPr>
          <w:rFonts w:ascii="Arial" w:cs="Arial" w:eastAsia="Arial" w:hAnsi="Arial"/>
          <w:sz w:val="19"/>
          <w:szCs w:val="19"/>
          <w:b w:val="1"/>
          <w:bCs w:val="1"/>
          <w:color w:val="auto"/>
        </w:rPr>
        <w:t>Barclays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71" w:lineRule="exact"/>
        <w:rPr>
          <w:sz w:val="20"/>
          <w:szCs w:val="20"/>
          <w:color w:val="auto"/>
        </w:rPr>
      </w:pPr>
    </w:p>
    <w:p>
      <w:pPr>
        <w:spacing w:after="0"/>
        <w:tabs>
          <w:tab w:leader="none" w:pos="4540" w:val="left"/>
          <w:tab w:leader="none" w:pos="10000" w:val="left"/>
        </w:tabs>
        <w:rPr>
          <w:sz w:val="20"/>
          <w:szCs w:val="20"/>
          <w:color w:val="auto"/>
        </w:rPr>
      </w:pPr>
      <w:r>
        <w:rPr>
          <w:rFonts w:ascii="Arial" w:cs="Arial" w:eastAsia="Arial" w:hAnsi="Arial"/>
          <w:sz w:val="22"/>
          <w:szCs w:val="22"/>
          <w:b w:val="1"/>
          <w:bCs w:val="1"/>
          <w:color w:val="auto"/>
        </w:rPr>
        <w:t>TPG Capital BD, LLC</w:t>
      </w:r>
      <w:r>
        <w:rPr>
          <w:sz w:val="20"/>
          <w:szCs w:val="20"/>
          <w:color w:val="auto"/>
        </w:rPr>
        <w:tab/>
      </w:r>
      <w:r>
        <w:rPr>
          <w:rFonts w:ascii="Arial" w:cs="Arial" w:eastAsia="Arial" w:hAnsi="Arial"/>
          <w:sz w:val="22"/>
          <w:szCs w:val="22"/>
          <w:b w:val="1"/>
          <w:bCs w:val="1"/>
          <w:color w:val="auto"/>
        </w:rPr>
        <w:t>Janney Montgomery Scott</w:t>
      </w:r>
      <w:r>
        <w:rPr>
          <w:sz w:val="20"/>
          <w:szCs w:val="20"/>
          <w:color w:val="auto"/>
        </w:rPr>
        <w:tab/>
      </w:r>
      <w:r>
        <w:rPr>
          <w:rFonts w:ascii="Arial" w:cs="Arial" w:eastAsia="Arial" w:hAnsi="Arial"/>
          <w:sz w:val="19"/>
          <w:szCs w:val="19"/>
          <w:b w:val="1"/>
          <w:bCs w:val="1"/>
          <w:color w:val="auto"/>
        </w:rPr>
        <w:t>JMP Securities</w:t>
      </w:r>
    </w:p>
    <w:p>
      <w:pPr>
        <w:sectPr>
          <w:pgSz w:w="11900" w:h="16838" w:orient="portrait"/>
          <w:cols w:equalWidth="0" w:num="1">
            <w:col w:w="11420"/>
          </w:cols>
          <w:pgMar w:left="240" w:top="459" w:right="239" w:bottom="1440" w:gutter="0" w:footer="0" w:header="0"/>
        </w:sectPr>
      </w:pPr>
    </w:p>
    <w:p>
      <w:pPr>
        <w:spacing w:after="0" w:line="90" w:lineRule="exact"/>
        <w:rPr>
          <w:sz w:val="20"/>
          <w:szCs w:val="20"/>
          <w:color w:val="auto"/>
        </w:rPr>
      </w:pPr>
    </w:p>
    <w:p>
      <w:pPr>
        <w:ind w:left="4220"/>
        <w:spacing w:after="0"/>
        <w:tabs>
          <w:tab w:leader="none" w:pos="714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REFERENCE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ITEM NUMBER</w:t>
            </w:r>
          </w:p>
        </w:tc>
        <w:tc>
          <w:tcPr>
            <w:tcW w:w="80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CAPTION</w:t>
            </w:r>
          </w:p>
        </w:tc>
        <w:tc>
          <w:tcPr>
            <w:tcW w:w="720" w:type="dxa"/>
            <w:vAlign w:val="bottom"/>
          </w:tcPr>
          <w:p>
            <w:pPr>
              <w:spacing w:after="0"/>
              <w:rPr>
                <w:sz w:val="15"/>
                <w:szCs w:val="15"/>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 IN PROSPECTUS</w:t>
            </w:r>
          </w:p>
        </w:tc>
      </w:tr>
      <w:tr>
        <w:trPr>
          <w:trHeight w:val="296"/>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Outside Front Cover</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Outside Front Cover Page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Cover Pages; Other Offering Information</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Inside Front and Outside Back Cover Pages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6"/>
              </w:rPr>
              <w:t>Fee Table and Synopsis</w:t>
            </w:r>
          </w:p>
        </w:tc>
        <w:tc>
          <w:tcPr>
            <w:tcW w:w="4420" w:type="dxa"/>
            <w:vAlign w:val="bottom"/>
          </w:tcPr>
          <w:p>
            <w:pPr>
              <w:jc w:val="center"/>
              <w:spacing w:after="0"/>
              <w:rPr>
                <w:sz w:val="20"/>
                <w:szCs w:val="20"/>
                <w:color w:val="auto"/>
              </w:rPr>
            </w:pPr>
            <w:r>
              <w:rPr>
                <w:rFonts w:ascii="Arial" w:cs="Arial" w:eastAsia="Arial" w:hAnsi="Arial"/>
                <w:sz w:val="18"/>
                <w:szCs w:val="18"/>
                <w:color w:val="auto"/>
                <w:w w:val="84"/>
              </w:rPr>
              <w:t>Fees and Expenses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Financial Highlights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Selected Financial Data and Other Information</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5</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Plan of Distribution</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Underwriting</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6</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6"/>
              </w:rPr>
              <w:t>Selling Shareholders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7</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Use of Proceeds</w:t>
            </w:r>
          </w:p>
        </w:tc>
        <w:tc>
          <w:tcPr>
            <w:tcW w:w="4420" w:type="dxa"/>
            <w:vAlign w:val="bottom"/>
          </w:tcPr>
          <w:p>
            <w:pPr>
              <w:jc w:val="center"/>
              <w:spacing w:after="0"/>
              <w:rPr>
                <w:sz w:val="20"/>
                <w:szCs w:val="20"/>
                <w:color w:val="auto"/>
              </w:rPr>
            </w:pPr>
            <w:r>
              <w:rPr>
                <w:rFonts w:ascii="Arial" w:cs="Arial" w:eastAsia="Arial" w:hAnsi="Arial"/>
                <w:sz w:val="18"/>
                <w:szCs w:val="18"/>
                <w:color w:val="auto"/>
                <w:w w:val="85"/>
              </w:rPr>
              <w:t>Use of Proceeds</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8</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General Description of the Registrant</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Outside Front Cover Page; Prospectus Summary; Risk</w:t>
            </w:r>
          </w:p>
        </w:tc>
      </w:tr>
      <w:tr>
        <w:trPr>
          <w:trHeight w:val="216"/>
        </w:trPr>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Factors; Management’s Discussion and Analysis of Financial</w:t>
            </w:r>
          </w:p>
        </w:tc>
      </w:tr>
      <w:tr>
        <w:trPr>
          <w:trHeight w:val="216"/>
        </w:trPr>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Condition and Results of Operations; The Company; Portfolio</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Companies; Regulation; Shares Eligible for Future Sale</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9</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Management</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Management; Custodian, Transfer and Dividend Paying Agent</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and Registrar</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10</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Capital Stock, Long-Term Debt, and Other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90"/>
              </w:rPr>
              <w:t>Description of Our Capital Stock; Dividend Reinvestment</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3"/>
              </w:rPr>
              <w:t>Plan</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Defaults and Arrears on Senior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Legal Proceedings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Legal Matters</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Table of Contents of the Statement of Additional Information,</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5"/>
              </w:rPr>
              <w:t>or SAI</w:t>
            </w:r>
          </w:p>
        </w:tc>
        <w:tc>
          <w:tcPr>
            <w:tcW w:w="4420" w:type="dxa"/>
            <w:vAlign w:val="bottom"/>
          </w:tcPr>
          <w:p>
            <w:pPr>
              <w:spacing w:after="0"/>
              <w:rPr>
                <w:sz w:val="19"/>
                <w:szCs w:val="19"/>
                <w:color w:val="auto"/>
              </w:rPr>
            </w:pP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Cover Page of SAI</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15</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Table of Contents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Table of Contents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16</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General Information and History</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17</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Investment Objective and Policies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Management’s Discussion and Analysis of Financial</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Condition and Results of Operations; Senior Securities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18</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Management</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Management</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19</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Control Persons and Principal Holders of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Control Persons and Principal Stockholders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20</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Investment Advisory and Other Services</w:t>
            </w: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Management and Other Agreements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Portfolio Managers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Brokerage Allocation and Other Practices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Brokerage Allocation and Other Practices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3"/>
              </w:rPr>
              <w:t>Tax Status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Material U.S. Federal Income Tax Considerations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Financial Statements</w:t>
            </w: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Financial Statements</w:t>
            </w:r>
          </w:p>
        </w:tc>
      </w:tr>
      <w:tr>
        <w:trPr>
          <w:trHeight w:val="365"/>
        </w:trPr>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20" w:type="dxa"/>
            <w:vAlign w:val="bottom"/>
            <w:gridSpan w:val="2"/>
          </w:tcPr>
          <w:p>
            <w:pPr>
              <w:ind w:left="3760"/>
              <w:spacing w:after="0"/>
              <w:rPr>
                <w:sz w:val="20"/>
                <w:szCs w:val="20"/>
                <w:color w:val="auto"/>
              </w:rPr>
            </w:pPr>
            <w:r>
              <w:rPr>
                <w:rFonts w:ascii="Arial" w:cs="Arial" w:eastAsia="Arial" w:hAnsi="Arial"/>
                <w:sz w:val="18"/>
                <w:szCs w:val="18"/>
                <w:color w:val="auto"/>
              </w:rPr>
              <w:t>-i-</w:t>
            </w:r>
          </w:p>
        </w:tc>
        <w:tc>
          <w:tcPr>
            <w:tcW w:w="4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20" w:type="dxa"/>
            <w:vAlign w:val="bottom"/>
            <w:gridSpan w:val="5"/>
          </w:tcPr>
          <w:p>
            <w:pPr>
              <w:ind w:left="60"/>
              <w:spacing w:after="0"/>
              <w:rPr>
                <w:sz w:val="20"/>
                <w:szCs w:val="20"/>
                <w:color w:val="auto"/>
              </w:rPr>
            </w:pPr>
            <w:r>
              <w:rPr>
                <w:rFonts w:ascii="Arial" w:cs="Arial" w:eastAsia="Arial" w:hAnsi="Arial"/>
                <w:sz w:val="18"/>
                <w:szCs w:val="18"/>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THE OFFERING SUMMARY</w:t>
              </w:r>
            </w:hyperlink>
          </w:p>
        </w:tc>
        <w:tc>
          <w:tcPr>
            <w:tcW w:w="768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FEES AND EXPENSES</w:t>
              </w:r>
            </w:hyperlink>
          </w:p>
        </w:tc>
        <w:tc>
          <w:tcPr>
            <w:tcW w:w="812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SPECIAL NOTE REGARDING FORWARD-LOOKING STATEMENTS</w:t>
              </w:r>
            </w:hyperlink>
          </w:p>
        </w:tc>
        <w:tc>
          <w:tcPr>
            <w:tcW w:w="46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834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CAPITALIZATION</w:t>
              </w:r>
            </w:hyperlink>
          </w:p>
        </w:tc>
        <w:tc>
          <w:tcPr>
            <w:tcW w:w="8440" w:type="dxa"/>
            <w:vAlign w:val="bottom"/>
            <w:gridSpan w:val="2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DILUTION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 AND 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SENIOR SECURITIES</w:t>
              </w:r>
            </w:hyperlink>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THE COMPANY</w:t>
              </w:r>
            </w:hyperlink>
          </w:p>
        </w:tc>
        <w:tc>
          <w:tcPr>
            <w:tcW w:w="420" w:type="dxa"/>
            <w:vAlign w:val="bottom"/>
            <w:tcBorders>
              <w:top w:val="single" w:sz="8" w:color="0000EE"/>
            </w:tcBorders>
            <w:gridSpan w:val="7"/>
          </w:tcPr>
          <w:p>
            <w:pPr>
              <w:spacing w:after="0"/>
              <w:rPr>
                <w:sz w:val="17"/>
                <w:szCs w:val="17"/>
                <w:color w:val="auto"/>
              </w:rPr>
            </w:pPr>
          </w:p>
        </w:tc>
        <w:tc>
          <w:tcPr>
            <w:tcW w:w="820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PORTFOLIO COMPANIES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08">
              <w:r>
                <w:rPr>
                  <w:rFonts w:ascii="Arial" w:cs="Arial" w:eastAsia="Arial" w:hAnsi="Arial"/>
                  <w:sz w:val="18"/>
                  <w:szCs w:val="18"/>
                  <w:color w:val="0000EE"/>
                  <w:w w:val="97"/>
                </w:rPr>
                <w:t>MANAGEMENT</w:t>
              </w:r>
            </w:hyperlink>
          </w:p>
        </w:tc>
        <w:tc>
          <w:tcPr>
            <w:tcW w:w="760" w:type="dxa"/>
            <w:vAlign w:val="bottom"/>
            <w:tcBorders>
              <w:top w:val="single" w:sz="8" w:color="0000EE"/>
            </w:tcBorders>
            <w:gridSpan w:val="8"/>
          </w:tcPr>
          <w:p>
            <w:pPr>
              <w:spacing w:after="0"/>
              <w:rPr>
                <w:sz w:val="17"/>
                <w:szCs w:val="17"/>
                <w:color w:val="auto"/>
              </w:rPr>
            </w:pPr>
          </w:p>
        </w:tc>
        <w:tc>
          <w:tcPr>
            <w:tcW w:w="784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356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19">
              <w:r>
                <w:rPr>
                  <w:rFonts w:ascii="Arial" w:cs="Arial" w:eastAsia="Arial" w:hAnsi="Arial"/>
                  <w:sz w:val="18"/>
                  <w:szCs w:val="18"/>
                  <w:color w:val="0000EE"/>
                  <w:w w:val="95"/>
                </w:rPr>
                <w:t>MANAGEMENT AND OTHER AGREEMENTS</w:t>
              </w:r>
            </w:hyperlink>
          </w:p>
        </w:tc>
        <w:tc>
          <w:tcPr>
            <w:tcW w:w="6320" w:type="dxa"/>
            <w:vAlign w:val="bottom"/>
            <w:gridSpan w:val="1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RELATED-PARTY TRANSACTIONS AND CERTAIN RELATIONSHIPS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44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33">
              <w:r>
                <w:rPr>
                  <w:rFonts w:ascii="Arial" w:cs="Arial" w:eastAsia="Arial" w:hAnsi="Arial"/>
                  <w:sz w:val="18"/>
                  <w:szCs w:val="18"/>
                  <w:color w:val="0000EE"/>
                  <w:w w:val="92"/>
                </w:rPr>
                <w:t>CONTROL PERSONS AND PRINCIPAL STOCKHOLDERS</w:t>
              </w:r>
            </w:hyperlink>
          </w:p>
        </w:tc>
        <w:tc>
          <w:tcPr>
            <w:tcW w:w="920" w:type="dxa"/>
            <w:vAlign w:val="bottom"/>
            <w:tcBorders>
              <w:top w:val="single" w:sz="8" w:color="0000EE"/>
            </w:tcBorders>
            <w:gridSpan w:val="5"/>
          </w:tcPr>
          <w:p>
            <w:pPr>
              <w:spacing w:after="0"/>
              <w:rPr>
                <w:sz w:val="17"/>
                <w:szCs w:val="17"/>
                <w:color w:val="auto"/>
              </w:rPr>
            </w:pPr>
          </w:p>
        </w:tc>
        <w:tc>
          <w:tcPr>
            <w:tcW w:w="4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33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36">
              <w:r>
                <w:rPr>
                  <w:rFonts w:ascii="Arial" w:cs="Arial" w:eastAsia="Arial" w:hAnsi="Arial"/>
                  <w:sz w:val="18"/>
                  <w:szCs w:val="18"/>
                  <w:color w:val="0000EE"/>
                  <w:w w:val="94"/>
                </w:rPr>
                <w:t>DETERMINATION OF NET ASSET VALUE</w:t>
              </w:r>
            </w:hyperlink>
          </w:p>
        </w:tc>
        <w:tc>
          <w:tcPr>
            <w:tcW w:w="658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27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37">
              <w:r>
                <w:rPr>
                  <w:rFonts w:ascii="Arial" w:cs="Arial" w:eastAsia="Arial" w:hAnsi="Arial"/>
                  <w:sz w:val="18"/>
                  <w:szCs w:val="18"/>
                  <w:color w:val="0000EE"/>
                  <w:w w:val="96"/>
                </w:rPr>
                <w:t>DIVIDEND REINVESTMENT PLAN</w:t>
              </w:r>
            </w:hyperlink>
          </w:p>
        </w:tc>
        <w:tc>
          <w:tcPr>
            <w:tcW w:w="71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47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MATERIAL U.S. FEDERAL INCOME TAX CONSIDERATIONS</w:t>
              </w:r>
            </w:hyperlink>
          </w:p>
        </w:tc>
        <w:tc>
          <w:tcPr>
            <w:tcW w:w="512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DESCRIPTION OF OUR CAPITAL STOCK</w:t>
              </w:r>
            </w:hyperlink>
          </w:p>
        </w:tc>
        <w:tc>
          <w:tcPr>
            <w:tcW w:w="666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REGULATION</w:t>
              </w:r>
            </w:hyperlink>
          </w:p>
        </w:tc>
        <w:tc>
          <w:tcPr>
            <w:tcW w:w="8760" w:type="dxa"/>
            <w:vAlign w:val="bottom"/>
            <w:gridSpan w:val="2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SHARES ELIGIBLE FOR FUTURE SALE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3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UNDERWRITING</w:t>
              </w:r>
            </w:hyperlink>
          </w:p>
        </w:tc>
        <w:tc>
          <w:tcPr>
            <w:tcW w:w="678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CUSTODIAN, TRANSFER AND DIVIDEND PAYING AGENT AND REGISTRAR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42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BROKERAGE ALLOCATION AND OTHER PRACTICES</w:t>
              </w:r>
            </w:hyperlink>
          </w:p>
        </w:tc>
        <w:tc>
          <w:tcPr>
            <w:tcW w:w="1800" w:type="dxa"/>
            <w:vAlign w:val="bottom"/>
            <w:tcBorders>
              <w:top w:val="single" w:sz="8" w:color="0000EE"/>
            </w:tcBorders>
            <w:gridSpan w:val="8"/>
          </w:tcPr>
          <w:p>
            <w:pPr>
              <w:spacing w:after="0"/>
              <w:rPr>
                <w:sz w:val="17"/>
                <w:szCs w:val="17"/>
                <w:color w:val="auto"/>
              </w:rPr>
            </w:pPr>
          </w:p>
        </w:tc>
        <w:tc>
          <w:tcPr>
            <w:tcW w:w="380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LEGAL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EXPERTS</w:t>
              </w:r>
            </w:hyperlink>
          </w:p>
        </w:tc>
        <w:tc>
          <w:tcPr>
            <w:tcW w:w="660" w:type="dxa"/>
            <w:vAlign w:val="bottom"/>
            <w:tcBorders>
              <w:top w:val="single" w:sz="8" w:color="0000EE"/>
            </w:tcBorders>
            <w:gridSpan w:val="8"/>
          </w:tcPr>
          <w:p>
            <w:pPr>
              <w:spacing w:after="0"/>
              <w:rPr>
                <w:sz w:val="17"/>
                <w:szCs w:val="17"/>
                <w:color w:val="auto"/>
              </w:rPr>
            </w:pPr>
          </w:p>
        </w:tc>
        <w:tc>
          <w:tcPr>
            <w:tcW w:w="8460" w:type="dxa"/>
            <w:vAlign w:val="bottom"/>
            <w:gridSpan w:val="2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AVAILABLE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20"/>
        </w:trPr>
        <w:tc>
          <w:tcPr>
            <w:tcW w:w="2220" w:type="dxa"/>
            <w:vAlign w:val="bottom"/>
            <w:gridSpan w:val="16"/>
            <w:shd w:val="clear" w:color="auto" w:fill="0000EE"/>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170">
              <w:r>
                <w:rPr>
                  <w:rFonts w:ascii="Arial" w:cs="Arial" w:eastAsia="Arial" w:hAnsi="Arial"/>
                  <w:sz w:val="18"/>
                  <w:szCs w:val="18"/>
                  <w:color w:val="0000EE"/>
                  <w:w w:val="94"/>
                </w:rPr>
                <w:t>INDEX TO CONSOLIDATED FINANCIAL STATEMENTS</w:t>
              </w:r>
            </w:hyperlink>
          </w:p>
        </w:tc>
        <w:tc>
          <w:tcPr>
            <w:tcW w:w="55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44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206">
              <w:r>
                <w:rPr>
                  <w:rFonts w:ascii="Arial" w:cs="Arial" w:eastAsia="Arial" w:hAnsi="Arial"/>
                  <w:sz w:val="18"/>
                  <w:szCs w:val="18"/>
                  <w:color w:val="0000EE"/>
                  <w:w w:val="92"/>
                </w:rPr>
                <w:t>APPENDIX A – DESCRIPTION OF SECURITIES RATINGS</w:t>
              </w:r>
            </w:hyperlink>
          </w:p>
        </w:tc>
        <w:tc>
          <w:tcPr>
            <w:tcW w:w="54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86" w:lineRule="exact"/>
        <w:rPr>
          <w:sz w:val="20"/>
          <w:szCs w:val="20"/>
          <w:color w:val="auto"/>
        </w:rPr>
      </w:pPr>
    </w:p>
    <w:p>
      <w:pPr>
        <w:ind w:left="200" w:right="140" w:firstLine="443"/>
        <w:spacing w:after="0" w:line="256" w:lineRule="auto"/>
        <w:rPr>
          <w:sz w:val="20"/>
          <w:szCs w:val="20"/>
          <w:color w:val="auto"/>
        </w:rPr>
      </w:pPr>
      <w:r>
        <w:rPr>
          <w:rFonts w:ascii="Arial" w:cs="Arial" w:eastAsia="Arial" w:hAnsi="Arial"/>
          <w:sz w:val="18"/>
          <w:szCs w:val="18"/>
          <w:i w:val="1"/>
          <w:iCs w:val="1"/>
          <w:color w:val="auto"/>
        </w:rPr>
        <w:t>As used in this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89"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w:t>
      </w:r>
    </w:p>
    <w:p>
      <w:pPr>
        <w:spacing w:after="0" w:line="77"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assumes no exercise of the underwriters’ option to purchase additional shares of our common stock to cover over-allotments; and</w:t>
      </w:r>
    </w:p>
    <w:p>
      <w:pPr>
        <w:spacing w:after="0" w:line="99" w:lineRule="exact"/>
        <w:rPr>
          <w:rFonts w:ascii="Arial" w:cs="Arial" w:eastAsia="Arial" w:hAnsi="Arial"/>
          <w:sz w:val="16"/>
          <w:szCs w:val="16"/>
          <w:i w:val="1"/>
          <w:iCs w:val="1"/>
          <w:color w:val="auto"/>
        </w:rPr>
      </w:pPr>
    </w:p>
    <w:p>
      <w:pPr>
        <w:ind w:left="1060" w:hanging="323"/>
        <w:spacing w:after="0"/>
        <w:tabs>
          <w:tab w:leader="none" w:pos="10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gives effect to our stock split in the form of a stock dividend on December 5, 2013, as described under “—Stock Split.”</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96"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18"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85"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96"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spacing w:after="0" w:line="323" w:lineRule="auto"/>
        <w:rPr>
          <w:sz w:val="20"/>
          <w:szCs w:val="20"/>
          <w:color w:val="auto"/>
        </w:rPr>
      </w:pPr>
      <w:r>
        <w:rPr>
          <w:rFonts w:ascii="Arial" w:cs="Arial" w:eastAsia="Arial" w:hAnsi="Arial"/>
          <w:sz w:val="15"/>
          <w:szCs w:val="15"/>
          <w:color w:val="auto"/>
        </w:rPr>
        <w:t>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w:t>
      </w:r>
    </w:p>
    <w:p>
      <w:pPr>
        <w:spacing w:after="0" w:line="98" w:lineRule="exact"/>
        <w:rPr>
          <w:sz w:val="20"/>
          <w:szCs w:val="20"/>
          <w:color w:val="auto"/>
        </w:rPr>
      </w:pPr>
    </w:p>
    <w:p>
      <w:pPr>
        <w:ind w:left="200" w:right="260" w:firstLine="443"/>
        <w:spacing w:after="0" w:line="298" w:lineRule="auto"/>
        <w:rPr>
          <w:sz w:val="20"/>
          <w:szCs w:val="20"/>
          <w:color w:val="auto"/>
        </w:rPr>
      </w:pPr>
      <w:r>
        <w:rPr>
          <w:rFonts w:ascii="Arial" w:cs="Arial" w:eastAsia="Arial" w:hAnsi="Arial"/>
          <w:sz w:val="16"/>
          <w:szCs w:val="16"/>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 See “Portfolio Companies” for more information on our portfolio as of December 31, 2013.</w:t>
      </w:r>
    </w:p>
    <w:p>
      <w:pPr>
        <w:spacing w:after="0" w:line="113"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As of December 31, 2013, we had 30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3"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As of December 31, 2012, we had investments in 21 portfolio companies with an aggregate fair value of $653.9 million. 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approximately 17.6% (based on cash invested of approximately $359 million and total proceeds from these exited investments of approximately $405 million). Eighty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17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on these requirements.</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the registration requirements of the U.S. Securities Act of 1933, as amended, or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$582.5 million of these capital commitments as of the date of this prospectus, and issued $43.4 million of equity through our dividend reinvestment plan. Our existing investors’ obligations to purchase additional shares from the undrawn portion of their capital commitments will terminate upon the completion of this initial public offering, or IPO. We have no obligation under the subscription agreements to sell common stock to existing stockholders in connection with the IPO.</w:t>
      </w:r>
    </w:p>
    <w:p>
      <w:pPr>
        <w:spacing w:after="0" w:line="143" w:lineRule="exact"/>
        <w:rPr>
          <w:sz w:val="20"/>
          <w:szCs w:val="20"/>
          <w:color w:val="auto"/>
        </w:rPr>
      </w:pPr>
    </w:p>
    <w:p>
      <w:pPr>
        <w:ind w:left="200" w:right="140" w:firstLine="443"/>
        <w:spacing w:after="0" w:line="306" w:lineRule="auto"/>
        <w:rPr>
          <w:sz w:val="20"/>
          <w:szCs w:val="20"/>
          <w:color w:val="auto"/>
        </w:rPr>
      </w:pPr>
      <w:r>
        <w:rPr>
          <w:rFonts w:ascii="Arial" w:cs="Arial" w:eastAsia="Arial" w:hAnsi="Arial"/>
          <w:sz w:val="16"/>
          <w:szCs w:val="16"/>
          <w:color w:val="auto"/>
        </w:rPr>
        <w:t>Certain of our existing investors, including our Adviser, have agreed to purchase $50 million of our common stock in a private placement transaction at a purchase price per share equal to our initial public offering price per share, subject to a cap of $17.00 per share. The private placement transaction is subject to certain customary closing conditions and also subject to, and will close concurrently with, the completion of this offering.</w:t>
      </w:r>
    </w:p>
    <w:p>
      <w:pPr>
        <w:spacing w:after="0" w:line="107"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The following chart depicts our ownership structure after giving effect to this offering and the concurrent private placement (based on the assumptions of the as adjusted pro forma column under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96" w:lineRule="exact"/>
        <w:rPr>
          <w:sz w:val="20"/>
          <w:szCs w:val="20"/>
          <w:color w:val="auto"/>
        </w:rPr>
      </w:pPr>
    </w:p>
    <w:p>
      <w:pPr>
        <w:ind w:left="200" w:right="420" w:firstLine="443"/>
        <w:spacing w:after="0" w:line="332"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Securities and Exchange Commission, or the SEC, under the Investment Advisers Act of 1940, as amended, or the Advisers Act.</w:t>
      </w:r>
    </w:p>
    <w:p>
      <w:pPr>
        <w:spacing w:after="0" w:line="85"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43"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this prospectus, our Adviser owned 6.2% of our common stock and had committed $100 million in equity capital under a subscription agreement like those entered into with our existing investors. The Adviser has agreed to purchase approximately $3.1 million of our common stock in the concurrent private placement. Immediately after the concurrent private placement and this offering, the Adviser will hold 2,793,611 shares, or 5.4%, of our common stock (assuming an initial public offering price equal to the mid-point of the range on the front cover of this prospectus). See “Management,” “Related-Party Transactions and Certain Relationships” and “Control Persons and Principal Stockholders.”</w:t>
      </w:r>
    </w:p>
    <w:p>
      <w:pPr>
        <w:spacing w:after="0" w:line="118"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The Adviser has also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40" w:firstLine="443"/>
        <w:spacing w:after="0" w:line="33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85" w:lineRule="exact"/>
        <w:rPr>
          <w:sz w:val="20"/>
          <w:szCs w:val="20"/>
          <w:color w:val="auto"/>
        </w:rPr>
      </w:pPr>
    </w:p>
    <w:p>
      <w:pPr>
        <w:ind w:left="200" w:right="240" w:firstLine="443"/>
        <w:spacing w:after="0" w:line="255"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43"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 industry data and research company, at $1.07 trillion as of December 2013, will continue to drive deal activity. We expect that private equity firms will continue to pursue acquisitions and to seek to leverage their equity investments with secured loans provided by companies such as ours.</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left="200" w:right="180" w:firstLine="443"/>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240" w:firstLine="443"/>
        <w:spacing w:after="0" w:line="298"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3" w:lineRule="exact"/>
        <w:rPr>
          <w:sz w:val="20"/>
          <w:szCs w:val="20"/>
          <w:color w:val="auto"/>
        </w:rPr>
      </w:pPr>
    </w:p>
    <w:p>
      <w:pPr>
        <w:ind w:left="200" w:right="220" w:firstLine="443"/>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1060" w:right="26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50" w:lineRule="exact"/>
        <w:rPr>
          <w:rFonts w:ascii="Arial" w:cs="Arial" w:eastAsia="Arial" w:hAnsi="Arial"/>
          <w:sz w:val="18"/>
          <w:szCs w:val="18"/>
          <w:color w:val="auto"/>
        </w:rPr>
      </w:pPr>
    </w:p>
    <w:p>
      <w:pPr>
        <w:ind w:left="1060" w:right="40" w:hanging="323"/>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1060" w:right="2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90" w:lineRule="exact"/>
        <w:rPr>
          <w:rFonts w:ascii="Arial" w:cs="Arial" w:eastAsia="Arial" w:hAnsi="Arial"/>
          <w:sz w:val="18"/>
          <w:szCs w:val="18"/>
          <w:color w:val="auto"/>
        </w:rPr>
      </w:pPr>
    </w:p>
    <w:p>
      <w:pPr>
        <w:ind w:left="1060" w:right="44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left="200" w:right="82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31, 2013.</w:t>
      </w:r>
    </w:p>
    <w:p>
      <w:pPr>
        <w:spacing w:after="0" w:line="132"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invested approximately $1.5 billion. As of December 31, 2013, we had a portfolio of investments in 27 portfolio companies totaling $1,016.5 million that we believe exhibits strong credit quality and broad industry composition. As of December 31, 2013, approximately 98.8% of our debt investments bore interest at floating rates, subject to interest rate floors, and 86.3% of the fair value of our portfolio was invested in first-lien debt investments. We believe this portfolio will allow us to generate meaningful investment income, and consequently dividend income, for our stockholders.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jc w:val="both"/>
        <w:ind w:left="200" w:right="120" w:firstLine="443"/>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0" w:firstLine="443"/>
        <w:spacing w:after="0" w:line="33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90" w:lineRule="exact"/>
        <w:rPr>
          <w:sz w:val="20"/>
          <w:szCs w:val="20"/>
          <w:color w:val="auto"/>
        </w:rPr>
      </w:pPr>
    </w:p>
    <w:p>
      <w:pPr>
        <w:ind w:left="1060" w:hanging="323"/>
        <w:spacing w:after="0" w:line="255"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61" w:lineRule="exact"/>
        <w:rPr>
          <w:rFonts w:ascii="Arial" w:cs="Arial" w:eastAsia="Arial" w:hAnsi="Arial"/>
          <w:sz w:val="18"/>
          <w:szCs w:val="18"/>
          <w:color w:val="auto"/>
        </w:rPr>
      </w:pPr>
    </w:p>
    <w:p>
      <w:pPr>
        <w:ind w:left="1060" w:right="20" w:hanging="323"/>
        <w:spacing w:after="0" w:line="255"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61" w:lineRule="exact"/>
        <w:rPr>
          <w:rFonts w:ascii="Arial" w:cs="Arial" w:eastAsia="Arial" w:hAnsi="Arial"/>
          <w:sz w:val="18"/>
          <w:szCs w:val="18"/>
          <w:color w:val="auto"/>
        </w:rPr>
      </w:pPr>
    </w:p>
    <w:p>
      <w:pPr>
        <w:ind w:left="1620" w:hanging="437"/>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90" w:lineRule="exact"/>
        <w:rPr>
          <w:rFonts w:ascii="Arial" w:cs="Arial" w:eastAsia="Arial" w:hAnsi="Arial"/>
          <w:sz w:val="18"/>
          <w:szCs w:val="18"/>
          <w:color w:val="auto"/>
        </w:rPr>
      </w:pPr>
    </w:p>
    <w:p>
      <w:pPr>
        <w:ind w:left="1620" w:right="620" w:hanging="437"/>
        <w:spacing w:after="0" w:line="332"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New York Stock Exchange, NYSE Amex Equities and The NASDAQ Global Market) or registered under the Exchange Act; and</w:t>
      </w:r>
    </w:p>
    <w:p>
      <w:pPr>
        <w:spacing w:after="0" w:line="4" w:lineRule="exact"/>
        <w:rPr>
          <w:rFonts w:ascii="Arial" w:cs="Arial" w:eastAsia="Arial" w:hAnsi="Arial"/>
          <w:sz w:val="16"/>
          <w:szCs w:val="16"/>
          <w:color w:val="auto"/>
        </w:rPr>
      </w:pPr>
    </w:p>
    <w:p>
      <w:pPr>
        <w:ind w:left="1620" w:hanging="437"/>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Public domestic operating companies whose securities are quoted on the over-the-counter bulletin board and through OTC Markets Group, Inc.</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are not listed on a national securities exchange and, as a result, are eligible portfolio companies.</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20" w:hanging="323"/>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subject to corporate-level U.S. federal income taxation, we must satisfy certain source of income, asset diversification and distribution requirements. See “Material U.S. Federal Income Tax Considerations.”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common stock.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4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96"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20"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20"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qualify as an emerging growth company, as that term is used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59" w:lineRule="exact"/>
        <w:rPr>
          <w:sz w:val="20"/>
          <w:szCs w:val="20"/>
          <w:color w:val="auto"/>
        </w:rPr>
      </w:pPr>
    </w:p>
    <w:p>
      <w:pPr>
        <w:ind w:left="1060" w:right="50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 of 2002, or the Sarbanes-Oxley Act;</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1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1060" w:right="120" w:hanging="323"/>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On December 3, 2013, our Board approved a stock split in the form of a stock dividend, which we refer to as the stock split,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900" w:firstLine="443"/>
        <w:spacing w:after="0" w:line="268" w:lineRule="auto"/>
        <w:rPr>
          <w:sz w:val="20"/>
          <w:szCs w:val="20"/>
          <w:color w:val="auto"/>
        </w:rPr>
      </w:pPr>
      <w:r>
        <w:rPr>
          <w:rFonts w:ascii="Arial" w:cs="Arial" w:eastAsia="Arial" w:hAnsi="Arial"/>
          <w:sz w:val="18"/>
          <w:szCs w:val="18"/>
          <w:color w:val="auto"/>
        </w:rPr>
        <w:t>On February 24, 2014, we filed a definitive proxy statement with the SEC to solicit consents from our stockholders to effect the following amendments to our amended and restated certificate of incorporation:</w:t>
      </w:r>
    </w:p>
    <w:p>
      <w:pPr>
        <w:spacing w:after="0" w:line="51"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number of authorized shares of common stock to 400,000,000 shares;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received the requisite consents for both of these proposed amendments on March 7, 2014 and filed a certificate of amendment to our certificate of incorporation effecting the approved amendments on March 10, 2014. See “Description of Our Capital Stock.”</w:t>
      </w:r>
    </w:p>
    <w:p>
      <w:pPr>
        <w:spacing w:after="0" w:line="132"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On February 13, 2014, we issued 502,200 shares of our common stock through our dividend reinvestment plan for $7.8 million. Neither of these issuances of our common stock are reflected in the number of shares issued for the year ended December 31, 2013 as disclosed in this prospectus or the consolidated financial statements for the year ended December 31, 2013.</w:t>
      </w:r>
    </w:p>
    <w:p>
      <w:pPr>
        <w:spacing w:after="0" w:line="11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On January 21, 2014, we amended the Revolving Credit Facility (Natixis) to, among other things, increase the size of the facility to $175 million. We also modified pricing under the Revolving Credit Facility (Natixis) to allow TPG SL SPV, at its option, to borrow at an interest rate equal to the lenders’ cost of funds plus a margin, thereby lowering the interest rate currently applicable on our borrowings under the facility. On February 27, 2014, we amended the Revolving Credit Facility (SunTrust) to, among other things, increase the size of the facility to $581.3 million. On February 27, 2014, we terminated the Revolving Credit Facility (DBTCA), effective March 4, 2014. The outstanding balance under the Revolving Credit Facility (DBTCA) was paid down prior to terminating the facility. For more information, see “Management’s Discussion and Analysis of Financial Condition and Results of Operations—Financial Condition, Liquidity and Capital Resources.”</w:t>
      </w:r>
    </w:p>
    <w:p>
      <w:pPr>
        <w:spacing w:after="0" w:line="118"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From January 1, 2014 through March 11, 2014, we have funded investments of $276.1 million, have had $102.6 million in exits and repayments and have had net drawdowns of $100.2 million from our revolving credit facilities.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96" w:lineRule="exact"/>
        <w:rPr>
          <w:sz w:val="20"/>
          <w:szCs w:val="20"/>
          <w:color w:val="auto"/>
        </w:rPr>
      </w:pPr>
    </w:p>
    <w:p>
      <w:pPr>
        <w:jc w:val="both"/>
        <w:ind w:left="200" w:right="200" w:firstLine="443"/>
        <w:spacing w:after="0" w:line="306"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common stock, including that:</w:t>
      </w:r>
    </w:p>
    <w:p>
      <w:pPr>
        <w:spacing w:after="0" w:line="26"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90" w:lineRule="exact"/>
        <w:rPr>
          <w:rFonts w:ascii="Arial" w:cs="Arial" w:eastAsia="Arial" w:hAnsi="Arial"/>
          <w:sz w:val="18"/>
          <w:szCs w:val="18"/>
          <w:color w:val="auto"/>
        </w:rPr>
      </w:pPr>
    </w:p>
    <w:p>
      <w:pPr>
        <w:ind w:left="1060" w:right="42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50" w:lineRule="exact"/>
        <w:rPr>
          <w:rFonts w:ascii="Arial" w:cs="Arial" w:eastAsia="Arial" w:hAnsi="Arial"/>
          <w:sz w:val="18"/>
          <w:szCs w:val="18"/>
          <w:color w:val="auto"/>
        </w:rPr>
      </w:pPr>
    </w:p>
    <w:p>
      <w:pPr>
        <w:ind w:left="1060" w:right="50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5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0" w:lineRule="exact"/>
        <w:rPr>
          <w:rFonts w:ascii="Arial" w:cs="Arial" w:eastAsia="Arial" w:hAnsi="Arial"/>
          <w:sz w:val="18"/>
          <w:szCs w:val="18"/>
          <w:color w:val="auto"/>
        </w:rPr>
      </w:pPr>
    </w:p>
    <w:p>
      <w:pPr>
        <w:ind w:left="1060" w:right="8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incur significant costs as a result of being a publicly traded company;</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9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0" w:lineRule="exact"/>
        <w:rPr>
          <w:rFonts w:ascii="Arial" w:cs="Arial" w:eastAsia="Arial" w:hAnsi="Arial"/>
          <w:sz w:val="18"/>
          <w:szCs w:val="18"/>
          <w:color w:val="auto"/>
        </w:rPr>
      </w:pPr>
    </w:p>
    <w:p>
      <w:pPr>
        <w:ind w:left="1060" w:right="60" w:hanging="323"/>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85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3185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9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50" w:lineRule="exact"/>
        <w:rPr>
          <w:rFonts w:ascii="Arial" w:cs="Arial" w:eastAsia="Arial" w:hAnsi="Arial"/>
          <w:sz w:val="18"/>
          <w:szCs w:val="18"/>
          <w:color w:val="auto"/>
        </w:rPr>
      </w:pPr>
    </w:p>
    <w:p>
      <w:pPr>
        <w:ind w:left="1060" w:right="26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90" w:lineRule="exact"/>
        <w:rPr>
          <w:rFonts w:ascii="Arial" w:cs="Arial" w:eastAsia="Arial" w:hAnsi="Arial"/>
          <w:sz w:val="18"/>
          <w:szCs w:val="18"/>
          <w:color w:val="auto"/>
        </w:rPr>
      </w:pPr>
    </w:p>
    <w:p>
      <w:pPr>
        <w:ind w:left="1060" w:right="60" w:hanging="323"/>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50" w:lineRule="exact"/>
        <w:rPr>
          <w:rFonts w:ascii="Arial" w:cs="Arial" w:eastAsia="Arial" w:hAnsi="Arial"/>
          <w:sz w:val="18"/>
          <w:szCs w:val="18"/>
          <w:color w:val="auto"/>
        </w:rPr>
      </w:pPr>
    </w:p>
    <w:p>
      <w:pPr>
        <w:ind w:left="1060" w:hanging="323"/>
        <w:spacing w:after="0" w:line="335"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7" w:lineRule="exact"/>
        <w:rPr>
          <w:rFonts w:ascii="Arial" w:cs="Arial" w:eastAsia="Arial" w:hAnsi="Arial"/>
          <w:sz w:val="15"/>
          <w:szCs w:val="15"/>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risk that you may not receive dividends or that our dividends may not grow over time;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871-4000.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corporate website is located at http://www.tpgspecialtylending.com. Information on our website is not incorporated into or a part of this prospectus.</w:t>
      </w: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THE OFFERING SUMMARY</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Us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7,000,000 shares, or 8,050,000 shares if the underwriters exercise their option to purchase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additional shares of our common stock to cover over-allotments in full.</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Common Stock to be Outstanding after this Offering</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51,793,027 shares, or 52,843,027 shares if the underwriters exercise their option to purchase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additional shares of our common stock to cover over-allotments in full. This includes 3,030,303</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shares issued in the private placement to certain of our existing investors, including our Adviser,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based on an assumed initial public offering price equal to the mid-point of the range on the front</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cover of this prospectus.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8"/>
              </w:rPr>
              <w:t>Our net proceeds from this offering will be approximately $105.6 million, or approximately</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$121.9 million if the underwriters exercise their option to purchase additional shares of our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common stock to cover over-allotments in full, after deducting the underwriting discounts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commissions and estimated offering expenses of approximately $9.9 million payable by us (or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$11.0 million if the underwriters exercise their option to purchase additional shares of our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common stock to cover over-allotments in full).</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Our proceeds from the sale of shares of our common stock in the concurrent private placement</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will be $50 million.</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We intend to use 100% of the net proceeds of this offering and the concurrent private placement,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together with our cash and cash equivalents, to pay down approximately $155.6 million (or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approximately $171.9 million if the underwriters exercise their option to purchase additional</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shares of our common stock to cover over-allotments in full) of outstanding indebtedness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incurred under our second amended and restated senior secured revolving credit agreement with</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SunTrust Bank, as administrative agent, and certain lenders, which we refer to as the Revolving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Credit Facility (SunTrust), on or about the date of the closing of this offering. After giving effect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to the use of proceeds to pay down a portion of the outstanding balance under the Revolving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Credit Facility (SunTrust), approximately $276.9 million (or approximately $260.6 million if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underwriters exercise their option to purchase additional shares of our common stock to cover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over-allotments in full) will remain outstanding under the facility. We do not intend to terminate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the facility and may reborrow the amount we repay, subject to certain conditions. As of</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December 31, 2013, amounts outstanding under our Revolving Credit Facility (SunTrust) bore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6"/>
              </w:rPr>
              <w:t>interest at a rate of LIBOR plus 225 basis points. The facility matures in full on February 27,</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2019.</w:t>
            </w:r>
          </w:p>
        </w:tc>
      </w:tr>
      <w:tr>
        <w:trPr>
          <w:trHeight w:val="419"/>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See “Use of Proceeds.”</w:t>
            </w:r>
          </w:p>
        </w:tc>
      </w:tr>
      <w:tr>
        <w:trPr>
          <w:trHeight w:val="419"/>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Proposed Symbol on the New York Stock Exchange</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“TSLX”</w:t>
            </w:r>
          </w:p>
        </w:tc>
      </w:tr>
      <w:tr>
        <w:trPr>
          <w:trHeight w:val="174"/>
        </w:trPr>
        <w:tc>
          <w:tcPr>
            <w:tcW w:w="4140" w:type="dxa"/>
            <w:vAlign w:val="bottom"/>
            <w:tcBorders>
              <w:left w:val="single" w:sz="8" w:color="auto"/>
              <w:bottom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7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870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quarterly dividends to our stockholders.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0"/>
              </w:rPr>
              <w:t>Our Board intends to declare a dividend of $0.38 per share for the quarter ending March 31, 2014</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to stockholders of record as of March 31, 2014. Shares offered in this prospectus will be entitled</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to receive this dividend payment. The dividend is expected to be paid on April 30, 2014.</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We anticipate that this dividend will be paid from income generated primarily by interest earned</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on our investment portfolio.</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The specific tax characteristics of our distributions will be reported to stockholders after the end</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5"/>
              </w:rPr>
              <w:t>of the calendar year. Future quarterly dividends, if any, will be determined by our Board. See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“Distributions.”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Federal Income Tax Considerations —Regulated Investment Company Classification.”</w:t>
            </w:r>
          </w:p>
        </w:tc>
      </w:tr>
      <w:tr>
        <w:trPr>
          <w:trHeight w:val="412"/>
        </w:trPr>
        <w:tc>
          <w:tcPr>
            <w:tcW w:w="27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89"/>
              </w:rPr>
              <w:t>We have elected to be treated as a RIC for U.S. federal income tax purposes. Our status as a RIC</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2"/>
              </w:rPr>
              <w:t>will enable us to deduct qualifying distributions to our stockholders, so that we will be subject to</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1"/>
              </w:rPr>
              <w:t>corporate-level U.S. federal income taxation only in respect of earnings that we retain and do not</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distribute.</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0"/>
              </w:rPr>
              <w:t>To maintain our status as a RIC and to avoid being subject to corporate-level U.S. federal income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taxation on our earnings, we must, among other things:</w:t>
            </w:r>
          </w:p>
        </w:tc>
      </w:tr>
      <w:tr>
        <w:trPr>
          <w:trHeight w:val="297"/>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291"/>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1"/>
              </w:rPr>
              <w:t>• derive in each taxable year at least 90% of our gross income from dividends, interest, gains</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w w:val="94"/>
              </w:rPr>
              <w:t>from the sale or other disposition of stock or securities and other specified categories of</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2060"/>
              <w:spacing w:after="0"/>
              <w:rPr>
                <w:sz w:val="20"/>
                <w:szCs w:val="20"/>
                <w:color w:val="auto"/>
              </w:rPr>
            </w:pPr>
            <w:r>
              <w:rPr>
                <w:rFonts w:ascii="Arial" w:cs="Arial" w:eastAsia="Arial" w:hAnsi="Arial"/>
                <w:sz w:val="18"/>
                <w:szCs w:val="18"/>
                <w:color w:val="auto"/>
              </w:rPr>
              <w:t>investment income; and</w:t>
            </w:r>
          </w:p>
        </w:tc>
      </w:tr>
      <w:tr>
        <w:trPr>
          <w:trHeight w:val="297"/>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 maintain diversified holdings.</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89"/>
              </w:rPr>
              <w:t>tax purposes equal to at least 90% of our investment company taxable income and net tax-exempt</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income for that taxable year.</w:t>
            </w:r>
          </w:p>
        </w:tc>
      </w:tr>
      <w:tr>
        <w:trPr>
          <w:trHeight w:val="412"/>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1"/>
              </w:rPr>
              <w:t>carry forward investment company taxable income in excess of current year distributions into the</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4"/>
              </w:rPr>
              <w:t>next tax year and pay a 4% excise tax on such income. We elected to retain a small portion of</w:t>
            </w:r>
          </w:p>
        </w:tc>
      </w:tr>
      <w:tr>
        <w:trPr>
          <w:trHeight w:val="216"/>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5"/>
              </w:rPr>
              <w:t>income and capital gains for the calendar years ended December 31, 2013 and 2012 and we</w:t>
            </w:r>
          </w:p>
        </w:tc>
      </w:tr>
      <w:tr>
        <w:trPr>
          <w:trHeight w:val="222"/>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recorded a net expense of $0.2 million and $0.1 million,</w:t>
            </w:r>
          </w:p>
        </w:tc>
      </w:tr>
      <w:tr>
        <w:trPr>
          <w:trHeight w:val="161"/>
        </w:trPr>
        <w:tc>
          <w:tcPr>
            <w:tcW w:w="2760" w:type="dxa"/>
            <w:vAlign w:val="bottom"/>
            <w:tcBorders>
              <w:left w:val="single" w:sz="8" w:color="auto"/>
              <w:bottom w:val="single" w:sz="8" w:color="auto"/>
            </w:tcBorders>
          </w:tcPr>
          <w:p>
            <w:pPr>
              <w:spacing w:after="0"/>
              <w:rPr>
                <w:sz w:val="13"/>
                <w:szCs w:val="13"/>
                <w:color w:val="auto"/>
              </w:rPr>
            </w:pPr>
          </w:p>
        </w:tc>
        <w:tc>
          <w:tcPr>
            <w:tcW w:w="8700" w:type="dxa"/>
            <w:vAlign w:val="bottom"/>
            <w:tcBorders>
              <w:bottom w:val="single" w:sz="8" w:color="auto"/>
              <w:right w:val="single" w:sz="8" w:color="auto"/>
            </w:tcBorders>
          </w:tcPr>
          <w:p>
            <w:pPr>
              <w:spacing w:after="0"/>
              <w:rPr>
                <w:sz w:val="13"/>
                <w:szCs w:val="13"/>
                <w:color w:val="auto"/>
              </w:rPr>
            </w:pPr>
          </w:p>
        </w:tc>
      </w:tr>
      <w:tr>
        <w:trPr>
          <w:trHeight w:val="359"/>
        </w:trPr>
        <w:tc>
          <w:tcPr>
            <w:tcW w:w="2760" w:type="dxa"/>
            <w:vAlign w:val="bottom"/>
          </w:tcPr>
          <w:p>
            <w:pPr>
              <w:spacing w:after="0"/>
              <w:rPr>
                <w:sz w:val="24"/>
                <w:szCs w:val="24"/>
                <w:color w:val="auto"/>
              </w:rPr>
            </w:pPr>
          </w:p>
        </w:tc>
        <w:tc>
          <w:tcPr>
            <w:tcW w:w="8700" w:type="dxa"/>
            <w:vAlign w:val="bottom"/>
          </w:tcPr>
          <w:p>
            <w:pPr>
              <w:ind w:left="28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30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w w:val="90"/>
              </w:rPr>
              <w:t>respectively, for U.S. federal excise tax as a result. Any carryover of investment company taxable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income or net capital gains must be timely declared and distributed as a dividend in the taxable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year following the taxable year in which the income or gains were earned. See “Distributions”</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and “Material U.S. Federal Income Tax Considerations.”</w:t>
            </w:r>
          </w:p>
        </w:tc>
      </w:tr>
      <w:tr>
        <w:trPr>
          <w:trHeight w:val="426"/>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finance a portion of our investments. As a result, we are exposed to the risks of leverage, which</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may be considered a speculative investment technique.</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89"/>
              </w:rPr>
              <w:t>Leverage increases the potential for gain and loss on amounts invested and, as a result, increases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the risks associated with investing in our securities. With certain limited exceptions, we currently</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are only allowed to borrow amounts, including by issuing debt securities or preferred stock,</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where our asset coverage, as defined in the 1940 Act, equals at least 200% after the borrowing.</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The costs associated with our borrowings, including any increase in the fees payable to the</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Adviser, are borne by our stockholders. See “Regulation.”</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As of December 31, 2013 and 2012, our asset coverage was 232.9% and 244.6%, respectively.</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Following this IPO and the repayment of indebtedness as contemplated under “Use of Proceeds,”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and based on the value of our total assets as of December 31, 2013 after giving effect to the pro</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forma as adjusted assumptions under “Capitalization”, our asset coverage ratio would be</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approximately 313.1%.</w:t>
            </w:r>
          </w:p>
        </w:tc>
      </w:tr>
      <w:tr>
        <w:trPr>
          <w:trHeight w:val="412"/>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dividend reinvestment plan. Under this plan, if we declare a cash dividend or other distribution,</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our stockholders who have not elected to “opt out” of our dividend reinvestment plan will have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their cash distribution automatically reinvested in additional shares of our common stock, rather</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than receiving the cash distribution. If a stockholder elects to “opt out”, that stockholder will</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receive cash dividends or other distributions.</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stock generally are subject to the same U.S. federal tax consequences as stockholders who elect</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to receive their distributions in cash; however, since their cash dividends will be reinvested, those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stockholders will not receive cash with which to pay any applicable taxes on reinvested</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dividends. See “Dividend Reinvestment Plan.”</w:t>
            </w:r>
          </w:p>
        </w:tc>
      </w:tr>
      <w:tr>
        <w:trPr>
          <w:trHeight w:val="412"/>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We pay the Adviser a fee for its services under an advisory agreement, which we refer to as the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Investment Advisory Agreement, consisting of two components—a base management fee, which</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we refer to as the Management Fee, and an incentive fee, which we refer to as the Incentive Fee.</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 Management Fee paid to the Adviser, payable at the end of each quarter in arrears, is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calculated at an annual rate of 1.5% of our gross assets, or total assets before deduction of any</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liabilities under generally accepted accounting principles in the United States, which</w:t>
            </w:r>
          </w:p>
        </w:tc>
      </w:tr>
      <w:tr>
        <w:trPr>
          <w:trHeight w:val="161"/>
        </w:trPr>
        <w:tc>
          <w:tcPr>
            <w:tcW w:w="3300" w:type="dxa"/>
            <w:vAlign w:val="bottom"/>
            <w:tcBorders>
              <w:left w:val="single" w:sz="8" w:color="auto"/>
              <w:bottom w:val="single" w:sz="8" w:color="auto"/>
            </w:tcBorders>
          </w:tcPr>
          <w:p>
            <w:pPr>
              <w:spacing w:after="0"/>
              <w:rPr>
                <w:sz w:val="13"/>
                <w:szCs w:val="13"/>
                <w:color w:val="auto"/>
              </w:rPr>
            </w:pPr>
          </w:p>
        </w:tc>
        <w:tc>
          <w:tcPr>
            <w:tcW w:w="8160" w:type="dxa"/>
            <w:vAlign w:val="bottom"/>
            <w:tcBorders>
              <w:bottom w:val="single" w:sz="8" w:color="auto"/>
              <w:right w:val="single" w:sz="8" w:color="auto"/>
            </w:tcBorders>
          </w:tcPr>
          <w:p>
            <w:pPr>
              <w:spacing w:after="0"/>
              <w:rPr>
                <w:sz w:val="13"/>
                <w:szCs w:val="13"/>
                <w:color w:val="auto"/>
              </w:rPr>
            </w:pPr>
          </w:p>
        </w:tc>
      </w:tr>
      <w:tr>
        <w:trPr>
          <w:trHeight w:val="359"/>
        </w:trPr>
        <w:tc>
          <w:tcPr>
            <w:tcW w:w="3300" w:type="dxa"/>
            <w:vAlign w:val="bottom"/>
          </w:tcPr>
          <w:p>
            <w:pPr>
              <w:spacing w:after="0"/>
              <w:rPr>
                <w:sz w:val="24"/>
                <w:szCs w:val="24"/>
                <w:color w:val="auto"/>
              </w:rPr>
            </w:pPr>
          </w:p>
        </w:tc>
        <w:tc>
          <w:tcPr>
            <w:tcW w:w="8160" w:type="dxa"/>
            <w:vAlign w:val="bottom"/>
          </w:tcPr>
          <w:p>
            <w:pPr>
              <w:ind w:left="23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53" w:lineRule="auto"/>
        <w:rPr>
          <w:sz w:val="20"/>
          <w:szCs w:val="20"/>
          <w:color w:val="auto"/>
        </w:rPr>
      </w:pPr>
      <w:r>
        <w:rPr>
          <w:rFonts w:ascii="Arial" w:cs="Arial" w:eastAsia="Arial" w:hAnsi="Arial"/>
          <w:sz w:val="18"/>
          <w:szCs w:val="18"/>
          <w:color w:val="auto"/>
        </w:rPr>
        <w:t>we refer to as U.S. GAAP. Because the Management Fee is payable based on our gross assets, which includes cash and assets acquired through the use of leverage, our Adviser may have an incentive to use leverage to make additional investments. The amount of leverage that we employ will depend on our Adviser’s and our Board’s assessment of market and other factors at the time of any proposed borrowing. See “Risk Factors—Risks Related to Our Business and Structure— We borrow money, which magnifies the potential for gain or loss and increases the risk of investing in us.”</w:t>
      </w: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4820" w:hanging="160"/>
        <w:spacing w:after="0" w:line="285" w:lineRule="auto"/>
        <w:tabs>
          <w:tab w:leader="none" w:pos="4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Pre-Incentive Fee net investment income may include income that we have not received in cash.</w:t>
      </w:r>
    </w:p>
    <w:p>
      <w:pPr>
        <w:spacing w:after="0" w:line="166" w:lineRule="exact"/>
        <w:rPr>
          <w:rFonts w:ascii="Arial" w:cs="Arial" w:eastAsia="Arial" w:hAnsi="Arial"/>
          <w:sz w:val="16"/>
          <w:szCs w:val="16"/>
          <w:color w:val="auto"/>
        </w:rPr>
      </w:pPr>
    </w:p>
    <w:p>
      <w:pPr>
        <w:ind w:left="4820" w:right="80"/>
        <w:spacing w:after="0" w:line="287" w:lineRule="auto"/>
        <w:rPr>
          <w:rFonts w:ascii="Arial" w:cs="Arial" w:eastAsia="Arial" w:hAnsi="Arial"/>
          <w:sz w:val="16"/>
          <w:szCs w:val="16"/>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 our net assets as of the end of the calendar quarter immediately preceding the day; plus the aggregate amount of capital drawn from investors (or reinvested pursuant to our dividend reinvestment plan) from the beginning of the current quarter to the day; minus 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3" w:lineRule="exact"/>
        <w:rPr>
          <w:rFonts w:ascii="Arial" w:cs="Arial" w:eastAsia="Arial" w:hAnsi="Arial"/>
          <w:sz w:val="16"/>
          <w:szCs w:val="16"/>
          <w:color w:val="auto"/>
        </w:rPr>
      </w:pPr>
    </w:p>
    <w:p>
      <w:pPr>
        <w:jc w:val="both"/>
        <w:ind w:left="4820" w:right="40"/>
        <w:spacing w:after="0" w:line="259" w:lineRule="auto"/>
        <w:rPr>
          <w:rFonts w:ascii="Arial" w:cs="Arial" w:eastAsia="Arial" w:hAnsi="Arial"/>
          <w:sz w:val="16"/>
          <w:szCs w:val="16"/>
          <w:color w:val="auto"/>
        </w:rPr>
      </w:pPr>
      <w:r>
        <w:rPr>
          <w:rFonts w:ascii="Arial" w:cs="Arial" w:eastAsia="Arial" w:hAnsi="Arial"/>
          <w:sz w:val="18"/>
          <w:szCs w:val="18"/>
          <w:color w:val="auto"/>
        </w:rPr>
        <w:t>Following this IPO, for purposes of determining whether pre-Incentive Fee net investment income exceeds the hurdle rate, pre-Incentive Fee net investment income will be expressed as a</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800"/>
        <w:spacing w:after="0" w:line="268" w:lineRule="auto"/>
        <w:rPr>
          <w:sz w:val="20"/>
          <w:szCs w:val="20"/>
          <w:color w:val="auto"/>
        </w:rPr>
      </w:pPr>
      <w:r>
        <w:rPr>
          <w:rFonts w:ascii="Arial" w:cs="Arial" w:eastAsia="Arial" w:hAnsi="Arial"/>
          <w:sz w:val="18"/>
          <w:szCs w:val="18"/>
          <w:color w:val="auto"/>
        </w:rPr>
        <w:t>rate of return on the value of our net assets at the end of the immediately preceding calendar quarter.</w:t>
      </w:r>
    </w:p>
    <w:p>
      <w:pPr>
        <w:spacing w:after="0" w:line="64" w:lineRule="exact"/>
        <w:rPr>
          <w:sz w:val="20"/>
          <w:szCs w:val="20"/>
          <w:color w:val="auto"/>
        </w:rPr>
      </w:pPr>
    </w:p>
    <w:p>
      <w:pPr>
        <w:jc w:val="both"/>
        <w:ind w:left="4820" w:right="300" w:hanging="159"/>
        <w:spacing w:after="0" w:line="305" w:lineRule="auto"/>
        <w:tabs>
          <w:tab w:leader="none" w:pos="4800" w:val="left"/>
        </w:tabs>
        <w:rPr>
          <w:sz w:val="20"/>
          <w:szCs w:val="20"/>
          <w:color w:val="auto"/>
        </w:rPr>
      </w:pPr>
      <w:r>
        <w:rPr>
          <w:rFonts w:ascii="Arial" w:cs="Arial" w:eastAsia="Arial" w:hAnsi="Arial"/>
          <w:sz w:val="15"/>
          <w:szCs w:val="15"/>
          <w:color w:val="auto"/>
        </w:rPr>
        <w:t>•</w:t>
        <w:tab/>
        <w:t>The second component, referred to as the Capital Gains Fee, is determined and payable in arrears as of the end of each calendar year in an amount equal to a weighted percentage of</w:t>
      </w: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w w:val="91"/>
              </w:rPr>
              <w:t>our realized capital gains, if any, on a cumulative basis as between our inception to the end</w:t>
            </w:r>
          </w:p>
        </w:tc>
      </w:tr>
      <w:tr>
        <w:trPr>
          <w:trHeight w:val="216"/>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rPr>
              <w:t>of the quarter in which this IPO is completed at 15% and thereafter at 17.5%, less</w:t>
            </w:r>
          </w:p>
        </w:tc>
      </w:tr>
      <w:tr>
        <w:trPr>
          <w:trHeight w:val="216"/>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w w:val="91"/>
              </w:rPr>
              <w:t>cumulative realized capital losses, unrealized capital depreciation and net of the aggregate</w:t>
            </w:r>
          </w:p>
        </w:tc>
      </w:tr>
      <w:tr>
        <w:trPr>
          <w:trHeight w:val="222"/>
        </w:trPr>
        <w:tc>
          <w:tcPr>
            <w:tcW w:w="3400" w:type="dxa"/>
            <w:vAlign w:val="bottom"/>
          </w:tcPr>
          <w:p>
            <w:pPr>
              <w:spacing w:after="0"/>
              <w:rPr>
                <w:sz w:val="19"/>
                <w:szCs w:val="19"/>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rPr>
              <w:t>amount of any previously paid capital gains Incentive Fee for prior periods.</w:t>
            </w:r>
          </w:p>
        </w:tc>
      </w:tr>
      <w:tr>
        <w:trPr>
          <w:trHeight w:val="291"/>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0"/>
              </w:rPr>
              <w:t>Because of the structure of the Incentive Fee, it is possible that we may pay an Incentive Fee in a</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quarter in which we incur a loss.</w:t>
            </w:r>
          </w:p>
        </w:tc>
      </w:tr>
      <w:tr>
        <w:trPr>
          <w:trHeight w:val="291"/>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6"/>
              </w:rPr>
              <w:t>See “Management and Other Agreements—Investment Advisory Agreement; Administration</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Agreement; License Agreement.”</w:t>
            </w:r>
          </w:p>
        </w:tc>
      </w:tr>
      <w:tr>
        <w:trPr>
          <w:trHeight w:val="412"/>
        </w:trPr>
        <w:tc>
          <w:tcPr>
            <w:tcW w:w="3400" w:type="dxa"/>
            <w:vAlign w:val="bottom"/>
          </w:tcPr>
          <w:p>
            <w:pPr>
              <w:ind w:left="200"/>
              <w:spacing w:after="0"/>
              <w:rPr>
                <w:sz w:val="20"/>
                <w:szCs w:val="20"/>
                <w:color w:val="auto"/>
              </w:rPr>
            </w:pPr>
            <w:r>
              <w:rPr>
                <w:rFonts w:ascii="Arial" w:cs="Arial" w:eastAsia="Arial" w:hAnsi="Arial"/>
                <w:sz w:val="18"/>
                <w:szCs w:val="18"/>
                <w:color w:val="auto"/>
              </w:rPr>
              <w:t>Administration Agreement</w:t>
            </w:r>
          </w:p>
        </w:tc>
        <w:tc>
          <w:tcPr>
            <w:tcW w:w="8060" w:type="dxa"/>
            <w:vAlign w:val="bottom"/>
          </w:tcPr>
          <w:p>
            <w:pPr>
              <w:ind w:left="1000"/>
              <w:spacing w:after="0"/>
              <w:rPr>
                <w:sz w:val="20"/>
                <w:szCs w:val="20"/>
                <w:color w:val="auto"/>
              </w:rPr>
            </w:pPr>
            <w:r>
              <w:rPr>
                <w:rFonts w:ascii="Arial" w:cs="Arial" w:eastAsia="Arial" w:hAnsi="Arial"/>
                <w:sz w:val="18"/>
                <w:szCs w:val="18"/>
                <w:color w:val="auto"/>
              </w:rPr>
              <w:t>We reimburse the Adviser under an administration agreement, which we refer to as the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Administration Agreement, for certain administrative services to us.</w:t>
            </w:r>
          </w:p>
        </w:tc>
      </w:tr>
      <w:tr>
        <w:trPr>
          <w:trHeight w:val="412"/>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These services include providing office space, equipment and office services, maintaining</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financial records, preparing reports to stockholders and reports filed with the SEC, and managing</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the payment of expenses and the performance of administrative and professional services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5"/>
              </w:rPr>
              <w:t>rendered by others. In addition, the Adviser may delegate its duties under the Administration</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9"/>
              </w:rPr>
              <w:t>Agreement to affiliates or third parties and we will pay or reimburse the Adviser expenses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incurred by any of those affiliates or third parties for work done on our behalf. See “Management</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4"/>
              </w:rPr>
              <w:t>and Other Agreements—Investment Advisory Agreement; Administration Agreement; License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Agreement.”</w:t>
            </w:r>
          </w:p>
        </w:tc>
      </w:tr>
      <w:tr>
        <w:trPr>
          <w:trHeight w:val="412"/>
        </w:trPr>
        <w:tc>
          <w:tcPr>
            <w:tcW w:w="3400" w:type="dxa"/>
            <w:vAlign w:val="bottom"/>
          </w:tcPr>
          <w:p>
            <w:pPr>
              <w:ind w:left="200"/>
              <w:spacing w:after="0"/>
              <w:rPr>
                <w:sz w:val="20"/>
                <w:szCs w:val="20"/>
                <w:color w:val="auto"/>
              </w:rPr>
            </w:pPr>
            <w:r>
              <w:rPr>
                <w:rFonts w:ascii="Arial" w:cs="Arial" w:eastAsia="Arial" w:hAnsi="Arial"/>
                <w:sz w:val="18"/>
                <w:szCs w:val="18"/>
                <w:color w:val="auto"/>
              </w:rPr>
              <w:t>Adviser Purchase Commitment</w:t>
            </w: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The Adviser has entered into the 10b5-1 Plan under which Goldman, Sachs &amp; Co., as agent for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4"/>
              </w:rPr>
              <w:t>the Adviser, will buy up to $25 million in the aggregate of our common stock during the period</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beginning after four full calendar weeks after the closing of this offering and ending on the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3"/>
              </w:rPr>
              <w:t>earlier of the date on which all the capital committed to the 10b5-1 Plan has been exhausted or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December 31, 2014, subject to certain conditions. The 10b5-1 Plan will require Goldman, Sachs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&amp; Co. to purchase for the Adviser shares of common stock (i) through the date we announce our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6"/>
              </w:rPr>
              <w:t>earnings for the second quarter of 2014, when the market price per share is below the initial</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public offering price per share and, (ii) from and after that date, when the market price per share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is below our most recently reported net asset value per share (including any updates, corrections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0"/>
              </w:rPr>
              <w:t>or adjustments publicly announced by us to any previously announced net asset value per share).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5"/>
              </w:rPr>
              <w:t>The purchase of shares by Goldman, Sachs &amp; Co. pursuant to the 10b5-1 Plan is intended to</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satisfy the conditions of Rules 10b5-1 and 10b-18 under the Exchange Act, and will otherwise be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subject to applicable law, including Regulation M, which may prohibit</w:t>
            </w:r>
          </w:p>
        </w:tc>
      </w:tr>
      <w:tr>
        <w:trPr>
          <w:trHeight w:val="161"/>
        </w:trPr>
        <w:tc>
          <w:tcPr>
            <w:tcW w:w="3400" w:type="dxa"/>
            <w:vAlign w:val="bottom"/>
            <w:tcBorders>
              <w:bottom w:val="single" w:sz="8" w:color="auto"/>
            </w:tcBorders>
          </w:tcPr>
          <w:p>
            <w:pPr>
              <w:spacing w:after="0"/>
              <w:rPr>
                <w:sz w:val="13"/>
                <w:szCs w:val="13"/>
                <w:color w:val="auto"/>
              </w:rPr>
            </w:pPr>
          </w:p>
        </w:tc>
        <w:tc>
          <w:tcPr>
            <w:tcW w:w="8060" w:type="dxa"/>
            <w:vAlign w:val="bottom"/>
            <w:tcBorders>
              <w:bottom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w w:val="92"/>
              </w:rPr>
              <w:t>purchases under certain circumstances. Any shares of common stock purchased by the Adviser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pursuant to the 10b5-1 Plan will be subject to the lock-up agreement between the Adviser and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underwriters, meaning the shares purchased will be locked-up until 365 days after the date of this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prospectus. Under the 10b5-1 Plan, Goldman, Sachs &amp; Co. will increase the volume of purchases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made as the price of our common stock declines, subject to volume restrictions. Purchases of our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common stock by the Adviser under the 10b5-1 Plan may result in the price of our common stock</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being higher than the price that otherwise might exist in the open market. See “Risk Factors—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Purchases of our common stock by the Adviser under the 10b5-1 Plan may result in the price of</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5"/>
              </w:rPr>
              <w:t>our common stock being higher than the price that otherwise might exist in the open market.”</w:t>
            </w:r>
          </w:p>
        </w:tc>
      </w:tr>
      <w:tr>
        <w:trPr>
          <w:trHeight w:val="426"/>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We have entered into a license agreement with an affiliate of TPG, under which the affiliate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granted us a non-exclusive license to use the TPG name and logo, for a nominal fee, for so long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as the Adviser or one of its affiliates remains our investment adviser. Other than with respect to</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this limited license, we have no legal right to the “TPG” name or logo.</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89"/>
              </w:rPr>
              <w:t>below our net asset value per share unless we have stockholder approval. The risk that our shares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below net asset value. See “Risk Factors.”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Custodian, Transfer and Dividend Paying Agent and</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State Street Bank and Trust Company serves as our custodian and will serve as our transfer and</w:t>
            </w:r>
          </w:p>
        </w:tc>
      </w:tr>
      <w:tr>
        <w:trPr>
          <w:trHeight w:val="216"/>
        </w:trPr>
        <w:tc>
          <w:tcPr>
            <w:tcW w:w="414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Registrar</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dividend paying agent and registrar. See “Custodian, Transfer and Dividend Paying Agent and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Registrar.”</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part, under the Securities Act. This registration statement contains additional information about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us and the shares of our common stock being offered by this prospectus. We are also required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file periodic reports, current reports, proxy statements and other information with the SEC. This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D.C. 20549 and on the SEC’s website at http://www.sec.gov</w:t>
            </w:r>
            <w:r>
              <w:rPr>
                <w:rFonts w:ascii="Arial" w:cs="Arial" w:eastAsia="Arial" w:hAnsi="Arial"/>
                <w:sz w:val="18"/>
                <w:szCs w:val="18"/>
                <w:i w:val="1"/>
                <w:iCs w:val="1"/>
                <w:color w:val="auto"/>
                <w:w w:val="91"/>
              </w:rPr>
              <w:t>.</w:t>
            </w:r>
            <w:r>
              <w:rPr>
                <w:rFonts w:ascii="Arial" w:cs="Arial" w:eastAsia="Arial" w:hAnsi="Arial"/>
                <w:sz w:val="18"/>
                <w:szCs w:val="18"/>
                <w:color w:val="auto"/>
                <w:w w:val="91"/>
              </w:rPr>
              <w:t xml:space="preserve"> Information on the operation of the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SEC’s public reference room may be obtained by calling the SEC at 1 (800) SEC-0330.</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Street, Suite 3300, San Francisco, CA 94104, Attention: TSL Investor Relations, or by emailing</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 xml:space="preserve">us at </w:t>
            </w:r>
            <w:r>
              <w:rPr>
                <w:rFonts w:ascii="Arial" w:cs="Arial" w:eastAsia="Arial" w:hAnsi="Arial"/>
                <w:sz w:val="18"/>
                <w:szCs w:val="18"/>
                <w:i w:val="1"/>
                <w:iCs w:val="1"/>
                <w:color w:val="auto"/>
              </w:rPr>
              <w:t>IRTSL   tpg.com</w:t>
            </w:r>
            <w:r>
              <w:rPr>
                <w:rFonts w:ascii="Arial" w:cs="Arial" w:eastAsia="Arial" w:hAnsi="Arial"/>
                <w:sz w:val="18"/>
                <w:szCs w:val="18"/>
                <w:color w:val="auto"/>
              </w:rPr>
              <w:t>.</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-452755</wp:posOffset>
            </wp:positionV>
            <wp:extent cx="77470" cy="77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left="200" w:firstLine="443"/>
        <w:spacing w:after="0" w:line="306" w:lineRule="auto"/>
        <w:rPr>
          <w:sz w:val="20"/>
          <w:szCs w:val="20"/>
          <w:color w:val="auto"/>
        </w:rPr>
      </w:pPr>
      <w:r>
        <w:rPr>
          <w:rFonts w:ascii="Arial" w:cs="Arial" w:eastAsia="Arial" w:hAnsi="Arial"/>
          <w:sz w:val="15"/>
          <w:szCs w:val="15"/>
          <w:color w:val="auto"/>
        </w:rPr>
        <w:t>The following table is intended to assist you in understanding the costs and expenses that you will bear directly or indirectly.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and assume that we issue 10,030,303 shares of common stock in the offering and the concurrent private placement, based on an offering price equal to the mid-point of the range as set forth on the cover of this prospectus, and that the underwriters do not exercise their option to purchase any additional shares to cover over-allotments. In addition, the expenses in the table are based on the assumption that we borrow amounts under our credit facilities in an amount so that our total borrowings are 0.68x our total net assets, which was the ratio of daily average borrowings under our revolving credit facilities to our daily average estimated total net assets during the quarter ended December 31, 2013. Daily estimated average net assets is calculated by starting with the prior quarter end net asset value and adjusting for capital activity during the quarter, for example, by adding amounts to reflect dividend reinvestment plan share issuances.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you will indirectly bear these fees or expenses as an investor in TPG Specialty Lending.</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6.00%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2.60%</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2.56%</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investment income and capital gains)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2.36%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2.19%</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r>
              <w:rPr>
                <w:rFonts w:ascii="Arial" w:cs="Arial" w:eastAsia="Arial" w:hAnsi="Arial"/>
                <w:sz w:val="11"/>
                <w:szCs w:val="11"/>
                <w:color w:val="auto"/>
                <w:w w:val="97"/>
              </w:rPr>
              <w:t>(7)(8)</w:t>
            </w: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Total annual expenses</w:t>
            </w: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160" w:type="dxa"/>
            <w:vAlign w:val="bottom"/>
            <w:gridSpan w:val="2"/>
            <w:vMerge w:val="continue"/>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8.54%</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right="180" w:hanging="423"/>
        <w:spacing w:after="0" w:line="298"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sales load (underwriting discount) with respect to the shares of our common stock sold in this offering, which is a one-time fee paid to the underwriters, is the only sales load paid in connection with this offering. The six percent sales load represents the maximum sales load we could pay, and includes a base sales load of 5.50% and an additional 0.50% sales load we may elect to pay in our sole discretion, depending on the performance of the underwriters. If we do not elect to pay the 0.50% discretionary sales load, our net proceeds from this offering will be higher.</w:t>
      </w:r>
    </w:p>
    <w:p>
      <w:pPr>
        <w:spacing w:after="0" w:line="31" w:lineRule="exact"/>
        <w:rPr>
          <w:rFonts w:ascii="Arial" w:cs="Arial" w:eastAsia="Arial" w:hAnsi="Arial"/>
          <w:sz w:val="16"/>
          <w:szCs w:val="16"/>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$3.0 million.</w:t>
      </w:r>
    </w:p>
    <w:p>
      <w:pPr>
        <w:spacing w:after="0" w:line="90" w:lineRule="exact"/>
        <w:rPr>
          <w:rFonts w:ascii="Arial" w:cs="Arial" w:eastAsia="Arial" w:hAnsi="Arial"/>
          <w:sz w:val="18"/>
          <w:szCs w:val="18"/>
          <w:color w:val="auto"/>
        </w:rPr>
      </w:pPr>
    </w:p>
    <w:p>
      <w:pPr>
        <w:ind w:left="620" w:right="620" w:hanging="423"/>
        <w:spacing w:after="0" w:line="26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50" w:lineRule="exact"/>
        <w:rPr>
          <w:rFonts w:ascii="Arial" w:cs="Arial" w:eastAsia="Arial" w:hAnsi="Arial"/>
          <w:sz w:val="18"/>
          <w:szCs w:val="18"/>
          <w:color w:val="auto"/>
        </w:rPr>
      </w:pPr>
    </w:p>
    <w:p>
      <w:pPr>
        <w:ind w:left="620" w:right="240" w:hanging="423"/>
        <w:spacing w:after="0" w:line="256"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Management Fee is 1.5% of our gross assets (including cash and cash equivalents and assets purchased with borrowed amounts). We may from time to time decide it is appropriate to change the terms of our Investment Advisory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right="60"/>
        <w:spacing w:after="0" w:line="294" w:lineRule="auto"/>
        <w:rPr>
          <w:sz w:val="20"/>
          <w:szCs w:val="20"/>
          <w:color w:val="auto"/>
        </w:rPr>
      </w:pPr>
      <w:r>
        <w:rPr>
          <w:rFonts w:ascii="Arial" w:cs="Arial" w:eastAsia="Arial" w:hAnsi="Arial"/>
          <w:sz w:val="16"/>
          <w:szCs w:val="16"/>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money) as of December 31, 2013 and further assumes that we issue 10,030,303 shares of common stock in the offering and the concurrent private placement and make additional investment purchases funded with assumed borrowings under our credit facilities so that our total borrowings outstanding are 0.68x our total net assets (on a weighted average basis annually).</w:t>
      </w:r>
    </w:p>
    <w:p>
      <w:pPr>
        <w:spacing w:after="0" w:line="35" w:lineRule="exact"/>
        <w:rPr>
          <w:sz w:val="20"/>
          <w:szCs w:val="20"/>
          <w:color w:val="auto"/>
        </w:rPr>
      </w:pPr>
    </w:p>
    <w:p>
      <w:pPr>
        <w:ind w:left="620" w:right="60" w:hanging="423"/>
        <w:spacing w:after="0" w:line="298"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first year after completion of this offering. The Incentive Fee payable in the example below is based upon our actual results for the year ended December 31, 2013 as if they had occurred following the IPO, and assumes that the Incentive Fee is 17.5% for all relevant periods. However, the Incentive Fee payable to the Adviser is based on our performance and will not be paid unless we achieve certain goals.</w:t>
      </w:r>
    </w:p>
    <w:p>
      <w:pPr>
        <w:spacing w:after="0" w:line="3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Incentive Fee consists of two parts:</w:t>
      </w:r>
    </w:p>
    <w:p>
      <w:pPr>
        <w:spacing w:after="0" w:line="90" w:lineRule="exact"/>
        <w:rPr>
          <w:rFonts w:ascii="Arial" w:cs="Arial" w:eastAsia="Arial" w:hAnsi="Arial"/>
          <w:sz w:val="16"/>
          <w:szCs w:val="16"/>
          <w:color w:val="auto"/>
        </w:rPr>
      </w:pPr>
    </w:p>
    <w:p>
      <w:pPr>
        <w:ind w:left="620" w:right="180"/>
        <w:spacing w:after="0" w:line="255" w:lineRule="auto"/>
        <w:rPr>
          <w:rFonts w:ascii="Arial" w:cs="Arial" w:eastAsia="Arial" w:hAnsi="Arial"/>
          <w:sz w:val="16"/>
          <w:szCs w:val="16"/>
          <w:color w:val="auto"/>
        </w:rPr>
      </w:pPr>
      <w:r>
        <w:rPr>
          <w:rFonts w:ascii="Arial" w:cs="Arial" w:eastAsia="Arial" w:hAnsi="Arial"/>
          <w:sz w:val="18"/>
          <w:szCs w:val="18"/>
          <w:color w:val="auto"/>
        </w:rPr>
        <w:t>The first component, payable at the end of each quarter in arrears, equals 100% of the pre- 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w:t>
      </w:r>
    </w:p>
    <w:p>
      <w:pPr>
        <w:spacing w:after="0" w:line="61" w:lineRule="exact"/>
        <w:rPr>
          <w:rFonts w:ascii="Arial" w:cs="Arial" w:eastAsia="Arial" w:hAnsi="Arial"/>
          <w:sz w:val="16"/>
          <w:szCs w:val="16"/>
          <w:color w:val="auto"/>
        </w:rPr>
      </w:pPr>
    </w:p>
    <w:p>
      <w:pPr>
        <w:ind w:left="620" w:right="80"/>
        <w:spacing w:after="0" w:line="294" w:lineRule="auto"/>
        <w:rPr>
          <w:rFonts w:ascii="Arial" w:cs="Arial" w:eastAsia="Arial" w:hAnsi="Arial"/>
          <w:sz w:val="16"/>
          <w:szCs w:val="16"/>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the end of the quarter in which this IPO is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34"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90" w:lineRule="exact"/>
        <w:rPr>
          <w:rFonts w:ascii="Arial" w:cs="Arial" w:eastAsia="Arial" w:hAnsi="Arial"/>
          <w:sz w:val="16"/>
          <w:szCs w:val="16"/>
          <w:color w:val="auto"/>
        </w:rPr>
      </w:pPr>
    </w:p>
    <w:p>
      <w:pPr>
        <w:ind w:left="620" w:right="120" w:hanging="423"/>
        <w:spacing w:after="0" w:line="256"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payments on borrowed funds represents an estimate of our annualized interest expenses under our credit facilities based on assumed total borrowings outstanding equal to 0.68x our total net assets (on a weighted average basis annually).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62" w:lineRule="exact"/>
        <w:rPr>
          <w:rFonts w:ascii="Arial" w:cs="Arial" w:eastAsia="Arial" w:hAnsi="Arial"/>
          <w:sz w:val="18"/>
          <w:szCs w:val="18"/>
          <w:color w:val="auto"/>
        </w:rPr>
      </w:pPr>
    </w:p>
    <w:p>
      <w:pPr>
        <w:ind w:left="620" w:right="120" w:hanging="423"/>
        <w:spacing w:after="0" w:line="259"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for certain expenses incurred by the Adviser. See “Management and Other Agreements— Investment Advisory Agreement; Administration Agreement; License Agreement.” We based these expenses on estimated amounts for the current fiscal year.</w:t>
      </w:r>
    </w:p>
    <w:p>
      <w:pPr>
        <w:spacing w:after="0" w:line="59" w:lineRule="exact"/>
        <w:rPr>
          <w:rFonts w:ascii="Arial" w:cs="Arial" w:eastAsia="Arial" w:hAnsi="Arial"/>
          <w:sz w:val="18"/>
          <w:szCs w:val="18"/>
          <w:color w:val="auto"/>
        </w:rPr>
      </w:pPr>
    </w:p>
    <w:p>
      <w:pPr>
        <w:ind w:left="620" w:hanging="42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(taking into account the repayment of certain credit facility indebtedness as described in “Use of Proceeds”) and that our annual operating expenses would</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97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29972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60"/>
        <w:spacing w:after="0" w:line="268" w:lineRule="auto"/>
        <w:rPr>
          <w:sz w:val="20"/>
          <w:szCs w:val="20"/>
          <w:color w:val="auto"/>
        </w:rPr>
      </w:pPr>
      <w:r>
        <w:rPr>
          <w:rFonts w:ascii="Arial" w:cs="Arial" w:eastAsia="Arial" w:hAnsi="Arial"/>
          <w:sz w:val="18"/>
          <w:szCs w:val="18"/>
          <w:color w:val="auto"/>
        </w:rPr>
        <w:t>remain at the levels set forth in the table above. The Incentive Fee payable in the example below assumes that the Incentive Fee is 17.5% for all relevant periods. Transaction expenses are included in the following example.</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9"/>
              </w:rPr>
              <w:t>10 years</w:t>
            </w:r>
          </w:p>
        </w:tc>
      </w:tr>
      <w:tr>
        <w:trPr>
          <w:trHeight w:val="188"/>
        </w:trPr>
        <w:tc>
          <w:tcPr>
            <w:tcW w:w="80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You would pay the following expenses on a $1,000 investment, assuming a 5% annual return from realized</w:t>
            </w:r>
          </w:p>
        </w:tc>
        <w:tc>
          <w:tcPr>
            <w:tcW w:w="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gains</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$ 313</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$ 451</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756</w:t>
            </w:r>
          </w:p>
        </w:tc>
      </w:tr>
    </w:tbl>
    <w:p>
      <w:pPr>
        <w:spacing w:after="0" w:line="154"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27"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number of significant risks. Before you invest in our common stock, you should be aware of various risks associated with the investment,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upon at least 60 days’ written notice to the other party. The holders of a majority of our outstanding voting securities may also terminate the Investment Advisory Agreement without penalty upon not less than 60 days’ written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Although we do not anticipate issuing preferred stock during the 12 months following this offering, 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and the investors who acquire shares in the offering may thereafter experience the same type of dilution from subsequent offerings at a discount. See “Regulation.”</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credit facilities also impose financial and operating covenants that restrict our business activities, remedies on default and similar matters. As of December 31, 2013,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2013, we had $432.3 million of outstanding indebtedness, which would have an annualized interest cost of 2.5% under the terms of our credit facilities, excluding fees (such as fees on undrawn amounts and amortization of upfront fees), to the extent the amount remains outstanding. For us to cover these annualized interest payments on indebtedness, we must achieve annual returns on our investments of at least 1.0%. Since we generally pay interest at a floating rate on our credit facilities, an increase in interest rates will generally increase our borrowing costs.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309"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Assumed Return on Our Portfolio</w:t>
      </w:r>
    </w:p>
    <w:p>
      <w:pPr>
        <w:spacing w:after="0" w:line="21"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(net of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-10%</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-5%</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0%</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1"/>
                <w:szCs w:val="11"/>
                <w:color w:val="auto"/>
              </w:rPr>
              <w:t>(1)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(19.74%)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(10.70%)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(1.65%)</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7.39%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as of December 31, 2013, (i) $1,039.2 million in total assets, (ii) $432.3 million in outstanding indebtedness, (iii) $574.7 million in net assets and (iv) average cost of funds of 2.2% under our credit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will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6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2" w:lineRule="exact"/>
        <w:rPr>
          <w:sz w:val="20"/>
          <w:szCs w:val="20"/>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calendar years ended December 31, 2013 and December 31, 2012, we retained $3.0 million and $2.8 million of income and capital gains, respectively, in order to provide us with additional liquidity and we recorded a net expense of $0.2 million and $0.1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we will be liable for the tax on the amount by which we do not meet the foregoing distribution requirement. See “Material U.S. Federal Income Tax Considerations—Regulated Investment Company Classification.”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Adviser has the right, under the Investment Advisory Agreement and the Administration Agreement, to resign at any time upon not less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Although we expect to become a large accelerated filer at some point following this IPO, we currently are a “non-accelerated filer” under the Exchange Act, which has exempted us from compliance with these auditor attestation requirements. We cannot predict if investors will find shares of our common stock less attractive because we will rely on these exemptions. If some investors find our shares of common stock less attractive as a result, there may be a less active trading market for our shares and our share price may be more volatile.</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being a publicly traded company.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publicly traded company, we will incur legal, accounting, investor relations and other expenses, including costs associated with corporate governance requirements, such as those under the Sarbanes-Oxley Act, other rules implemented by the SEC and the listing standards of the New York Stock Exchange, or NYSE. Upon ceasing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 and default rates on our investments. As a result of these and other possible factors, results for any period should not be relied upon as being indicative of performance in future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“—Unless Congress renews certain exemptions that expired for taxable years commencing after December 31, 2013, certain dividend distributions we make to certain non-U.S. stockholders will be subject to U.S. withholding tax.”</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about financial stability could have a significant adverse effect on our business, results of operations and financial condition.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continues to negatively impact consumer confidence and consumer credit factors, our business and results of operations could be significantly and adversely affected.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43"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or a shutdown of the United States federal government, could have a material adverse effect on our business, financial condition and results of operations.</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widely reported, the federal government may not be able to meet its debt payments in the relatively near future unless the federal debt ceiling is raised. If legislation increasing the debt ceiling is not enacted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First-Lien Debt</w:t>
      </w:r>
      <w:r>
        <w:rPr>
          <w:rFonts w:ascii="Arial" w:cs="Arial" w:eastAsia="Arial" w:hAnsi="Arial"/>
          <w:sz w:val="16"/>
          <w:szCs w:val="16"/>
          <w:color w:val="auto"/>
        </w:rPr>
        <w:t>. When we make a first-lien loan, we generally take a security interest in the available assets of the portfolio company, including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Second-Lien and Mezzanine Debt</w:t>
      </w:r>
      <w:r>
        <w:rPr>
          <w:rFonts w:ascii="Arial" w:cs="Arial" w:eastAsia="Arial" w:hAnsi="Arial"/>
          <w:sz w:val="15"/>
          <w:szCs w:val="15"/>
          <w:color w:val="auto"/>
        </w:rPr>
        <w:t>. Our investments in second-lien and mezzanine debt generally are subordinated to senior loans and will either have junior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interests or be unsecured. As such, other creditors may rank senior to us in the event of insolvency. This may result in greater risk and loss of principal.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first-lien debt, second-lien debt or mezzanine debt, we may acquire equity securities, such as warrants,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900" w:right="3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90" w:lineRule="exact"/>
        <w:rPr>
          <w:sz w:val="20"/>
          <w:szCs w:val="20"/>
          <w:color w:val="auto"/>
        </w:rPr>
      </w:pPr>
    </w:p>
    <w:p>
      <w:pPr>
        <w:ind w:left="900" w:right="1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4"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Revolving Credit Facility (Natixis), to form a CLO or other securitization vehicle in the future.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be exposed to many of the same risks as described above with respect to our wholly owned subsidiary that supports our Revolving Credit Facility (Natixis). However, in the event we formed a CLO or other securitization vehicle, many of the risks described above would be heightened because we may incur a higher degree of leverage under a CLO or other securitization vehicle than we are permitted to incur under our Revolving Credit Facility (Natixis).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13"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ind w:firstLine="456"/>
        <w:spacing w:after="0" w:line="256" w:lineRule="auto"/>
        <w:rPr>
          <w:sz w:val="20"/>
          <w:szCs w:val="20"/>
          <w:color w:val="auto"/>
        </w:rPr>
      </w:pPr>
      <w:r>
        <w:rPr>
          <w:rFonts w:ascii="Arial" w:cs="Arial" w:eastAsia="Arial" w:hAnsi="Arial"/>
          <w:sz w:val="18"/>
          <w:szCs w:val="18"/>
          <w:color w:val="auto"/>
        </w:rPr>
        <w:t>We are a lender, and loans (and any equity investments we make)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13"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To the extent we have non-U.S. investments, particularly investments denominated in non-U.S. currencies, our hedging costs will increase.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(SunTrust).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(SunTrust), we may seek to utilize interest rate derivatives to hedge our exposure to changes in the associated rate.</w:t>
      </w:r>
    </w:p>
    <w:p>
      <w:pPr>
        <w:spacing w:after="0" w:line="113" w:lineRule="exact"/>
        <w:rPr>
          <w:sz w:val="20"/>
          <w:szCs w:val="20"/>
          <w:color w:val="auto"/>
        </w:rPr>
      </w:pPr>
    </w:p>
    <w:p>
      <w:pPr>
        <w:jc w:val="both"/>
        <w:ind w:right="480" w:firstLine="456"/>
        <w:spacing w:after="0" w:line="294" w:lineRule="auto"/>
        <w:rPr>
          <w:sz w:val="20"/>
          <w:szCs w:val="20"/>
          <w:color w:val="auto"/>
        </w:rPr>
      </w:pPr>
      <w:r>
        <w:rPr>
          <w:rFonts w:ascii="Arial" w:cs="Arial" w:eastAsia="Arial" w:hAnsi="Arial"/>
          <w:sz w:val="16"/>
          <w:szCs w:val="16"/>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In recent years, Congress has renewed the rules under which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8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the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Considerations—Potential Limitation with respect to Certain U.S. Stockholders on Deductions for Certain Fees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“—There are certain risks associated with holding debt obligations that have original issue discount or PIK.”</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the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market price and liquidity of the market for shares of our common stock that will prevail in the market after this offering may be higher or lower than the price you pay and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900" w:right="1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applied to list our common stock on the NYSE. We cannot assure you that a trading market will develop for our common stock after this offering or, if one develops, that the trading market can be sustained. In addition, we cannot predict the prices at which our common stock will trade. The IPO price for our common stock will be determined through our negotiations with the underwriters and may not bear any relationship to the market price at which it may trade after our IPO. Shares of companies offered in an IPO often trade at a discount to the initial offering price due to underwriting discounts and commissions and related offering expenses. Also,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The risk of loss associated with this characteristic of closed-end management investment companies may be greater for investors expecting to sell shares of common stock purchased in the offering soon after the offering.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completion of this offering and the concurrent private placement, we will have 51,793,027 shares of common stock outstanding, based on an assumed initial public offering price equal to the mid-point of the range on the front cover of the prospectus (or 52,843,027 shares of common stock if the underwriters’ over-allotment option is fully exercised). The shares of common stock sold in this offering (but not the concurrent private placement) will be freely tradable without restriction or limitation under the Securities Act, unless owned by an affiliate, as defined in the Securities Act, in which case sales will be subject to the public information, manner of sale and volume limitations of Rule 144 under the Securities Act. Shares of our common stock acquired pursuant to subscription agreements with our existing investors or in the concurrent private placement are “restricted securities,” as defined in Rule 144, and may only be sold if such sale is registered under the Securities Act or exempt from registration, including the exemption under Rule 144. See “Shares Eligible for Future Sale.” Following this offering and the expiration of applicable lock-up periods, subject to applicable securities laws, sales of substantial amounts of our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“Distributions” and “Dividend Reinvestment Plan” for a description of our dividend policy and obligations.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298" w:lineRule="auto"/>
        <w:tabs>
          <w:tab w:leader="none" w:pos="2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of our common stock in the aggregate during the period beginning after four full calendar weeks after the closing of this offering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51" w:lineRule="exact"/>
        <w:rPr>
          <w:sz w:val="20"/>
          <w:szCs w:val="20"/>
          <w:color w:val="auto"/>
        </w:rPr>
      </w:pPr>
    </w:p>
    <w:p>
      <w:pPr>
        <w:ind w:left="900" w:right="4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 Section 21E(b)(2)(B) and (D) of the Exchange Act, the “safe harbor” provisions of the Private Securities Litigation Reform Act of 1995 do not apply to statements made in connection with any offering of securities pursuant to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net proceeds we will receive from the sale of 7,000,000 shares of our common stock in this offering will be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$105.6 million, based on an assumed initial public offering price equal to the mid-point of the range on the front cover of the prospectus (or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$121.9 million if the underwriters exercise their option to purchase additional shares of our common stock to cover over-allotments in full), after deducting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discounts and commissions and estimated offering expenses of approximately $9.9 million payable by us (or $11.0 million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their option to purchase additional shares of our common stock to cover over-allotments in full). The six percent sales load (equal to $6.9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assuming an offering price equal to the mid-point of the range on the front cover of the prospectus and no exercise of the over-allotment option) represents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sales load we could pay, and includes a base sales load of 5.50% and an additional 0.50% sales load we may elect to pay in our sole discretion,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depending on the performance of the underwriters. If we do not elect to pay the 0.50% discretionary sales load, our net proceeds from this offering will be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proceeds from the sale of shares of our common stock in the concurrent private placement will be $50 million.</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use 100% of the net proceeds of this offering and the concurrent private placement, together with our cash and cash equivalents, to pay down approximately $155.6 million (or approximately $171.9 million if the underwriters exercise their option to purchase additional shares of our common stock to cover over-allotments in full) of outstanding indebtedness under the Revolving Credit Facility (SunTrust), which matures in full on February 27, 2019, on or about the date of the closing of this offering. After giving effect to the use of proceeds to pay down a portion of the outstanding balance under the Revolving Credit Facility (SunTrust), approximately $276.9 million (or approximately $260.6 million if the underwriters exercise their option to purchase additional shares of our common stock to cover over-allotments in full) will remain outstanding under the facility. To the extent we raise more or less proceeds from this offering and the concurrent private placement, we will pay down more or less of the facility. We do not intend to terminate the facility and may reborrow the amount we repay, subject to certain conditions. As of December 31, 2013, amounts outstanding under our Revolving Credit Facility (SunTrust) bore interest at a rate of LIBOR plus 225 basis points.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Board intends to declare a dividend of $0.38 per share for the quarter ending March 31, 2014 to stockholders of record as of March 31, 2014. Shares offered by this prospectus will be entitled to receive this dividend payment. The dividend is expected to be paid on April 30, 2014. We anticipate that this dividend will be paid from income generated primarily by interest earned on our investment portfolio.</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3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for purposes of additional liquidity and we recorded a net expense of $0.2 million and $0.1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w w:val="99"/>
              </w:rPr>
              <w:t>December 31, 2013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2013</w:t>
            </w:r>
          </w:p>
        </w:tc>
        <w:tc>
          <w:tcPr>
            <w:tcW w:w="44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September 30, 2013</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31, 2013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1"/>
                <w:szCs w:val="11"/>
                <w:color w:val="auto"/>
              </w:rPr>
              <w:t>(1)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December 31, 2013</w:t>
            </w:r>
          </w:p>
        </w:tc>
        <w:tc>
          <w:tcPr>
            <w:tcW w:w="44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30, 2014</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w w:val="99"/>
              </w:rPr>
              <w:t>December 31, 2012</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2012</w:t>
            </w:r>
          </w:p>
        </w:tc>
        <w:tc>
          <w:tcPr>
            <w:tcW w:w="44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September 30, 2012</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1"/>
                <w:szCs w:val="11"/>
                <w:color w:val="auto"/>
              </w:rPr>
              <w:t>(1)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December 31, 2012</w:t>
            </w:r>
          </w:p>
        </w:tc>
        <w:tc>
          <w:tcPr>
            <w:tcW w:w="44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capital gains, determined on a tax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actual consolidated capitalization of TPG Specialty Lending, Inc. at December 31, 2013;</w:t>
      </w:r>
    </w:p>
    <w:p>
      <w:pPr>
        <w:spacing w:after="0" w:line="90"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consolidated capitalization of TPG Specialty Lending, Inc. on a pro forma basis at December 31, 2013 to give effect to (i) our December 31, 2013 capital call for $65.0 million (4,234,501 shares issued at the September 30, 2013 net asset value per share of $15.35, which closed on January 15, 2014); (ii) our February 13, 2014 dividend reinvestment plan issuance for $7.8 million (502,200 shares issued at the December 31, 2013 net asset value per share of $15.52); (iii) $276.1 million of investments funded and $102.6 million in exits and repayments from January 1, 2014 through March 11, 2014; and (iv) $100.2 million of net drawdowns from our revolving credit facilities from January 1, 2014 through March 11, 2014; and</w:t>
      </w:r>
    </w:p>
    <w:p>
      <w:pPr>
        <w:spacing w:after="0" w:line="34" w:lineRule="exact"/>
        <w:rPr>
          <w:rFonts w:ascii="Arial" w:cs="Arial" w:eastAsia="Arial" w:hAnsi="Arial"/>
          <w:sz w:val="16"/>
          <w:szCs w:val="16"/>
          <w:color w:val="auto"/>
        </w:rPr>
      </w:pPr>
    </w:p>
    <w:p>
      <w:pPr>
        <w:ind w:left="900" w:right="100" w:hanging="325"/>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consolidated capitalization of TPG Specialty Lending, Inc. on a pro forma basis at December 31, 2013, as further adjusted to reflect (i) the assumed sale of 7,000,000 shares of our common stock in this offering at the initial public offering price of $16.50 per share (the mid-point of the range on the front cover of this prospectus) after deducting the underwriting discounts and commissions and estimated offering expenses of approximately $9.9 million payable by us; (ii) the assumed sale of $50 million of our common stock in the concurrent private placement at the same assumed offering price per share; and (iii) application of the net proceeds as discussed in more detail under “Use of Proceeds.”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You should read this table together with “Use of Proceeds” and the consolidated financial statements and the related notes thereto included elsewhere in this prospectus.</w:t>
      </w:r>
    </w:p>
    <w:p>
      <w:pPr>
        <w:spacing w:after="0" w:line="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(1)</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1180" w:type="dxa"/>
            <w:vAlign w:val="bottom"/>
            <w:gridSpan w:val="4"/>
            <w:vMerge w:val="continue"/>
          </w:tcPr>
          <w:p>
            <w:pPr>
              <w:spacing w:after="0"/>
              <w:rPr>
                <w:sz w:val="15"/>
                <w:szCs w:val="15"/>
                <w:color w:val="auto"/>
              </w:rPr>
            </w:pPr>
          </w:p>
        </w:tc>
        <w:tc>
          <w:tcPr>
            <w:tcW w:w="106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Investments</w:t>
            </w:r>
            <w:r>
              <w:rPr>
                <w:rFonts w:ascii="Arial" w:cs="Arial" w:eastAsia="Arial" w:hAnsi="Arial"/>
                <w:sz w:val="11"/>
                <w:szCs w:val="11"/>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1,016,451</w:t>
            </w:r>
          </w:p>
        </w:tc>
        <w:tc>
          <w:tcPr>
            <w:tcW w:w="16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1,189,451</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1,189,451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1,212,150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1,212,150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facilities</w:t>
            </w:r>
            <w:r>
              <w:rPr>
                <w:rFonts w:ascii="Arial" w:cs="Arial" w:eastAsia="Arial" w:hAnsi="Arial"/>
                <w:sz w:val="11"/>
                <w:szCs w:val="11"/>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432,267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532,472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464,454</w:t>
            </w:r>
          </w:p>
        </w:tc>
        <w:tc>
          <w:tcPr>
            <w:tcW w:w="16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564,659</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440"/>
              <w:spacing w:after="0"/>
              <w:rPr>
                <w:sz w:val="20"/>
                <w:szCs w:val="20"/>
                <w:color w:val="auto"/>
              </w:rPr>
            </w:pPr>
            <w:r>
              <w:rPr>
                <w:rFonts w:ascii="Arial" w:cs="Arial" w:eastAsia="Arial" w:hAnsi="Arial"/>
                <w:sz w:val="18"/>
                <w:szCs w:val="18"/>
                <w:color w:val="auto"/>
                <w:w w:val="89"/>
              </w:rPr>
              <w:t>Preferred stock, $0.01 par value; 100,000,000 shares authorized; no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640"/>
              <w:spacing w:after="0"/>
              <w:rPr>
                <w:sz w:val="20"/>
                <w:szCs w:val="20"/>
                <w:color w:val="auto"/>
              </w:rPr>
            </w:pPr>
            <w:r>
              <w:rPr>
                <w:rFonts w:ascii="Arial" w:cs="Arial" w:eastAsia="Arial" w:hAnsi="Arial"/>
                <w:sz w:val="18"/>
                <w:szCs w:val="18"/>
                <w:color w:val="auto"/>
              </w:rPr>
              <w:t>shares issued and outstanding</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Common stock, $0.01 par value; 400,000,000 shares authorized</w:t>
            </w:r>
            <w:r>
              <w:rPr>
                <w:rFonts w:ascii="Arial" w:cs="Arial" w:eastAsia="Arial" w:hAnsi="Arial"/>
                <w:sz w:val="11"/>
                <w:szCs w:val="11"/>
                <w:color w:val="auto"/>
                <w:w w:val="91"/>
              </w:rPr>
              <w:t>(3)</w:t>
            </w:r>
            <w:r>
              <w:rPr>
                <w:rFonts w:ascii="Arial" w:cs="Arial" w:eastAsia="Arial" w:hAnsi="Arial"/>
                <w:sz w:val="18"/>
                <w:szCs w:val="18"/>
                <w:color w:val="auto"/>
                <w:w w:val="91"/>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37,027,022 shares issued and 37,026,023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actual; 41,763,723 shares issued and 41,762,724 shares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pro forma; 51,794,026 shares issued and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51,793,027 shares outstanding, as adjusted pro forma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552,436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625,183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 at cost; 999 shares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 on investments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Undistributed net realized gains on investments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574,696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16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1,212,150</w:t>
            </w:r>
          </w:p>
        </w:tc>
        <w:tc>
          <w:tcPr>
            <w:tcW w:w="2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1,212,150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380" w:hanging="452"/>
        <w:spacing w:after="0" w:line="30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the effect of investments funded and drawdowns from our revolving credit facilities from January 1, 2014 through March 11, 2014; does not include pipeline investments that we believe may occur prior to the closing of our private placement and IPO. Excludes approximately $44 million of funded investments, which are expected to be sold down prior to March 31, 2014, subject to certain customary closing conditions.</w:t>
      </w:r>
    </w:p>
    <w:p>
      <w:pPr>
        <w:spacing w:after="0" w:line="25"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six percent sales load (equal to $6.9 million, assuming an offering price equal to the mid-point of the range on the front cover of the prospectus and no exercise of the over-allotment option) represents the maximum sales load we could pay, and includes a base sales load of 5.50% and an additional 0.50% sales load we may elect to pay in our sole discretion, depending on the performance of the underwriters. If we do not elect to pay the 0.50% discretionary sales load, our net proceeds from this offering will be higher.</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March 10, 2014, we amended our certificate of incorporation to increase the number of authorized shares of common stock from 100,000,000 shares to 400,000,000 shares.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and the pro forma net asset value per share of our common stock immediately after the completion of this offering. The net asset value per share is determined by dividing the value of (a) total assets minus liabilities by (b) the total number of shares outstanding.</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net asset value as of December 31, 2013 was $574.7 million for a net asset value per common share of $15.52. After giving effect to our December 31, 2013 capital call for $65.0 million, our February 13, 2014 dividend reinvestment plan issuance for $7.8 million, investments funded of $276.1 million and exits and repayments of $102.6 million from January 1, 2014 through March 11, 2014 and $100.2 million in net drawdowns from our revolving credit facilities from January 1, 2014 through March 11, 2014, our pro forma net asset value before completion of this offering as of December 31, 2013 would have been $647.5 million or $15.50 per share. We refer to these items as the “pro forma items” in the table below.</w:t>
      </w:r>
    </w:p>
    <w:p>
      <w:pPr>
        <w:spacing w:after="0" w:line="1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After giving effect to the sale of shares to be sold in this offering and the concurrent private placement at the initial public offering price of $16.50 per share (the mid-point of the range on the front cover of this prospectus), the deduction of the underwriting discount and estimated expenses of this offering payable by us, and the application of the net proceeds as discussed in more detail under “Use of Proceeds,” our net asset value would have been approximately</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$803.1 million, or $15.51 per share. That net asset value represents an immediate dilution of $0.99 per share, or 6.0%, to new investors who purchase our common stock in the offering at the initial public offering price. The foregoing assumes no exercise of the underwriters’ option to purchase additional shares to cover over-allotments. If the underwriters’ option to purchase additional shares to cover over-allotments is exercised in full, the immediate dilution to shares sold in this offering would also be $0.99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800" w:type="dxa"/>
            <w:vAlign w:val="bottom"/>
          </w:tcPr>
          <w:p>
            <w:pPr>
              <w:ind w:left="440"/>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Net asset value per share as of December 31, 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asset value per share attributable to pro forma items described above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20" w:type="dxa"/>
            <w:vAlign w:val="bottom"/>
            <w:gridSpan w:val="2"/>
          </w:tcPr>
          <w:p>
            <w:pPr>
              <w:spacing w:after="0"/>
              <w:rPr>
                <w:sz w:val="20"/>
                <w:szCs w:val="20"/>
                <w:color w:val="auto"/>
              </w:rPr>
            </w:pPr>
            <w:r>
              <w:rPr>
                <w:rFonts w:ascii="Arial" w:cs="Arial" w:eastAsia="Arial" w:hAnsi="Arial"/>
                <w:sz w:val="18"/>
                <w:szCs w:val="18"/>
                <w:color w:val="auto"/>
              </w:rPr>
              <w:t>Pro forma net asset value per share without giving effect to this offering and the concurrent private placement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 value per share giving effect to this offering and the concurrent private placement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20" w:type="dxa"/>
            <w:vAlign w:val="bottom"/>
            <w:gridSpan w:val="2"/>
          </w:tcPr>
          <w:p>
            <w:pPr>
              <w:spacing w:after="0"/>
              <w:rPr>
                <w:sz w:val="20"/>
                <w:szCs w:val="20"/>
                <w:color w:val="auto"/>
              </w:rPr>
            </w:pPr>
            <w:r>
              <w:rPr>
                <w:rFonts w:ascii="Arial" w:cs="Arial" w:eastAsia="Arial" w:hAnsi="Arial"/>
                <w:sz w:val="18"/>
                <w:szCs w:val="18"/>
                <w:color w:val="auto"/>
              </w:rPr>
              <w:t>Pro forma net asset value per share giving effect to this offering and the concurrent private placement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Dilution per share to new stockholders (without exercise of the underwriters’ option to purchase additional shares of our common stock to cover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over-allotments)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table summarizes, as of December 31, 2013, on the pro forma basis as described above, the total cash consideration paid to us and the average price per share paid by our existing stockholders prior to this offering and the concurrent private placement, by certain of our existing investors and our Adviser in the concurrent private placement at the initial public offering price of $16.50 per share, and by the new investors in this offering at an initial public offering price of $16.50 per share and prior to deducting the estimated underwriting discount and offering expenses.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4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4"/>
                <w:szCs w:val="14"/>
                <w:color w:val="auto"/>
              </w:rPr>
            </w:pPr>
          </w:p>
        </w:tc>
        <w:tc>
          <w:tcPr>
            <w:tcW w:w="19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4"/>
              </w:rPr>
              <w:t>Total Consideration</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6"/>
              </w:rPr>
              <w:t>Avg. Price</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5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5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41,762,724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625.6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Shares to be sold in the concurrent private placement</w:t>
            </w:r>
            <w:r>
              <w:rPr>
                <w:rFonts w:ascii="Arial" w:cs="Arial" w:eastAsia="Arial" w:hAnsi="Arial"/>
                <w:sz w:val="11"/>
                <w:szCs w:val="11"/>
                <w:color w:val="auto"/>
              </w:rPr>
              <w:t>(1)</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3,030,303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New investors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115.5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51,793,027</w:t>
            </w:r>
          </w:p>
        </w:tc>
        <w:tc>
          <w:tcPr>
            <w:tcW w:w="3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791.1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connection with the private placement, we will sell shares to certain existing investors, including the Adviser. See “Related-Party Transactions and Certain Relationships” and “Control Persons and Principal Stockholders” for information about the Adviser.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The selected financial data in this section is not intended to replace the consolidated financial statements and is qualified in its entirety by the consolidated financial statements and related notes included in this prospectus.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w w:val="87"/>
              </w:rPr>
              <w:t>Consolidated Statement of Operations Data:</w:t>
            </w:r>
          </w:p>
        </w:tc>
        <w:tc>
          <w:tcPr>
            <w:tcW w:w="1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20" w:type="dxa"/>
            <w:vAlign w:val="bottom"/>
            <w:tcBorders>
              <w:bottom w:val="single" w:sz="8" w:color="auto"/>
            </w:tcBorders>
            <w:vMerge w:val="continue"/>
          </w:tcPr>
          <w:p>
            <w:pPr>
              <w:spacing w:after="0"/>
              <w:rPr>
                <w:sz w:val="13"/>
                <w:szCs w:val="13"/>
                <w:color w:val="auto"/>
              </w:rPr>
            </w:pPr>
          </w:p>
        </w:tc>
        <w:tc>
          <w:tcPr>
            <w:tcW w:w="1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640" w:type="dxa"/>
            <w:vAlign w:val="bottom"/>
            <w:gridSpan w:val="3"/>
            <w:vMerge w:val="continue"/>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49.1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2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b w:val="1"/>
                <w:bCs w:val="1"/>
                <w:color w:val="auto"/>
                <w:w w:val="98"/>
              </w:rPr>
              <w:t>Increase in Net Assets Resulting from Operations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Share—basic and diluted</w:t>
            </w:r>
            <w:r>
              <w:rPr>
                <w:rFonts w:ascii="Arial" w:cs="Arial" w:eastAsia="Arial" w:hAnsi="Arial"/>
                <w:sz w:val="11"/>
                <w:szCs w:val="11"/>
                <w:b w:val="1"/>
                <w:bCs w:val="1"/>
                <w:color w:val="auto"/>
              </w:rPr>
              <w:t>(1)</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vMerge w:val="restart"/>
          </w:tcPr>
          <w:p>
            <w:pPr>
              <w:jc w:val="right"/>
              <w:ind w:right="1972"/>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w w:val="85"/>
              </w:rPr>
              <w:t>Consolidated Balance Sheet Data</w:t>
            </w:r>
          </w:p>
        </w:tc>
        <w:tc>
          <w:tcPr>
            <w:tcW w:w="4640" w:type="dxa"/>
            <w:vAlign w:val="bottom"/>
            <w:vMerge w:val="restart"/>
          </w:tcPr>
          <w:p>
            <w:pPr>
              <w:jc w:val="right"/>
              <w:ind w:right="4562"/>
              <w:spacing w:after="0"/>
              <w:rPr>
                <w:sz w:val="20"/>
                <w:szCs w:val="20"/>
                <w:color w:val="auto"/>
              </w:rPr>
            </w:pPr>
            <w:r>
              <w:rPr>
                <w:rFonts w:ascii="Arial" w:cs="Arial" w:eastAsia="Arial" w:hAnsi="Arial"/>
                <w:sz w:val="8"/>
                <w:szCs w:val="8"/>
                <w:b w:val="1"/>
                <w:bCs w:val="1"/>
                <w:color w:val="auto"/>
                <w:w w:val="73"/>
              </w:rPr>
              <w:t>:</w:t>
            </w: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7"/>
                <w:szCs w:val="7"/>
                <w:color w:val="auto"/>
              </w:rPr>
            </w:pPr>
          </w:p>
        </w:tc>
        <w:tc>
          <w:tcPr>
            <w:tcW w:w="2480" w:type="dxa"/>
            <w:vAlign w:val="bottom"/>
            <w:tcBorders>
              <w:bottom w:val="single" w:sz="8" w:color="auto"/>
            </w:tcBorders>
            <w:vMerge w:val="continue"/>
          </w:tcPr>
          <w:p>
            <w:pPr>
              <w:spacing w:after="0"/>
              <w:rPr>
                <w:sz w:val="7"/>
                <w:szCs w:val="7"/>
                <w:color w:val="auto"/>
              </w:rPr>
            </w:pPr>
          </w:p>
        </w:tc>
        <w:tc>
          <w:tcPr>
            <w:tcW w:w="46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right"/>
              <w:ind w:right="39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7"/>
                <w:szCs w:val="7"/>
                <w:color w:val="auto"/>
              </w:rPr>
            </w:pPr>
          </w:p>
        </w:tc>
        <w:tc>
          <w:tcPr>
            <w:tcW w:w="400" w:type="dxa"/>
            <w:vAlign w:val="bottom"/>
            <w:vMerge w:val="restart"/>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480" w:type="dxa"/>
            <w:vAlign w:val="bottom"/>
          </w:tcPr>
          <w:p>
            <w:pPr>
              <w:spacing w:after="0"/>
              <w:rPr>
                <w:sz w:val="2"/>
                <w:szCs w:val="2"/>
                <w:color w:val="auto"/>
              </w:rPr>
            </w:pPr>
          </w:p>
        </w:tc>
        <w:tc>
          <w:tcPr>
            <w:tcW w:w="464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vMerge w:val="continue"/>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 in millions, except per share amounts)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161.8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1,016.5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653.9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1,039.2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833.1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331.8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353.3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479.8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1"/>
                <w:szCs w:val="11"/>
                <w:color w:val="auto"/>
              </w:rPr>
              <w:t>(1)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15.19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1"/>
                <w:szCs w:val="11"/>
                <w:color w:val="auto"/>
              </w:rPr>
              <w:t>(1)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1"/>
                <w:szCs w:val="11"/>
                <w:color w:val="auto"/>
              </w:rPr>
              <w:t>(2)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fair value</w:t>
            </w:r>
            <w:r>
              <w:rPr>
                <w:rFonts w:ascii="Arial" w:cs="Arial" w:eastAsia="Arial" w:hAnsi="Arial"/>
                <w:sz w:val="11"/>
                <w:szCs w:val="11"/>
                <w:color w:val="auto"/>
              </w:rPr>
              <w:t>(3)</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yield of debt and income producing securities at amortized cost</w:t>
            </w:r>
            <w:r>
              <w:rPr>
                <w:rFonts w:ascii="Arial" w:cs="Arial" w:eastAsia="Arial" w:hAnsi="Arial"/>
                <w:sz w:val="11"/>
                <w:szCs w:val="11"/>
                <w:color w:val="auto"/>
              </w:rPr>
              <w:t>(3)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debt investments as a percentage of principal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fair value of debt investments as a percentage of call price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93.9%</w:t>
            </w:r>
          </w:p>
        </w:tc>
        <w:tc>
          <w:tcPr>
            <w:tcW w:w="3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prospectus.</w:t>
      </w:r>
    </w:p>
    <w:p>
      <w:pPr>
        <w:spacing w:after="0" w:line="50"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$0.01 per share) and accordingly the information is not meaningful. Excluding the effect of the initial seed funding, total return for the period July 1, 2011 through December 31, 2011 would be (1.58%). Our total return set forth in the table above reflects the Adviser’s waiver of its right to receive a portion of the Management Fee prior to this IPO. Following this IPO, the Adviser does not intend to waive its right to receive the full Management Fee. The Management Fee, excluding the effects of the waiver, would have been $13.4 million, $8.9 million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$1.6 million for the years ended December 31, 2013, December 31, 2012 and December 31, 2011, respectively.</w:t>
      </w:r>
    </w:p>
    <w:p>
      <w:pPr>
        <w:spacing w:after="0" w:line="83" w:lineRule="exact"/>
        <w:rPr>
          <w:rFonts w:ascii="Arial" w:cs="Arial" w:eastAsia="Arial" w:hAnsi="Arial"/>
          <w:sz w:val="16"/>
          <w:szCs w:val="16"/>
          <w:color w:val="auto"/>
        </w:rPr>
      </w:pPr>
    </w:p>
    <w:p>
      <w:pPr>
        <w:ind w:left="460" w:right="240" w:hanging="452"/>
        <w:spacing w:after="0" w:line="28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Weighted average yield on debt and income-producing securities at fair value is computed as (a) the annual stated interest rate or yield earned plus additional interest, if any, as a result of arrangements for each period between us and other lenders in any syndication plus the net annual amortization of original issue discount and market discount earned on accruing debt and income-producing securities for investments made in the period, divided by</w:t>
      </w:r>
    </w:p>
    <w:p>
      <w:pPr>
        <w:spacing w:after="0" w:line="1" w:lineRule="exact"/>
        <w:rPr>
          <w:rFonts w:ascii="Arial" w:cs="Arial" w:eastAsia="Arial" w:hAnsi="Arial"/>
          <w:sz w:val="16"/>
          <w:szCs w:val="16"/>
          <w:color w:val="auto"/>
        </w:rPr>
      </w:pPr>
    </w:p>
    <w:p>
      <w:pPr>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Our results reflect our ramp-up of initial investments, which is now complete, as well as the ongoing measured growth of our portfolio of investments.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2013, based on fair value, our borrowers had weighted average annual revenue of $202 million and weighted average annual EBITDA of $35 million.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our average investment based on fair value in each of our portfolio companies was $38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based on fair value. The debt in which we invest typically is not rated by any rating agency, but if these instruments were rated, they would likely receive a rating of below investment grade (that is, below BBB- or Baa3, which is often referred to as “junk”).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no industry represented more than 17% of our portfolio based on fair value.</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December 31, 2013,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99.8% of the fair value of our portfolio was invested in secured debt, including 86.3% in first-lien debt investments. We carefully diligence and structure investments to include strong investor covenants. As a result, we structure investments with a view to creating opportunities for early intervention in the event of non-performance or stress. As of December 31, 2013, the credit agreements underlying our debt investments had a weighted average of 3.0 financial covenants per asset. In addition, we seek to retain effective voting control in investments over the loans or particular class of securities in which we invest through maintaining affirmative voting positions or negotiating consent rights that allow us to retain a blocking position. As of December 31, 2013, we had effective voting control in 92% of the debt investments in our portfolio by fair value, and we held an agency or lead position in 60% of our portfolio investments by fair value. We also aim for our loans to mature on a medium term, between two to six years after origination. For the year ended December 31, 2013, the weighted average term on new investment commitments in new portfolio companies was 5.0 years.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 transaction.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a substantial majority of our portfolio investments were sourced through our direct or proprietary relationships.</w:t>
      </w:r>
    </w:p>
    <w:p>
      <w:pPr>
        <w:spacing w:after="0" w:line="8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 future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Based on fair value as of December 31, 2013, we had call protection on 94.4% of our debt investments, with weighted average call prices based on fair value of 106.7% for one year, 103.5% for two years and 101.4% for the third year, in each case from the date of the initial investment. Based on fair value as of December 31, 2013, 98.8% of our debt investments bore interest at floating rates, subject to interest rate floors, which we believe helps act as a portfolio-wide hedge against inflation.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generate income from dividends on direct equity investments, capital gains on the sales of loans and debt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equity securities and various loan origination and other fees. Our debt investments typically have a term of two to six years, and, based on fair value as of December 31, 2013, 98.8% bear interest at a floating rate, subject to interest rate floors. Interest on debt securities is generally payable quarterly or semiannually. Some of our investments provide for deferred interest payments or PIK interest.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Revolving Credit Facility (Natixis).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on fair value as of December 31, 2013, our portfolio consisted of 86.3% first-lien debt investments, 13.5% second-lien debt investments, and 0.2% equity investments.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fair value as of December 31, 2012, our portfolio consisted of 89.0% first-lien debt investments, 10.7% second-lien debt investments, and 0.3% equity investments. As of December 31, 2013 and December 31, 2012, our weighted average total yield on investments at fair value (which includes interest income and amortization of fees and discounts) was 10.4% and 10.6%, respectively, and our weighted average total yield on investments at amortized cost (which includes interest income and amortization of fees and discounts) was 10.6% and 10.7%, respectively.</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2013 and December 31, 2012, we had investments in 27 and 21 portfolio companies, respectively, with an aggregate fair value of $1,016.5 million and $653.9 million, respectively.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For the year ended December 31, 2011, we made new investment commitments of $197.2 million in seven new portfolio companies and had no repayments.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investment activity for the years ended December 31, 2013, 2012 and 2011 is presented below (information presented herein is at par value unless otherwise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Gross originations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897.5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1,071.7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291.3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357.5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new investment commitments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606.2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714.2</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603.9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579.4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680.6</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161.0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8"/>
                <w:szCs w:val="18"/>
                <w:color w:val="auto"/>
              </w:rPr>
              <w:t>192.1</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193.1</w:t>
            </w:r>
          </w:p>
        </w:tc>
        <w:tc>
          <w:tcPr>
            <w:tcW w:w="5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companies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Average new investment commitment amount in new</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portfolio companies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term for new investment commitments in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new portfolio companies (in years)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Percentage of new debt investment commitments at floating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rates</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98.0%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Percentage of new debt investment commitments at fixed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rates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spread over LIBOR of new floating rate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investment commitments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on investments sold or paid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down</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our investments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December 31, 2013</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December 31,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3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Amortized Cost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Equity investments</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1,016.5</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997.3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auto"/>
              </w:rPr>
              <w:t>64</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of December 31, 2013 and December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6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6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Percentage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w w:val="96"/>
              </w:rPr>
              <w:t>Cost</w:t>
            </w:r>
          </w:p>
        </w:tc>
        <w:tc>
          <w:tcPr>
            <w:tcW w:w="6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1"/>
                <w:szCs w:val="11"/>
                <w:color w:val="auto"/>
              </w:rPr>
              <w:t>(1)</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weighted average yields and interest rates of our debt investments at fair value as of December 31, 2013 and December 31,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4"/>
              </w:rPr>
              <w:t>December 31, 2013</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2"/>
              </w:rPr>
              <w:t>December 31, 2012</w:t>
            </w:r>
          </w:p>
        </w:tc>
        <w:tc>
          <w:tcPr>
            <w:tcW w:w="0" w:type="dxa"/>
            <w:vAlign w:val="bottom"/>
          </w:tcPr>
          <w:p>
            <w:pPr>
              <w:spacing w:after="0"/>
              <w:rPr>
                <w:sz w:val="1"/>
                <w:szCs w:val="1"/>
                <w:color w:val="auto"/>
              </w:rPr>
            </w:pPr>
          </w:p>
        </w:tc>
      </w:tr>
      <w:tr>
        <w:trPr>
          <w:trHeight w:val="20"/>
        </w:trPr>
        <w:tc>
          <w:tcPr>
            <w:tcW w:w="7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Weighted average total yield of debt and income producing securities</w:t>
            </w:r>
          </w:p>
        </w:tc>
        <w:tc>
          <w:tcPr>
            <w:tcW w:w="8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shd w:val="clear" w:color="auto" w:fill="CCEEFF"/>
          </w:tcPr>
          <w:p>
            <w:pPr>
              <w:spacing w:after="0"/>
              <w:rPr>
                <w:sz w:val="18"/>
                <w:szCs w:val="18"/>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10.6%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Weighted average interest rate of debt and income producing securities</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 investments</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57"/>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2"/>
          </w:tcPr>
          <w:p>
            <w:pPr>
              <w:ind w:left="460"/>
              <w:spacing w:after="0"/>
              <w:rPr>
                <w:sz w:val="20"/>
                <w:szCs w:val="20"/>
                <w:color w:val="auto"/>
              </w:rPr>
            </w:pPr>
            <w:r>
              <w:rPr>
                <w:rFonts w:ascii="Arial" w:cs="Arial" w:eastAsia="Arial" w:hAnsi="Arial"/>
                <w:sz w:val="18"/>
                <w:szCs w:val="18"/>
                <w:color w:val="auto"/>
                <w:w w:val="99"/>
              </w:rPr>
              <w:t>Operating results for the years ended December 31, 2013, 2012 and 2011 were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(loss)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taxes, including excise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realized gains on investments</w:t>
            </w:r>
            <w:r>
              <w:rPr>
                <w:rFonts w:ascii="Arial" w:cs="Arial" w:eastAsia="Arial" w:hAnsi="Arial"/>
                <w:sz w:val="11"/>
                <w:szCs w:val="11"/>
                <w:color w:val="auto"/>
              </w:rPr>
              <w:t>(1)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1"/>
                <w:szCs w:val="11"/>
                <w:color w:val="auto"/>
              </w:rPr>
              <w:t>(1)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5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from investments increased from $5.3 million for the year ended December 31, 2011 to $49.1 million for the year ended December 31, 2012, primarily due to the increase in the size of our portfolio. The average size of our total investment portfolio at fair value increased from $57 million during the year ended December 31, 2011 to $417 million during the year ended December 31, 2012. In addition, prepayment fees increased from zero for the year ended December 31, 2011 to $0.9 million for the year ended December 31, 2012. These prepayment fees resulted from full paydowns on two portfolio investments. There was no dividend income in the year ended December 31, 2011. Dividend income was $1.2 million for the year ended December 31, 2012 due to the receipt of a dividend in the fourth quarter of 2012 from a non-controlled, affiliated investment. There was no other income in the year ended December 31, 2011. Other income for the year ended December 31, 2012 was $0.7 million primarily due to higher amendment and agency fees earned during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2013, 2012 and 2011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2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gridSpan w:val="3"/>
          </w:tcPr>
          <w:p>
            <w:pPr>
              <w:jc w:val="center"/>
              <w:ind w:left="344"/>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Initial organization</w:t>
            </w:r>
          </w:p>
        </w:tc>
        <w:tc>
          <w:tcPr>
            <w:tcW w:w="4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(net of waivers)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8"/>
              </w:rPr>
              <w:t>Incentive fees related to Pre-incentive fee net investment income</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Professional fees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20" w:type="dxa"/>
            <w:vAlign w:val="bottom"/>
            <w:vMerge w:val="restart"/>
          </w:tcPr>
          <w:p>
            <w:pPr>
              <w:jc w:val="right"/>
              <w:ind w:right="3432"/>
              <w:spacing w:after="0"/>
              <w:rPr>
                <w:sz w:val="20"/>
                <w:szCs w:val="20"/>
                <w:color w:val="auto"/>
              </w:rPr>
            </w:pPr>
            <w:r>
              <w:rPr>
                <w:rFonts w:ascii="Arial" w:cs="Arial" w:eastAsia="Arial" w:hAnsi="Arial"/>
                <w:sz w:val="18"/>
                <w:szCs w:val="18"/>
                <w:color w:val="auto"/>
              </w:rPr>
              <w:t>66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Interest, including other debt financing expenses, increased from $0.8 million for the year ended December 31, 2011 to $6.0 million for the year ended December 31, 2012. This increase was primarily due to the addition of our Revolving Credit Facility (Natixis) in May 2012 and our Revolving Credit Facility (SunTrust) in August 2012 and an increase in the weighted average debt outstanding from $11 million for the year ended December 31, 2011 to $111 million for the year ended December 31, 2012. The weighted average interest rate on our debt outstanding decreased from 3.0% for the year ended December 31, 2011 to 2.9% for the year ended December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 as described below.</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Management Fees (net of waivers) increased from $1.6 million for the year ended December 31, 2011 to $5.2 million for the year ended December 31, 2012. Management Fees increased from $1.6 million for the year ended December 31, 2011 to $8.9 million for the year ended December 31, 2012 due to the increase in total assets, which increased from an average of $115 million for the year ended December 31, 2011 to an average of $611 million for the year ended December 31, 2012. Management Fees waived increased from $7 thousand for the year ended December 31, 2011 to $3.7 million for the year ended December 31, 2012 due to an increase in total assets.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Until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IPO, the Adviser does not intend to waive its right to receive the full Management Fee.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Incentive Fees related to pre-Incentive Fee net investment income for the year ended December 31, 2011. Incentive fees related to pre-Incentive Fee net investment income were $5.3 million for the year ended December 31, 2012 due to an increase in the size of the portfolio and related increase in pre-Incentive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Fee net investment income. Incentive Fees related to capital gains increased from $0.3 million for the year ended December 31, 2011 to $1.7 million for the year ended December 31, 2012 due to changes in unrealized gains and losses on our investments and realized gains on our investments.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Professional fees increased from $1.6 million for the year ended December 31, 2011 to $2.9 million for the year ended December 31, 2012 and other general and administrative fees increased from $0.8 million for the year ended December 31, 2011 to $1.5 million for the year ended December 31, 2012, both due to an increase in costs associated with servicing a growing investment portfolio. A significant portion of our expenses for the year ended December 31, 2011 were related to the initial organization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each of the calendar years ended December 31, 2013 and 2012 we recorded a net expense of $0.2 million and $0.1 million, respectively,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 For the calendar year ended December 31, 2011, we did not incur any U.S. federal excise tax.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had $1.1 million of net realized gains, including realized gains on foreign currency forward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had $4.4 million of net realized gains. During the year ended December 31, 2011, we had no net realized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realized gains and losses on investments during the years ended December 31, 2013, 2012 and 2011 consisted of the following (certain gains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have been rounded to zero):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Attachmate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SumTotal</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Subtotal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b w:val="1"/>
                <w:bCs w:val="1"/>
                <w:color w:val="auto"/>
              </w:rPr>
              <w:t>Net Realized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17.6% (based on cash invested of $359 million and total proceeds from these exited investments of $405 million). Eighty percent of these exited investments resulted in an aggregate cash flow realized gross internal rate of return to us of 10% or greater.</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Total capital invested for an investment is the sum of capital invested and realized losses on hedging activity, with respect to the investment.</w:t>
      </w:r>
    </w:p>
    <w:p>
      <w:pPr>
        <w:spacing w:after="0" w:line="113" w:lineRule="exact"/>
        <w:rPr>
          <w:rFonts w:ascii="Arial" w:cs="Arial" w:eastAsia="Arial" w:hAnsi="Arial"/>
          <w:sz w:val="16"/>
          <w:szCs w:val="16"/>
          <w:color w:val="auto"/>
        </w:rPr>
      </w:pPr>
    </w:p>
    <w:p>
      <w:pPr>
        <w:ind w:left="1480" w:right="48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w:t>
      </w:r>
    </w:p>
    <w:p>
      <w:pPr>
        <w:spacing w:after="0" w:line="5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Realized losses on hedging activity, with respect to an investment, represent any inception-to-date realized losses on foreign currency forward contracts allocable to the investment.</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Total realized returns from an investment is the sum of realized returns and realized gains on hedging activity, with respect to the investment.</w:t>
      </w:r>
    </w:p>
    <w:p>
      <w:pPr>
        <w:spacing w:after="0" w:line="113" w:lineRule="exact"/>
        <w:rPr>
          <w:rFonts w:ascii="Arial" w:cs="Arial" w:eastAsia="Arial" w:hAnsi="Arial"/>
          <w:sz w:val="16"/>
          <w:szCs w:val="16"/>
          <w:color w:val="auto"/>
        </w:rPr>
      </w:pPr>
    </w:p>
    <w:p>
      <w:pPr>
        <w:jc w:val="both"/>
        <w:ind w:left="1480" w:right="80" w:hanging="446"/>
        <w:spacing w:after="0" w:line="306"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w:t>
      </w:r>
    </w:p>
    <w:p>
      <w:pPr>
        <w:spacing w:after="0" w:line="25" w:lineRule="exact"/>
        <w:rPr>
          <w:rFonts w:ascii="Arial" w:cs="Arial" w:eastAsia="Arial" w:hAnsi="Arial"/>
          <w:sz w:val="16"/>
          <w:szCs w:val="16"/>
          <w:color w:val="auto"/>
        </w:rPr>
      </w:pPr>
    </w:p>
    <w:p>
      <w:pPr>
        <w:ind w:left="1480" w:right="60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Realized gains on hedging activity, with respect to an investment, represents any inception-to-date realized gains on foreign currency forward contracts allocable to the investment.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 For additional information on our unrealized gains and losses, see “—Results of Operations—Net Change in Unrealized Gains/Losses”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See“—Critical Accounting Policies— Investments at Fair Value.”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years ended December 31, 2013, 2012 and 2011, the net change in unrealized gains (losses) on our investment portfolio, including losses on foreign currency forward contracts,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2012</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020" w:type="dxa"/>
            <w:vAlign w:val="bottom"/>
            <w:vMerge w:val="restart"/>
          </w:tcPr>
          <w:p>
            <w:pPr>
              <w:jc w:val="right"/>
              <w:ind w:right="2372"/>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net change in unrealized gains (losses) for the years ended December 31, 2013,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Campus Management,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Centaur, LLC.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Consona Holdings,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Ecommerce Industries,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eResearch Technology,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Federal Signal Corporation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2.2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Global Geophysical</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Infogix,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Kewill, Ltd</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Mandalay Baseball Properties,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Mediware Information Systems,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Metalico,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Network Merchants,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PAI Group,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Soho House Bond Ltd.</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SRS Software, LLC.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Vivint, Inc.</w:t>
            </w:r>
          </w:p>
        </w:tc>
        <w:tc>
          <w:tcPr>
            <w:tcW w:w="1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7.</w:t>
            </w:r>
            <w:r>
              <w:rPr>
                <w:rFonts w:ascii="Arial" w:cs="Arial" w:eastAsia="Arial" w:hAnsi="Arial"/>
                <w:sz w:val="18"/>
                <w:szCs w:val="18"/>
                <w:u w:val="single" w:color="auto"/>
                <w:color w:val="auto"/>
                <w:w w:val="71"/>
              </w:rPr>
              <w:t>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8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7.2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company investments, excluding unrealized losses on foreign currency forward contracts.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the year ended December 31, 2012, we had $9.2 million in unrealized appreciation on 13 portfolio company investments, which was partially offset by $2.0 million in unrealized depreciation on five portfolio company investments. For the year ended December 31, 2011, we had $2.4 million in unrealized appreciation on six portfolio company investments, which was partially offset by $0.1 million in unrealized depreciation on one portfolio company investment.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and 2011,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capital commitments of our existing investors terminate on the completion of this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2013, 2012 and 2011, our asset coverage ratio was 232.9%, 244.6% and 211.7%, respectively.</w:t>
      </w:r>
    </w:p>
    <w:p>
      <w:pPr>
        <w:spacing w:after="0" w:line="14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Cash and cash equivalents as of December 31, 2013, taken together with cash available under our credit facilities and proceeds from this offering, is expected to be sufficient for our investing activities and to conduct our operations in the near term. On February 27, 2014, we terminated the Revolving Credit Facility (DBTCA), effective March 4, 2014. The outstanding balance under the Revolving Credit Facility (DBTCA) was paid down prior to terminating the facility.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 $14.3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2012, we had $161.8 million in cash and cash equivalents, an increase of $18.1 million from December 31, 2011. The increase was primarily attributable to additional borrowings under the debt facilities and proceeds from investor drawdown notices received near December 31, 2012. During the year ended December 31, 2012, we used $430.1 million in operating activities, primarily as a result of funding of portfolio investments of $760.7 million. This was partially offset by proceeds from investments of $119.1 million, repayments on investments of $190.6 million, an increase in net assets resulting from operations of $39.6 million and other operating activity of $18.7 million. Lastly, cash provided by financing activities was $448.2 million during the period, primarily due to proceeds from issuance of common stock of $287.7 million and net borrowings on debt of $176.8 million, partially offset by debt issuance costs of $5.3 million and dividends paid of $11.0 million.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December 31, 2013, we had $6.3 million of restricted cash in our wholly owned subsidiary TPG SL SPV, an increase of $2.0 million from December 31, 2012.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Revolving Credit Facility (Natixis),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 Revolving Credit Facility (Natixis).”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2013, 2012 and 2011,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December 31, 2013, we have drawn down a total of $0.5 billion of capital and issued 34.7 million shares, excluding equity and shares issued through our dividend reinvestment plan. As of December 31, 2013, $1.0 billion of capital commitments remained unfunded.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years ended December 31, 2013, 2012 and 2011, we delivered drawdown notices to our investors relating to the issuance of 3,713,053 shares, 19,199,421 shares and 11,770,448 shares, respectively, of our common stock for aggregate proceeds of $57 million, $288 million and $173 million, respectively. Proceeds from the issuances were used in investing activities and for other general corporate purposes.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This capital drawdown notice is not reflected in the number of shares issued for the year ended December 31, 2013 in the prior paragraph or the consolidated financial statements for the year ended December 31, 2013.</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drawdowns noted above, during the years ended December 31, 2013 and 2012, we issued 1,730,042 and 613,020 shares of our common stock, respectively, to investors who have not opted out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dividend reinvestment plan for proceeds of $26.4 million and $9.2 million, respectively. We did not issue any shares to investors through our dividend reinvestment plan for the year ended December 31, 2011. On February 13, 2014, we issued 502,200 shares of our common stock through our dividend reinvestment plan for $7.8 million, which is not reflected in the number of shares issued for the year ended December 31, 2013 in this section or the consolidated financial statements for the year ended December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432.3</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gridSpan w:val="5"/>
          </w:tcPr>
          <w:p>
            <w:pPr>
              <w:ind w:left="4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ind w:left="460" w:right="1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intend to use the net proceeds of this offering (assuming no exercise of the underwriters’ over-allotment option) and the concurrent private placement, together with our cash and cash equivalents, to pay down approximately $155.6 million of outstanding indebtedness under the Revolving Credit Facility (SunTrust). See “Use of Proceeds.”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January 21, 2014, we amended the Revolving Credit Facility (Natixis)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(SunTrust) to increase the size of the facility to $581.3 million.</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2013, 2012 and 2011,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August 23, 2012, we entered into a senior secured revolving credit agreement with SunTrust Bank, as administrative agent, and certain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(SunTrust). The second amended and restated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660" w:hanging="446"/>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of our domestic subsidiaries that are formed or acquired by us in the future. The Revolving Credit Facility (SunTrust)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plan to use the proceeds of this offering to pay down the Revolving Credit Facility (SunTrust), but the credit facility will not be terminated. Affiliates of certain of the underwriters are lenders under the Revolving Credit Facility (SunTrust).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May 8, 2012, the “Natixis Closing Date,” our wholly owned subsidiary TPG SL SPV, LLC, a Delaware limited liability company, entered into a credit and security agreement with Natixis, New York Branch. Also on May 8, 2012, we contributed certain investments to TPG SL SPV pursuant to the terms of a Master Sale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Contribution Agreement by and between us and TPG SL SPV. We consolidate TPG SL SPV in our consolidated financial statements, and no gain or loss was recognized as a result of the contribution. Proceeds from the Revolving Credit Facility (Natixis)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our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our other debt obligations.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of the 1940 Act.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On September 28, 2011, we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which we refer to as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July 2013, we reduced the capacity of the Revolving Credit Facility (DBTCA) from $250 million to $100 million. The elective reduction did not have a significant effect on our liquidity as (i) our borrowings are limited by the 1940 Act’s asset coverage requirement; and (ii) there was adequate availability under our other credit facilities.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November 5, 2013, we entered into an agreement to amend the Revolving Credit Facility (DBTCA) by extending the stated maturity date from December 22, 2013 to June 30, 2014. The Revolving Credit Facility (DBTCA) would have matured upon the earlier of June 30, 2014 and 25 days prior to this offering. On February 27, 2014, we terminated the Revolving Credit Facility (DBTCA), effective March 4, 2014. The outstanding balance under the Revolving Credit Facility (DBTCA) was paid down prior to terminating the facility. We did not incur any fees or penalties in conjunction with the termination.</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our existing investors.</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We could have elected either the LIBOR or prime rate at the time of draw-down, and loans could have been converted from one rate to another at any time, subject to certain conditions. We also paid a fee of 0.375% on undrawn amounts of the Revolving Credit Facility (DBTCA). In respect of each letter of credit, we paid a fee and a fixed rate while the letter of credit was outstanding.</w:t>
      </w:r>
    </w:p>
    <w:p>
      <w:pPr>
        <w:spacing w:after="0" w:line="11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us and our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2013, 2012 and 2011, we had the following commitments to fund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2013</w:t>
            </w:r>
          </w:p>
        </w:tc>
        <w:tc>
          <w:tcPr>
            <w:tcW w:w="1140" w:type="dxa"/>
            <w:vAlign w:val="bottom"/>
          </w:tcPr>
          <w:p>
            <w:pPr>
              <w:spacing w:after="0"/>
              <w:rPr>
                <w:sz w:val="14"/>
                <w:szCs w:val="14"/>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December 31, 2012</w:t>
            </w:r>
          </w:p>
        </w:tc>
        <w:tc>
          <w:tcPr>
            <w:tcW w:w="58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32.0</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1660" w:type="dxa"/>
            <w:vAlign w:val="bottom"/>
            <w:gridSpan w:val="2"/>
          </w:tcPr>
          <w:p>
            <w:pPr>
              <w:jc w:val="right"/>
              <w:ind w:right="299"/>
              <w:spacing w:after="0"/>
              <w:rPr>
                <w:sz w:val="20"/>
                <w:szCs w:val="20"/>
                <w:color w:val="auto"/>
              </w:rPr>
            </w:pPr>
            <w:r>
              <w:rPr>
                <w:rFonts w:ascii="Arial" w:cs="Arial" w:eastAsia="Arial" w:hAnsi="Arial"/>
                <w:sz w:val="18"/>
                <w:szCs w:val="18"/>
                <w:color w:val="auto"/>
              </w:rPr>
              <w:t>77</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2013, 2012 and 2011, we had $1.5 billion, $1.4 billion and $1.2 billion, respectively, in total capital commitments from investors ($1.0 billion, $0.9 billion and $1.0 billion unfunded, respectively). Of these amounts, $117.1 million, $114.1 million and $70.4 million, respectively, is from the Adviser and its affiliates ($76.7 million, $76.6 million and $60.3 million unfunded, respectively). These unfunded commitments will no longer remain in effect following the completion of this IPO.</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2013, 2012 and 2011, we had outstanding commitments to fund investments totaling $55.0 million, $32.0 million and $6.8 million, respectively.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5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w w:val="91"/>
              </w:rPr>
              <w:t>32.0</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center"/>
              <w:ind w:left="16"/>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432.3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6"/>
              <w:spacing w:after="0"/>
              <w:rPr>
                <w:sz w:val="20"/>
                <w:szCs w:val="20"/>
                <w:color w:val="auto"/>
              </w:rPr>
            </w:pPr>
            <w:r>
              <w:rPr>
                <w:rFonts w:ascii="Arial" w:cs="Arial" w:eastAsia="Arial" w:hAnsi="Arial"/>
                <w:sz w:val="18"/>
                <w:szCs w:val="18"/>
                <w:color w:val="auto"/>
                <w:w w:val="91"/>
              </w:rPr>
              <w:t>32.0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$ 77.8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Administration Agreement;</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4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Adviser’s agreement to purchase approximately $3.1 million of our common stock in the concurrent private placement at the initial public offering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interest rate risk and currency risk. See “—Results of Operations—Hedging.”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annual financial statements included elsewhere in this prospectus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December 31, 2013, 98.8% of our debt investments at fair value in our portfolio bore interest at floating rates, subject to interest rate floors. Our credit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Assuming that our consolidated balance sheet as of December 31, 2013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2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Basis Point Change</w:t>
            </w:r>
          </w:p>
        </w:tc>
        <w:tc>
          <w:tcPr>
            <w:tcW w:w="1700" w:type="dxa"/>
            <w:vAlign w:val="bottom"/>
          </w:tcPr>
          <w:p>
            <w:pPr>
              <w:spacing w:after="0"/>
              <w:rPr>
                <w:sz w:val="14"/>
                <w:szCs w:val="14"/>
                <w:color w:val="auto"/>
              </w:rPr>
            </w:pPr>
          </w:p>
        </w:tc>
        <w:tc>
          <w:tcPr>
            <w:tcW w:w="19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Income</w:t>
            </w:r>
          </w:p>
        </w:tc>
        <w:tc>
          <w:tcPr>
            <w:tcW w:w="14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Expense</w:t>
            </w:r>
          </w:p>
        </w:tc>
        <w:tc>
          <w:tcPr>
            <w:tcW w:w="460" w:type="dxa"/>
            <w:vAlign w:val="bottom"/>
          </w:tcPr>
          <w:p>
            <w:pPr>
              <w:spacing w:after="0"/>
              <w:rPr>
                <w:sz w:val="14"/>
                <w:szCs w:val="14"/>
                <w:color w:val="auto"/>
              </w:rPr>
            </w:pPr>
          </w:p>
        </w:tc>
        <w:tc>
          <w:tcPr>
            <w:tcW w:w="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Net 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0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bl>
    <w:p>
      <w:pPr>
        <w:spacing w:after="0" w:line="14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conduct this valuation process on a quarterly basis.</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We apply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6 to our consolidated financial statements included elsewhere in this prospectus for more information on the fair value of our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2013, 2012 and 2011. The report of our independent registered public accounting firm, KPMG LLP, on the senior securities table as of December 31, 2013 is attached as an exhibit to the registration statement of which this prospectus is a part.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Asset</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34"/>
        </w:trPr>
        <w:tc>
          <w:tcPr>
            <w:tcW w:w="4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7"/>
              </w:rPr>
              <w:t>Treasury</w:t>
            </w:r>
          </w:p>
        </w:tc>
        <w:tc>
          <w:tcPr>
            <w:tcW w:w="128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Coverage</w:t>
            </w:r>
          </w:p>
        </w:tc>
        <w:tc>
          <w:tcPr>
            <w:tcW w:w="138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1"/>
                <w:szCs w:val="11"/>
                <w:b w:val="1"/>
                <w:bCs w:val="1"/>
                <w:color w:val="auto"/>
              </w:rPr>
              <w:t>Securities</w:t>
            </w:r>
            <w:r>
              <w:rPr>
                <w:rFonts w:ascii="Arial" w:cs="Arial" w:eastAsia="Arial" w:hAnsi="Arial"/>
                <w:sz w:val="17"/>
                <w:szCs w:val="17"/>
                <w:b w:val="1"/>
                <w:bCs w:val="1"/>
                <w:color w:val="auto"/>
                <w:vertAlign w:val="superscript"/>
              </w:rPr>
              <w:t>(1)</w:t>
            </w: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76"/>
        </w:trPr>
        <w:tc>
          <w:tcPr>
            <w:tcW w:w="428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228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12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6"/>
              </w:rPr>
              <w:t>Unit</w:t>
            </w:r>
            <w:r>
              <w:rPr>
                <w:rFonts w:ascii="Arial" w:cs="Arial" w:eastAsia="Arial" w:hAnsi="Arial"/>
                <w:sz w:val="20"/>
                <w:szCs w:val="20"/>
                <w:b w:val="1"/>
                <w:bCs w:val="1"/>
                <w:color w:val="auto"/>
                <w:w w:val="96"/>
                <w:vertAlign w:val="superscript"/>
              </w:rPr>
              <w:t>(2)</w:t>
            </w:r>
          </w:p>
        </w:tc>
        <w:tc>
          <w:tcPr>
            <w:tcW w:w="13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3"/>
              </w:rPr>
              <w:t>Per Unit</w:t>
            </w:r>
            <w:r>
              <w:rPr>
                <w:rFonts w:ascii="Arial" w:cs="Arial" w:eastAsia="Arial" w:hAnsi="Arial"/>
                <w:sz w:val="20"/>
                <w:szCs w:val="20"/>
                <w:b w:val="1"/>
                <w:bCs w:val="1"/>
                <w:color w:val="auto"/>
                <w:w w:val="93"/>
                <w:vertAlign w:val="superscript"/>
              </w:rPr>
              <w:t>(3)</w:t>
            </w:r>
          </w:p>
        </w:tc>
        <w:tc>
          <w:tcPr>
            <w:tcW w:w="720" w:type="dxa"/>
            <w:vAlign w:val="bottom"/>
            <w:gridSpan w:val="2"/>
          </w:tcPr>
          <w:p>
            <w:pPr>
              <w:jc w:val="right"/>
              <w:ind w:right="100"/>
              <w:spacing w:after="0" w:line="176" w:lineRule="exact"/>
              <w:rPr>
                <w:sz w:val="20"/>
                <w:szCs w:val="20"/>
                <w:color w:val="auto"/>
              </w:rPr>
            </w:pPr>
            <w:r>
              <w:rPr>
                <w:rFonts w:ascii="Arial" w:cs="Arial" w:eastAsia="Arial" w:hAnsi="Arial"/>
                <w:sz w:val="13"/>
                <w:szCs w:val="13"/>
                <w:b w:val="1"/>
                <w:bCs w:val="1"/>
                <w:color w:val="auto"/>
                <w:w w:val="90"/>
              </w:rPr>
              <w:t>Per Unit</w:t>
            </w:r>
            <w:r>
              <w:rPr>
                <w:rFonts w:ascii="Arial" w:cs="Arial" w:eastAsia="Arial" w:hAnsi="Arial"/>
                <w:sz w:val="20"/>
                <w:szCs w:val="20"/>
                <w:b w:val="1"/>
                <w:bCs w:val="1"/>
                <w:color w:val="auto"/>
                <w:w w:val="90"/>
                <w:vertAlign w:val="superscript"/>
              </w:rPr>
              <w:t>(4)</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Revolving Credit Facilities</w:t>
            </w:r>
          </w:p>
        </w:tc>
        <w:tc>
          <w:tcPr>
            <w:tcW w:w="2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432.3</w:t>
            </w:r>
          </w:p>
        </w:tc>
        <w:tc>
          <w:tcPr>
            <w:tcW w:w="680" w:type="dxa"/>
            <w:vAlign w:val="bottom"/>
          </w:tcPr>
          <w:p>
            <w:pPr>
              <w:spacing w:after="0"/>
              <w:rPr>
                <w:sz w:val="18"/>
                <w:szCs w:val="18"/>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$2,329.5</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$2,445.9</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December 31, 2011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680" w:type="dxa"/>
            <w:vAlign w:val="bottom"/>
          </w:tcPr>
          <w:p>
            <w:pPr>
              <w:spacing w:after="0"/>
              <w:rPr>
                <w:sz w:val="19"/>
                <w:szCs w:val="19"/>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$2,116.7</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$2.6 billion aggregate principal amount of investments and retained approximately $1.7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 As of December 31, 2013 and 2012, we had debt and equity investments in 27 and 21 portfolio companies, respectively. As of December 31, 2013, our average investment in each of our portfolio companies was $37.6 million.</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 See “Portfolio Companies” for more information on our portfolio as of December 31, 2013.</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an “emerging growth company” under the JOBS Act and will be subject to reduced public company reporting requirements. Further, Section 107 of the JOBS Act also provides that an “emerging growth company” can take advantage of the extended transition period provided in Section 7(a)(2)(B)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the registration requirements of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$582.5 million of these capital commitments as of the date of this prospectus, and issued $43.4 million of equity through our dividend reinvestment plan. Our existing investors’ obligations to purchase additional shares from the undrawn portion of their capital commitments will terminate upon the completion of this IPO.</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Certain of our existing investors, including our Adviser, have agreed to purchase $50 million of our common stock in a private placement transaction at a purchase price per share equal to our initial public offering price per share, subject to a cap of $17.00 per share. The private placement transaction is subject to certain customary closing conditions and also subject to, and will close concurrently with, the completion of this offering.</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in the aggregate of our common stock during the period beginning after four full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this prospectus, our Adviser owned 6.2% of our common stock and had committed $100 million in equity capital under a subscription agreement like those entered into with our existing investors. Immediately after the concurrent private placement and this offering, the Adviser will hold 5.4% of our common stock (assuming an initial public offering price equal to the mid-point range of the front cover of this prospectus). See “Management,” “Related-Party Transactions and Certain Relationships” and “Control Persons and Principal Stockholders.”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industry data and research company, at $1.07 trillion as of December 2013, will continue to drive deal activity. We expect that private equity firms will continue to pursue acquisitions and to seek to leverage their equity investments with secured loans provided by companies such as ours.</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114935</wp:posOffset>
            </wp:positionV>
            <wp:extent cx="2975610" cy="21355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7561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139700</wp:posOffset>
            </wp:positionV>
            <wp:extent cx="2915920" cy="20326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592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40"/>
        <w:spacing w:after="0"/>
        <w:rPr>
          <w:sz w:val="20"/>
          <w:szCs w:val="20"/>
          <w:color w:val="auto"/>
        </w:rPr>
      </w:pPr>
      <w:r>
        <w:rPr>
          <w:rFonts w:ascii="Arial" w:cs="Arial" w:eastAsia="Arial" w:hAnsi="Arial"/>
          <w:sz w:val="14"/>
          <w:szCs w:val="14"/>
          <w:i w:val="1"/>
          <w:iCs w:val="1"/>
          <w:color w:val="auto"/>
        </w:rPr>
        <w:t>Source: Preqin as of December 31, 2013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900" w:right="5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5"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 tight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480" w:right="120" w:hanging="446"/>
        <w:spacing w:after="0" w:line="258" w:lineRule="auto"/>
        <w:tabs>
          <w:tab w:leader="none" w:pos="1480" w:val="left"/>
        </w:tabs>
        <w:numPr>
          <w:ilvl w:val="1"/>
          <w:numId w:val="57"/>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ectPr>
          <w:pgSz w:w="11900" w:h="16838" w:orient="portrait"/>
          <w:cols w:equalWidth="0" w:num="1">
            <w:col w:w="11400"/>
          </w:cols>
          <w:pgMar w:left="240" w:top="459" w:right="259" w:bottom="1440" w:gutter="0" w:footer="0" w:header="0"/>
        </w:sectPr>
      </w:pPr>
    </w:p>
    <w:p>
      <w:pPr>
        <w:spacing w:after="0" w:line="40"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We carefully diligence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35"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59" w:lineRule="exact"/>
        <w:rPr>
          <w:sz w:val="20"/>
          <w:szCs w:val="20"/>
          <w:color w:val="auto"/>
        </w:rPr>
      </w:pPr>
    </w:p>
    <w:p>
      <w:pPr>
        <w:sectPr>
          <w:pgSz w:w="11900" w:h="16838" w:orient="portrait"/>
          <w:cols w:equalWidth="0" w:num="2">
            <w:col w:w="1080" w:space="400"/>
            <w:col w:w="9920"/>
          </w:cols>
          <w:pgMar w:left="240" w:top="459" w:right="259" w:bottom="1440" w:gutter="0" w:footer="0" w:header="0"/>
          <w:type w:val="continuous"/>
        </w:sectPr>
      </w:pPr>
    </w:p>
    <w:p>
      <w:pPr>
        <w:ind w:left="900" w:right="12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31, 2013.</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approximately $1.5 billion. As of December 31, 2013, we had a portfolio of investments in 27 portfolio companies totaling $1,016.5 million that we believe exhibits strong credit quality and broad industry composition. As of December 31, 2013, approximately 98.8% of our debt investments bore interest at floating rates, subject to interest rate floors, and 86.3% of the fair value of our portfolio was invested in first-lien debt investments. We believe this portfolio will allow us to generate meaningful investment income, and consequently dividend income, for our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71"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2"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13"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2013. Investment performance ratings are accurate only as of that date and may change due to subsequent developments relating to a portfolio company’s business or financial condition, market conditions or developments, and other factors.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24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5"/>
              </w:rPr>
              <w:t>Investments at</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 in millions)</w:t>
            </w:r>
          </w:p>
        </w:tc>
        <w:tc>
          <w:tcPr>
            <w:tcW w:w="2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340" w:type="dxa"/>
            <w:vAlign w:val="bottom"/>
            <w:gridSpan w:val="2"/>
            <w:vMerge w:val="restart"/>
            <w:shd w:val="clear" w:color="auto" w:fill="CCEEFF"/>
          </w:tcPr>
          <w:p>
            <w:pPr>
              <w:jc w:val="center"/>
              <w:ind w:left="1452"/>
              <w:spacing w:after="0"/>
              <w:rPr>
                <w:sz w:val="20"/>
                <w:szCs w:val="20"/>
                <w:color w:val="auto"/>
              </w:rPr>
            </w:pPr>
            <w:r>
              <w:rPr>
                <w:rFonts w:ascii="Arial" w:cs="Arial" w:eastAsia="Arial" w:hAnsi="Arial"/>
                <w:sz w:val="18"/>
                <w:szCs w:val="18"/>
                <w:color w:val="auto"/>
                <w:w w:val="79"/>
              </w:rPr>
              <w:t>1</w:t>
            </w:r>
          </w:p>
        </w:tc>
        <w:tc>
          <w:tcPr>
            <w:tcW w:w="250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gridSpan w:val="2"/>
            <w:vMerge w:val="continue"/>
            <w:shd w:val="clear" w:color="auto" w:fill="CCEEFF"/>
          </w:tcPr>
          <w:p>
            <w:pPr>
              <w:spacing w:after="0"/>
              <w:rPr>
                <w:sz w:val="17"/>
                <w:szCs w:val="17"/>
                <w:color w:val="auto"/>
              </w:rPr>
            </w:pPr>
          </w:p>
        </w:tc>
        <w:tc>
          <w:tcPr>
            <w:tcW w:w="2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859.4</w:t>
            </w:r>
          </w:p>
        </w:tc>
        <w:tc>
          <w:tcPr>
            <w:tcW w:w="102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34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2</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116.4</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79"/>
              </w:rPr>
              <w:t>3</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34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4</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79"/>
              </w:rPr>
              <w:t>5</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580" w:type="dxa"/>
            <w:vAlign w:val="bottom"/>
            <w:gridSpan w:val="3"/>
          </w:tcPr>
          <w:p>
            <w:pPr>
              <w:ind w:left="24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1,016.5</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53" w:lineRule="exact"/>
        <w:rPr>
          <w:sz w:val="20"/>
          <w:szCs w:val="20"/>
          <w:color w:val="auto"/>
        </w:rPr>
      </w:pPr>
    </w:p>
    <w:p>
      <w:pPr>
        <w:ind w:left="900" w:right="100" w:hanging="325"/>
        <w:spacing w:after="0" w:line="25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55" w:lineRule="exact"/>
        <w:rPr>
          <w:rFonts w:ascii="Arial" w:cs="Arial" w:eastAsia="Arial" w:hAnsi="Arial"/>
          <w:sz w:val="18"/>
          <w:szCs w:val="18"/>
          <w:color w:val="auto"/>
        </w:rPr>
      </w:pPr>
    </w:p>
    <w:p>
      <w:pPr>
        <w:ind w:left="1480" w:right="240" w:hanging="446"/>
        <w:spacing w:after="0" w:line="275"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that is subject to the first-priority security interest.</w:t>
      </w:r>
    </w:p>
    <w:p>
      <w:pPr>
        <w:spacing w:after="0" w:line="38" w:lineRule="exact"/>
        <w:rPr>
          <w:rFonts w:ascii="Arial" w:cs="Arial" w:eastAsia="Arial" w:hAnsi="Arial"/>
          <w:sz w:val="18"/>
          <w:szCs w:val="18"/>
          <w:color w:val="auto"/>
        </w:rPr>
      </w:pPr>
    </w:p>
    <w:p>
      <w:pPr>
        <w:ind w:left="1480" w:hanging="446"/>
        <w:spacing w:after="0" w:line="296"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306" w:lineRule="auto"/>
        <w:rPr>
          <w:sz w:val="20"/>
          <w:szCs w:val="20"/>
          <w:color w:val="auto"/>
        </w:rPr>
      </w:pPr>
      <w:r>
        <w:rPr>
          <w:rFonts w:ascii="Arial" w:cs="Arial" w:eastAsia="Arial" w:hAnsi="Arial"/>
          <w:sz w:val="16"/>
          <w:szCs w:val="16"/>
          <w:color w:val="auto"/>
        </w:rPr>
        <w:t>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20" w:lineRule="exact"/>
        <w:rPr>
          <w:sz w:val="20"/>
          <w:szCs w:val="20"/>
          <w:color w:val="auto"/>
        </w:rPr>
      </w:pPr>
    </w:p>
    <w:p>
      <w:pPr>
        <w:ind w:left="1480" w:right="100" w:hanging="446"/>
        <w:spacing w:after="0" w:line="310"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b w:val="1"/>
          <w:b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57" w:lineRule="exact"/>
        <w:rPr>
          <w:rFonts w:ascii="Arial" w:cs="Arial" w:eastAsia="Arial" w:hAnsi="Arial"/>
          <w:sz w:val="18"/>
          <w:szCs w:val="18"/>
          <w:color w:val="auto"/>
        </w:rPr>
      </w:pPr>
    </w:p>
    <w:p>
      <w:pPr>
        <w:ind w:left="900" w:right="40" w:hanging="325"/>
        <w:spacing w:after="0" w:line="293"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“Mezzanine” debt. </w:t>
      </w:r>
      <w:r>
        <w:rPr>
          <w:rFonts w:ascii="Arial" w:cs="Arial" w:eastAsia="Arial" w:hAnsi="Arial"/>
          <w:sz w:val="16"/>
          <w:szCs w:val="16"/>
          <w:color w:val="auto"/>
        </w:rPr>
        <w:t>Structurally, mezzanine debt usually ranks subordinate in priority of payment to first-lien and second-lien debt, is often</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1"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13" w:lineRule="exact"/>
        <w:rPr>
          <w:rFonts w:ascii="Arial" w:cs="Arial" w:eastAsia="Arial" w:hAnsi="Arial"/>
          <w:sz w:val="16"/>
          <w:szCs w:val="16"/>
          <w:color w:val="auto"/>
        </w:rPr>
      </w:pPr>
    </w:p>
    <w:p>
      <w:pPr>
        <w:ind w:left="440" w:right="100" w:hanging="324"/>
        <w:spacing w:after="0" w:line="256"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2013 and December 31, 2012, we had made investments with an aggregate fair value of $1,016.5 million and $653.9 million, respectively, in 27 and 21 portfolio companies, respectively. See “Portfolio Companies” for more information on these investments, including a list of companies and type and amount of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Net Unrealized</w:t>
            </w:r>
          </w:p>
        </w:tc>
        <w:tc>
          <w:tcPr>
            <w:tcW w:w="100" w:type="dxa"/>
            <w:vAlign w:val="bottom"/>
          </w:tcPr>
          <w:p>
            <w:pPr>
              <w:spacing w:after="0"/>
              <w:rPr>
                <w:sz w:val="10"/>
                <w:szCs w:val="10"/>
                <w:color w:val="auto"/>
              </w:rPr>
            </w:pPr>
          </w:p>
        </w:tc>
      </w:tr>
      <w:tr>
        <w:trPr>
          <w:trHeight w:val="176"/>
        </w:trPr>
        <w:tc>
          <w:tcPr>
            <w:tcW w:w="9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5"/>
                <w:szCs w:val="15"/>
                <w:color w:val="auto"/>
              </w:rPr>
            </w:pPr>
          </w:p>
        </w:tc>
        <w:tc>
          <w:tcPr>
            <w:tcW w:w="98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5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92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877.2</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131.1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137.5</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Net Unrealized</w:t>
            </w:r>
          </w:p>
        </w:tc>
        <w:tc>
          <w:tcPr>
            <w:tcW w:w="100" w:type="dxa"/>
            <w:vAlign w:val="bottom"/>
          </w:tcPr>
          <w:p>
            <w:pPr>
              <w:spacing w:after="0"/>
              <w:rPr>
                <w:sz w:val="10"/>
                <w:szCs w:val="10"/>
                <w:color w:val="auto"/>
              </w:rPr>
            </w:pPr>
          </w:p>
        </w:tc>
      </w:tr>
      <w:tr>
        <w:trPr>
          <w:trHeight w:val="176"/>
        </w:trPr>
        <w:tc>
          <w:tcPr>
            <w:tcW w:w="9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5"/>
                <w:szCs w:val="15"/>
                <w:color w:val="auto"/>
              </w:rPr>
            </w:pPr>
          </w:p>
        </w:tc>
        <w:tc>
          <w:tcPr>
            <w:tcW w:w="98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5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r>
      <w:tr>
        <w:trPr>
          <w:trHeight w:val="210"/>
        </w:trPr>
        <w:tc>
          <w:tcPr>
            <w:tcW w:w="92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644.4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6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Automotive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6.1%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Business services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16.5%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5.1%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Education</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Financial services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11.6%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7.2%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Insurance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Metals and mining</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60" w:type="dxa"/>
            <w:vAlign w:val="bottom"/>
            <w:vMerge w:val="restart"/>
          </w:tcPr>
          <w:p>
            <w:pPr>
              <w:jc w:val="right"/>
              <w:ind w:right="453"/>
              <w:spacing w:after="0"/>
              <w:rPr>
                <w:sz w:val="20"/>
                <w:szCs w:val="20"/>
                <w:color w:val="auto"/>
              </w:rPr>
            </w:pPr>
            <w:r>
              <w:rPr>
                <w:rFonts w:ascii="Arial" w:cs="Arial" w:eastAsia="Arial" w:hAnsi="Arial"/>
                <w:sz w:val="18"/>
                <w:szCs w:val="18"/>
                <w:color w:val="auto"/>
              </w:rPr>
              <w:t>97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14.2%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South</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19.7%</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Europe</w:t>
            </w:r>
          </w:p>
        </w:tc>
        <w:tc>
          <w:tcPr>
            <w:tcW w:w="1920" w:type="dxa"/>
            <w:vAlign w:val="bottom"/>
          </w:tcPr>
          <w:p>
            <w:pPr>
              <w:spacing w:after="0"/>
              <w:rPr>
                <w:sz w:val="18"/>
                <w:szCs w:val="18"/>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2012, we had the following commitments to fund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3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2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2012</w:t>
            </w: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9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c>
          <w:tcPr>
            <w:tcW w:w="1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9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16"/>
        </w:trPr>
        <w:tc>
          <w:tcPr>
            <w:tcW w:w="41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Portfolio Company Commitments</w:t>
            </w:r>
          </w:p>
        </w:tc>
        <w:tc>
          <w:tcPr>
            <w:tcW w:w="138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7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of December 31, 2013 and 2012, we had $1.5 billion and $1.4 billion, respectively, in total capital commitments from investors ($1.0 billion and $0.9 billion unfunded, respectively), of which $117.1 million and $114.1 million, respectively, is from the Adviser and its affiliates ($76.7 million and $76.6 million unfunded, respectively). The obligations under these capital commitments will terminate upon completion of this IPO.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table set forth below contains certain information as of December 31, 2013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December 31, 2013,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Investment</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Initial</w:t>
            </w: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82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in</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79"/>
              </w:rPr>
              <w:t>in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1"/>
        </w:trPr>
        <w:tc>
          <w:tcPr>
            <w:tcW w:w="33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(Par amounts in thousands)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8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($53,452</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11/2017)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12/23/2011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$ 52,828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$ 53,720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($36,733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6/2017)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36,182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($4,611 par, due 6/2017)</w:t>
            </w:r>
          </w:p>
        </w:tc>
        <w:tc>
          <w:tcPr>
            <w:tcW w:w="108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4,528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($21,553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12/2016)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12/31/2012</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($44,394</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8/2015)</w:t>
            </w:r>
          </w:p>
        </w:tc>
        <w:tc>
          <w:tcPr>
            <w:tcW w:w="1080" w:type="dxa"/>
            <w:vAlign w:val="bottom"/>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8/31/2011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45,837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($67,933</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4/2018)</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66,405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 xml:space="preserve">Aptean Holdings, Inc. f/k/a Consona Holdings, Inc. </w:t>
            </w:r>
            <w:r>
              <w:rPr>
                <w:rFonts w:ascii="Arial" w:cs="Arial" w:eastAsia="Arial" w:hAnsi="Arial"/>
                <w:sz w:val="11"/>
                <w:szCs w:val="11"/>
                <w:color w:val="auto"/>
                <w:w w:val="97"/>
              </w:rPr>
              <w:t>(3)(4)</w:t>
            </w:r>
            <w:r>
              <w:rPr>
                <w:rFonts w:ascii="Arial" w:cs="Arial" w:eastAsia="Arial" w:hAnsi="Arial"/>
                <w:sz w:val="18"/>
                <w:szCs w:val="18"/>
                <w:color w:val="auto"/>
                <w:w w:val="97"/>
              </w:rPr>
              <w:t xml:space="preserve">  First-lien loan ($29,625</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8/2018)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29,477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($42,500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12/2019)</w:t>
            </w: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12/18/2013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41,437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($29,659</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9/2018)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Second-lien loan ($47,430</w:t>
            </w: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3/2017)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PIK)</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3/2/2012</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51,817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($46,560</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2/2018)</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47,142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($29,625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9/2018)</w:t>
            </w: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9/30/2013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29,032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gridSpan w:val="3"/>
          </w:tcPr>
          <w:p>
            <w:pPr>
              <w:ind w:left="2240"/>
              <w:spacing w:after="0"/>
              <w:rPr>
                <w:sz w:val="20"/>
                <w:szCs w:val="20"/>
                <w:color w:val="auto"/>
              </w:rPr>
            </w:pPr>
            <w:r>
              <w:rPr>
                <w:rFonts w:ascii="Arial" w:cs="Arial" w:eastAsia="Arial" w:hAnsi="Arial"/>
                <w:sz w:val="18"/>
                <w:szCs w:val="18"/>
                <w:color w:val="auto"/>
              </w:rPr>
              <w:t>100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Fair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Investment</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1"/>
        </w:trPr>
        <w:tc>
          <w:tcPr>
            <w:tcW w:w="352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(Par amounts in thousands)</w:t>
            </w: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($42,479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12/2017)</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($76,337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12/2018)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118,136</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($71,634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5/2018)</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($35,625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12/2017)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First-lien revolving loan</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($2,000 par, due 12/2017)</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108,722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($14,813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6/2018)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Second-lien loan ($10,000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par, due 2/2020)</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($34,886 par,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3/2017)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Second-lien bond (GBP</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7,000 par, due 10/2018)</w:t>
            </w: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($34,737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5/2018)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First-lien loan ($7,483 par,</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11/2018)</w:t>
            </w:r>
          </w:p>
        </w:tc>
        <w:tc>
          <w:tcPr>
            <w:tcW w:w="110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Second-lien loan ($12,000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par, due 5/2019)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53,302</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Insurance</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($31,888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6/2017)</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tcPr>
          <w:p>
            <w:pPr>
              <w:jc w:val="right"/>
              <w:spacing w:after="0"/>
              <w:rPr>
                <w:sz w:val="20"/>
                <w:szCs w:val="20"/>
                <w:color w:val="auto"/>
              </w:rPr>
            </w:pPr>
            <w:r>
              <w:rPr>
                <w:rFonts w:ascii="Arial" w:cs="Arial" w:eastAsia="Arial" w:hAnsi="Arial"/>
                <w:sz w:val="18"/>
                <w:szCs w:val="18"/>
                <w:color w:val="auto"/>
              </w:rPr>
              <w:t>31,433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31,808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First-lien revolving loan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($850 par, due 6/2017)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32,646</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w w:val="86"/>
              </w:rPr>
              <w:t>101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Investment</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2"/>
              </w:rPr>
              <w:t>Initial</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340" w:type="dxa"/>
            <w:vAlign w:val="bottom"/>
            <w:gridSpan w:val="2"/>
            <w:vMerge w:val="restart"/>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2"/>
          </w:tcPr>
          <w:p>
            <w:pPr>
              <w:jc w:val="center"/>
              <w:ind w:right="12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79"/>
              </w:rPr>
              <w:t>in</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1"/>
        </w:trPr>
        <w:tc>
          <w:tcPr>
            <w:tcW w:w="760" w:type="dxa"/>
            <w:vAlign w:val="bottom"/>
            <w:tcBorders>
              <w:bottom w:val="single" w:sz="8" w:color="auto"/>
            </w:tcBorders>
            <w:vMerge w:val="continue"/>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(Par amounts in thousands)</w:t>
            </w:r>
          </w:p>
        </w:tc>
        <w:tc>
          <w:tcPr>
            <w:tcW w:w="2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Interest</w:t>
            </w:r>
          </w:p>
        </w:tc>
        <w:tc>
          <w:tcPr>
            <w:tcW w:w="20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3"/>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Manufacturing</w:t>
            </w:r>
          </w:p>
        </w:tc>
        <w:tc>
          <w:tcPr>
            <w:tcW w:w="3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Jeeves Information</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(SEK</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9"/>
              </w:rPr>
              <w:t>177,161 par, due 6/2018)</w:t>
            </w:r>
          </w:p>
        </w:tc>
        <w:tc>
          <w:tcPr>
            <w:tcW w:w="880" w:type="dxa"/>
            <w:vAlign w:val="bottom"/>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($35,650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11/2019)</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($19,936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10/2016)</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($40,883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9/2016)</w:t>
            </w:r>
          </w:p>
        </w:tc>
        <w:tc>
          <w:tcPr>
            <w:tcW w:w="88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6"/>
              </w:rPr>
              <w:t>Second-lien loan ($52,500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10/2019)</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Equity Investments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Network Merchants, Inc</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Non-Voting Preferred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Units (774,099 units)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w w:val="95"/>
              </w:rPr>
              <w:t>Healthcare and pharmaceuticals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SRS Parent Corp.</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9"/>
              </w:rPr>
              <w:t>Common Shares Class 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(1,980 shares)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Common Shares Class B</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(2,953,020 shares)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4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3"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As of December 31, 2013, we do not “control” any of the portfolio companies nor are any of our portfolio companies considered to be “affiliates” (see Note 4 to our consolidated financial statements). Certain portfolio company investments are subject to contractual restrictions on sales.</w:t>
      </w:r>
    </w:p>
    <w:p>
      <w:pPr>
        <w:ind w:left="460" w:right="50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4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20" w:hanging="452"/>
        <w:spacing w:after="0" w:line="323"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investment, or a portion thereof, is held within TPG SL SPV, LLC, a wholly-owned subsidiary of us and is pledged as collateral supporting the amounts outstanding under the Revolving Credit Facility (Natixis) (see Note 7 to our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6"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ind w:left="460" w:right="120" w:hanging="452"/>
        <w:spacing w:after="0" w:line="26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table, we may be entitled to receive additional interest as a result of an arrangement with other lenders in the syndication.</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240" w:top="459" w:right="5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and an IPO Committee and may establish additional committees from time to time as necessary. In connection with this IPO, we are forming a nominating and corporate governance committee and a compensation committee.</w:t>
      </w:r>
    </w:p>
    <w:p>
      <w:pPr>
        <w:spacing w:after="0" w:line="118"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2014 annual meeting of stockholders.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Position</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Expiration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8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75"/>
              </w:rPr>
              <w:t>Age</w:t>
            </w:r>
          </w:p>
        </w:tc>
        <w:tc>
          <w:tcPr>
            <w:tcW w:w="4800" w:type="dxa"/>
            <w:vAlign w:val="bottom"/>
            <w:gridSpan w:val="2"/>
            <w:vMerge w:val="continue"/>
          </w:tcPr>
          <w:p>
            <w:pPr>
              <w:spacing w:after="0"/>
              <w:rPr>
                <w:sz w:val="14"/>
                <w:szCs w:val="14"/>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of Term</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Independent Directors</w:t>
            </w: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66</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50</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69</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37</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Director and Co-Chief Executive Officer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51</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Co-Chief Executive Officer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8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 or</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8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 xml:space="preserve">Joshua Easterly </w:t>
      </w:r>
      <w:r>
        <w:rPr>
          <w:rFonts w:ascii="Arial" w:cs="Arial" w:eastAsia="Arial" w:hAnsi="Arial"/>
          <w:sz w:val="15"/>
          <w:szCs w:val="15"/>
          <w:color w:val="auto"/>
        </w:rPr>
        <w:t>was appointed Co-Chief Executive Officer in December 2013 and elected a director and Chairman of TSL in March 2011. Mr. Easterly is</w:t>
      </w:r>
      <w:r>
        <w:rPr>
          <w:rFonts w:ascii="Arial" w:cs="Arial" w:eastAsia="Arial" w:hAnsi="Arial"/>
          <w:sz w:val="15"/>
          <w:szCs w:val="15"/>
          <w:b w:val="1"/>
          <w:bCs w:val="1"/>
          <w:color w:val="auto"/>
        </w:rPr>
        <w:t xml:space="preserve"> </w:t>
      </w:r>
      <w:r>
        <w:rPr>
          <w:rFonts w:ascii="Arial" w:cs="Arial" w:eastAsia="Arial" w:hAnsi="Arial"/>
          <w:sz w:val="15"/>
          <w:szCs w:val="15"/>
          <w:color w:val="auto"/>
        </w:rPr>
        <w:t>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3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 December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Bankruptcy Institute. He holds a degree in Finance from Rochester Institute of Technology. Mr. Fishman’s extensive experience in the credit markets provides the Board with valuable industry-specific knowledge.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Position</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640" w:type="dxa"/>
            <w:vAlign w:val="bottom"/>
            <w:vMerge w:val="continue"/>
          </w:tcPr>
          <w:p>
            <w:pPr>
              <w:spacing w:after="0"/>
              <w:rPr>
                <w:sz w:val="14"/>
                <w:szCs w:val="14"/>
                <w:color w:val="auto"/>
              </w:rPr>
            </w:pPr>
          </w:p>
        </w:tc>
        <w:tc>
          <w:tcPr>
            <w:tcW w:w="74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75"/>
              </w:rPr>
              <w:t>Age</w:t>
            </w:r>
          </w:p>
        </w:tc>
        <w:tc>
          <w:tcPr>
            <w:tcW w:w="3220" w:type="dxa"/>
            <w:vAlign w:val="bottom"/>
            <w:gridSpan w:val="2"/>
            <w:vMerge w:val="continue"/>
          </w:tcPr>
          <w:p>
            <w:pPr>
              <w:spacing w:after="0"/>
              <w:rPr>
                <w:sz w:val="14"/>
                <w:szCs w:val="14"/>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46</w:t>
            </w:r>
          </w:p>
        </w:tc>
        <w:tc>
          <w:tcPr>
            <w:tcW w:w="5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Vice President</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8"/>
                <w:szCs w:val="18"/>
                <w:color w:val="auto"/>
              </w:rPr>
            </w:pPr>
          </w:p>
        </w:tc>
        <w:tc>
          <w:tcPr>
            <w:tcW w:w="32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Chief Financial Officer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Meagher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Chief Compliance Officer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520" w:type="dxa"/>
            <w:vAlign w:val="bottom"/>
          </w:tcPr>
          <w:p>
            <w:pPr>
              <w:spacing w:after="0"/>
              <w:rPr>
                <w:sz w:val="18"/>
                <w:szCs w:val="18"/>
                <w:color w:val="auto"/>
              </w:rPr>
            </w:pPr>
          </w:p>
        </w:tc>
        <w:tc>
          <w:tcPr>
            <w:tcW w:w="32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Vice President and Secretary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8"/>
                <w:szCs w:val="18"/>
                <w:color w:val="auto"/>
              </w:rPr>
            </w:pPr>
          </w:p>
        </w:tc>
        <w:tc>
          <w:tcPr>
            <w:tcW w:w="3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16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Ronald Cami </w:t>
      </w:r>
      <w:r>
        <w:rPr>
          <w:rFonts w:ascii="Arial" w:cs="Arial" w:eastAsia="Arial" w:hAnsi="Arial"/>
          <w:sz w:val="16"/>
          <w:szCs w:val="16"/>
          <w:color w:val="auto"/>
        </w:rPr>
        <w:t>is a Vice President of TSL. Mr. Cami joined TPG as Partner and General Counsel in June 2010. From 2000 until he joined TPG in 2010,</w:t>
      </w:r>
      <w:r>
        <w:rPr>
          <w:rFonts w:ascii="Arial" w:cs="Arial" w:eastAsia="Arial" w:hAnsi="Arial"/>
          <w:sz w:val="16"/>
          <w:szCs w:val="16"/>
          <w:b w:val="1"/>
          <w:bCs w:val="1"/>
          <w:color w:val="auto"/>
        </w:rPr>
        <w:t xml:space="preserve"> </w:t>
      </w:r>
      <w:r>
        <w:rPr>
          <w:rFonts w:ascii="Arial" w:cs="Arial" w:eastAsia="Arial" w:hAnsi="Arial"/>
          <w:sz w:val="16"/>
          <w:szCs w:val="16"/>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Alan Kirshenbaum </w:t>
      </w:r>
      <w:r>
        <w:rPr>
          <w:rFonts w:ascii="Arial" w:cs="Arial" w:eastAsia="Arial" w:hAnsi="Arial"/>
          <w:sz w:val="18"/>
          <w:szCs w:val="18"/>
          <w:color w:val="auto"/>
        </w:rPr>
        <w:t>is Chief Financial Officer of TSL. Prior to being named Chief Financial Officer, Mr. Kirshenbaum was a Vice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2011. From 2011 to 2013, Mr. Kirshenbaum was Chief Financial Officer and Executive Director of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is a Certified Public Accountant and received a B.S. from Rutgers University in 1994 and an M.B.A. from New York University’s Stern School of Business in 2003.</w:t>
      </w:r>
    </w:p>
    <w:p>
      <w:pPr>
        <w:spacing w:after="0" w:line="14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Justin Meagher </w:t>
      </w:r>
      <w:r>
        <w:rPr>
          <w:rFonts w:ascii="Arial" w:cs="Arial" w:eastAsia="Arial" w:hAnsi="Arial"/>
          <w:sz w:val="18"/>
          <w:szCs w:val="18"/>
          <w:color w:val="auto"/>
        </w:rPr>
        <w:t>is the Chief Compliance Officer of TSL. Since 2013, he has been a Principal and Deputy Chief Compliance Officer of TSSP. From 2009</w:t>
      </w:r>
      <w:r>
        <w:rPr>
          <w:rFonts w:ascii="Arial" w:cs="Arial" w:eastAsia="Arial" w:hAnsi="Arial"/>
          <w:sz w:val="18"/>
          <w:szCs w:val="18"/>
          <w:b w:val="1"/>
          <w:bCs w:val="1"/>
          <w:color w:val="auto"/>
        </w:rPr>
        <w:t xml:space="preserve"> </w:t>
      </w:r>
      <w:r>
        <w:rPr>
          <w:rFonts w:ascii="Arial" w:cs="Arial" w:eastAsia="Arial" w:hAnsi="Arial"/>
          <w:sz w:val="18"/>
          <w:szCs w:val="18"/>
          <w:color w:val="auto"/>
        </w:rPr>
        <w:t>to 2013, Mr. Meagher held multiple senior legal and compliance positions at Lehman Brothers Holdings, Inc. following its bankruptcy filing. During 2008, Mr. Meagher was Managing Director and Chief Compliance Officer of Diamond Lake Investment Group, L.P. From 2001 to 2007, Mr. Meagher was legal counsel and Deputy Chief of Compliance for Clinton Group, Inc. Mr. Meagher received a B.A. from Iona College, an M.A. from New York University and a J.D. from New York Law School.</w:t>
      </w:r>
    </w:p>
    <w:p>
      <w:pPr>
        <w:spacing w:after="0" w:line="1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Jennifer Mello </w:t>
      </w:r>
      <w:r>
        <w:rPr>
          <w:rFonts w:ascii="Arial" w:cs="Arial" w:eastAsia="Arial" w:hAnsi="Arial"/>
          <w:sz w:val="16"/>
          <w:szCs w:val="16"/>
          <w:color w:val="auto"/>
        </w:rPr>
        <w:t>is a Vice President and Secretary of TSL. Since 2012, Ms. Mello has been the General Counsel and Principal of TSSP and,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TSSP, she was Deputy General Counsel of TPG. Prior to joining TPG, she was a senior attorney at the law firm of Cleary Gottlieb Steen &amp; Hamilton LLP.</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Ms. Mello received her J.D. from Northwestern University School of Law and her B.S. from the Edmund A. Walsh School of Foreign Service at Georgetown University.</w:t>
      </w:r>
    </w:p>
    <w:p>
      <w:pPr>
        <w:spacing w:after="0" w:line="13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 He is also a TPG and TSSP Partner and has been the Global Chief Financial Officer and Chief Risk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TSSP since 2013. Prior to joining TSSP, Mr. Pluss was a Managing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3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Alan Waxman </w:t>
      </w:r>
      <w:r>
        <w:rPr>
          <w:rFonts w:ascii="Arial" w:cs="Arial" w:eastAsia="Arial" w:hAnsi="Arial"/>
          <w:sz w:val="16"/>
          <w:szCs w:val="16"/>
          <w:color w:val="auto"/>
        </w:rPr>
        <w:t>is a Vice President of TSL. Mr. Waxman is a TPG Partner and is a member of the TPG’s Executive Committee. He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ours. See “—Biographical Information—Interested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this IPO, under the terms of an agreement between TSL and Universities Superannuation Scheme Ltd., or USS, USS had the right to nominate one director to our Board. This right to nominate was not exercised by USS and terminates in connection with this IPO.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In addition, prior to this IPO, under the terms of agreements between TSL and Oregon Public Employees Retirement Fund, State Teachers Retirement System of Ohio, State of New Jersey Common Pension Fund B, and USS, TSL was required to invite a representative from each to attend the meetings of the Board (including any meeting of the IPO Committee) in a nonvoting observer capacity. The observer rights terminate in connection with this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Board has met once in 2014,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at this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an Audit Committee, consisting solely of Independent Directors for the purposes of the NYSE corporate governance rules and Rule 10A-3 under the Exchange Act.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9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59"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51"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Audit Committee has the sole authority to approve the engagement, and review the performance of, our independent registered public accounting firm.</w:t>
      </w:r>
    </w:p>
    <w:p>
      <w:pPr>
        <w:spacing w:after="0" w:line="2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twice in 2014, held eight meetings in 2013 and acted on various occasions by written consent.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responsible for:</w:t>
      </w:r>
    </w:p>
    <w:p>
      <w:pPr>
        <w:spacing w:after="0" w:line="9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w:t>
      </w:r>
    </w:p>
    <w:p>
      <w:pPr>
        <w:spacing w:after="0" w:line="90" w:lineRule="exact"/>
        <w:rPr>
          <w:sz w:val="20"/>
          <w:szCs w:val="20"/>
          <w:color w:val="auto"/>
        </w:rPr>
      </w:pPr>
    </w:p>
    <w:p>
      <w:pPr>
        <w:ind w:left="900" w:right="68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Investment Advisory Agreement and the Administration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 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initial public offering of our common stock, including:</w:t>
      </w:r>
    </w:p>
    <w:p>
      <w:pPr>
        <w:spacing w:after="0" w:line="5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preparation of this registration statement and prospectus in connection with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issuance and sale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negotiation of the terms and conditions of any underwriting agreements relating to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authorization of certain of our officers to execute and deliver the documents relevant to an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IPO Committee acts solely in an advisory capacity to the Board and is not authorized to take any actions on behalf of the Board or us.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Messrs. Easterly, Fishman and Tanemura are members of the IPO Committee. Mr. Easterly serves as Chairman. The IPO Committee has held one meeting in 2014 and one meeting in 2013. Following this IPO, we will no longer have an IPO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Upon consummation of this offering, we will maintain a corporate governance section on our website, which contains copies of the charters for the committees of our Board of Directors. The corporate governance section may be found at http://www.tpgspecialtylending.com in the “Investor Relations” section of our website. Information on our website is not incorporated into or part of this prospectus. The corporate governance section contains the following documents, which are available in print to any stockholder who requests a copy in writing at 345 California Street, Suite 3300, San Francisco, CA 94104, Attention: TSL Investor Relations, or by 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p>
      <w:pPr>
        <w:spacing w:after="0" w:line="62"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Relations” section of our website and are available in print to any stockholder who requests a copy in writing.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301 Commerce Street, Suite 3300, Fort Worth, TX 76102. Please refer to the text of our bylaws (including Article II, paragraph (K)), which are on file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Board believes that the inclusion of diversity as one of many factors considered in selecting director nominees is consistent with the Board’s goal of creating a Board that best serves the needs of TSL and the interests of its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$75,000 annual retainer, which will be $100,000 following this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171"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or Paid</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in Cash</w:t>
            </w: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98,000</w:t>
            </w:r>
          </w:p>
        </w:tc>
        <w:tc>
          <w:tcPr>
            <w:tcW w:w="134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$98,000</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entered into by and between us and the Adviser and the Administration Agreement entered into between us and the Adviser.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this prospectus, our Adviser owned 6.2% of our common stock and had committed $100 million in equity capital under a subscription agreement like those entered into with our existing investors. The Adviser has agreed to purchase approximately $3.1 million of our common stock in the concurrent private placement. Immediately after the concurrent private placement and this offering, the Adviser will hold 2,793,611 shares, or 5.4%, of common stock (assuming an initial public offering price equal to the mid-point of the range on the front cover of this prospectus). See “Related-Party Transactions and Certain Relationships” and “Control Persons and Principal Stockholders.”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has also entered into the 10b5-1 Plan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Investment Advisory Agreement, we pay the Adviser the Management Fee and may also pay certain Incentive Fees.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quarterly periods ended September 30, 2011 and June 30, 2011, the Management Fee was calculated at an annual rate of 1.5% based on the value of our gross assets, which equals total assets before deduction of any liabilities,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the completion of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completion of this IPO, the Adviser does not intend to waive its right to receive the full Management Fee.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4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26" w:lineRule="exact"/>
        <w:rPr>
          <w:sz w:val="20"/>
          <w:szCs w:val="20"/>
          <w:color w:val="auto"/>
        </w:rPr>
      </w:pPr>
    </w:p>
    <w:p>
      <w:pPr>
        <w:ind w:left="90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hanging="446"/>
        <w:spacing w:after="0" w:line="285"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this IPO is completed equals 15%, and following the completion of this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this IPO is completed, the Incentive Fee rate will be 17.5%. The weighted percentage is intended to ensure that for each fiscal year following the completion of this IPO, the portion of our realized capital gains that accrued prior to the end of the quarter in which this IPO is completed will be subject to an Incentive Fee rate of 15% and the portion of our realized capital gains that accrued following the end of the quarter in which this IPO is completed will be subject to an Incentive Fee rate of 17.5%. Although unrealized gains that occur after the quarter in which the IPO occurs will lead to a higher fee accruing for such future unrealized gains than would have accrued prior to the IPO, at the date of the IPO, no additional amounts will accrue because the increase in the Incentive Fee rate to 17.5% does not apply to any unrealized gains accrued on our books through the date of the IPO. We accrue, but do not pay, a Capital Gains Fee with respect to unrealized appreciation because a Capital Gains Fee would be owed to the Adviser if we were to sell the relevant investments and realize a capital gain. The increase in fee rate will also cause a reduction in net asset value in the periods after the quarter in which the IPO occurs for the same reason.</w:t>
      </w:r>
    </w:p>
    <w:p>
      <w:pPr>
        <w:spacing w:after="0" w:line="12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3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Prior to the completion of this IPO, if cumulative net realized losses from our inception exceeded the aggregate dollar amount of dividends paid by us through that date, the Adviser would forgo the right to receive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quarterly Incentive Fee payments with respect to pre-Incentive Fee net investment income until the time that cumulative net realized losses were less than or equal to the aggregate amount of dividend payments. To date, cumulative net realized losses from our inception have not exceeded the aggregate dollar amount of dividends paid by us. The Adviser does not intend to continue forgoing its right to this fee following the completion of this IPO.</w:t>
      </w:r>
    </w:p>
    <w:p>
      <w:pPr>
        <w:spacing w:after="0" w:line="10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w:t>
      </w:r>
    </w:p>
    <w:p>
      <w:pPr>
        <w:spacing w:after="0" w:line="1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9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Following the IPO, the base against which the hurdle rate is calculated will be determined as described above in this section.</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7" w:lineRule="exact"/>
        <w:rPr>
          <w:sz w:val="20"/>
          <w:szCs w:val="20"/>
          <w:color w:val="auto"/>
        </w:rPr>
      </w:pPr>
    </w:p>
    <w:p>
      <w:pPr>
        <w:ind w:left="460" w:right="3560" w:firstLine="3097"/>
        <w:spacing w:after="0" w:line="604" w:lineRule="auto"/>
        <w:rPr>
          <w:sz w:val="20"/>
          <w:szCs w:val="20"/>
          <w:color w:val="auto"/>
        </w:rPr>
      </w:pPr>
      <w:r>
        <w:rPr>
          <w:rFonts w:ascii="Arial" w:cs="Arial" w:eastAsia="Arial" w:hAnsi="Arial"/>
          <w:sz w:val="15"/>
          <w:szCs w:val="15"/>
          <w:b w:val="1"/>
          <w:bCs w:val="1"/>
          <w:color w:val="auto"/>
        </w:rPr>
        <w:t xml:space="preserve">Quarterly Incentive Fee Based on Net Investment Income </w:t>
      </w:r>
      <w:r>
        <w:rPr>
          <w:rFonts w:ascii="Arial" w:cs="Arial" w:eastAsia="Arial" w:hAnsi="Arial"/>
          <w:sz w:val="15"/>
          <w:szCs w:val="15"/>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-35560</wp:posOffset>
            </wp:positionV>
            <wp:extent cx="4587875" cy="814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878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88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0.513%</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3"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example assumes that this IPO of our common stock has occurred.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100" w:hanging="325"/>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8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w w:val="84"/>
              </w:rPr>
              <w:t>Cumulative</w:t>
            </w:r>
          </w:p>
        </w:tc>
        <w:tc>
          <w:tcPr>
            <w:tcW w:w="104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3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E</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F</w:t>
            </w:r>
          </w:p>
        </w:tc>
        <w:tc>
          <w:tcPr>
            <w:tcW w:w="3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Depreciation</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(cost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basis)</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(sale</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at IPO</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4</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$16</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(sale</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(cost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basis)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price)</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6</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(sale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8</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$18</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(sale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475"/>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90"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2:</w:t>
      </w:r>
    </w:p>
    <w:p>
      <w:pPr>
        <w:spacing w:after="0" w:line="171"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72"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3:</w:t>
      </w:r>
    </w:p>
    <w:p>
      <w:pPr>
        <w:spacing w:after="0" w:line="90"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85"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4:</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5:</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5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6:</w:t>
      </w:r>
    </w:p>
    <w:p>
      <w:pPr>
        <w:spacing w:after="0" w:line="171"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85"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7:</w:t>
      </w:r>
    </w:p>
    <w:p>
      <w:pPr>
        <w:spacing w:after="0" w:line="171" w:lineRule="exact"/>
        <w:rPr>
          <w:sz w:val="20"/>
          <w:szCs w:val="20"/>
          <w:color w:val="auto"/>
        </w:rPr>
      </w:pPr>
    </w:p>
    <w:p>
      <w:pPr>
        <w:ind w:left="15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24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8:</w:t>
      </w:r>
    </w:p>
    <w:p>
      <w:pPr>
        <w:spacing w:after="0" w:line="171" w:lineRule="exact"/>
        <w:rPr>
          <w:sz w:val="20"/>
          <w:szCs w:val="20"/>
          <w:color w:val="auto"/>
        </w:rPr>
      </w:pPr>
    </w:p>
    <w:p>
      <w:pPr>
        <w:ind w:left="1500" w:right="20"/>
        <w:spacing w:after="0" w:line="33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85"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9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60"/>
          </w:cols>
          <w:pgMar w:left="240" w:top="459" w:right="3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“Risk Factors— Risks Related to Our Business and Structure—We are dependent upon management personnel of the Adviser for our future success.”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this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2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2,604,620 shares, or 6.2%, of our common stock as of the date of this prospectus. The Adviser has agreed to purchase approximately $3.1 million of our common stock in the concurrent private placement. Immediately after the private placement and this offering, the Adviser will hold 2,793,611 shares, or 5.4%, of our common stock (assuming an initial public offering price equal to the mid-point of the range on the front cover of this prospectus).</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Adviser has entered into the 10b5-1 Plan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The 10b5-1 Plan will require Goldman, Sachs &amp; Co. to purchase for the 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 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meaning the shares purchased will be locked-up until 365 days after the date of this prospectus. Under the 10b5-1 Plan, Goldman, Sachs &amp; Co. will increase the volume of purchases made as the price of our common stock declines, subject to volume restrictions. See “Shares Eligible for Future Sale—Lock-Up Agreements.”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0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Certain members of the Adviser’s senior management and Investment Review Committee are and will continue to be active in other investment funds affiliated with TSSP and TPG that pursue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directors and officers are directors or officers of the Adviser or its affiliates. See “Management—Biographical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Immediately prior to the completion of this offering and the concurrent private placement there will be 41,762,724 shares of common stock issued and outstanding and 56 stockholders of record. The following table sets forth certain ownership information as indicated in our books and records of each current director, our executive officers, the executive officers and directors as a group, and each person known to us to beneficially own 5% or more of the outstanding shares of our common stock. To our knowledge, except as indicated in the footnotes to the table, each of the stockholders listed below has sole voting or investment power with respect to shares beneficially owned by such stockholder. 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Unless otherwise indicated by footnote, the address for each listed individual is 301 Commerce Street, Suite 3300, Fort Worth, TX 76102.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88"/>
              </w:rPr>
              <w:t>Percentage of Common Stock Outstanding</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80" w:type="dxa"/>
            <w:vAlign w:val="bottom"/>
            <w:gridSpan w:val="5"/>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Immediately Prior to This</w:t>
            </w:r>
          </w:p>
        </w:tc>
        <w:tc>
          <w:tcPr>
            <w:tcW w:w="1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Immediately After This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21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80" w:type="dxa"/>
            <w:vAlign w:val="bottom"/>
            <w:gridSpan w:val="5"/>
          </w:tcPr>
          <w:p>
            <w:pPr>
              <w:jc w:val="center"/>
              <w:ind w:right="580"/>
              <w:spacing w:after="0" w:line="135" w:lineRule="exact"/>
              <w:rPr>
                <w:sz w:val="20"/>
                <w:szCs w:val="20"/>
                <w:color w:val="auto"/>
              </w:rPr>
            </w:pPr>
            <w:r>
              <w:rPr>
                <w:rFonts w:ascii="Arial" w:cs="Arial" w:eastAsia="Arial" w:hAnsi="Arial"/>
                <w:sz w:val="14"/>
                <w:szCs w:val="14"/>
                <w:b w:val="1"/>
                <w:bCs w:val="1"/>
                <w:color w:val="auto"/>
                <w:w w:val="90"/>
              </w:rPr>
              <w:t>Concurrent Private</w:t>
            </w:r>
          </w:p>
        </w:tc>
        <w:tc>
          <w:tcPr>
            <w:tcW w:w="21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Concurrent Private</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5"/>
              </w:rPr>
              <w:t>Placement</w:t>
            </w:r>
          </w:p>
        </w:tc>
        <w:tc>
          <w:tcPr>
            <w:tcW w:w="2100" w:type="dxa"/>
            <w:vAlign w:val="bottom"/>
            <w:gridSpan w:val="4"/>
          </w:tcPr>
          <w:p>
            <w:pPr>
              <w:jc w:val="center"/>
              <w:ind w:right="200"/>
              <w:spacing w:after="0" w:line="176" w:lineRule="exact"/>
              <w:rPr>
                <w:sz w:val="20"/>
                <w:szCs w:val="20"/>
                <w:color w:val="auto"/>
              </w:rPr>
            </w:pPr>
            <w:r>
              <w:rPr>
                <w:rFonts w:ascii="Arial" w:cs="Arial" w:eastAsia="Arial" w:hAnsi="Arial"/>
                <w:sz w:val="13"/>
                <w:szCs w:val="13"/>
                <w:b w:val="1"/>
                <w:bCs w:val="1"/>
                <w:color w:val="auto"/>
                <w:w w:val="90"/>
              </w:rPr>
              <w:t>Placement</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w w:val="95"/>
              </w:rPr>
              <w:t>Name of Individual or Identity of Group</w:t>
            </w:r>
          </w:p>
        </w:tc>
        <w:tc>
          <w:tcPr>
            <w:tcW w:w="3220" w:type="dxa"/>
            <w:vAlign w:val="bottom"/>
            <w:vMerge w:val="restart"/>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Type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0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11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Ownership</w:t>
            </w: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Owned</w:t>
            </w:r>
          </w:p>
        </w:tc>
        <w:tc>
          <w:tcPr>
            <w:tcW w:w="380" w:type="dxa"/>
            <w:vAlign w:val="bottom"/>
          </w:tcPr>
          <w:p>
            <w:pPr>
              <w:spacing w:after="0"/>
              <w:rPr>
                <w:sz w:val="14"/>
                <w:szCs w:val="14"/>
                <w:color w:val="auto"/>
              </w:rPr>
            </w:pPr>
          </w:p>
        </w:tc>
        <w:tc>
          <w:tcPr>
            <w:tcW w:w="12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2"/>
              </w:rPr>
              <w:t>Percentage</w:t>
            </w:r>
          </w:p>
        </w:tc>
        <w:tc>
          <w:tcPr>
            <w:tcW w:w="12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90"/>
        </w:trPr>
        <w:tc>
          <w:tcPr>
            <w:tcW w:w="5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1"/>
                <w:szCs w:val="11"/>
                <w:color w:val="auto"/>
              </w:rPr>
              <w:t>(3)</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Michael Fishman</w:t>
            </w:r>
            <w:r>
              <w:rPr>
                <w:rFonts w:ascii="Arial" w:cs="Arial" w:eastAsia="Arial" w:hAnsi="Arial"/>
                <w:sz w:val="11"/>
                <w:szCs w:val="11"/>
                <w:color w:val="auto"/>
              </w:rPr>
              <w:t>(4)</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33,834</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33,834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Richard Higginbotham</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John Ross</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13,721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Ronald Tanemura</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25,491</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25,491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1"/>
                <w:szCs w:val="11"/>
                <w:color w:val="auto"/>
              </w:rPr>
              <w:t>(5)</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3,890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r>
              <w:rPr>
                <w:rFonts w:ascii="Arial" w:cs="Arial" w:eastAsia="Arial" w:hAnsi="Arial"/>
                <w:sz w:val="11"/>
                <w:szCs w:val="11"/>
                <w:color w:val="auto"/>
              </w:rPr>
              <w:t>(6)(7)</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2"/>
              </w:rPr>
              <w:t>Beneficial</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2,690,673</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2,690,673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r>
              <w:rPr>
                <w:rFonts w:ascii="Arial" w:cs="Arial" w:eastAsia="Arial" w:hAnsi="Arial"/>
                <w:sz w:val="11"/>
                <w:szCs w:val="11"/>
                <w:b w:val="1"/>
                <w:bCs w:val="1"/>
                <w:color w:val="auto"/>
              </w:rPr>
              <w:t>(2)</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Jersey Common Pension Fund B</w:t>
            </w:r>
            <w:r>
              <w:rPr>
                <w:rFonts w:ascii="Arial" w:cs="Arial" w:eastAsia="Arial" w:hAnsi="Arial"/>
                <w:sz w:val="11"/>
                <w:szCs w:val="11"/>
                <w:color w:val="auto"/>
              </w:rPr>
              <w:t>(8)</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6,028,765</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6,028,765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1"/>
                <w:szCs w:val="11"/>
                <w:color w:val="auto"/>
              </w:rPr>
              <w:t>(9)</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5,994,646</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14.4%</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5,994,646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1"/>
                <w:szCs w:val="11"/>
                <w:color w:val="auto"/>
              </w:rPr>
              <w:t>(10)</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3,911,472</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3,911,472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1"/>
                <w:szCs w:val="11"/>
                <w:color w:val="auto"/>
              </w:rPr>
              <w:t>(7)</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3,040,032</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3,040,032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1"/>
                <w:szCs w:val="11"/>
                <w:color w:val="auto"/>
              </w:rPr>
              <w:t>(11)</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3,013,977</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3,013,977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1"/>
                <w:szCs w:val="11"/>
                <w:color w:val="auto"/>
              </w:rPr>
              <w:t>(12)</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3,000,158</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7.2%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3,000,158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1"/>
                <w:szCs w:val="11"/>
                <w:color w:val="auto"/>
              </w:rPr>
              <w:t>(13)</w:t>
            </w: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2,664,184</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2,664,184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Arizona State Retirement System</w:t>
            </w:r>
            <w:r>
              <w:rPr>
                <w:rFonts w:ascii="Arial" w:cs="Arial" w:eastAsia="Arial" w:hAnsi="Arial"/>
                <w:sz w:val="11"/>
                <w:szCs w:val="11"/>
                <w:color w:val="auto"/>
              </w:rPr>
              <w:t>(14)</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2,218,555</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5.3%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2,218,555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jc w:val="both"/>
        <w:ind w:left="460" w:right="120" w:hanging="452"/>
        <w:spacing w:after="0" w:line="255"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Assumes the issuance of (i) 3,030,303 shares in connection with the private placement and (ii) 7,000,000 shares offered by this prospectus (excluding any shares to be sold pursuant to the underwriters’ over-allotment option), based on an assumed price per share equal to the mid-point of the range on the front cover of this prospectus.</w:t>
      </w:r>
    </w:p>
    <w:p>
      <w:pPr>
        <w:spacing w:after="0" w:line="63"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shares beneficially owned and the percentages above do not reflect any allocations current five-percent stockholders will receive in our concurrent private placement, and, as a result, the shares beneficially owned and the percentages shown above for five-percent stockholders may change after completion of the concurrent private placement. The Adviser, which is included in the TPG Funds, has agreed to purchase approximately $3.1 million of our common stock in the concurrent private placement.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hanging="452"/>
        <w:spacing w:after="0" w:line="286"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ind w:left="460" w:right="22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ind w:left="460" w:right="40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Includes shares owned by officers that are not “Named Executive Officers,” as defined in Item 402 of Regulation S-K, as promulgated under the 1933 Act.</w:t>
      </w:r>
    </w:p>
    <w:p>
      <w:pPr>
        <w:spacing w:after="0" w:line="32" w:lineRule="exact"/>
        <w:rPr>
          <w:rFonts w:ascii="Arial" w:cs="Arial" w:eastAsia="Arial" w:hAnsi="Arial"/>
          <w:sz w:val="16"/>
          <w:szCs w:val="16"/>
          <w:color w:val="auto"/>
        </w:rPr>
      </w:pPr>
    </w:p>
    <w:p>
      <w:pPr>
        <w:ind w:left="460" w:right="200" w:hanging="452"/>
        <w:spacing w:after="0" w:line="302"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2,604,620 shares of common stock, or the TSL shares, held by our Adviser; (ii) 435,346 shares of common stock, or the TSL FOF Shares, held by TSL FOF, L.P., a Delaware limited partnership, or TSL FOF; and (iii) 66 shares of common stock held by Tarrant Advisors, Inc., a Delaware corporation, or Tarrant, and, together with our Adviser and TSL FOF, the TPG Funds.</w:t>
      </w:r>
    </w:p>
    <w:p>
      <w:pPr>
        <w:spacing w:after="0" w:line="28"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The business and affairs of our Adviser are managed by its board of managers, whose sole members are Messrs. Bonderman, Coulter and Waxman. Any decision or determination by the board of managers requires the approval of each of Messrs. Bonderman, Coulter and Waxman.</w:t>
      </w:r>
    </w:p>
    <w:p>
      <w:pPr>
        <w:spacing w:after="0" w:line="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our Adviser. Because of the relationship between Holdings II Sub and our Adviser, Group Advisors may be deemed to beneficially own the TSL Shares. The principal business of Group Advisors is serving as the sole ultimate general partner, managing member or similar entity of related entities (including our Adviser) engaged in making or recommending investments in securities of public and private companies.</w:t>
      </w:r>
    </w:p>
    <w:p>
      <w:pPr>
        <w:spacing w:after="0" w:line="39"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our Adviser. Because of the investment by Equity Partners in our Adviser, Tarrant Capital may be deemed to beneficially own 2,206,629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Our Adviser is required to solicit voting instructions from Equity Partners and Holdings II Sub in respect of the shares of common stock beneficially owned by Equity Partners and Holdings II Sub, respectively, in connection with any matter on which our Adviser is entitled to vote the TSL Shares. Our Adviser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our Adviser to vote proxies in respect of its TSL Shares proportionately in accordance with such instructions.</w:t>
      </w:r>
    </w:p>
    <w:p>
      <w:pPr>
        <w:spacing w:after="0" w:line="35" w:lineRule="exact"/>
        <w:rPr>
          <w:sz w:val="20"/>
          <w:szCs w:val="20"/>
          <w:color w:val="auto"/>
        </w:rPr>
      </w:pPr>
    </w:p>
    <w:p>
      <w:pPr>
        <w:ind w:left="460" w:right="360"/>
        <w:spacing w:after="0" w:line="256" w:lineRule="auto"/>
        <w:rPr>
          <w:sz w:val="20"/>
          <w:szCs w:val="20"/>
          <w:color w:val="auto"/>
        </w:rPr>
      </w:pPr>
      <w:r>
        <w:rPr>
          <w:rFonts w:ascii="Arial" w:cs="Arial" w:eastAsia="Arial" w:hAnsi="Arial"/>
          <w:sz w:val="18"/>
          <w:szCs w:val="18"/>
          <w:color w:val="auto"/>
        </w:rPr>
        <w:t>Messrs. Bonderman and Coulter are officers and sole stockholders of each of Tarrant Capital and Group Advisors. As officers and sole stockholders of Group Advisors, Mr. Bonderman and Mr. Coulter may indirectly issue voting instructions to our Adviser in respect of the shares of common stock beneficially owned by Holdings II Sub. Because of the relationship of Messrs. Bonderman and Coulter to Tarrant Capital and Group Advisors, each of Messrs. Bonderman and Coulter may be deemed to beneficially own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2" w:lineRule="auto"/>
        <w:rPr>
          <w:sz w:val="20"/>
          <w:szCs w:val="20"/>
          <w:color w:val="auto"/>
        </w:rPr>
      </w:pPr>
      <w:r>
        <w:rPr>
          <w:rFonts w:ascii="Arial" w:cs="Arial" w:eastAsia="Arial" w:hAnsi="Arial"/>
          <w:sz w:val="18"/>
          <w:szCs w:val="18"/>
          <w:color w:val="auto"/>
        </w:rPr>
        <w:t>the TSL Shares and the Tarrant Shares. Messrs. Bonderman and Coulter disclaim beneficial ownership of the TSL Shares and the Tarrant Shares except to the extent of their pecuniary interest therein. Because Mr. Waxman is a member of the board of managers of our Adviser,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ind w:left="460" w:hanging="452"/>
        <w:spacing w:after="0"/>
        <w:tabs>
          <w:tab w:leader="none" w:pos="4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address of the State of New Jersey Common Pension Fund B is New Jersey Division of Investment 50 West State Street, 9th Floor Trenton, NJ 08608.</w:t>
      </w:r>
    </w:p>
    <w:p>
      <w:pPr>
        <w:spacing w:after="0" w:line="43" w:lineRule="exact"/>
        <w:rPr>
          <w:rFonts w:ascii="Arial" w:cs="Arial" w:eastAsia="Arial" w:hAnsi="Arial"/>
          <w:sz w:val="15"/>
          <w:szCs w:val="15"/>
          <w:color w:val="auto"/>
        </w:rPr>
      </w:pPr>
    </w:p>
    <w:p>
      <w:pPr>
        <w:ind w:left="46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 and other information known to us.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following completion of the offering. We are not part of a “family of investment companies,” as that term is defined in the 1940 Act.</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900" w:type="dxa"/>
            <w:vAlign w:val="bottom"/>
            <w:gridSpan w:val="2"/>
          </w:tcPr>
          <w:p>
            <w:pPr>
              <w:jc w:val="center"/>
              <w:ind w:left="1722"/>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76"/>
        </w:trPr>
        <w:tc>
          <w:tcPr>
            <w:tcW w:w="38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Beneficially Owned</w:t>
            </w:r>
            <w:r>
              <w:rPr>
                <w:rFonts w:ascii="Arial" w:cs="Arial" w:eastAsia="Arial" w:hAnsi="Arial"/>
                <w:sz w:val="20"/>
                <w:szCs w:val="20"/>
                <w:b w:val="1"/>
                <w:bCs w:val="1"/>
                <w:color w:val="auto"/>
                <w:w w:val="90"/>
                <w:vertAlign w:val="superscript"/>
              </w:rPr>
              <w:t>(1)(2)</w:t>
            </w: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8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Joshua Easterly</w:t>
            </w:r>
          </w:p>
        </w:tc>
        <w:tc>
          <w:tcPr>
            <w:tcW w:w="3900" w:type="dxa"/>
            <w:vAlign w:val="bottom"/>
            <w:gridSpan w:val="2"/>
          </w:tcPr>
          <w:p>
            <w:pPr>
              <w:jc w:val="center"/>
              <w:ind w:left="1722"/>
              <w:spacing w:after="0"/>
              <w:rPr>
                <w:sz w:val="20"/>
                <w:szCs w:val="20"/>
                <w:color w:val="auto"/>
              </w:rPr>
            </w:pPr>
            <w:r>
              <w:rPr>
                <w:rFonts w:ascii="Arial" w:cs="Arial" w:eastAsia="Arial" w:hAnsi="Arial"/>
                <w:sz w:val="18"/>
                <w:szCs w:val="18"/>
                <w:color w:val="auto"/>
                <w:w w:val="88"/>
              </w:rPr>
              <w:t>$50,001 -$100,000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Fishman</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Higginbotham</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John Ross</w:t>
            </w:r>
          </w:p>
        </w:tc>
        <w:tc>
          <w:tcPr>
            <w:tcW w:w="1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Ronald Tanemura</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December 31, 2013, multiplied by our net asset value per share as of December 31,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26"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action will be required on the part of a registered stockholder to have its cash dividend or other distribution reinvested in our common stock. A registered stockholder will be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will set up an account for shares acquired through the plan for each stockholder who has not elected to receive cash dividends or distributions in cash and hold the shares in non-certificated form.</w:t>
      </w:r>
    </w:p>
    <w:p>
      <w:pPr>
        <w:spacing w:after="0" w:line="11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0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correspondence concerning the plan should be directed to the plan administrator by mail at TPG Specialty Lending Inc., c/o State Street Bank and Trust Company, 1 Lincoln Street, Boston, Massachusetts 02145.</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us and to an investment in shares of our common stock. This summary also includes a description of our distribution policy and certain risks related thereto. This summary does not purport to be a complete description of the income tax considerations applicable to such an investment. For example, we have not described tax consequences that may be relevant to certain types of stockholders subject to special treatment under U.S. federal income tax laws, including:</w:t>
      </w:r>
    </w:p>
    <w:p>
      <w:pPr>
        <w:spacing w:after="0" w:line="32"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entities taxed as partnerships and partners therein;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persons holding our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 stockholders who have a “functional currency” other than the U.S. dollar.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summary assumes that investors will hold our common stock as a capital asset, which generally means as property held for investment. The discussion is based upon the Code, U.S.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the IRS, regarding this offering or the statements made and the conclusions reached in this summary and we cannot assure you that the IRS will agree with such statements or conclusions. This summary does not discuss any aspects of:</w:t>
      </w:r>
    </w:p>
    <w:p>
      <w:pPr>
        <w:spacing w:after="0" w:line="35"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federal estate or gift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foreign, state or local tax;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unearned income Medicare contribution tax pursuant to the Health Care and Education Reconciliation Act of 2010.</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that is for U.S. federal income tax purposes:</w:t>
      </w:r>
    </w:p>
    <w:p>
      <w:pPr>
        <w:spacing w:after="0" w:line="5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domestic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otherwise subject to U.S. federal income tax on a net income basis in respect of our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after December 31, 2013 may be eligible for look-through tax treatment if Congress extends certain rules to apply to such taxable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90"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25" w:lineRule="exact"/>
        <w:rPr>
          <w:rFonts w:ascii="Arial" w:cs="Arial" w:eastAsia="Arial" w:hAnsi="Arial"/>
          <w:sz w:val="16"/>
          <w:szCs w:val="16"/>
          <w:color w:val="auto"/>
        </w:rPr>
      </w:pPr>
    </w:p>
    <w:p>
      <w:pPr>
        <w:ind w:left="1480" w:right="40" w:hanging="446"/>
        <w:spacing w:after="0" w:line="306" w:lineRule="auto"/>
        <w:tabs>
          <w:tab w:leader="none" w:pos="14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“Distributions”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“Dividend Reinvestment Plan” for a description of our dividend policy and obligations. One or more of the considerations described below, however, could result in the deferral of dividend distributions until the end of the fiscal year:</w:t>
      </w:r>
    </w:p>
    <w:p>
      <w:pPr>
        <w:spacing w:after="0" w:line="51" w:lineRule="exact"/>
        <w:rPr>
          <w:sz w:val="20"/>
          <w:szCs w:val="20"/>
          <w:color w:val="auto"/>
        </w:rPr>
      </w:pPr>
    </w:p>
    <w:p>
      <w:pPr>
        <w:ind w:left="900" w:right="60" w:hanging="325"/>
        <w:spacing w:after="0" w:line="306"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0"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and, after the adjusted tax basis is reduced to zero, will constitute capital gains to such U.S. stockholder.</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dividends declared by us in October, November, or December of any calendar year, payable to holders of our common shares of record on a specified date in such a month, which are actually paid during January of the following calendar year, will be treated as if paid by us and received by such 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62" w:lineRule="exact"/>
        <w:rPr>
          <w:sz w:val="20"/>
          <w:szCs w:val="20"/>
          <w:color w:val="auto"/>
        </w:rPr>
      </w:pPr>
    </w:p>
    <w:p>
      <w:pPr>
        <w:ind w:left="900" w:right="10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 not later than our first payment of the same type of dividend following such declaration; and</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3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Any such election will not alter the general rule that a holder of our common shares will be treated as receiving a dividend in the taxable year in which the dividend is distributed, subject to the October, November, or December dividend declaration rule discussed immediately above.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If a U.S. stockholder sells or otherwise disposes of shares of our common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of such distributions on our common stock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U.S.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Limitation with respect to Certain U.S. Stockholders on Deductions for Certain Fees and Expenses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Whether an investment in the shares of our common stock is appropriate for a Non-U.S. stockholder will depend upon that person’s particular circumstances. An investment in the shares of our common stock by a Non-U.S. stockholder may have adverse tax consequences as compared to a direct investment in the assets in which we will invest. Non-U.S. stockholders should consult their tax advisors before investing in our common stock.</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holder could have received the underlying income free of tax; or (ii) such holder qualifies for, and complies with the procedures for claiming, an exemption or reduced rate under an applicable income tax treaty; or (iii) such holder qualifies, and complies with the procedures for claiming, an exemption by reason of its status as a foreign government-related entity.</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 rules expired for taxable years beginning after December 31, 2013. Further legislation is required to make the exemption available with respect to taxable years that commence after December 31, 2013. </w:t>
      </w:r>
      <w:r>
        <w:rPr>
          <w:rFonts w:ascii="Arial" w:cs="Arial" w:eastAsia="Arial" w:hAnsi="Arial"/>
          <w:sz w:val="16"/>
          <w:szCs w:val="16"/>
          <w:b w:val="1"/>
          <w:bCs w:val="1"/>
          <w:color w:val="auto"/>
        </w:rPr>
        <w:t>We cannot assure you that Congress will enact an extension or that any such</w:t>
      </w:r>
      <w:r>
        <w:rPr>
          <w:rFonts w:ascii="Arial" w:cs="Arial" w:eastAsia="Arial" w:hAnsi="Arial"/>
          <w:sz w:val="16"/>
          <w:szCs w:val="16"/>
          <w:color w:val="auto"/>
        </w:rPr>
        <w:t xml:space="preserve"> </w:t>
      </w:r>
      <w:r>
        <w:rPr>
          <w:rFonts w:ascii="Arial" w:cs="Arial" w:eastAsia="Arial" w:hAnsi="Arial"/>
          <w:sz w:val="16"/>
          <w:szCs w:val="16"/>
          <w:b w:val="1"/>
          <w:bCs w:val="1"/>
          <w:color w:val="auto"/>
        </w:rPr>
        <w:t>extension will apply to all dividends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we distribute with respect to taxable years commencing after December 31, 2013</w:t>
      </w:r>
      <w:r>
        <w:rPr>
          <w:rFonts w:ascii="Arial" w:cs="Arial" w:eastAsia="Arial" w:hAnsi="Arial"/>
          <w:sz w:val="16"/>
          <w:szCs w:val="16"/>
          <w:color w:val="auto"/>
        </w:rPr>
        <w:t>. If Congress does extend the exemption, dividends that we designate as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1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other applicable tax certification establishing its entitlement to the exemption or reduced rate, or otherwise establishing an exemption from backup withholding.</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terms of our certificate of incorporation, which was adopted on March 8, 2011, our authorized capital stock consists of 400,000,000 shares of common stock, par value $0.01 per share, of which 41,762,724 shares are outstanding as of the date of this prospectus, and 100,000,000 shares of preferred stock, par value $0.01 per share, of which no shares are outstanding as of the date of this prospectus.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applied to list our common stock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 Immediately prior to this offering and our concurrent private placement, our only securities outstanding were 41,762,724 shares of our common stock, as adjusted to reflect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March 11, 2014:</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Amount Outstanding</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Amount Held by Us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Exclusive of Amount</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3200" w:type="dxa"/>
            <w:vAlign w:val="bottom"/>
            <w:vMerge w:val="restart"/>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Amount</w:t>
            </w:r>
          </w:p>
        </w:tc>
        <w:tc>
          <w:tcPr>
            <w:tcW w:w="22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Held by Us or for Our</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96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7"/>
              </w:rPr>
              <w:t>Authorized</w:t>
            </w:r>
          </w:p>
        </w:tc>
        <w:tc>
          <w:tcPr>
            <w:tcW w:w="22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9"/>
              </w:rPr>
              <w:t>for Our Account</w:t>
            </w:r>
          </w:p>
        </w:tc>
        <w:tc>
          <w:tcPr>
            <w:tcW w:w="13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Account</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400,000,000</w:t>
            </w:r>
          </w:p>
        </w:tc>
        <w:tc>
          <w:tcPr>
            <w:tcW w:w="10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w:t>
            </w:r>
          </w:p>
        </w:tc>
        <w:tc>
          <w:tcPr>
            <w:tcW w:w="10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41,762,724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To date, we have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includes a $100 million capital commitment by our Adviser. As of the date of this prospectus, we have drawn $582.5 million of these capital commitments, and issued $43.4 million of equity through our dividend reinvestment plan. Our existing investors’ obligations to purchase additional shares from the undrawn portion of their capital commitments will terminate upon the completion of this IPO.</w:t>
      </w:r>
    </w:p>
    <w:p>
      <w:pPr>
        <w:spacing w:after="0" w:line="14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Certain of our existing investors, including our Adviser, have agreed to purchase $50 million of our common stock in a private placement transaction at a purchase price per share equal to our initial public offering price per share, subject to a cap of $17.00 per share. The private placement transaction is subject to certain customary closing conditions and also subject to, and will close concurrently with, the completion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Prior to this IPO, each share of common stock entitled the holder to a preemptive right, for a period of thirty days, to subscribe for purchase or otherwise acquire any shares of preferred stock (including rights or options to purchase shares of preferred stock or securities convertible into, or exchangeable for, shares of preferred stock) that we proposed to issue, but this provision will no longer apply following this IPO.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terms of our certificate of incorporation, our Board is authorized to issue shares of preferred stock in one or more series without stockholder approval. 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39" w:lineRule="exact"/>
        <w:rPr>
          <w:sz w:val="20"/>
          <w:szCs w:val="20"/>
          <w:color w:val="auto"/>
        </w:rPr>
      </w:pPr>
    </w:p>
    <w:p>
      <w:pPr>
        <w:ind w:left="90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certification of incorporation limits our directors’ liability to the fullest extent permitted under Delaware corporate law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1940 Act. Specifically, our directors will not be personally liable to us or our stockholders for any breach of fiduciary duty as a director, except for any liability:</w:t>
      </w:r>
    </w:p>
    <w:p>
      <w:pPr>
        <w:spacing w:after="0" w:line="107"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90" w:lineRule="exact"/>
        <w:rPr>
          <w:sz w:val="20"/>
          <w:szCs w:val="20"/>
          <w:color w:val="auto"/>
        </w:rPr>
      </w:pPr>
    </w:p>
    <w:p>
      <w:pPr>
        <w:ind w:left="900" w:right="160" w:hanging="325"/>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90" w:lineRule="exact"/>
        <w:rPr>
          <w:sz w:val="20"/>
          <w:szCs w:val="20"/>
          <w:color w:val="auto"/>
        </w:rPr>
      </w:pPr>
    </w:p>
    <w:p>
      <w:pPr>
        <w:ind w:left="900" w:right="300" w:hanging="325"/>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17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election of directors, voting together as a single class, to amend certain specified provisions of the certificate relating to our Board, limitation of liability, indemnification procedures, and amendments to our certificate of incorporation.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90"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90" w:lineRule="exact"/>
        <w:rPr>
          <w:rFonts w:ascii="Arial" w:cs="Arial" w:eastAsia="Arial" w:hAnsi="Arial"/>
          <w:sz w:val="18"/>
          <w:szCs w:val="18"/>
          <w:color w:val="auto"/>
        </w:rPr>
      </w:pPr>
    </w:p>
    <w:p>
      <w:pPr>
        <w:ind w:left="900" w:right="240" w:hanging="325"/>
        <w:spacing w:after="0" w:line="306"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this IPO) or pursuant to any subscription agreement by and among us, the Adviser and such principal stockholder entered into prior to this IPO;</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Following this offering, 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90" w:lineRule="exact"/>
        <w:rPr>
          <w:sz w:val="20"/>
          <w:szCs w:val="20"/>
          <w:color w:val="auto"/>
        </w:rPr>
      </w:pPr>
    </w:p>
    <w:p>
      <w:pPr>
        <w:ind w:left="900" w:right="60" w:hanging="325"/>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December 31, 2013 and 2012, our asset coverage was 232.9% and 244.6%, respectively. Following this IPO and the repayment of indebtedness as contemplated under “Use of Proceeds,” and based on the value of our total assets as of December 31, 2013 after giving effect to the pro forma as adjusted assumptions under “Capitalization”, our asset coverage ratio would be approximately 313.1%.</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59" w:lineRule="exact"/>
        <w:rPr>
          <w:sz w:val="20"/>
          <w:szCs w:val="20"/>
          <w:color w:val="auto"/>
        </w:rPr>
      </w:pPr>
    </w:p>
    <w:p>
      <w:pPr>
        <w:ind w:left="900" w:right="280" w:hanging="325"/>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194"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4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51" w:lineRule="exact"/>
        <w:rPr>
          <w:sz w:val="20"/>
          <w:szCs w:val="20"/>
          <w:color w:val="auto"/>
        </w:rPr>
      </w:pPr>
    </w:p>
    <w:p>
      <w:pPr>
        <w:ind w:left="900" w:right="40" w:hanging="325"/>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cannot assure you, however, when or whether the SEC will grant our exemptive relief request or that, if granted, it will be on the terms set forth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325"/>
        <w:spacing w:after="0" w:line="256"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required by the Advisers Act and the 1940 Act, we and the Adviser have adopted a Code of Business Conduct and Ethics which applies to, among others, our and our Adviser’s executive officers, including our Chief Executive Officer and Chief Financial Officer, as well as our and our Adviser’s officers, directors and employees. The Code of Business Conduct and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In addition, the code may be found at http://www.tpgspecialtylending.com in the “Investor Relations” section of our website. You may also obtain copies of the code of ethics, after paying a duplicating fee, by electronic request at the following e-mail address: publicinfo@sec.gov, or by writing the SEC’s Public Reference Section at 100 F Street, Room 1580 N.E. Washington, D.C. 20549. We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44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25" w:lineRule="exact"/>
        <w:rPr>
          <w:rFonts w:ascii="Arial" w:cs="Arial" w:eastAsia="Arial" w:hAnsi="Arial"/>
          <w:sz w:val="16"/>
          <w:szCs w:val="16"/>
          <w:color w:val="auto"/>
        </w:rPr>
      </w:pPr>
    </w:p>
    <w:p>
      <w:pPr>
        <w:ind w:left="900" w:right="160" w:hanging="325"/>
        <w:spacing w:after="0" w:line="306"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1" w:lineRule="exact"/>
        <w:rPr>
          <w:sz w:val="20"/>
          <w:szCs w:val="20"/>
          <w:color w:val="auto"/>
        </w:rPr>
      </w:pPr>
    </w:p>
    <w:p>
      <w:pPr>
        <w:ind w:left="900" w:right="10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NYSE has adopted corporate governance rules that listed companies must comply with. We are in compliance with these rules.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2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You may obtain information about how the Adviser voted proxies, free of charge, by making a written request for proxy voting information to: TSL Adviser, 345 California Street, Suite 3300 San Francisco, CA 94104, Attention: TSL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 </w:t>
      </w:r>
      <w:r>
        <w:rPr>
          <w:rFonts w:ascii="Arial" w:cs="Arial" w:eastAsia="Arial" w:hAnsi="Arial"/>
          <w:sz w:val="18"/>
          <w:szCs w:val="18"/>
          <w:color w:val="auto"/>
        </w:rPr>
        <w:t>The SEC also</w:t>
      </w:r>
      <w:r>
        <w:rPr>
          <w:rFonts w:ascii="Arial" w:cs="Arial" w:eastAsia="Arial" w:hAnsi="Arial"/>
          <w:sz w:val="18"/>
          <w:szCs w:val="18"/>
          <w:i w:val="1"/>
          <w:iCs w:val="1"/>
          <w:color w:val="auto"/>
        </w:rPr>
        <w:t xml:space="preserve"> maintains a website at http://www.sec.gov that contains such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generally will not receive any nonpublic personal information relating to stockholders who purchase common stock in this IPO.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We cannot predict the effect, if any, that sales of shares or the availability of shares for sale will have on the market price of our common stock prevailing from time to time. Sales of substantial amounts of our common stock in the public market, or the perception that such sales could occur, could adversely affect the prevailing market price of our common stock.</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completion of this offering and the concurrent private placement, based on an assumed initial public offering price per share equal to the mid-point of the range on the cover of this prospectus, 51,793,027 shares of our common stock will be issued and outstanding. If the underwriters exercise their over-allotment option to purchase additional shares in full, 52,843,027 shares of our common stock will be issued and outstanding immediately after the completion of this offering and the concurrent private placement.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completion of this offering and the concurrent private placement, based on an assumed initial public offering price per share equal to the mid-point of the range on the cover of this prospectus, 41,912,660 shares of our common stock outstanding will not be considered “restricted” securities under the meaning of Rule 144 and will be freely tradeable without restriction under the Securities Act (subject to any lock-up agreements as described below) and 9,880,367 shares of our common stock outstanding will be “restricted” securities under the meaning of Rule 144 under the Securities Act, and may not be sold in the absence of registration under the Securities Act unless an exemption from registration is available, including the exemption provided by Rule 144. Additionally, any shares purchased in this offering by our affiliates, as that term is defined in Rule 144 under the Securities Act, would only be able to be sold in compliance with the Rule 144 limitations described below. See “Risk Factors—Risks Related to this Offering—Prior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the Adviser, our directors, executive officers and substantially all of our existing stockholders have agreed with the underwriters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will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case of the Company, the lock-up period in the previous paragraph is the period ending 180 days after the date of this prospectus. In the case of our Adviser, including shares of common stock beneficially owned by our executive officers through the Adviser, the lock-up period is the period ending 365 days after the date of this prospectus. In the case of our directors, executive officers and existing stockholders, the lock-up period in the previous paragraph is 180 days after the date of this prospectus for all shares of common stock held by those stockholders and 270 days after the date of this prospectus for 50% of the shares of common stock held by those stockholders. Each lock-up period is subject to extension in certain circumstances. See “Underwriting.”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We are offering the shares of common stock described in this prospectus through a number of</w:t>
      </w:r>
      <w:r>
        <w:rPr>
          <w:sz w:val="20"/>
          <w:szCs w:val="20"/>
          <w:color w:val="auto"/>
        </w:rPr>
        <w:tab/>
      </w:r>
      <w:r>
        <w:rPr>
          <w:rFonts w:ascii="Arial" w:cs="Arial" w:eastAsia="Arial" w:hAnsi="Arial"/>
          <w:sz w:val="16"/>
          <w:szCs w:val="16"/>
          <w:color w:val="auto"/>
        </w:rPr>
        <w:t>underwriters. J.P. Morgan Securities LLC, Merrill</w:t>
      </w:r>
    </w:p>
    <w:p>
      <w:pPr>
        <w:spacing w:after="0" w:line="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Lynch, Pierce, Fenner &amp; Smith Incorporated, Goldman, Sachs &amp; Co., Citigroup Global Markets Inc., Wells Fargo Securities, LLC and Barclays Capital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1" w:lineRule="exact"/>
        <w:rPr>
          <w:sz w:val="20"/>
          <w:szCs w:val="20"/>
          <w:color w:val="auto"/>
        </w:rPr>
      </w:pPr>
    </w:p>
    <w:p>
      <w:pPr>
        <w:ind w:left="1840"/>
        <w:spacing w:after="0"/>
        <w:tabs>
          <w:tab w:leader="none" w:pos="84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J.P. Morgan Securities LLC</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Incorporated</w:t>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TPG Capital BD,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7975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31750</wp:posOffset>
            </wp:positionV>
            <wp:extent cx="7975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 prospectus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to certain dealers at that price less a concession not in excess of $ per share. Any such dealers may resell shares to certain other brokers or dealers at a discount of up to $ per share from the initial public offering price. After the initial public offering of the shares, the offering price and other selling terms may be changed by the underwriters.</w:t>
      </w:r>
    </w:p>
    <w:p>
      <w:pPr>
        <w:spacing w:after="0" w:line="144" w:lineRule="exact"/>
        <w:rPr>
          <w:sz w:val="20"/>
          <w:szCs w:val="20"/>
          <w:color w:val="auto"/>
        </w:rPr>
      </w:pPr>
    </w:p>
    <w:p>
      <w:pPr>
        <w:jc w:val="both"/>
        <w:ind w:right="160" w:firstLine="456"/>
        <w:spacing w:after="0" w:line="290" w:lineRule="auto"/>
        <w:rPr>
          <w:sz w:val="20"/>
          <w:szCs w:val="20"/>
          <w:color w:val="auto"/>
        </w:rPr>
      </w:pPr>
      <w:r>
        <w:rPr>
          <w:rFonts w:ascii="Arial" w:cs="Arial" w:eastAsia="Arial" w:hAnsi="Arial"/>
          <w:sz w:val="16"/>
          <w:szCs w:val="16"/>
          <w:color w:val="auto"/>
        </w:rPr>
        <w:t>The underwriters have an option to buy, within 30 days from the date of this prospectus, up to 1,050,000 additional shares of common stock from us to cover sales of shares by the underwriters which exceed the number of shares specified in the table above. The purchase price the underwriters will pay for the shares is the public offering price, less the sales load payable by us (and less any dividends or distributions declared by us and payable on the shares offered by this prospectus that are not payable on any shares issued pursuant to the option being exercised due to the record date for the dividend or distribution preceding that exercise).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3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Without</w:t>
            </w:r>
          </w:p>
        </w:tc>
        <w:tc>
          <w:tcPr>
            <w:tcW w:w="13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2440" w:type="dxa"/>
            <w:vAlign w:val="bottom"/>
          </w:tcPr>
          <w:p>
            <w:pPr>
              <w:spacing w:after="0"/>
              <w:rPr>
                <w:sz w:val="12"/>
                <w:szCs w:val="12"/>
                <w:color w:val="auto"/>
              </w:rPr>
            </w:pPr>
          </w:p>
        </w:tc>
        <w:tc>
          <w:tcPr>
            <w:tcW w:w="3960" w:type="dxa"/>
            <w:vAlign w:val="bottom"/>
            <w:gridSpan w:val="2"/>
          </w:tcPr>
          <w:p>
            <w:pPr>
              <w:jc w:val="center"/>
              <w:ind w:left="3039"/>
              <w:spacing w:after="0" w:line="149" w:lineRule="exact"/>
              <w:rPr>
                <w:sz w:val="20"/>
                <w:szCs w:val="20"/>
                <w:color w:val="auto"/>
              </w:rPr>
            </w:pPr>
            <w:r>
              <w:rPr>
                <w:rFonts w:ascii="Arial" w:cs="Arial" w:eastAsia="Arial" w:hAnsi="Arial"/>
                <w:sz w:val="14"/>
                <w:szCs w:val="14"/>
                <w:b w:val="1"/>
                <w:bCs w:val="1"/>
                <w:color w:val="auto"/>
                <w:w w:val="87"/>
              </w:rPr>
              <w:t>over-allotment</w:t>
            </w:r>
          </w:p>
        </w:tc>
        <w:tc>
          <w:tcPr>
            <w:tcW w:w="2280" w:type="dxa"/>
            <w:vAlign w:val="bottom"/>
            <w:gridSpan w:val="3"/>
          </w:tcPr>
          <w:p>
            <w:pPr>
              <w:jc w:val="center"/>
              <w:ind w:left="1142"/>
              <w:spacing w:after="0" w:line="149" w:lineRule="exact"/>
              <w:rPr>
                <w:sz w:val="20"/>
                <w:szCs w:val="20"/>
                <w:color w:val="auto"/>
              </w:rPr>
            </w:pPr>
            <w:r>
              <w:rPr>
                <w:rFonts w:ascii="Arial" w:cs="Arial" w:eastAsia="Arial" w:hAnsi="Arial"/>
                <w:sz w:val="14"/>
                <w:szCs w:val="14"/>
                <w:b w:val="1"/>
                <w:bCs w:val="1"/>
                <w:color w:val="auto"/>
                <w:w w:val="89"/>
              </w:rPr>
              <w:t>over-allotment</w:t>
            </w:r>
          </w:p>
        </w:tc>
      </w:tr>
      <w:tr>
        <w:trPr>
          <w:trHeight w:val="161"/>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1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exercise</w:t>
            </w:r>
          </w:p>
        </w:tc>
      </w:tr>
      <w:tr>
        <w:trPr>
          <w:trHeight w:val="210"/>
        </w:trPr>
        <w:tc>
          <w:tcPr>
            <w:tcW w:w="2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356"/>
        </w:trPr>
        <w:tc>
          <w:tcPr>
            <w:tcW w:w="2440" w:type="dxa"/>
            <w:vAlign w:val="bottom"/>
          </w:tcPr>
          <w:p>
            <w:pPr>
              <w:spacing w:after="0"/>
              <w:rPr>
                <w:sz w:val="24"/>
                <w:szCs w:val="24"/>
                <w:color w:val="auto"/>
              </w:rPr>
            </w:pPr>
          </w:p>
        </w:tc>
        <w:tc>
          <w:tcPr>
            <w:tcW w:w="3120" w:type="dxa"/>
            <w:vAlign w:val="bottom"/>
          </w:tcPr>
          <w:p>
            <w:pPr>
              <w:jc w:val="right"/>
              <w:ind w:right="1019"/>
              <w:spacing w:after="0"/>
              <w:rPr>
                <w:sz w:val="20"/>
                <w:szCs w:val="20"/>
                <w:color w:val="auto"/>
              </w:rPr>
            </w:pPr>
            <w:r>
              <w:rPr>
                <w:rFonts w:ascii="Arial" w:cs="Arial" w:eastAsia="Arial" w:hAnsi="Arial"/>
                <w:sz w:val="18"/>
                <w:szCs w:val="18"/>
                <w:color w:val="auto"/>
              </w:rPr>
              <w:t>158</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six percent sales load (equal to $6.9 million, assuming an offering price equal to the mid-point of the range on the front cover of the prospectus and no exercise of the over-allotment option) represents the maximum sales load we could pay, and includes a base sales load of 5.50% and an additional 0.50% sales load we may elect to pay in our sole discretion, depending on the performance of the underwriters. If we do not elect to pay the 0.50% discretionary sales load, our net proceeds from this offering will be higher.</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legal and accounting expenses, and up to $35,000 reimbursement of underwriter’s counsel fees, but excluding the underwriting discounts, will be approximately $3.0 million.</w:t>
      </w:r>
    </w:p>
    <w:p>
      <w:pPr>
        <w:spacing w:after="0" w:line="85"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agreed that we will not, subject to certain exceptions, (i) offer, pledge, sell, contract to sell, sell any option or contract to purchase, purchase any option or contract to sell, grant any option, right or warrant to purchase or otherwise transfer or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Merrill Lynch, Pierce, Fenner &amp; Smith Incorporated and Goldman, Sachs &amp; Co. for a period of 180 days after the date of this prospectus, other than the shares of our common stock to be sold hereunder. Notwithstanding the foregoing, to the extent we are not an emerging growth company, if (1) during the last 17 days of the 180-day restricted period, we issue an earnings release or material news or a material event relating to our company occurs; or (2) 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Adviser, our directors, executive officers and substantially all of our existing stockholders have entered into lock-up agreements with the underwriters prior to the commencement of this offering pursuant to which each of these persons or entities, with limited exceptions, for a period of 365 days after the date of this prospectus in the case of our Adviser, and in the case of our directors, executive officers and existing shareholders, 180 days after the date of this prospectus for all shares of common stock held by those stockholders and 270 days after the date of this prospectus for 50% of the shares of common stock held by those stockholders, may not, subject to certain exceptions, without the prior written consent of J.P. Morgan Securities LLC, Merrill Lynch, Pierce, Fenner &amp; Smith Incorporated and Goldman, Sachs &amp; Co.,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Notwithstanding the foregoing, to the extent we are not an emerging growth company, if (1) during the last 17 days of the applicable restricted period, we issue an earnings release or material news or a material event relating</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40"/>
          </w:cols>
          <w:pgMar w:left="240" w:top="460" w:right="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to our company occurs; or (2) prior to the expiration of the applicable restricted period, we announce that we will release earnings results during the 16-day period beginning on the last day of the applicable period, the restrictions described above shall continue to apply until the expiration of the 18-day period beginning on the issuance of the earnings release or the occurrence of the material news or material event.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lock-ups will apply to all shares of our common stock acquired as of the date of the IPO, including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Pursuant to FINRA Rule 5110(g)(1), shares received by our existing shareholders in the capital drawdowns of September 26, 2013 and January 15, 2014 who are related to FINRA members participating in this offering may not be sold, transferred, assigned, pledged, or hypothecated, or be the subject of any hedging, short sale, derivative, put, or call transaction that would result in the effective economic disposition of the securities for a period of 180 days immediately following the effective date of this offering, subject to limited exceptions.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approved for listing/quotation on the NYSE under the symbol “TSLX”.</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59"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intend to use 100% of the net proceeds of this offering, together with our cash and cash equivalents, to pay down outstanding indebtedness under the Revolving Credit Facility (SunTrust). We do not, however, intend to terminate the facility and may reborrow the amount we repay, subject to certain conditions.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under common control with TPG Capital BD, LLC, an underwriter of this offering.</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Goldman, Sachs &amp; Co. is acting as the agent for Adviser for the 10b5-1 Plan, under which it will buy up to $25 million in the aggregate of our common stock during the period beginning after four full calendar weeks after the closing of this offering and ending on the earlier of the date on which all the capital committed to the plan has been exhausted or December 31, 2014, subject to certain conditions. See “Related-Party Transactions and Certain Relationships.”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principal business address of J.P. Morgan Securities LLC is 383 Madison Avenue, New York, New York 10179. The principal business address of Merrill Lynch, Pierce, Fenner &amp; Smith Incorporated is One Bryant Park, New York, New York 10036. The principal business address of Goldman, Sachs &amp; Co. is 200 West Street, New York, New York 10282. The principal business address of Citigroup Global Markets Inc. is 388 Greenwich Street, New York, New York 10013. The principal business address of Wells Fargo Securities, LLC is 550 South Tryon Street, Charlotte, North Carolina 28202. The principal business address of Barclays Capital Inc. is 745 Seventh Avenue New York, NY 10019.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1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prospectus and any other materials relating to the common stock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Cleary Gottlieb Steen &amp; Hamilton LLP, New York, New York. In addition, Sutherland Asbill &amp; Brennan LLP and Morris, Nichols, Arsht &amp; Tunnell LLP will pass on certain legal matters for us in connection with the offering. Cleary Gottlieb Steen &amp; Hamilton LLP also represents the Adviser. Certain legal matters in connection with the offering will be passed upon for the underwriters by Fried, Frank, Harris, Shriver &amp; Jacobson LLP.</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 The SEC maintains a website that contains reports,</w:t>
      </w:r>
      <w:r>
        <w:rPr>
          <w:rFonts w:ascii="Arial" w:cs="Arial" w:eastAsia="Arial" w:hAnsi="Arial"/>
          <w:sz w:val="16"/>
          <w:szCs w:val="16"/>
          <w:i w:val="1"/>
          <w:iCs w:val="1"/>
          <w:color w:val="auto"/>
        </w:rPr>
        <w:t xml:space="preserve">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40" w:type="dxa"/>
            <w:vAlign w:val="bottom"/>
            <w:gridSpan w:val="8"/>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6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81">
              <w:r>
                <w:rPr>
                  <w:rFonts w:ascii="Arial" w:cs="Arial" w:eastAsia="Arial" w:hAnsi="Arial"/>
                  <w:sz w:val="18"/>
                  <w:szCs w:val="18"/>
                  <w:color w:val="0000EE"/>
                  <w:w w:val="86"/>
                </w:rPr>
                <w:t>Consolidated Statements of Changes in Net Assets for the Years Ended December 31, 2013, 2012 and 2011</w:t>
              </w:r>
            </w:hyperlink>
          </w:p>
        </w:tc>
        <w:tc>
          <w:tcPr>
            <w:tcW w:w="33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304"/>
        </w:trPr>
        <w:tc>
          <w:tcPr>
            <w:tcW w:w="6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82">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ind w:left="3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0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1,016,451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432,267</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464,454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4"/>
              </w:rPr>
              <w:t>Common stock, $0.01 par value; 100,000,000 shares authorized, 37,027,022 and 31,583,953 shares issued, respectively;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and 37,026,023 and 31,582,954 shares outstanding, respectively (1)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90,374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47,046</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2,724</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51,011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10,469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13,376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8,892</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11,790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Professional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(7,135)</w:t>
            </w: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57,700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9,630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color w:val="auto"/>
              </w:rPr>
              <w:t>Total net change in unrealized gains</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realized gains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4"/>
              </w:rPr>
              <w:t>Weighted average shares of common stock outstanding—basic and diluted</w:t>
            </w:r>
          </w:p>
        </w:tc>
        <w:tc>
          <w:tcPr>
            <w:tcW w:w="4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34,635,208</w:t>
            </w:r>
          </w:p>
        </w:tc>
        <w:tc>
          <w:tcPr>
            <w:tcW w:w="940" w:type="dxa"/>
            <w:vAlign w:val="bottom"/>
            <w:vMerge w:val="restart"/>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20,541,475</w:t>
            </w:r>
          </w:p>
        </w:tc>
        <w:tc>
          <w:tcPr>
            <w:tcW w:w="9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1"/>
                <w:szCs w:val="11"/>
                <w:color w:val="auto"/>
              </w:rPr>
            </w:pPr>
          </w:p>
        </w:tc>
        <w:tc>
          <w:tcPr>
            <w:tcW w:w="68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4440" w:type="dxa"/>
            <w:vAlign w:val="bottom"/>
            <w:gridSpan w:val="3"/>
            <w:vMerge w:val="continue"/>
          </w:tcPr>
          <w:p>
            <w:pPr>
              <w:spacing w:after="0"/>
              <w:rPr>
                <w:sz w:val="14"/>
                <w:szCs w:val="14"/>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jc w:val="right"/>
              <w:ind w:right="15"/>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12/23/2011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$ 52,828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$ 53,720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revolving</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4,528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12/31/2012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8/31/2011</w:t>
            </w:r>
          </w:p>
        </w:tc>
        <w:tc>
          <w:tcPr>
            <w:tcW w:w="680" w:type="dxa"/>
            <w:vAlign w:val="bottom"/>
          </w:tcPr>
          <w:p>
            <w:pPr>
              <w:jc w:val="right"/>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45,837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4/11/2013</w:t>
            </w:r>
          </w:p>
        </w:tc>
        <w:tc>
          <w:tcPr>
            <w:tcW w:w="680" w:type="dxa"/>
            <w:vAlign w:val="bottom"/>
          </w:tcPr>
          <w:p>
            <w:pPr>
              <w:jc w:val="right"/>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66,405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Aptean Holdings, Inc. f/k/a Consona Holdings,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12/18/2013</w:t>
            </w:r>
          </w:p>
        </w:tc>
        <w:tc>
          <w:tcPr>
            <w:tcW w:w="680" w:type="dxa"/>
            <w:vAlign w:val="bottom"/>
          </w:tcPr>
          <w:p>
            <w:pPr>
              <w:jc w:val="right"/>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41,437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PIK)</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3/2/2012</w:t>
            </w:r>
          </w:p>
        </w:tc>
        <w:tc>
          <w:tcPr>
            <w:tcW w:w="680" w:type="dxa"/>
            <w:vAlign w:val="bottom"/>
          </w:tcPr>
          <w:p>
            <w:pPr>
              <w:jc w:val="right"/>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51,817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($46,560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47,142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($29,625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29,032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F-5</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6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($42,479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($76,337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75,764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3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118,136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($71,634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($35,625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revolving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loan ($2,000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108,722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($14,813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6/2018)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($10,000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2/2020)</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($34,886 par,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bond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(GBP 7,000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10/2018)</w:t>
            </w:r>
          </w:p>
        </w:tc>
        <w:tc>
          <w:tcPr>
            <w:tcW w:w="114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11,913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72,742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($34,737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($7,483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11/2018)</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($12,000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53,302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F-6</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306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1"/>
                <w:szCs w:val="11"/>
                <w:color w:val="auto"/>
              </w:rPr>
            </w:pPr>
          </w:p>
        </w:tc>
        <w:tc>
          <w:tcPr>
            <w:tcW w:w="80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ind w:right="4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Insurance</w:t>
            </w:r>
          </w:p>
        </w:tc>
        <w:tc>
          <w:tcPr>
            <w:tcW w:w="1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($31,888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6/1/2012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31,433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31,808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revolving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($850 par,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32,646</w:t>
            </w: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Manufacturing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Jeeves Information</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 (SEK</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177,161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($35,650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11/2019)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($19,936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10/2016)</w:t>
            </w:r>
          </w:p>
        </w:tc>
        <w:tc>
          <w:tcPr>
            <w:tcW w:w="64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($40,883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9/2016)</w:t>
            </w:r>
          </w:p>
        </w:tc>
        <w:tc>
          <w:tcPr>
            <w:tcW w:w="64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Non-Voting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Preferred Units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6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6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61"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3"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hanging="452"/>
        <w:spacing w:after="0" w:line="250"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right="260" w:hanging="452"/>
        <w:spacing w:after="0" w:line="300" w:lineRule="auto"/>
        <w:tabs>
          <w:tab w:leader="none" w:pos="4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00" w:hanging="452"/>
        <w:spacing w:after="0" w:line="261"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right"/>
        <w:ind w:righ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except share amounts)</w:t>
      </w:r>
    </w:p>
    <w:p>
      <w:pPr>
        <w:sectPr>
          <w:pgSz w:w="11900" w:h="16838" w:orient="portrait"/>
          <w:cols w:equalWidth="0" w:num="1">
            <w:col w:w="11360"/>
          </w:cols>
          <w:pgMar w:left="240" w:top="460" w:right="2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8"/>
          <w:szCs w:val="18"/>
          <w:b w:val="1"/>
          <w:bCs w:val="1"/>
          <w:color w:val="auto"/>
        </w:rPr>
        <w:t>Debt Investments</w:t>
      </w:r>
    </w:p>
    <w:p>
      <w:pPr>
        <w:spacing w:after="0" w:line="97" w:lineRule="exact"/>
        <w:rPr>
          <w:sz w:val="20"/>
          <w:szCs w:val="20"/>
          <w:color w:val="auto"/>
        </w:rPr>
      </w:pPr>
    </w:p>
    <w:p>
      <w:pPr>
        <w:ind w:right="1440" w:firstLine="432"/>
        <w:spacing w:after="0" w:line="339" w:lineRule="auto"/>
        <w:rPr>
          <w:sz w:val="20"/>
          <w:szCs w:val="20"/>
          <w:color w:val="auto"/>
        </w:rPr>
      </w:pPr>
      <w:r>
        <w:rPr>
          <w:rFonts w:ascii="Arial" w:cs="Arial" w:eastAsia="Arial" w:hAnsi="Arial"/>
          <w:sz w:val="16"/>
          <w:szCs w:val="16"/>
          <w:b w:val="1"/>
          <w:bCs w:val="1"/>
          <w:color w:val="auto"/>
        </w:rPr>
        <w:t xml:space="preserve">Aerospace and defense </w:t>
      </w:r>
      <w:r>
        <w:rPr>
          <w:rFonts w:ascii="Arial" w:cs="Arial" w:eastAsia="Arial" w:hAnsi="Arial"/>
          <w:sz w:val="16"/>
          <w:szCs w:val="16"/>
          <w:color w:val="auto"/>
        </w:rPr>
        <w:t xml:space="preserve">MSC.Software Corporation </w:t>
      </w:r>
      <w:r>
        <w:rPr>
          <w:rFonts w:ascii="Arial" w:cs="Arial" w:eastAsia="Arial" w:hAnsi="Arial"/>
          <w:sz w:val="10"/>
          <w:szCs w:val="10"/>
          <w:color w:val="auto"/>
        </w:rPr>
        <w:t>(3)(4)(5)</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Automotive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Heartland Automotive Holdings, LLC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320" w:firstLine="432"/>
        <w:spacing w:after="0" w:line="378" w:lineRule="auto"/>
        <w:rPr>
          <w:sz w:val="20"/>
          <w:szCs w:val="20"/>
          <w:color w:val="auto"/>
        </w:rPr>
      </w:pPr>
      <w:r>
        <w:rPr>
          <w:rFonts w:ascii="Arial" w:cs="Arial" w:eastAsia="Arial" w:hAnsi="Arial"/>
          <w:sz w:val="15"/>
          <w:szCs w:val="15"/>
          <w:b w:val="1"/>
          <w:bCs w:val="1"/>
          <w:color w:val="auto"/>
        </w:rPr>
        <w:t xml:space="preserve">Beverage, food and tobacco </w:t>
      </w:r>
      <w:r>
        <w:rPr>
          <w:rFonts w:ascii="Arial" w:cs="Arial" w:eastAsia="Arial" w:hAnsi="Arial"/>
          <w:sz w:val="15"/>
          <w:szCs w:val="15"/>
          <w:color w:val="auto"/>
        </w:rPr>
        <w:t xml:space="preserve">AFS Technologies, Inc. </w:t>
      </w:r>
      <w:r>
        <w:rPr>
          <w:rFonts w:ascii="Arial" w:cs="Arial" w:eastAsia="Arial" w:hAnsi="Arial"/>
          <w:sz w:val="10"/>
          <w:szCs w:val="10"/>
          <w:color w:val="auto"/>
        </w:rPr>
        <w:t>(3)(4)(5)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Checkers Drive-In Restaurants, Inc. </w:t>
      </w: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Consona Holdings, Inc.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Attachmate Corporation </w:t>
      </w:r>
      <w:r>
        <w:rPr>
          <w:rFonts w:ascii="Arial" w:cs="Arial" w:eastAsia="Arial" w:hAnsi="Arial"/>
          <w:sz w:val="11"/>
          <w:szCs w:val="11"/>
          <w:color w:val="auto"/>
        </w:rPr>
        <w:t>(3)(5)</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Capital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 Signal Corporation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International Equipment Solutions, Inc.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0" w:firstLine="432"/>
        <w:spacing w:after="0" w:line="378" w:lineRule="auto"/>
        <w:rPr>
          <w:sz w:val="20"/>
          <w:szCs w:val="20"/>
          <w:color w:val="auto"/>
        </w:rPr>
      </w:pPr>
      <w:r>
        <w:rPr>
          <w:rFonts w:ascii="Arial" w:cs="Arial" w:eastAsia="Arial" w:hAnsi="Arial"/>
          <w:sz w:val="15"/>
          <w:szCs w:val="15"/>
          <w:b w:val="1"/>
          <w:bCs w:val="1"/>
          <w:color w:val="auto"/>
        </w:rPr>
        <w:t xml:space="preserve">Construction and building </w:t>
      </w:r>
      <w:r>
        <w:rPr>
          <w:rFonts w:ascii="Arial" w:cs="Arial" w:eastAsia="Arial" w:hAnsi="Arial"/>
          <w:sz w:val="15"/>
          <w:szCs w:val="15"/>
          <w:color w:val="auto"/>
        </w:rPr>
        <w:t xml:space="preserve">Mannington Mills, Inc. </w:t>
      </w: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4"/>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Cost </w:t>
            </w:r>
            <w:r>
              <w:rPr>
                <w:rFonts w:ascii="Arial" w:cs="Arial" w:eastAsia="Arial" w:hAnsi="Arial"/>
                <w:sz w:val="20"/>
                <w:szCs w:val="20"/>
                <w:b w:val="1"/>
                <w:bCs w:val="1"/>
                <w:color w:val="auto"/>
                <w:w w:val="94"/>
                <w:vertAlign w:val="superscript"/>
              </w:rPr>
              <w:t>(2)</w:t>
            </w:r>
          </w:p>
        </w:tc>
        <w:tc>
          <w:tcPr>
            <w:tcW w:w="30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-8255</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($56,266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12/23/2011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$ 55,423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$ 55,984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11.7%</w:t>
            </w:r>
          </w:p>
        </w:tc>
      </w:tr>
      <w:tr>
        <w:trPr>
          <w:trHeight w:val="534"/>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($38,951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38,075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9"/>
              </w:rPr>
              <w:t>revolving loan ($555</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par, 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($19,878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12/31/2012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58,128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58,185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($46,884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8/2015)</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8/31/2011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45,987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46,532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Second-lien bond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11/16/2012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10,025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56,004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56,557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($29,925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8/13/2012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29,514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29,925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 ($926</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par, 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6/25/2012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30,458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30,819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($41,608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40,897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43,064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($29,391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9/2016)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9/18/2012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28,732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28,876</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69,629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71,940</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Second-lien loan</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14.00%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($50,537 par,</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(incl. 2.00%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3/2017)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PIK)</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49,551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53,190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365"/>
        </w:trPr>
        <w:tc>
          <w:tcPr>
            <w:tcW w:w="1640" w:type="dxa"/>
            <w:vAlign w:val="bottom"/>
          </w:tcPr>
          <w:p>
            <w:pPr>
              <w:ind w:left="1060"/>
              <w:spacing w:after="0"/>
              <w:rPr>
                <w:sz w:val="20"/>
                <w:szCs w:val="20"/>
                <w:color w:val="auto"/>
              </w:rPr>
            </w:pPr>
            <w:r>
              <w:rPr>
                <w:rFonts w:ascii="Arial" w:cs="Arial" w:eastAsia="Arial" w:hAnsi="Arial"/>
                <w:sz w:val="18"/>
                <w:szCs w:val="18"/>
                <w:color w:val="auto"/>
              </w:rPr>
              <w:t>F-9</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-6403975</wp:posOffset>
            </wp:positionV>
            <wp:extent cx="7246620" cy="411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-5786755</wp:posOffset>
            </wp:positionV>
            <wp:extent cx="7246620" cy="411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-4826000</wp:posOffset>
            </wp:positionV>
            <wp:extent cx="7246620" cy="411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-4243070</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-3625850</wp:posOffset>
            </wp:positionV>
            <wp:extent cx="7246620" cy="411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-3042285</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-2425065</wp:posOffset>
            </wp:positionV>
            <wp:extent cx="7246620" cy="274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-1979295</wp:posOffset>
            </wp:positionV>
            <wp:extent cx="72466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-1361440</wp:posOffset>
            </wp:positionV>
            <wp:extent cx="7246620" cy="411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-778510</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820" w:space="720"/>
            <w:col w:w="6820"/>
          </w:cols>
          <w:pgMar w:left="240" w:top="460" w:right="29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Initial</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920" w:type="dxa"/>
            <w:vAlign w:val="bottom"/>
            <w:gridSpan w:val="3"/>
            <w:vMerge w:val="continue"/>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Environmental Services</w:t>
            </w: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Synagro Technologies, Inc. </w:t>
            </w:r>
            <w:r>
              <w:rPr>
                <w:rFonts w:ascii="Arial" w:cs="Arial" w:eastAsia="Arial" w:hAnsi="Arial"/>
                <w:sz w:val="11"/>
                <w:szCs w:val="11"/>
                <w:color w:val="auto"/>
              </w:rPr>
              <w:t>(3)</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($3,134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10/2014)</w:t>
            </w: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2,813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9/14/2012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4,330</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Financial services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($59,714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58,223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58,221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11/21/2012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97,170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97,821</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eResearch Technology, Inc.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($24,937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7/3/2012</w:t>
            </w:r>
          </w:p>
        </w:tc>
        <w:tc>
          <w:tcPr>
            <w:tcW w:w="620" w:type="dxa"/>
            <w:vAlign w:val="bottom"/>
          </w:tcPr>
          <w:p>
            <w:pPr>
              <w:jc w:val="right"/>
              <w:spacing w:after="0"/>
              <w:rPr>
                <w:sz w:val="20"/>
                <w:szCs w:val="20"/>
                <w:color w:val="auto"/>
              </w:rPr>
            </w:pPr>
            <w:r>
              <w:rPr>
                <w:rFonts w:ascii="Arial" w:cs="Arial" w:eastAsia="Arial" w:hAnsi="Arial"/>
                <w:sz w:val="18"/>
                <w:szCs w:val="18"/>
                <w:color w:val="auto"/>
              </w:rPr>
              <w:t>24,006</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24,626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($50,500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5/2018)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11/9/2012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49,218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16"/>
        </w:trPr>
        <w:tc>
          <w:tcPr>
            <w:tcW w:w="3920" w:type="dxa"/>
            <w:vAlign w:val="bottom"/>
            <w:gridSpan w:val="3"/>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($37,500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36,439</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36,563</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109,675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110,407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($28,414 par,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(incl. 4.00%</w:t>
            </w: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4/12/2012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28,556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($5,000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tcPr>
          <w:p>
            <w:pPr>
              <w:jc w:val="right"/>
              <w:spacing w:after="0"/>
              <w:rPr>
                <w:sz w:val="20"/>
                <w:szCs w:val="20"/>
                <w:color w:val="auto"/>
              </w:rPr>
            </w:pPr>
            <w:r>
              <w:rPr>
                <w:rFonts w:ascii="Arial" w:cs="Arial" w:eastAsia="Arial" w:hAnsi="Arial"/>
                <w:sz w:val="18"/>
                <w:szCs w:val="18"/>
                <w:color w:val="auto"/>
              </w:rPr>
              <w:t>4,950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4,925</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Insurance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($30,613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30,346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Office products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($21,562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10/17/2011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Transportation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Teletrac,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7/23/2012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642,421</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651,944</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F-10</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64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spacing w:after="0"/>
              <w:rPr>
                <w:sz w:val="15"/>
                <w:szCs w:val="15"/>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Investments</w:t>
            </w:r>
          </w:p>
        </w:tc>
        <w:tc>
          <w:tcPr>
            <w:tcW w:w="5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Class 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(1,980 shares)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12/28/2012</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16"/>
        </w:trPr>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Class B</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(2,953,020 shares)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644,421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spacing w:after="0" w:line="1"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8,386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56,857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26,438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(48,301)</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(26,997)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(7,084)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660"/>
              <w:spacing w:after="0"/>
              <w:rPr>
                <w:sz w:val="20"/>
                <w:szCs w:val="20"/>
                <w:color w:val="auto"/>
              </w:rPr>
            </w:pPr>
            <w:r>
              <w:rPr>
                <w:rFonts w:ascii="Arial" w:cs="Arial" w:eastAsia="Arial" w:hAnsi="Arial"/>
                <w:sz w:val="18"/>
                <w:szCs w:val="18"/>
                <w:b w:val="1"/>
                <w:bCs w:val="1"/>
                <w:color w:val="auto"/>
              </w:rPr>
              <w:t>Transactions</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94,893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574,696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20"/>
              <w:spacing w:after="0"/>
              <w:rPr>
                <w:sz w:val="20"/>
                <w:szCs w:val="20"/>
                <w:color w:val="auto"/>
              </w:rPr>
            </w:pPr>
            <w:r>
              <w:rPr>
                <w:rFonts w:ascii="Arial" w:cs="Arial" w:eastAsia="Arial" w:hAnsi="Arial"/>
                <w:sz w:val="18"/>
                <w:szCs w:val="18"/>
                <w:b w:val="1"/>
                <w:bCs w:val="1"/>
                <w:color w:val="auto"/>
              </w:rPr>
              <w:t>End of the Period</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66,983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39,595</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increase in net assets resulting from operations to</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(9,630)</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loss on foreign currency forward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(4,355)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foreign currency forward contracts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(6,728)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(602,988)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(760,668)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46,390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214,293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190,594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(6,292)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(289,631)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(430,099)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902,000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1,332,688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(801,569)</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(1,155,852)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56,857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287,692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(24,396)</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(10,968)</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131,277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(158,354)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18,133</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161,825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3,471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161,825</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8,792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Excise taxes paid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Dividends declared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55,385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29,770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26,438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1,870</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78" w:lineRule="exact"/>
        <w:rPr>
          <w:sz w:val="20"/>
          <w:szCs w:val="20"/>
          <w:color w:val="auto"/>
        </w:rPr>
      </w:pPr>
    </w:p>
    <w:p>
      <w:pPr>
        <w:ind w:right="8220" w:firstLine="8"/>
        <w:spacing w:after="0" w:line="347" w:lineRule="auto"/>
        <w:tabs>
          <w:tab w:leader="none" w:pos="176"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February 18, 2014, we filed a registration statement on Form N-2 (File No. 333-193986) with the Securities and Exchange Commission related to an initial public offering of the Company’s common stock. The timing of the Company’s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218" w:lineRule="exact"/>
        <w:rPr>
          <w:sz w:val="20"/>
          <w:szCs w:val="20"/>
          <w:color w:val="auto"/>
        </w:rPr>
      </w:pPr>
    </w:p>
    <w:p>
      <w:pPr>
        <w:ind w:right="8840" w:firstLine="8"/>
        <w:spacing w:after="0" w:line="347" w:lineRule="auto"/>
        <w:tabs>
          <w:tab w:leader="none" w:pos="17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60" w:right="3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40" w:hanging="325"/>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jc w:val="right"/>
        <w:ind w:right="5580"/>
        <w:spacing w:after="0"/>
        <w:rPr>
          <w:sz w:val="20"/>
          <w:szCs w:val="20"/>
          <w:color w:val="auto"/>
        </w:rPr>
      </w:pPr>
      <w:r>
        <w:rPr>
          <w:rFonts w:ascii="Arial" w:cs="Arial" w:eastAsia="Arial" w:hAnsi="Arial"/>
          <w:sz w:val="16"/>
          <w:szCs w:val="16"/>
          <w:color w:val="auto"/>
        </w:rPr>
        <w:t>The Company currently conducts this valuation process on a quarterly basis.</w:t>
      </w:r>
    </w:p>
    <w:p>
      <w:pPr>
        <w:spacing w:after="0" w:line="181"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18" w:lineRule="auto"/>
        <w:rPr>
          <w:sz w:val="20"/>
          <w:szCs w:val="20"/>
          <w:color w:val="auto"/>
        </w:rPr>
      </w:pPr>
      <w:r>
        <w:rPr>
          <w:rFonts w:ascii="Arial" w:cs="Arial" w:eastAsia="Arial" w:hAnsi="Arial"/>
          <w:sz w:val="15"/>
          <w:szCs w:val="15"/>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2011, the Financial Accounting Standards Board (“FASB”) issued Accounting Standards Update No. 2011-11 (“ASU 2011-11”),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Offsetting Assets and Liabilities</w:t>
      </w:r>
      <w:r>
        <w:rPr>
          <w:rFonts w:ascii="Arial" w:cs="Arial" w:eastAsia="Arial" w:hAnsi="Arial"/>
          <w:sz w:val="18"/>
          <w:szCs w:val="18"/>
          <w:color w:val="auto"/>
        </w:rPr>
        <w:t>,” which requires entities to disclose information about offsetting and related arrangements to enable users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understand the effect of those arrangements on the statement of assets and liabilities. In January 2013, the FASB issued Accounting Standards Update No. 2013-01 (“ASU 2013-01”),“</w:t>
      </w:r>
      <w:r>
        <w:rPr>
          <w:rFonts w:ascii="Arial" w:cs="Arial" w:eastAsia="Arial" w:hAnsi="Arial"/>
          <w:sz w:val="18"/>
          <w:szCs w:val="18"/>
          <w:i w:val="1"/>
          <w:iCs w:val="1"/>
          <w:color w:val="auto"/>
        </w:rPr>
        <w:t>Clarifying the Scope of Disclosures about Offsetting Assets and Liabilities,</w:t>
      </w:r>
      <w:r>
        <w:rPr>
          <w:rFonts w:ascii="Arial" w:cs="Arial" w:eastAsia="Arial" w:hAnsi="Arial"/>
          <w:sz w:val="18"/>
          <w:szCs w:val="18"/>
          <w:color w:val="auto"/>
        </w:rPr>
        <w:t>” which clarified the types of instruments and transactions that are subject to the disclosure requirements established by ASU 2011-11. The Company’s adoption of ASU 2011-11 and ASU 2013-01 did not have a significant impact on the Company’s financial statements. See Note 5 for additional disclosure resulting from the adoption of ASU 2011-11 and ASU 2013-01.</w:t>
      </w:r>
    </w:p>
    <w:p>
      <w:pPr>
        <w:spacing w:after="0" w:line="222" w:lineRule="exact"/>
        <w:rPr>
          <w:sz w:val="20"/>
          <w:szCs w:val="20"/>
          <w:color w:val="auto"/>
        </w:rPr>
      </w:pPr>
    </w:p>
    <w:p>
      <w:pPr>
        <w:ind w:right="7900" w:firstLine="8"/>
        <w:spacing w:after="0" w:line="347" w:lineRule="auto"/>
        <w:tabs>
          <w:tab w:leader="none" w:pos="176"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were $13.4 million, $8.9 million, and $1.6 million, respectively.</w:t>
      </w:r>
    </w:p>
    <w:p>
      <w:pPr>
        <w:spacing w:after="0" w:line="19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years ended December 31, 2013, 2012, and 2011, Management Fees of $7.1 million, $3.7 million, and $7 thousand, respectively, were waived. Any waived Management Fees are not subject to recoupment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180" w:hanging="446"/>
        <w:spacing w:after="0" w:line="291"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15% of the total pre-Incentive Fee net investment income for that quarter (17.5% subsequent to an IPO) and, for pre-Incentive Fee net 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0"/>
        <w:spacing w:after="0" w:line="332" w:lineRule="auto"/>
        <w:rPr>
          <w:sz w:val="20"/>
          <w:szCs w:val="20"/>
          <w:color w:val="auto"/>
        </w:rPr>
      </w:pPr>
      <w:r>
        <w:rPr>
          <w:rFonts w:ascii="Arial" w:cs="Arial" w:eastAsia="Arial" w:hAnsi="Arial"/>
          <w:sz w:val="16"/>
          <w:szCs w:val="16"/>
          <w:color w:val="auto"/>
        </w:rPr>
        <w:t>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4" w:lineRule="exact"/>
        <w:rPr>
          <w:sz w:val="20"/>
          <w:szCs w:val="20"/>
          <w:color w:val="auto"/>
        </w:rPr>
      </w:pPr>
    </w:p>
    <w:p>
      <w:pPr>
        <w:ind w:left="92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right="20" w:hanging="446"/>
        <w:spacing w:after="0" w:line="287"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payment terms. Expenses incurred by the Adviser on behalf of the Company for the years ended December 31, 2013, 2012 and 2011, were $5.0 million, $3.8 million and $2.3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131,082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137,482</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1,805</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997,298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2012</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67,332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644,421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right="180" w:hanging="567"/>
        <w:spacing w:after="0" w:line="268" w:lineRule="auto"/>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20"/>
          </w:cols>
          <w:pgMar w:left="240" w:top="459"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December 31, 2013</w:t>
            </w:r>
          </w:p>
        </w:tc>
        <w:tc>
          <w:tcPr>
            <w:tcW w:w="1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Automotive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Business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Education</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Financial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Insurance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Metals and mining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40" w:type="dxa"/>
            <w:vAlign w:val="bottom"/>
            <w:gridSpan w:val="4"/>
          </w:tcPr>
          <w:p>
            <w:pPr>
              <w:jc w:val="right"/>
              <w:ind w:right="1500"/>
              <w:spacing w:after="0"/>
              <w:rPr>
                <w:sz w:val="20"/>
                <w:szCs w:val="20"/>
                <w:color w:val="auto"/>
              </w:rPr>
            </w:pPr>
            <w:r>
              <w:rPr>
                <w:rFonts w:ascii="Arial" w:cs="Arial" w:eastAsia="Arial" w:hAnsi="Arial"/>
                <w:sz w:val="18"/>
                <w:szCs w:val="18"/>
                <w:color w:val="auto"/>
                <w:w w:val="88"/>
              </w:rPr>
              <w:t>The geographic composition of Investments at fair value at December 31, 2013 and 2012 is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2"/>
              </w:rPr>
              <w:t>December 31, 2013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South</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Europe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980" w:firstLine="8"/>
        <w:spacing w:after="0" w:line="391" w:lineRule="auto"/>
        <w:tabs>
          <w:tab w:leader="none" w:pos="176"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Foreign Currency Forward Contracts</w:t>
            </w: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Amount (in ‘000s)</w:t>
            </w:r>
          </w:p>
        </w:tc>
        <w:tc>
          <w:tcPr>
            <w:tcW w:w="14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USD Value at</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Financial</w:t>
            </w:r>
          </w:p>
        </w:tc>
        <w:tc>
          <w:tcPr>
            <w:tcW w:w="0" w:type="dxa"/>
            <w:vAlign w:val="bottom"/>
          </w:tcPr>
          <w:p>
            <w:pPr>
              <w:spacing w:after="0"/>
              <w:rPr>
                <w:sz w:val="1"/>
                <w:szCs w:val="1"/>
                <w:color w:val="auto"/>
              </w:rPr>
            </w:pPr>
          </w:p>
        </w:tc>
      </w:tr>
      <w:tr>
        <w:trPr>
          <w:trHeight w:val="168"/>
        </w:trPr>
        <w:tc>
          <w:tcPr>
            <w:tcW w:w="2260" w:type="dxa"/>
            <w:vAlign w:val="bottom"/>
            <w:tcBorders>
              <w:bottom w:val="single" w:sz="8" w:color="auto"/>
            </w:tcBorders>
            <w:vMerge w:val="continue"/>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8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20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January 24, 2014</w:t>
            </w: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188,672 sold</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(28,440)</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7"/>
              </w:rPr>
              <w:t>(29,366)</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British Pound (GBP)</w:t>
            </w:r>
          </w:p>
        </w:tc>
        <w:tc>
          <w:tcPr>
            <w:tcW w:w="20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January 24, 2014</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(39,714)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07" w:lineRule="exact"/>
        <w:rPr>
          <w:sz w:val="20"/>
          <w:szCs w:val="20"/>
          <w:color w:val="auto"/>
        </w:rPr>
      </w:pPr>
    </w:p>
    <w:p>
      <w:pPr>
        <w:ind w:right="8560" w:firstLine="8"/>
        <w:spacing w:after="0" w:line="347" w:lineRule="auto"/>
        <w:tabs>
          <w:tab w:leader="none" w:pos="176"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2013 and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60" w:type="dxa"/>
            <w:vAlign w:val="bottom"/>
            <w:gridSpan w:val="11"/>
          </w:tcPr>
          <w:p>
            <w:pPr>
              <w:ind w:left="360"/>
              <w:spacing w:after="0"/>
              <w:rPr>
                <w:sz w:val="20"/>
                <w:szCs w:val="20"/>
                <w:color w:val="auto"/>
              </w:rPr>
            </w:pPr>
            <w:r>
              <w:rPr>
                <w:rFonts w:ascii="Arial" w:cs="Arial" w:eastAsia="Arial" w:hAnsi="Arial"/>
                <w:sz w:val="14"/>
                <w:szCs w:val="14"/>
                <w:b w:val="1"/>
                <w:bCs w:val="1"/>
                <w:color w:val="auto"/>
              </w:rPr>
              <w:t>Fair Value Hierarchy at December 31, 2013</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$854,972</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560"/>
              <w:spacing w:after="0"/>
              <w:rPr>
                <w:sz w:val="20"/>
                <w:szCs w:val="20"/>
                <w:color w:val="auto"/>
              </w:rPr>
            </w:pPr>
            <w:r>
              <w:rPr>
                <w:rFonts w:ascii="Arial" w:cs="Arial" w:eastAsia="Arial" w:hAnsi="Arial"/>
                <w:sz w:val="18"/>
                <w:szCs w:val="18"/>
                <w:color w:val="auto"/>
              </w:rPr>
              <w:t>33,952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103,530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1,016,451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(1,244)</w:t>
            </w: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1,015,207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88"/>
              </w:rPr>
              <w:t>Fair Value Hierarchy at December 31, 2012</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Level 2</w:t>
            </w:r>
          </w:p>
        </w:tc>
        <w:tc>
          <w:tcPr>
            <w:tcW w:w="11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$582,287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16,467</w:t>
            </w:r>
          </w:p>
        </w:tc>
        <w:tc>
          <w:tcPr>
            <w:tcW w:w="56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53,190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00" w:type="dxa"/>
            <w:vAlign w:val="bottom"/>
            <w:tcBorders>
              <w:right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5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00" w:type="dxa"/>
            <w:vAlign w:val="bottom"/>
            <w:gridSpan w:val="3"/>
          </w:tcPr>
          <w:p>
            <w:pPr>
              <w:jc w:val="right"/>
              <w:ind w:right="1234"/>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2013</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$ 854,972</w:t>
            </w:r>
          </w:p>
        </w:tc>
        <w:tc>
          <w:tcPr>
            <w:tcW w:w="5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$ 103,530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$ 960,307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2012</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(179,800)</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100</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$ 514,104</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53,190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7"/>
              </w:rPr>
              <w:t>Net Change in Unrealized</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440" w:type="dxa"/>
            <w:vAlign w:val="bottom"/>
          </w:tcPr>
          <w:p>
            <w:pPr>
              <w:spacing w:after="0"/>
              <w:rPr>
                <w:sz w:val="12"/>
                <w:szCs w:val="12"/>
                <w:color w:val="auto"/>
              </w:rPr>
            </w:pPr>
          </w:p>
        </w:tc>
        <w:tc>
          <w:tcPr>
            <w:tcW w:w="3360" w:type="dxa"/>
            <w:vAlign w:val="bottom"/>
            <w:gridSpan w:val="3"/>
          </w:tcPr>
          <w:p>
            <w:pPr>
              <w:jc w:val="center"/>
              <w:ind w:right="168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December 31, 2013 on</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 2012 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5"/>
              </w:rPr>
              <w:t>December 31, 2013</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3260" w:type="dxa"/>
            <w:vAlign w:val="bottom"/>
            <w:gridSpan w:val="2"/>
          </w:tcPr>
          <w:p>
            <w:pPr>
              <w:jc w:val="right"/>
              <w:ind w:right="162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December 31, 2013</w:t>
            </w:r>
          </w:p>
        </w:tc>
        <w:tc>
          <w:tcPr>
            <w:tcW w:w="1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Valuation</w:t>
            </w: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w:t>
            </w: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Input</w:t>
            </w: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854,972</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w w:val="85"/>
              </w:rPr>
              <w:t>Income Approach</w:t>
            </w:r>
          </w:p>
        </w:tc>
        <w:tc>
          <w:tcPr>
            <w:tcW w:w="5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Market Yield</w:t>
            </w:r>
          </w:p>
        </w:tc>
        <w:tc>
          <w:tcPr>
            <w:tcW w:w="40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5.50% — 13.12%(9.81%)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103,530</w:t>
            </w: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Market Yield</w:t>
            </w:r>
          </w:p>
        </w:tc>
        <w:tc>
          <w:tcPr>
            <w:tcW w:w="2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9.32% —9.87%(9.59%)</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8"/>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Weighted Average</w:t>
            </w: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1,805</w:t>
            </w:r>
          </w:p>
        </w:tc>
        <w:tc>
          <w:tcPr>
            <w:tcW w:w="1920" w:type="dxa"/>
            <w:vAlign w:val="bottom"/>
            <w:gridSpan w:val="2"/>
          </w:tcPr>
          <w:p>
            <w:pPr>
              <w:ind w:left="400"/>
              <w:spacing w:after="0"/>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rPr>
                <w:sz w:val="20"/>
                <w:szCs w:val="20"/>
                <w:color w:val="auto"/>
              </w:rPr>
            </w:pPr>
            <w:r>
              <w:rPr>
                <w:rFonts w:ascii="Arial" w:cs="Arial" w:eastAsia="Arial" w:hAnsi="Arial"/>
                <w:sz w:val="14"/>
                <w:szCs w:val="14"/>
                <w:color w:val="auto"/>
              </w:rPr>
              <w:t>Cost of Capital (WACC)</w:t>
            </w:r>
          </w:p>
        </w:tc>
        <w:tc>
          <w:tcPr>
            <w:tcW w:w="2160" w:type="dxa"/>
            <w:vAlign w:val="bottom"/>
            <w:gridSpan w:val="2"/>
          </w:tcPr>
          <w:p>
            <w:pPr>
              <w:jc w:val="right"/>
              <w:ind w:right="420"/>
              <w:spacing w:after="0"/>
              <w:rPr>
                <w:sz w:val="20"/>
                <w:szCs w:val="20"/>
                <w:color w:val="auto"/>
              </w:rPr>
            </w:pPr>
            <w:r>
              <w:rPr>
                <w:rFonts w:ascii="Arial" w:cs="Arial" w:eastAsia="Arial" w:hAnsi="Arial"/>
                <w:sz w:val="14"/>
                <w:szCs w:val="14"/>
                <w:color w:val="auto"/>
              </w:rPr>
              <w:t>12.1% — 15.3%(14.0%)</w:t>
            </w:r>
          </w:p>
        </w:tc>
        <w:tc>
          <w:tcPr>
            <w:tcW w:w="1440" w:type="dxa"/>
            <w:vAlign w:val="bottom"/>
            <w:gridSpan w:val="2"/>
          </w:tcPr>
          <w:p>
            <w:pPr>
              <w:ind w:left="860"/>
              <w:spacing w:after="0"/>
              <w:rPr>
                <w:sz w:val="20"/>
                <w:szCs w:val="20"/>
                <w:color w:val="auto"/>
              </w:rPr>
            </w:pPr>
            <w:r>
              <w:rPr>
                <w:rFonts w:ascii="Arial" w:cs="Arial" w:eastAsia="Arial" w:hAnsi="Arial"/>
                <w:sz w:val="14"/>
                <w:szCs w:val="14"/>
                <w:color w:val="auto"/>
                <w:w w:val="93"/>
              </w:rPr>
              <w:t>Decrease</w:t>
            </w:r>
          </w:p>
        </w:tc>
      </w:tr>
      <w:tr>
        <w:trPr>
          <w:trHeight w:val="203"/>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30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9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December 31, 2012</w:t>
            </w:r>
          </w:p>
        </w:tc>
        <w:tc>
          <w:tcPr>
            <w:tcW w:w="17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Valuation</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w:t>
            </w: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Unobservable Input</w:t>
            </w: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514,104</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9"/>
              </w:rPr>
              <w:t>Income Approach (1)</w:t>
            </w:r>
          </w:p>
        </w:tc>
        <w:tc>
          <w:tcPr>
            <w:tcW w:w="5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Market Yield</w:t>
            </w:r>
          </w:p>
        </w:tc>
        <w:tc>
          <w:tcPr>
            <w:tcW w:w="40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 - 11.29% (9.71%)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53,190</w:t>
            </w: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Market Yield</w:t>
            </w:r>
          </w:p>
        </w:tc>
        <w:tc>
          <w:tcPr>
            <w:tcW w:w="2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10.78% -10.78% (10.78%)</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4"/>
        </w:trPr>
        <w:tc>
          <w:tcPr>
            <w:tcW w:w="3080" w:type="dxa"/>
            <w:vAlign w:val="bottom"/>
          </w:tcPr>
          <w:p>
            <w:pPr>
              <w:spacing w:after="0" w:line="154" w:lineRule="exact"/>
              <w:rPr>
                <w:sz w:val="20"/>
                <w:szCs w:val="20"/>
                <w:color w:val="auto"/>
              </w:rPr>
            </w:pPr>
            <w:r>
              <w:rPr>
                <w:rFonts w:ascii="Arial" w:cs="Arial" w:eastAsia="Arial" w:hAnsi="Arial"/>
                <w:sz w:val="14"/>
                <w:szCs w:val="14"/>
                <w:color w:val="auto"/>
              </w:rPr>
              <w:t>Equity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2,000</w:t>
            </w:r>
          </w:p>
        </w:tc>
        <w:tc>
          <w:tcPr>
            <w:tcW w:w="1920" w:type="dxa"/>
            <w:vAlign w:val="bottom"/>
            <w:gridSpan w:val="2"/>
          </w:tcPr>
          <w:p>
            <w:pPr>
              <w:ind w:left="380"/>
              <w:spacing w:after="0" w:line="154" w:lineRule="exact"/>
              <w:rPr>
                <w:sz w:val="20"/>
                <w:szCs w:val="20"/>
                <w:color w:val="auto"/>
              </w:rPr>
            </w:pPr>
            <w:r>
              <w:rPr>
                <w:rFonts w:ascii="Arial" w:cs="Arial" w:eastAsia="Arial" w:hAnsi="Arial"/>
                <w:sz w:val="14"/>
                <w:szCs w:val="14"/>
                <w:color w:val="auto"/>
              </w:rPr>
              <w:t>Market Approach (2)</w:t>
            </w: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ind w:left="460" w:right="220" w:hanging="452"/>
        <w:spacing w:after="0" w:line="246"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Company’s Level 3 equity investments, multiples of similar companies’ revenues, earnings before income taxes, depreciation and amortization (“EBITDA”) or some combination thereof and comparable market transactions are typically used.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600,000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$ 432,267</w:t>
            </w:r>
          </w:p>
        </w:tc>
        <w:tc>
          <w:tcPr>
            <w:tcW w:w="7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$ 145,500</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66,836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550,000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$ 331,836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500" w:firstLine="453"/>
        <w:spacing w:after="0" w:line="516" w:lineRule="auto"/>
        <w:tabs>
          <w:tab w:leader="none" w:pos="147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amount available considers any limitations related to the respective debt facilities’ borrowing bases. For the years ended December 31, 2013, 2012 and 2011, the components of interest expense were as follows:</w:t>
      </w:r>
    </w:p>
    <w:tbl>
      <w:tblPr>
        <w:tblLayout w:type="fixed"/>
        <w:tblInd w:w="920" w:type="dxa"/>
        <w:tblCellMar>
          <w:top w:w="0" w:type="dxa"/>
          <w:left w:w="0" w:type="dxa"/>
          <w:bottom w:w="0" w:type="dxa"/>
          <w:right w:w="0" w:type="dxa"/>
        </w:tblCellMar>
      </w:tblPr>
      <w:tr>
        <w:trPr>
          <w:trHeight w:val="150"/>
        </w:trPr>
        <w:tc>
          <w:tcPr>
            <w:tcW w:w="3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820"/>
              <w:spacing w:after="0" w:line="150" w:lineRule="exact"/>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tcPr>
          <w:p>
            <w:pPr>
              <w:jc w:val="right"/>
              <w:ind w:right="1260"/>
              <w:spacing w:after="0" w:line="150"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line="150" w:lineRule="exact"/>
              <w:rPr>
                <w:sz w:val="20"/>
                <w:szCs w:val="20"/>
                <w:color w:val="auto"/>
              </w:rPr>
            </w:pPr>
            <w:r>
              <w:rPr>
                <w:rFonts w:ascii="Arial" w:cs="Arial" w:eastAsia="Arial" w:hAnsi="Arial"/>
                <w:sz w:val="14"/>
                <w:szCs w:val="14"/>
                <w:b w:val="1"/>
                <w:bCs w:val="1"/>
                <w:color w:val="auto"/>
                <w:w w:val="93"/>
              </w:rPr>
              <w:t>Year Ended</w:t>
            </w:r>
          </w:p>
        </w:tc>
      </w:tr>
      <w:tr>
        <w:trPr>
          <w:trHeight w:val="16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2011</w:t>
            </w:r>
          </w:p>
        </w:tc>
      </w:tr>
      <w:tr>
        <w:trPr>
          <w:trHeight w:val="210"/>
        </w:trPr>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Commitment fees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10,469</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6,020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266.1</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356"/>
        </w:trPr>
        <w:tc>
          <w:tcPr>
            <w:tcW w:w="3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20" w:firstLine="8"/>
        <w:spacing w:after="0" w:line="417" w:lineRule="auto"/>
        <w:tabs>
          <w:tab w:leader="none" w:pos="176"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4"/>
              </w:rPr>
              <w:t>December 31, 2013</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2012</w:t>
            </w: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54,974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2013 and 2012, the Company had $1.5 billion and $1.4 billion, respectively, in total capital commitments from investors ($1.0 billion and $0.9 billion unfunded, respectively). Of these amounts, $117.1 million and $114.1 million, respectively, is from the Adviser and its affiliates ($76.7 million and $76.6 million unfunded, respectively). These unfunded commitments will no longer remain in effect following the completion of an initial public offering of the Company’s common stock. See Note 1.</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2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4"/>
                <w:szCs w:val="14"/>
                <w:b w:val="1"/>
                <w:bCs w:val="1"/>
                <w:color w:val="auto"/>
                <w:w w:val="91"/>
              </w:rPr>
              <w:t>December 31, 2013</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40" w:type="dxa"/>
            <w:vAlign w:val="bottom"/>
            <w:gridSpan w:val="3"/>
          </w:tcPr>
          <w:p>
            <w:pPr>
              <w:jc w:val="center"/>
              <w:ind w:right="92"/>
              <w:spacing w:after="0" w:line="115" w:lineRule="exact"/>
              <w:rPr>
                <w:sz w:val="20"/>
                <w:szCs w:val="20"/>
                <w:color w:val="auto"/>
              </w:rPr>
            </w:pPr>
            <w:r>
              <w:rPr>
                <w:rFonts w:ascii="Arial" w:cs="Arial" w:eastAsia="Arial" w:hAnsi="Arial"/>
                <w:sz w:val="12"/>
                <w:szCs w:val="12"/>
                <w:b w:val="1"/>
                <w:bCs w:val="1"/>
                <w:color w:val="auto"/>
                <w:w w:val="95"/>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3"/>
          </w:tcPr>
          <w:p>
            <w:pPr>
              <w:jc w:val="right"/>
              <w:ind w:right="27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4"/>
              </w:rPr>
              <w:t>2,079,224</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September 26, 2013</w:t>
            </w:r>
          </w:p>
        </w:tc>
        <w:tc>
          <w:tcPr>
            <w:tcW w:w="2380" w:type="dxa"/>
            <w:vAlign w:val="bottom"/>
          </w:tcPr>
          <w:p>
            <w:pPr>
              <w:spacing w:after="0"/>
              <w:rPr>
                <w:sz w:val="19"/>
                <w:szCs w:val="19"/>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84"/>
              </w:rPr>
              <w:t>1,633,829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4"/>
              </w:rPr>
              <w:t>3,713,053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248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February 22,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May 31,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September 26,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1"/>
                <w:szCs w:val="11"/>
                <w:color w:val="auto"/>
              </w:rPr>
              <w:t>(2)</w:t>
            </w:r>
          </w:p>
        </w:tc>
        <w:tc>
          <w:tcPr>
            <w:tcW w:w="2480" w:type="dxa"/>
            <w:vAlign w:val="bottom"/>
            <w:gridSpan w:val="2"/>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480" w:type="dxa"/>
            <w:vAlign w:val="bottom"/>
            <w:gridSpan w:val="2"/>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3320" w:type="dxa"/>
            <w:vAlign w:val="bottom"/>
            <w:gridSpan w:val="4"/>
          </w:tcPr>
          <w:p>
            <w:pPr>
              <w:jc w:val="right"/>
              <w:ind w:right="2012"/>
              <w:spacing w:after="0"/>
              <w:rPr>
                <w:sz w:val="20"/>
                <w:szCs w:val="20"/>
                <w:color w:val="auto"/>
              </w:rPr>
            </w:pPr>
            <w:r>
              <w:rPr>
                <w:rFonts w:ascii="Arial" w:cs="Arial" w:eastAsia="Arial" w:hAnsi="Arial"/>
                <w:sz w:val="18"/>
                <w:szCs w:val="18"/>
                <w:color w:val="auto"/>
              </w:rPr>
              <w:t>F-31</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right="280" w:hanging="440"/>
        <w:spacing w:after="0" w:line="254" w:lineRule="auto"/>
        <w:tabs>
          <w:tab w:leader="none" w:pos="1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ind w:left="1920" w:right="720" w:hanging="440"/>
        <w:spacing w:after="0" w:line="261" w:lineRule="auto"/>
        <w:tabs>
          <w:tab w:leader="none" w:pos="1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3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87"/>
              </w:rPr>
              <w:t>December 31,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xml:space="preserve">Shares Issued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08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rPr>
              <w:t>Record Date</w:t>
            </w:r>
          </w:p>
        </w:tc>
        <w:tc>
          <w:tcPr>
            <w:tcW w:w="254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4"/>
              </w:rPr>
              <w:t>Shares Issued</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December 31, 2012</w:t>
            </w:r>
          </w:p>
        </w:tc>
        <w:tc>
          <w:tcPr>
            <w:tcW w:w="5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1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rPr>
              <w:t>May 7, 2013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5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6, 2013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September 30,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November 5, 2013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line="268"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ind w:right="1260"/>
              <w:spacing w:after="0"/>
              <w:rPr>
                <w:sz w:val="20"/>
                <w:szCs w:val="20"/>
                <w:color w:val="auto"/>
              </w:rPr>
            </w:pPr>
            <w:r>
              <w:rPr>
                <w:rFonts w:ascii="Arial" w:cs="Arial" w:eastAsia="Arial" w:hAnsi="Arial"/>
                <w:sz w:val="14"/>
                <w:szCs w:val="14"/>
                <w:b w:val="1"/>
                <w:bCs w:val="1"/>
                <w:color w:val="auto"/>
              </w:rPr>
              <w:t>December 31, 2012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2040" w:type="dxa"/>
            <w:vAlign w:val="bottom"/>
            <w:gridSpan w:val="2"/>
          </w:tcPr>
          <w:p>
            <w:pPr>
              <w:jc w:val="right"/>
              <w:ind w:right="940"/>
              <w:spacing w:after="0" w:line="129" w:lineRule="exact"/>
              <w:rPr>
                <w:sz w:val="20"/>
                <w:szCs w:val="20"/>
                <w:color w:val="auto"/>
              </w:rPr>
            </w:pPr>
            <w:r>
              <w:rPr>
                <w:rFonts w:ascii="Arial" w:cs="Arial" w:eastAsia="Arial" w:hAnsi="Arial"/>
                <w:sz w:val="14"/>
                <w:szCs w:val="14"/>
                <w:b w:val="1"/>
                <w:bCs w:val="1"/>
                <w:color w:val="auto"/>
              </w:rPr>
              <w:t>Record Date</w:t>
            </w:r>
          </w:p>
        </w:tc>
        <w:tc>
          <w:tcPr>
            <w:tcW w:w="2600" w:type="dxa"/>
            <w:vAlign w:val="bottom"/>
            <w:gridSpan w:val="2"/>
          </w:tcPr>
          <w:p>
            <w:pPr>
              <w:jc w:val="right"/>
              <w:ind w:right="1300"/>
              <w:spacing w:after="0" w:line="129" w:lineRule="exact"/>
              <w:rPr>
                <w:sz w:val="20"/>
                <w:szCs w:val="20"/>
                <w:color w:val="auto"/>
              </w:rPr>
            </w:pPr>
            <w:r>
              <w:rPr>
                <w:rFonts w:ascii="Arial" w:cs="Arial" w:eastAsia="Arial" w:hAnsi="Arial"/>
                <w:sz w:val="14"/>
                <w:szCs w:val="14"/>
                <w:b w:val="1"/>
                <w:bCs w:val="1"/>
                <w:color w:val="auto"/>
                <w:w w:val="99"/>
              </w:rPr>
              <w:t>Date Shares Issued</w:t>
            </w:r>
          </w:p>
        </w:tc>
        <w:tc>
          <w:tcPr>
            <w:tcW w:w="102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 xml:space="preserve">Shares Issued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r>
              <w:rPr>
                <w:rFonts w:ascii="Arial" w:cs="Arial" w:eastAsia="Arial" w:hAnsi="Arial"/>
                <w:sz w:val="11"/>
                <w:szCs w:val="11"/>
                <w:color w:val="auto"/>
              </w:rPr>
              <w:t>(1)</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December 31, 2011</w:t>
            </w:r>
          </w:p>
        </w:tc>
        <w:tc>
          <w:tcPr>
            <w:tcW w:w="5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1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rPr>
              <w:t>May 16, 2012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6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7, 2012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September 30,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w w:val="92"/>
              </w:rPr>
              <w:t>November 13, 2012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38"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2013</w:t>
            </w:r>
          </w:p>
        </w:tc>
        <w:tc>
          <w:tcPr>
            <w:tcW w:w="2340" w:type="dxa"/>
            <w:vAlign w:val="bottom"/>
            <w:gridSpan w:val="3"/>
          </w:tcPr>
          <w:p>
            <w:pPr>
              <w:ind w:left="1240"/>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1"/>
                <w:szCs w:val="11"/>
                <w:color w:val="auto"/>
              </w:rPr>
              <w:t>(1)</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34,635,208</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1920" w:right="160" w:hanging="440"/>
        <w:spacing w:after="0" w:line="268" w:lineRule="auto"/>
        <w:tabs>
          <w:tab w:leader="none" w:pos="1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4"/>
                <w:szCs w:val="14"/>
                <w:b w:val="1"/>
                <w:bCs w:val="1"/>
                <w:color w:val="auto"/>
              </w:rPr>
              <w:t>December 31, 2013</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2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2560" w:type="dxa"/>
            <w:vAlign w:val="bottom"/>
            <w:gridSpan w:val="2"/>
          </w:tcPr>
          <w:p>
            <w:pPr>
              <w:jc w:val="right"/>
              <w:ind w:right="152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jc w:val="right"/>
              <w:spacing w:after="0" w:line="129" w:lineRule="exact"/>
              <w:rPr>
                <w:sz w:val="20"/>
                <w:szCs w:val="20"/>
                <w:color w:val="auto"/>
              </w:rPr>
            </w:pPr>
            <w:r>
              <w:rPr>
                <w:rFonts w:ascii="Arial" w:cs="Arial" w:eastAsia="Arial" w:hAnsi="Arial"/>
                <w:sz w:val="10"/>
                <w:szCs w:val="10"/>
                <w:b w:val="1"/>
                <w:bCs w:val="1"/>
                <w:color w:val="auto"/>
              </w:rPr>
              <w:t xml:space="preserve">Dividend per Share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6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March 31, 2013</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1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6"/>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rPr>
              <w:t>July 31, 2013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2013</w:t>
            </w:r>
          </w:p>
        </w:tc>
        <w:tc>
          <w:tcPr>
            <w:tcW w:w="25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w w:val="90"/>
              </w:rPr>
              <w:t>October 31, 2013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w w:val="90"/>
              </w:rPr>
              <w:t>January 30, 2014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660" w:type="dxa"/>
            <w:vAlign w:val="bottom"/>
            <w:vMerge w:val="restart"/>
          </w:tcPr>
          <w:p>
            <w:pPr>
              <w:spacing w:after="0"/>
              <w:rPr>
                <w:sz w:val="10"/>
                <w:szCs w:val="10"/>
                <w:color w:val="auto"/>
              </w:rPr>
            </w:pPr>
          </w:p>
        </w:tc>
        <w:tc>
          <w:tcPr>
            <w:tcW w:w="22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Record Date</w:t>
            </w:r>
          </w:p>
        </w:tc>
        <w:tc>
          <w:tcPr>
            <w:tcW w:w="196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620" w:type="dxa"/>
            <w:vAlign w:val="bottom"/>
          </w:tcPr>
          <w:p>
            <w:pPr>
              <w:spacing w:after="0"/>
              <w:rPr>
                <w:sz w:val="10"/>
                <w:szCs w:val="10"/>
                <w:color w:val="auto"/>
              </w:rPr>
            </w:pPr>
          </w:p>
        </w:tc>
        <w:tc>
          <w:tcPr>
            <w:tcW w:w="116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7"/>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2012</w:t>
            </w: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5" w:lineRule="exact"/>
        <w:rPr>
          <w:rFonts w:ascii="Arial" w:cs="Arial" w:eastAsia="Arial" w:hAnsi="Arial"/>
          <w:sz w:val="18"/>
          <w:szCs w:val="18"/>
          <w:color w:val="auto"/>
        </w:rPr>
      </w:pPr>
    </w:p>
    <w:p>
      <w:pPr>
        <w:ind w:left="1480" w:right="40" w:hanging="567"/>
        <w:spacing w:after="0" w:line="261" w:lineRule="auto"/>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2013</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Increase in net assets resulting from</w:t>
            </w: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(8,386)</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(7,211)</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(2,312)</w:t>
            </w:r>
          </w:p>
        </w:tc>
        <w:tc>
          <w:tcPr>
            <w:tcW w:w="0" w:type="dxa"/>
            <w:vAlign w:val="bottom"/>
          </w:tcPr>
          <w:p>
            <w:pPr>
              <w:spacing w:after="0"/>
              <w:rPr>
                <w:sz w:val="1"/>
                <w:szCs w:val="1"/>
                <w:color w:val="auto"/>
              </w:rPr>
            </w:pPr>
          </w:p>
        </w:tc>
      </w:tr>
      <w:tr>
        <w:trPr>
          <w:trHeight w:val="208"/>
        </w:trPr>
        <w:tc>
          <w:tcPr>
            <w:tcW w:w="4320" w:type="dxa"/>
            <w:vAlign w:val="bottom"/>
          </w:tcPr>
          <w:p>
            <w:pPr>
              <w:ind w:left="220"/>
              <w:spacing w:after="0"/>
              <w:rPr>
                <w:sz w:val="20"/>
                <w:szCs w:val="20"/>
                <w:color w:val="auto"/>
              </w:rPr>
            </w:pPr>
            <w:r>
              <w:rPr>
                <w:rFonts w:ascii="Arial" w:cs="Arial" w:eastAsia="Arial" w:hAnsi="Arial"/>
                <w:sz w:val="18"/>
                <w:szCs w:val="18"/>
                <w:color w:val="auto"/>
              </w:rPr>
              <w:t>Other income (expense) for tax purposes,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not book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(670)</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1,425</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31,755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60" w:right="2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21, 2010</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8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92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b w:val="1"/>
                <w:bCs w:val="1"/>
                <w:color w:val="auto"/>
              </w:rPr>
              <w:t>(3)(4)</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value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1"/>
        </w:trPr>
        <w:tc>
          <w:tcPr>
            <w:tcW w:w="3980" w:type="dxa"/>
            <w:vAlign w:val="bottom"/>
          </w:tcPr>
          <w:p>
            <w:pPr>
              <w:ind w:left="440"/>
              <w:spacing w:after="0"/>
              <w:rPr>
                <w:sz w:val="20"/>
                <w:szCs w:val="20"/>
                <w:color w:val="auto"/>
              </w:rPr>
            </w:pPr>
            <w:r>
              <w:rPr>
                <w:rFonts w:ascii="Arial" w:cs="Arial" w:eastAsia="Arial" w:hAnsi="Arial"/>
                <w:sz w:val="18"/>
                <w:szCs w:val="18"/>
                <w:color w:val="auto"/>
              </w:rPr>
              <w:t>Total from investment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increase in net assets</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r>
      <w:tr>
        <w:trPr>
          <w:trHeight w:val="222"/>
        </w:trPr>
        <w:tc>
          <w:tcPr>
            <w:tcW w:w="3980" w:type="dxa"/>
            <w:vAlign w:val="bottom"/>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14.71</w:t>
            </w:r>
          </w:p>
        </w:tc>
        <w:tc>
          <w:tcPr>
            <w:tcW w:w="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r>
      <w:tr>
        <w:trPr>
          <w:trHeight w:val="20"/>
        </w:trPr>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b w:val="1"/>
                <w:bCs w:val="1"/>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37,026,023</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31,582,954</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11,770,514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b w:val="1"/>
                <w:bCs w:val="1"/>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(loss) to average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574,696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173,092</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34,635,208</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20,541,475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1,402,970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1,211,246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total contributed capital to total committed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end of period</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Year of formation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r>
    </w:tbl>
    <w:p>
      <w:pPr>
        <w:spacing w:after="0" w:line="66" w:lineRule="exact"/>
        <w:rPr>
          <w:sz w:val="20"/>
          <w:szCs w:val="20"/>
          <w:color w:val="auto"/>
        </w:rPr>
      </w:pPr>
    </w:p>
    <w:p>
      <w:pPr>
        <w:ind w:left="460" w:right="40" w:hanging="452"/>
        <w:spacing w:after="0" w:line="283" w:lineRule="auto"/>
        <w:tabs>
          <w:tab w:leader="none" w:pos="4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420" w:hanging="452"/>
        <w:spacing w:after="0" w:line="250"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20" w:hanging="452"/>
        <w:spacing w:after="0" w:line="261"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10,576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7,696</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14,585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12,817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4,063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2,355</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14,208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15,461</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1"/>
                <w:szCs w:val="11"/>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15.29</w:t>
            </w:r>
            <w:r>
              <w:rPr>
                <w:rFonts w:ascii="Arial" w:cs="Arial" w:eastAsia="Arial" w:hAnsi="Arial"/>
                <w:sz w:val="11"/>
                <w:szCs w:val="11"/>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1"/>
                <w:szCs w:val="11"/>
                <w:color w:val="auto"/>
              </w:rPr>
              <w:t>(1)</w:t>
            </w: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13,581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19"/>
                <w:szCs w:val="19"/>
                <w:color w:val="auto"/>
              </w:rPr>
            </w:pP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Unrealized Gains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(23.31)</w:t>
            </w:r>
          </w:p>
        </w:tc>
      </w:tr>
    </w:tbl>
    <w:p>
      <w:pPr>
        <w:spacing w:after="0" w:line="66" w:lineRule="exact"/>
        <w:rPr>
          <w:sz w:val="20"/>
          <w:szCs w:val="20"/>
          <w:color w:val="auto"/>
        </w:rPr>
      </w:pPr>
    </w:p>
    <w:p>
      <w:pPr>
        <w:ind w:left="900" w:right="20" w:hanging="446"/>
        <w:spacing w:after="0" w:line="268"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60"/>
          </w:cols>
          <w:pgMar w:left="240" w:top="459" w:right="6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APPENDIX A – DESCRIPTION OF SECURITIES RATINGS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&amp; Poor’s Long-Term Credit Issue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Standard &amp; Poor’s long-term issue credit ratings have been published by Standard &amp; Poor’s Financial Services LLC:</w:t>
      </w:r>
    </w:p>
    <w:p>
      <w:pPr>
        <w:spacing w:after="0" w:line="194" w:lineRule="exact"/>
        <w:rPr>
          <w:sz w:val="20"/>
          <w:szCs w:val="20"/>
          <w:color w:val="auto"/>
        </w:rPr>
      </w:pPr>
    </w:p>
    <w:p>
      <w:pPr>
        <w:ind w:right="740" w:firstLine="8"/>
        <w:spacing w:after="0" w:line="268" w:lineRule="auto"/>
        <w:tabs>
          <w:tab w:leader="none" w:pos="424"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 An obligation rated ‘AAA’ has the highest rating assigned by Standard &amp; Poor’s. The obligor’s capacity to meet its financial commitment on the obligation is extremely strong.</w:t>
      </w:r>
    </w:p>
    <w:p>
      <w:pPr>
        <w:spacing w:after="0" w:line="132" w:lineRule="exact"/>
        <w:rPr>
          <w:sz w:val="20"/>
          <w:szCs w:val="20"/>
          <w:color w:val="auto"/>
        </w:rPr>
      </w:pPr>
    </w:p>
    <w:p>
      <w:pPr>
        <w:ind w:right="220" w:firstLine="8"/>
        <w:spacing w:after="0" w:line="268" w:lineRule="auto"/>
        <w:tabs>
          <w:tab w:leader="none" w:pos="297"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 An obligation rated ‘AA’ differs from the highest-rated obligations only to a small degree. The obligor’s capacity to meet its financial commitment on the obligation is very strong.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An obligation rated ‘A’ is somewhat more susceptible to the adverse effects of changes in circumstances and economic conditions than obligations in higher-rated categories. However, the obligor’s capacity to meet its financial commitment on the obligation is still strong.</w:t>
      </w:r>
    </w:p>
    <w:p>
      <w:pPr>
        <w:spacing w:after="0" w:line="126" w:lineRule="exact"/>
        <w:rPr>
          <w:sz w:val="20"/>
          <w:szCs w:val="20"/>
          <w:color w:val="auto"/>
        </w:rPr>
      </w:pPr>
    </w:p>
    <w:p>
      <w:pPr>
        <w:ind w:right="140" w:firstLine="8"/>
        <w:spacing w:after="0" w:line="332" w:lineRule="auto"/>
        <w:tabs>
          <w:tab w:leader="none" w:pos="395"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 An obligation rated ‘BBB’ exhibits adequate protection parameters. However, adverse economic conditions or changing circumstances are more likely to lead to a weakened capacity of the obligor to meet its financial commitment on the obligation.</w:t>
      </w:r>
    </w:p>
    <w:p>
      <w:pPr>
        <w:spacing w:after="0" w:line="7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BB, B, CCC, CC, and C </w:t>
      </w:r>
      <w:r>
        <w:rPr>
          <w:rFonts w:ascii="Arial" w:cs="Arial" w:eastAsia="Arial" w:hAnsi="Arial"/>
          <w:sz w:val="18"/>
          <w:szCs w:val="18"/>
          <w:color w:val="auto"/>
        </w:rPr>
        <w:t>- Obligations rated ‘BB’, ‘B’, ‘CCC’, ‘CC’, and ‘C’ are regarded as having significant speculative characteristics. ‘BB’ indicates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least degree of speculation and ‘C’ the highest. While such obligations will likely have some quality and protective characteristics, these may be outweighed by large uncertainties or major exposures to adverse conditions.</w:t>
      </w:r>
    </w:p>
    <w:p>
      <w:pPr>
        <w:spacing w:after="0" w:line="138" w:lineRule="exact"/>
        <w:rPr>
          <w:sz w:val="20"/>
          <w:szCs w:val="20"/>
          <w:color w:val="auto"/>
        </w:rPr>
      </w:pPr>
    </w:p>
    <w:p>
      <w:pPr>
        <w:ind w:right="360" w:firstLine="8"/>
        <w:spacing w:after="0" w:line="332" w:lineRule="auto"/>
        <w:tabs>
          <w:tab w:leader="none" w:pos="278"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 An obligation rated ‘BB’ is less vulnerable to nonpayment than other speculative issues. However, it faces major ongoing uncertainties or exposure to adverse business, financial, or economic conditions which could lead to the obligor’s inadequate capacity to meet its financial commitment on the obligation.</w:t>
      </w:r>
    </w:p>
    <w:p>
      <w:pPr>
        <w:spacing w:after="0" w:line="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An obligation rated ‘B’ is more vulnerable to nonpayment than obligations rated ‘BB’, but the obligor currently has the capacity to meet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on the obligation. Adverse business, financial, or economic conditions will likely impair the obligor’s capacity or willingness to meet its financial commitment on the obligation.</w:t>
      </w:r>
    </w:p>
    <w:p>
      <w:pPr>
        <w:spacing w:after="0" w:line="138" w:lineRule="exact"/>
        <w:rPr>
          <w:sz w:val="20"/>
          <w:szCs w:val="20"/>
          <w:color w:val="auto"/>
        </w:rPr>
      </w:pPr>
    </w:p>
    <w:p>
      <w:pPr>
        <w:ind w:firstLine="8"/>
        <w:spacing w:after="0" w:line="259" w:lineRule="auto"/>
        <w:tabs>
          <w:tab w:leader="none" w:pos="424"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 An obligation rated ‘CCC’ is currently vulnerable to nonpayment, and is dependent upon favorable business, financial, and economic conditions for the obligor to meet its financial commitment on the obligation. In the event of adverse business, financial, or economic conditions, the obligor is not likely to have the capacity to meet its financial commitment on the obligation.</w:t>
      </w:r>
    </w:p>
    <w:p>
      <w:pPr>
        <w:spacing w:after="0" w:line="140" w:lineRule="exact"/>
        <w:rPr>
          <w:sz w:val="20"/>
          <w:szCs w:val="20"/>
          <w:color w:val="auto"/>
        </w:rPr>
      </w:pPr>
    </w:p>
    <w:p>
      <w:pPr>
        <w:ind w:right="100" w:firstLine="8"/>
        <w:spacing w:after="0" w:line="268" w:lineRule="auto"/>
        <w:tabs>
          <w:tab w:leader="none" w:pos="297"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 An obligation rated ‘CC’ is currently highly vulnerable to nonpayment. The ‘CC’ rating is used when a default has not yet occurred, but Standard &amp; Poor’s expects default to be a virtual certainty, regardless of the anticipated time to default.</w:t>
      </w:r>
    </w:p>
    <w:p>
      <w:pPr>
        <w:spacing w:after="0" w:line="12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An obligation rated ‘C’ is currently highly vulnerable to nonpayment, and the obligation is expected to have lower relative seniority or lower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compared to obligations that are rated higher.</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 An obligation rated ‘D’ is in default or in breach of an imputed promise. For non-hybrid capital instruments, the ‘D’ rating category is used when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on an obligation are not made on the date due, unless Standard &amp; Poor’s believes that such payments will be made within five business days in the absence of a stated grace period or within the earlier of the stated grace period or 30 calendar days. The ‘D’ rating also will be used upon the filing of a bankruptcy petition or the taking of similar action and where default on an obligation is a virtual certainty, for example due to automatic stay provisions. An obligation’s rating is lowered to ‘D’ if it is subject to a distressed exchange offer.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ratings from ‘AA’ to ‘CCC’ may be modified by the addition of a plus (+) or minus (-) sign to show relative standing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 rating categories.</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NR </w:t>
      </w:r>
      <w:r>
        <w:rPr>
          <w:rFonts w:ascii="Arial" w:cs="Arial" w:eastAsia="Arial" w:hAnsi="Arial"/>
          <w:sz w:val="18"/>
          <w:szCs w:val="18"/>
          <w:color w:val="auto"/>
        </w:rPr>
        <w:t>- This indicates that no rating has been requested, or that there is insufficient information on which to base a rating, or that Standard &amp; Poor’s does not rate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obligation as a matter of policy.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Moody’s Long-Term Corporate Obligation Ratings: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descriptions of Moody’s long-term corporate obligation ratings have been published by Moody’s Investors Service, Inc. and Moody’s Analytics,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Aaa </w:t>
      </w:r>
      <w:r>
        <w:rPr>
          <w:rFonts w:ascii="Arial" w:cs="Arial" w:eastAsia="Arial" w:hAnsi="Arial"/>
          <w:sz w:val="18"/>
          <w:szCs w:val="18"/>
          <w:color w:val="auto"/>
        </w:rPr>
        <w:t>- Obligations rated Aaa are judged to be of the highest quality, with minimal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 </w:t>
      </w:r>
      <w:r>
        <w:rPr>
          <w:rFonts w:ascii="Arial" w:cs="Arial" w:eastAsia="Arial" w:hAnsi="Arial"/>
          <w:sz w:val="18"/>
          <w:szCs w:val="18"/>
          <w:color w:val="auto"/>
        </w:rPr>
        <w:t>- Obligations rated Aa are judged to be of high quality and are subject to very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Obligations rated A are considered upper-medium grade and are subject to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Baa </w:t>
      </w:r>
      <w:r>
        <w:rPr>
          <w:rFonts w:ascii="Arial" w:cs="Arial" w:eastAsia="Arial" w:hAnsi="Arial"/>
          <w:sz w:val="15"/>
          <w:szCs w:val="15"/>
          <w:color w:val="auto"/>
        </w:rPr>
        <w:t>- Obligations rated Baa are subject to moderate credit risk. They are considered medium grade and as such may possess certain speculative characteristics.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 </w:t>
      </w:r>
      <w:r>
        <w:rPr>
          <w:rFonts w:ascii="Arial" w:cs="Arial" w:eastAsia="Arial" w:hAnsi="Arial"/>
          <w:sz w:val="18"/>
          <w:szCs w:val="18"/>
          <w:color w:val="auto"/>
        </w:rPr>
        <w:t>- Obligations rated Ba are judged to have speculative elements and are subject to substantial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Obligations rated B are considered speculative and are subject to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Caa </w:t>
      </w:r>
      <w:r>
        <w:rPr>
          <w:rFonts w:ascii="Arial" w:cs="Arial" w:eastAsia="Arial" w:hAnsi="Arial"/>
          <w:sz w:val="18"/>
          <w:szCs w:val="18"/>
          <w:color w:val="auto"/>
        </w:rPr>
        <w:t>- Obligations rated Caa are judged to be of poor standing and are subject to very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 </w:t>
      </w:r>
      <w:r>
        <w:rPr>
          <w:rFonts w:ascii="Arial" w:cs="Arial" w:eastAsia="Arial" w:hAnsi="Arial"/>
          <w:sz w:val="16"/>
          <w:szCs w:val="16"/>
          <w:color w:val="auto"/>
        </w:rPr>
        <w:t>- Obligations rated Ca are highly speculative and are likely in, or very near, default, with some prospect of recovery of principal and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Obligations rated C are the lowest rated class of bonds and are typically in default, with little prospect for recovery of principal or interest.</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Moody’s appends numerical modifiers 1, 2, and 3 to each generic rating classification from Aa through Caa. The modifier 1 indicates that the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ranks in the higher end of its generic rating category; the modifier 2 indicates a mid-range ranking; and the modifier 3 indicates a ranking in the lower end of that generic rating category.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Fitch Ratings Corporate Bond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Fitch Ratings’ long-term corporate finance obligations ratings have been published by Fitch Ratings, Inc. and Fitch Ratings Ltd:</w:t>
      </w:r>
    </w:p>
    <w:p>
      <w:pPr>
        <w:spacing w:after="0" w:line="194" w:lineRule="exact"/>
        <w:rPr>
          <w:sz w:val="20"/>
          <w:szCs w:val="20"/>
          <w:color w:val="auto"/>
        </w:rPr>
      </w:pPr>
    </w:p>
    <w:p>
      <w:pPr>
        <w:ind w:right="320" w:firstLine="8"/>
        <w:spacing w:after="0" w:line="268" w:lineRule="auto"/>
        <w:tabs>
          <w:tab w:leader="none" w:pos="424"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 Highest credit quality. ‘AAA’ ratings denote the lowest expectation of credit risk. They are assigned only in cases of exceptionally strong capacity for payment of financial commitments. This capacity is highly unlikely to be adversely affected by foreseeable events.</w:t>
      </w:r>
    </w:p>
    <w:p>
      <w:pPr>
        <w:spacing w:after="0" w:line="132" w:lineRule="exact"/>
        <w:rPr>
          <w:sz w:val="20"/>
          <w:szCs w:val="20"/>
          <w:color w:val="auto"/>
        </w:rPr>
      </w:pPr>
    </w:p>
    <w:p>
      <w:pPr>
        <w:ind w:firstLine="8"/>
        <w:spacing w:after="0" w:line="268" w:lineRule="auto"/>
        <w:tabs>
          <w:tab w:leader="none" w:pos="297"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 Very high credit quality. ‘AA’ ratings denote expectations of very low credit risk. They indicate very strong capacity for payment of financial commitments. This capacity is not significantly vulnerable to foreseeable events.</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High credit quality. ‘A’ ratings denote expectations of low credit risk. The capacity for payment of financial commitments is considered strong. This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may, nevertheless, be more vulnerable to adverse business or economic conditions than is the case for higher ratings.</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8"/>
        <w:spacing w:after="0" w:line="332" w:lineRule="auto"/>
        <w:tabs>
          <w:tab w:leader="none" w:pos="395" w:val="left"/>
        </w:tabs>
        <w:numPr>
          <w:ilvl w:val="0"/>
          <w:numId w:val="161"/>
        </w:numPr>
        <w:rPr>
          <w:rFonts w:ascii="Arial" w:cs="Arial" w:eastAsia="Arial" w:hAnsi="Arial"/>
          <w:sz w:val="16"/>
          <w:szCs w:val="16"/>
          <w:b w:val="1"/>
          <w:bCs w:val="1"/>
          <w:color w:val="auto"/>
        </w:rPr>
      </w:pPr>
      <w:r>
        <w:rPr>
          <w:rFonts w:ascii="Arial" w:cs="Arial" w:eastAsia="Arial" w:hAnsi="Arial"/>
          <w:sz w:val="16"/>
          <w:szCs w:val="16"/>
          <w:color w:val="auto"/>
        </w:rPr>
        <w:t>- Good credit quality. ‘BBB’ ratings indicate that expectations of credit risk are currently low. The capacity for payment of financial commitments is considered adequate but adverse business or economic conditions are more likely to impair this capacity.</w:t>
      </w:r>
    </w:p>
    <w:p>
      <w:pPr>
        <w:spacing w:after="0" w:line="85" w:lineRule="exact"/>
        <w:rPr>
          <w:sz w:val="20"/>
          <w:szCs w:val="20"/>
          <w:color w:val="auto"/>
        </w:rPr>
      </w:pPr>
    </w:p>
    <w:p>
      <w:pPr>
        <w:ind w:right="280" w:firstLine="8"/>
        <w:spacing w:after="0" w:line="268" w:lineRule="auto"/>
        <w:tabs>
          <w:tab w:leader="none" w:pos="278"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 Speculative. ‘BB’ ratings indicate an elevated vulnerability to credit risk, particularly in the event of adverse changes in business or economic conditions over time; however, business or financial alternatives may be available to allow financial commitments to be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Highly speculative. ‘B’ ratings indicate that material credit risk is present.</w:t>
      </w:r>
    </w:p>
    <w:p>
      <w:pPr>
        <w:spacing w:after="0" w:line="177" w:lineRule="exact"/>
        <w:rPr>
          <w:sz w:val="20"/>
          <w:szCs w:val="20"/>
          <w:color w:val="auto"/>
        </w:rPr>
      </w:pPr>
    </w:p>
    <w:p>
      <w:pPr>
        <w:ind w:left="440" w:hanging="432"/>
        <w:spacing w:after="0"/>
        <w:tabs>
          <w:tab w:leader="none" w:pos="44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 Substantial credit risk. ‘CCC’ ratings indicate that substantial credit risk is present.</w:t>
      </w:r>
    </w:p>
    <w:p>
      <w:pPr>
        <w:spacing w:after="0" w:line="171" w:lineRule="exact"/>
        <w:rPr>
          <w:sz w:val="20"/>
          <w:szCs w:val="20"/>
          <w:color w:val="auto"/>
        </w:rPr>
      </w:pPr>
    </w:p>
    <w:p>
      <w:pPr>
        <w:ind w:left="300" w:hanging="292"/>
        <w:spacing w:after="0"/>
        <w:tabs>
          <w:tab w:leader="none" w:pos="300"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 Very high levels of credit risk. ‘CC’ ratings indicate very high levels of credit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Exceptionally high levels of credit risk. ‘C’ indicates exceptionally high levels of credit risk.</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Defaulted obligations typically are not assigned ‘RD’ or ‘D’ ratings, but are instead rated in the ‘B’ to ‘C’ rating categories, depending upon their recovery prospects and other relevant characteristics. This approach better aligns obligations that have comparable overall expected loss but varying vulnerability to default and loss.</w:t>
      </w:r>
    </w:p>
    <w:p>
      <w:pPr>
        <w:spacing w:after="0" w:line="13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modifiers “+” or “-” may be appended to a rating to denote relative status within major rating categories. Such suffixes are not added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‘AAA’ obligation rating category, or to corporate finance obligation ratings in the categories below ‘CCC’.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7,000,000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313690</wp:posOffset>
            </wp:positionV>
            <wp:extent cx="15176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00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4680" w:type="dxa"/>
            <w:vAlign w:val="bottom"/>
          </w:tcPr>
          <w:p>
            <w:pPr>
              <w:jc w:val="right"/>
              <w:ind w:right="458"/>
              <w:spacing w:after="0"/>
              <w:rPr>
                <w:sz w:val="20"/>
                <w:szCs w:val="20"/>
                <w:color w:val="auto"/>
              </w:rPr>
            </w:pPr>
            <w:r>
              <w:rPr>
                <w:rFonts w:ascii="Arial" w:cs="Arial" w:eastAsia="Arial" w:hAnsi="Arial"/>
                <w:sz w:val="32"/>
                <w:szCs w:val="32"/>
                <w:b w:val="1"/>
                <w:bCs w:val="1"/>
                <w:color w:val="auto"/>
              </w:rPr>
              <w:t>BofA Merrill Lynch</w:t>
            </w:r>
          </w:p>
        </w:tc>
        <w:tc>
          <w:tcPr>
            <w:tcW w:w="3740" w:type="dxa"/>
            <w:vAlign w:val="bottom"/>
          </w:tcPr>
          <w:p>
            <w:pPr>
              <w:jc w:val="right"/>
              <w:spacing w:after="0"/>
              <w:rPr>
                <w:sz w:val="20"/>
                <w:szCs w:val="20"/>
                <w:color w:val="auto"/>
              </w:rPr>
            </w:pPr>
            <w:r>
              <w:rPr>
                <w:rFonts w:ascii="Arial" w:cs="Arial" w:eastAsia="Arial" w:hAnsi="Arial"/>
                <w:sz w:val="32"/>
                <w:szCs w:val="32"/>
                <w:b w:val="1"/>
                <w:bCs w:val="1"/>
                <w:color w:val="auto"/>
              </w:rPr>
              <w:t>Goldman, Sachs &amp; Co.</w:t>
            </w:r>
          </w:p>
        </w:tc>
      </w:tr>
      <w:tr>
        <w:trPr>
          <w:trHeight w:val="454"/>
        </w:trPr>
        <w:tc>
          <w:tcPr>
            <w:tcW w:w="3000" w:type="dxa"/>
            <w:vAlign w:val="bottom"/>
          </w:tcPr>
          <w:p>
            <w:pPr>
              <w:ind w:left="440"/>
              <w:spacing w:after="0"/>
              <w:rPr>
                <w:sz w:val="20"/>
                <w:szCs w:val="20"/>
                <w:color w:val="auto"/>
              </w:rPr>
            </w:pPr>
            <w:r>
              <w:rPr>
                <w:rFonts w:ascii="Arial" w:cs="Arial" w:eastAsia="Arial" w:hAnsi="Arial"/>
                <w:sz w:val="22"/>
                <w:szCs w:val="22"/>
                <w:b w:val="1"/>
                <w:bCs w:val="1"/>
                <w:color w:val="auto"/>
              </w:rPr>
              <w:t>Citigroup</w:t>
            </w:r>
          </w:p>
        </w:tc>
        <w:tc>
          <w:tcPr>
            <w:tcW w:w="4680" w:type="dxa"/>
            <w:vAlign w:val="bottom"/>
          </w:tcPr>
          <w:p>
            <w:pPr>
              <w:jc w:val="right"/>
              <w:ind w:right="1598"/>
              <w:spacing w:after="0"/>
              <w:rPr>
                <w:sz w:val="20"/>
                <w:szCs w:val="20"/>
                <w:color w:val="auto"/>
              </w:rPr>
            </w:pPr>
            <w:r>
              <w:rPr>
                <w:rFonts w:ascii="Arial" w:cs="Arial" w:eastAsia="Arial" w:hAnsi="Arial"/>
                <w:sz w:val="22"/>
                <w:szCs w:val="22"/>
                <w:b w:val="1"/>
                <w:bCs w:val="1"/>
                <w:color w:val="auto"/>
              </w:rPr>
              <w:t>Wells Fargo Securities</w:t>
            </w:r>
          </w:p>
        </w:tc>
        <w:tc>
          <w:tcPr>
            <w:tcW w:w="3740" w:type="dxa"/>
            <w:vAlign w:val="bottom"/>
          </w:tcPr>
          <w:p>
            <w:pPr>
              <w:jc w:val="right"/>
              <w:ind w:right="414"/>
              <w:spacing w:after="0"/>
              <w:rPr>
                <w:sz w:val="20"/>
                <w:szCs w:val="20"/>
                <w:color w:val="auto"/>
              </w:rPr>
            </w:pPr>
            <w:r>
              <w:rPr>
                <w:rFonts w:ascii="Arial" w:cs="Arial" w:eastAsia="Arial" w:hAnsi="Arial"/>
                <w:sz w:val="22"/>
                <w:szCs w:val="22"/>
                <w:b w:val="1"/>
                <w:bCs w:val="1"/>
                <w:color w:val="auto"/>
              </w:rPr>
              <w:t>Barclays</w:t>
            </w:r>
          </w:p>
        </w:tc>
      </w:tr>
      <w:tr>
        <w:trPr>
          <w:trHeight w:val="567"/>
        </w:trPr>
        <w:tc>
          <w:tcPr>
            <w:tcW w:w="3000" w:type="dxa"/>
            <w:vAlign w:val="bottom"/>
          </w:tcPr>
          <w:p>
            <w:pPr>
              <w:spacing w:after="0"/>
              <w:rPr>
                <w:sz w:val="24"/>
                <w:szCs w:val="24"/>
                <w:color w:val="auto"/>
              </w:rPr>
            </w:pPr>
          </w:p>
        </w:tc>
        <w:tc>
          <w:tcPr>
            <w:tcW w:w="4680" w:type="dxa"/>
            <w:vAlign w:val="bottom"/>
          </w:tcPr>
          <w:p>
            <w:pPr>
              <w:jc w:val="right"/>
              <w:ind w:right="1238"/>
              <w:spacing w:after="0"/>
              <w:rPr>
                <w:sz w:val="20"/>
                <w:szCs w:val="20"/>
                <w:color w:val="auto"/>
              </w:rPr>
            </w:pPr>
            <w:r>
              <w:rPr>
                <w:rFonts w:ascii="Arial" w:cs="Arial" w:eastAsia="Arial" w:hAnsi="Arial"/>
                <w:sz w:val="22"/>
                <w:szCs w:val="22"/>
                <w:b w:val="1"/>
                <w:bCs w:val="1"/>
                <w:i w:val="1"/>
                <w:iCs w:val="1"/>
                <w:color w:val="auto"/>
              </w:rPr>
              <w:t>Co-Managers</w:t>
            </w:r>
          </w:p>
        </w:tc>
        <w:tc>
          <w:tcPr>
            <w:tcW w:w="3740" w:type="dxa"/>
            <w:vAlign w:val="bottom"/>
          </w:tcPr>
          <w:p>
            <w:pPr>
              <w:spacing w:after="0"/>
              <w:rPr>
                <w:sz w:val="24"/>
                <w:szCs w:val="24"/>
                <w:color w:val="auto"/>
              </w:rPr>
            </w:pPr>
          </w:p>
        </w:tc>
      </w:tr>
      <w:tr>
        <w:trPr>
          <w:trHeight w:val="446"/>
        </w:trPr>
        <w:tc>
          <w:tcPr>
            <w:tcW w:w="3000" w:type="dxa"/>
            <w:vAlign w:val="bottom"/>
          </w:tcPr>
          <w:p>
            <w:pPr>
              <w:spacing w:after="0"/>
              <w:rPr>
                <w:sz w:val="20"/>
                <w:szCs w:val="20"/>
                <w:color w:val="auto"/>
              </w:rPr>
            </w:pPr>
            <w:r>
              <w:rPr>
                <w:rFonts w:ascii="Arial" w:cs="Arial" w:eastAsia="Arial" w:hAnsi="Arial"/>
                <w:sz w:val="22"/>
                <w:szCs w:val="22"/>
                <w:b w:val="1"/>
                <w:bCs w:val="1"/>
                <w:color w:val="auto"/>
              </w:rPr>
              <w:t>TPG Capital BD, LLC</w:t>
            </w:r>
          </w:p>
        </w:tc>
        <w:tc>
          <w:tcPr>
            <w:tcW w:w="4680" w:type="dxa"/>
            <w:vAlign w:val="bottom"/>
          </w:tcPr>
          <w:p>
            <w:pPr>
              <w:jc w:val="right"/>
              <w:ind w:right="458"/>
              <w:spacing w:after="0"/>
              <w:rPr>
                <w:sz w:val="20"/>
                <w:szCs w:val="20"/>
                <w:color w:val="auto"/>
              </w:rPr>
            </w:pPr>
            <w:r>
              <w:rPr>
                <w:rFonts w:ascii="Arial" w:cs="Arial" w:eastAsia="Arial" w:hAnsi="Arial"/>
                <w:sz w:val="22"/>
                <w:szCs w:val="22"/>
                <w:b w:val="1"/>
                <w:bCs w:val="1"/>
                <w:color w:val="auto"/>
              </w:rPr>
              <w:t>Janney Montgomery Scott</w:t>
            </w:r>
          </w:p>
        </w:tc>
        <w:tc>
          <w:tcPr>
            <w:tcW w:w="374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2056"/>
        </w:trPr>
        <w:tc>
          <w:tcPr>
            <w:tcW w:w="3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68"/>
        </w:trPr>
        <w:tc>
          <w:tcPr>
            <w:tcW w:w="300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20" w:type="dxa"/>
            <w:vAlign w:val="bottom"/>
            <w:gridSpan w:val="6"/>
          </w:tcPr>
          <w:p>
            <w:pPr>
              <w:jc w:val="center"/>
              <w:ind w:right="3640"/>
              <w:spacing w:after="0"/>
              <w:rPr>
                <w:sz w:val="20"/>
                <w:szCs w:val="20"/>
                <w:color w:val="auto"/>
              </w:rPr>
            </w:pPr>
            <w:r>
              <w:rPr>
                <w:rFonts w:ascii="Arial" w:cs="Arial" w:eastAsia="Arial" w:hAnsi="Arial"/>
                <w:sz w:val="18"/>
                <w:szCs w:val="18"/>
                <w:b w:val="1"/>
                <w:bCs w:val="1"/>
                <w:color w:val="auto"/>
                <w:w w:val="98"/>
              </w:rPr>
              <w:t>TPG SPECIALTY LENDING, INC.</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jc w:val="center"/>
              <w:ind w:right="4780"/>
              <w:spacing w:after="0"/>
              <w:rPr>
                <w:sz w:val="20"/>
                <w:szCs w:val="20"/>
                <w:color w:val="auto"/>
              </w:rPr>
            </w:pPr>
            <w:r>
              <w:rPr>
                <w:rFonts w:ascii="Arial" w:cs="Arial" w:eastAsia="Arial" w:hAnsi="Arial"/>
                <w:sz w:val="18"/>
                <w:szCs w:val="18"/>
                <w:b w:val="1"/>
                <w:bCs w:val="1"/>
                <w:color w:val="auto"/>
                <w:w w:val="92"/>
              </w:rPr>
              <w:t>PART C</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5"/>
          </w:tcPr>
          <w:p>
            <w:pPr>
              <w:jc w:val="center"/>
              <w:ind w:right="4060"/>
              <w:spacing w:after="0"/>
              <w:rPr>
                <w:sz w:val="20"/>
                <w:szCs w:val="20"/>
                <w:color w:val="auto"/>
              </w:rPr>
            </w:pPr>
            <w:r>
              <w:rPr>
                <w:rFonts w:ascii="Arial" w:cs="Arial" w:eastAsia="Arial" w:hAnsi="Arial"/>
                <w:sz w:val="18"/>
                <w:szCs w:val="18"/>
                <w:b w:val="1"/>
                <w:bCs w:val="1"/>
                <w:color w:val="auto"/>
                <w:w w:val="93"/>
              </w:rPr>
              <w:t>Other Information</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1018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18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940" w:type="dxa"/>
            <w:vAlign w:val="bottom"/>
            <w:gridSpan w:val="9"/>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940" w:type="dxa"/>
            <w:vAlign w:val="bottom"/>
            <w:gridSpan w:val="9"/>
            <w:vMerge w:val="restart"/>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40" w:type="dxa"/>
            <w:vAlign w:val="bottom"/>
            <w:gridSpan w:val="9"/>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73">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81">
              <w:r>
                <w:rPr>
                  <w:rFonts w:ascii="Arial" w:cs="Arial" w:eastAsia="Arial" w:hAnsi="Arial"/>
                  <w:sz w:val="18"/>
                  <w:szCs w:val="18"/>
                  <w:color w:val="0000EE"/>
                  <w:w w:val="87"/>
                </w:rPr>
                <w:t>Consolidated Statements of Changes in Net Assets for the Years Ended December 31, 2013, 2012 and 2011</w:t>
              </w:r>
            </w:hyperlink>
          </w:p>
        </w:tc>
        <w:tc>
          <w:tcPr>
            <w:tcW w:w="3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82">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20" w:hanging="912"/>
        <w:spacing w:after="0"/>
        <w:tabs>
          <w:tab w:leader="none" w:pos="92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(a)(1)</w:t>
            </w:r>
          </w:p>
        </w:tc>
        <w:tc>
          <w:tcPr>
            <w:tcW w:w="10300" w:type="dxa"/>
            <w:vAlign w:val="bottom"/>
          </w:tcPr>
          <w:p>
            <w:pPr>
              <w:ind w:left="440"/>
              <w:spacing w:after="0"/>
              <w:rPr>
                <w:sz w:val="20"/>
                <w:szCs w:val="20"/>
                <w:color w:val="auto"/>
              </w:rPr>
            </w:pPr>
            <w:r>
              <w:rPr>
                <w:rFonts w:ascii="Arial" w:cs="Arial" w:eastAsia="Arial" w:hAnsi="Arial"/>
                <w:sz w:val="18"/>
                <w:szCs w:val="18"/>
                <w:color w:val="auto"/>
                <w:w w:val="94"/>
              </w:rPr>
              <w:t>Amended and Restated Certificate of Incorporation (incorporated by reference to Exhibit 3.1 to Amendment No. 1 to the Company’s</w:t>
            </w:r>
          </w:p>
        </w:tc>
      </w:tr>
      <w:tr>
        <w:trPr>
          <w:trHeight w:val="222"/>
        </w:trPr>
        <w:tc>
          <w:tcPr>
            <w:tcW w:w="860" w:type="dxa"/>
            <w:vAlign w:val="bottom"/>
          </w:tcPr>
          <w:p>
            <w:pPr>
              <w:spacing w:after="0"/>
              <w:rPr>
                <w:sz w:val="19"/>
                <w:szCs w:val="19"/>
                <w:color w:val="auto"/>
              </w:rPr>
            </w:pPr>
          </w:p>
        </w:tc>
        <w:tc>
          <w:tcPr>
            <w:tcW w:w="10300" w:type="dxa"/>
            <w:vAlign w:val="bottom"/>
          </w:tcPr>
          <w:p>
            <w:pPr>
              <w:ind w:left="440"/>
              <w:spacing w:after="0"/>
              <w:rPr>
                <w:sz w:val="20"/>
                <w:szCs w:val="20"/>
                <w:color w:val="auto"/>
              </w:rPr>
            </w:pPr>
            <w:r>
              <w:rPr>
                <w:rFonts w:ascii="Arial" w:cs="Arial" w:eastAsia="Arial" w:hAnsi="Arial"/>
                <w:sz w:val="18"/>
                <w:szCs w:val="18"/>
                <w:color w:val="auto"/>
              </w:rPr>
              <w:t>Registration Statement on Form 10 filed on March 14, 2011)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(a)(2)</w:t>
            </w:r>
          </w:p>
        </w:tc>
        <w:tc>
          <w:tcPr>
            <w:tcW w:w="10300" w:type="dxa"/>
            <w:vAlign w:val="bottom"/>
          </w:tcPr>
          <w:p>
            <w:pPr>
              <w:ind w:left="440"/>
              <w:spacing w:after="0"/>
              <w:rPr>
                <w:sz w:val="20"/>
                <w:szCs w:val="20"/>
                <w:color w:val="auto"/>
              </w:rPr>
            </w:pPr>
            <w:r>
              <w:rPr>
                <w:rFonts w:ascii="Arial" w:cs="Arial" w:eastAsia="Arial" w:hAnsi="Arial"/>
                <w:sz w:val="18"/>
                <w:szCs w:val="18"/>
                <w:color w:val="auto"/>
                <w:w w:val="89"/>
              </w:rPr>
              <w:t>Certificate of Amendment to Amended and Restated Certificate of Incorporation (incorporated by reference to Exhibit 3.1 to the Company’s</w:t>
            </w:r>
          </w:p>
        </w:tc>
      </w:tr>
      <w:tr>
        <w:trPr>
          <w:trHeight w:val="222"/>
        </w:trPr>
        <w:tc>
          <w:tcPr>
            <w:tcW w:w="860" w:type="dxa"/>
            <w:vAlign w:val="bottom"/>
          </w:tcPr>
          <w:p>
            <w:pPr>
              <w:spacing w:after="0"/>
              <w:rPr>
                <w:sz w:val="19"/>
                <w:szCs w:val="19"/>
                <w:color w:val="auto"/>
              </w:rPr>
            </w:pPr>
          </w:p>
        </w:tc>
        <w:tc>
          <w:tcPr>
            <w:tcW w:w="10300" w:type="dxa"/>
            <w:vAlign w:val="bottom"/>
          </w:tcPr>
          <w:p>
            <w:pPr>
              <w:ind w:left="440"/>
              <w:spacing w:after="0"/>
              <w:rPr>
                <w:sz w:val="20"/>
                <w:szCs w:val="20"/>
                <w:color w:val="auto"/>
              </w:rPr>
            </w:pPr>
            <w:r>
              <w:rPr>
                <w:rFonts w:ascii="Arial" w:cs="Arial" w:eastAsia="Arial" w:hAnsi="Arial"/>
                <w:sz w:val="18"/>
                <w:szCs w:val="18"/>
                <w:color w:val="auto"/>
              </w:rPr>
              <w:t>Current Report on Form 8-K filed on March 12, 2014)</w:t>
            </w:r>
          </w:p>
        </w:tc>
      </w:tr>
    </w:tbl>
    <w:p>
      <w:pPr>
        <w:spacing w:after="0" w:line="102" w:lineRule="exact"/>
        <w:rPr>
          <w:sz w:val="20"/>
          <w:szCs w:val="20"/>
          <w:color w:val="auto"/>
        </w:rPr>
      </w:pPr>
    </w:p>
    <w:p>
      <w:pPr>
        <w:ind w:left="1300" w:hanging="1292"/>
        <w:spacing w:after="0" w:line="268" w:lineRule="auto"/>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(d)(1)</w:t>
            </w:r>
          </w:p>
        </w:tc>
        <w:tc>
          <w:tcPr>
            <w:tcW w:w="10360" w:type="dxa"/>
            <w:vAlign w:val="bottom"/>
          </w:tcPr>
          <w:p>
            <w:pPr>
              <w:ind w:left="440"/>
              <w:spacing w:after="0"/>
              <w:rPr>
                <w:sz w:val="20"/>
                <w:szCs w:val="20"/>
                <w:color w:val="auto"/>
              </w:rPr>
            </w:pPr>
            <w:r>
              <w:rPr>
                <w:rFonts w:ascii="Arial" w:cs="Arial" w:eastAsia="Arial" w:hAnsi="Arial"/>
                <w:sz w:val="18"/>
                <w:szCs w:val="18"/>
                <w:color w:val="auto"/>
                <w:w w:val="94"/>
              </w:rPr>
              <w:t>Form of Subscription Agreement in connection with the Private Offerings (incorporated by reference to Exhibit 4.1 to the Company’s</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(d)(2)</w:t>
            </w:r>
          </w:p>
        </w:tc>
        <w:tc>
          <w:tcPr>
            <w:tcW w:w="10360" w:type="dxa"/>
            <w:vAlign w:val="bottom"/>
          </w:tcPr>
          <w:p>
            <w:pPr>
              <w:ind w:left="440"/>
              <w:spacing w:after="0"/>
              <w:rPr>
                <w:sz w:val="20"/>
                <w:szCs w:val="20"/>
                <w:color w:val="auto"/>
              </w:rPr>
            </w:pPr>
            <w:r>
              <w:rPr>
                <w:rFonts w:ascii="Arial" w:cs="Arial" w:eastAsia="Arial" w:hAnsi="Arial"/>
                <w:sz w:val="18"/>
                <w:szCs w:val="18"/>
                <w:color w:val="auto"/>
                <w:w w:val="90"/>
              </w:rPr>
              <w:t>Form of Common Stock Certificate (incorporated by reference to Exhibit 4.2 to the Company’s Annual Report on Form 10-K filed on March</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22, 2012)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(d)(3)</w:t>
            </w:r>
          </w:p>
        </w:tc>
        <w:tc>
          <w:tcPr>
            <w:tcW w:w="10360" w:type="dxa"/>
            <w:vAlign w:val="bottom"/>
          </w:tcPr>
          <w:p>
            <w:pPr>
              <w:ind w:left="440"/>
              <w:spacing w:after="0"/>
              <w:rPr>
                <w:sz w:val="20"/>
                <w:szCs w:val="20"/>
                <w:color w:val="auto"/>
              </w:rPr>
            </w:pPr>
            <w:r>
              <w:rPr>
                <w:rFonts w:ascii="Arial" w:cs="Arial" w:eastAsia="Arial" w:hAnsi="Arial"/>
                <w:sz w:val="18"/>
                <w:szCs w:val="18"/>
                <w:color w:val="auto"/>
              </w:rPr>
              <w:t>Form of Private Placement Agreement (2)</w:t>
            </w:r>
          </w:p>
        </w:tc>
      </w:tr>
    </w:tbl>
    <w:p>
      <w:pPr>
        <w:spacing w:after="0" w:line="102" w:lineRule="exact"/>
        <w:rPr>
          <w:sz w:val="20"/>
          <w:szCs w:val="20"/>
          <w:color w:val="auto"/>
        </w:rPr>
      </w:pPr>
    </w:p>
    <w:p>
      <w:pPr>
        <w:ind w:left="1300" w:right="260" w:hanging="1292"/>
        <w:spacing w:after="0" w:line="268"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10.7 to the Company’s Annual Report on Form 10-K filed on March 22, 2012)</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00" w:right="180" w:hanging="1292"/>
        <w:spacing w:after="0" w:line="332" w:lineRule="auto"/>
        <w:tabs>
          <w:tab w:leader="none" w:pos="13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1" w:lineRule="exact"/>
        <w:rPr>
          <w:rFonts w:ascii="Arial" w:cs="Arial" w:eastAsia="Arial" w:hAnsi="Arial"/>
          <w:sz w:val="16"/>
          <w:szCs w:val="16"/>
          <w:color w:val="auto"/>
        </w:rPr>
      </w:pPr>
    </w:p>
    <w:p>
      <w:pPr>
        <w:ind w:left="1300" w:hanging="1292"/>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Form of Underwriting Agreement (1)</w:t>
      </w:r>
    </w:p>
    <w:p>
      <w:pPr>
        <w:spacing w:after="0" w:line="117" w:lineRule="exact"/>
        <w:rPr>
          <w:rFonts w:ascii="Arial" w:cs="Arial" w:eastAsia="Arial" w:hAnsi="Arial"/>
          <w:sz w:val="18"/>
          <w:szCs w:val="18"/>
          <w:color w:val="auto"/>
        </w:rPr>
      </w:pPr>
    </w:p>
    <w:p>
      <w:pPr>
        <w:ind w:left="1300" w:hanging="1292"/>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(j)(1)</w:t>
            </w:r>
          </w:p>
        </w:tc>
        <w:tc>
          <w:tcPr>
            <w:tcW w:w="10520" w:type="dxa"/>
            <w:vAlign w:val="bottom"/>
          </w:tcPr>
          <w:p>
            <w:pPr>
              <w:ind w:left="440"/>
              <w:spacing w:after="0"/>
              <w:rPr>
                <w:sz w:val="20"/>
                <w:szCs w:val="20"/>
                <w:color w:val="auto"/>
              </w:rPr>
            </w:pPr>
            <w:r>
              <w:rPr>
                <w:rFonts w:ascii="Arial" w:cs="Arial" w:eastAsia="Arial" w:hAnsi="Arial"/>
                <w:sz w:val="18"/>
                <w:szCs w:val="18"/>
                <w:color w:val="auto"/>
                <w:w w:val="87"/>
              </w:rPr>
              <w:t>Custodian Agreement dated November 29, 2012 between TPG Specialty Lending, Inc. and State Street Bank and Trust Company (incorporated</w:t>
            </w:r>
          </w:p>
        </w:tc>
      </w:tr>
      <w:tr>
        <w:trPr>
          <w:trHeight w:val="222"/>
        </w:trPr>
        <w:tc>
          <w:tcPr>
            <w:tcW w:w="86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by reference to Exhibit 10.1 to the Company’s Current Report on Form 8-K filed on December 4, 2012)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(k)(1)</w:t>
            </w:r>
          </w:p>
        </w:tc>
        <w:tc>
          <w:tcPr>
            <w:tcW w:w="10520" w:type="dxa"/>
            <w:vAlign w:val="bottom"/>
          </w:tcPr>
          <w:p>
            <w:pPr>
              <w:ind w:left="440"/>
              <w:spacing w:after="0"/>
              <w:rPr>
                <w:sz w:val="20"/>
                <w:szCs w:val="20"/>
                <w:color w:val="auto"/>
              </w:rPr>
            </w:pPr>
            <w:r>
              <w:rPr>
                <w:rFonts w:ascii="Arial" w:cs="Arial" w:eastAsia="Arial" w:hAnsi="Arial"/>
                <w:sz w:val="18"/>
                <w:szCs w:val="18"/>
                <w:color w:val="auto"/>
                <w:w w:val="92"/>
              </w:rPr>
              <w:t>Form of Indemnification Agreement between the Company and certain officers and directors (incorporated by reference to Exhibit 10.3 to</w:t>
            </w:r>
          </w:p>
        </w:tc>
      </w:tr>
      <w:tr>
        <w:trPr>
          <w:trHeight w:val="222"/>
        </w:trPr>
        <w:tc>
          <w:tcPr>
            <w:tcW w:w="86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65"/>
        </w:trPr>
        <w:tc>
          <w:tcPr>
            <w:tcW w:w="86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Administration Agreement, dated as of March 15, 2011, between the Company and the Adviser (incorporated by reference to Exhibit 10.1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March 15,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(k)(3)</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Revolving Credit Agreement, dated September 28, 2011, among TPG Specialty Lending Inc., as Borrower, Deutsche Bank Trust Company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Americas, as Administrative Agent, and Lenders Party Thereto (incorporated by reference to Exhibit 10.1 to the Company’s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(k)(4)</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First Amendment to Revolving Credit Agreement, dated September 28, 2011, among TPG Specialty Lending, Inc., as Borrower, Deutsche Bank</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Trust Company Americas, as Administrative Agent, and Lenders Party Thereto (incorporated by reference to Exhibit 10.2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(k)(5)</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Revolving Credit Agreement, dated December 22, 2011, among TPG Specialty Lending, Inc., as Borrower, Deutsche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Bank Trust Company Americas, as Administrative Agent, and Lenders Party (incorporated by reference to Exhibit 10.6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Annual Report on Form 10-K filed on 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(k)(6)</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Revolving Credit and Security Agreement, dated May 8, 2012, among TPG SL SPV, LLC, as Borrower, the Lenders from Time to Time Parties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Hereto, Natixis, New York Branch, as Facility Agent and The Bank of New York Mellon Trust Company, N.A., as Collateral Agent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Master Sale and Contribution Agreement by and between TPG Specialty Lending, Inc., as the Originator and TPG SL SPV, LLC, as the Buyer,</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May 8, 2012 (incorporated by reference to Exhibit 10.2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(k)(8)</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Senior Secured Revolving Credit Agreement, dated as of August 23, 2012, among TPG Specialty Lending, Inc., as Borrower, the Lenders Party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Hereto and SunTrust Bank, as Administrative Agent,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First Amendment to Amended and Restated Revolving Credit Agreement, dated October 31, 2012,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10.2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(k)(10)</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Instrument of Removal, Appointment and Acceptance, dated November 29, 2012, among State Street Bank and Trust Company and TPG SL</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Second Amendment to Amended and Restated Revolving Credit Agreement, dated May 7,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May 10,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Amended and Restated Senior Secured Revolving Credit Agreement, dated as of July 2, 2013, among TPG Specialty Lending, Inc., the lenders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party thereto, SunTrust Bank as administrative agent and JPMorgan Chase Bank N.A. as syndication agent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 to the Company’s Current Report on Form 8-K filed on July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(k)(13)</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Amendment No. 1 dated July 17, 2013 to Revolving Credit and Security Agreement, dated May 8, 2012, among TPG SL SPV, LLC,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Borrower, the Lenders from Time to Time Parties Hereto, Natixis, New York Branch, as Facility Agent and The Bank of New York Mellon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Trust Company, N.A., as Collateral Agent (incorporated by reference to Exhibit 10.1 to the Company’s Quarterly Report on Form 10-Q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August 9, 2013)</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(k)(14)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Third Amendment to Amended and Restated Revolving Credit Agreement, dated November 5, 2013, among TPG Specialty Lending, Inc.,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November 7,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Revolving Credit and Security Agreement, dated as of January 21, 2014, among TPG SL SPV, LLC, as Borrower, the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Lenders from Time to Time Parties Hereto, Natixis, New York Branch, as Facility Agent and State Street Bank and Trust Company, as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Collateral Agent (incorporated by reference to Exhibit 10.18 to the Company’s Annual Report on Form 10-K filed on March 4, 2014)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Master Sale and Contribution Agreement by and between TPG Specialty Lending, Inc., as the Originator and TPG SL</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SPV, LLC, as the Buyer, dated as of January 21, 2014 (incorporated by reference to Exhibit 10.19 to the Company’s Annual Report on Form 10-</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K filed on March 4, 2014)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(k)(17)</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Amended and Restated Senior Secured Credit Agreement, dated February 27, 2014, among TPG Specialty Lending, Inc., as Borrower,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the Lenders Party Hereto and SunTrust Bank, as Administrative Agent, and JPMorgan Chase Bank, N.A., as Syndication Agent (incorporated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by reference to Exhibit 10.20 to the Company’s Annual Report on Form 10-K filed on March 4, 2014)</w:t>
            </w:r>
          </w:p>
        </w:tc>
      </w:tr>
    </w:tbl>
    <w:p>
      <w:pPr>
        <w:spacing w:after="0" w:line="102" w:lineRule="exact"/>
        <w:rPr>
          <w:sz w:val="20"/>
          <w:szCs w:val="20"/>
          <w:color w:val="auto"/>
        </w:rPr>
      </w:pPr>
    </w:p>
    <w:p>
      <w:pPr>
        <w:ind w:left="1260" w:hanging="1252"/>
        <w:spacing w:after="0"/>
        <w:tabs>
          <w:tab w:leader="none" w:pos="1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Form of Opinion and Consent of Cleary Gottlieb Steen &amp; Hamilton LLP (1)</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(n)(1)</w:t>
            </w:r>
          </w:p>
        </w:tc>
        <w:tc>
          <w:tcPr>
            <w:tcW w:w="4240" w:type="dxa"/>
            <w:vAlign w:val="bottom"/>
          </w:tcPr>
          <w:p>
            <w:pPr>
              <w:ind w:left="420"/>
              <w:spacing w:after="0"/>
              <w:rPr>
                <w:sz w:val="20"/>
                <w:szCs w:val="20"/>
                <w:color w:val="auto"/>
              </w:rPr>
            </w:pPr>
            <w:r>
              <w:rPr>
                <w:rFonts w:ascii="Arial" w:cs="Arial" w:eastAsia="Arial" w:hAnsi="Arial"/>
                <w:sz w:val="18"/>
                <w:szCs w:val="18"/>
                <w:color w:val="auto"/>
                <w:w w:val="90"/>
              </w:rPr>
              <w:t>Consent of Cleary Gottlieb Steen &amp; Hamilton LLP (1)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(n)(2)</w:t>
            </w:r>
          </w:p>
        </w:tc>
        <w:tc>
          <w:tcPr>
            <w:tcW w:w="4240" w:type="dxa"/>
            <w:vAlign w:val="bottom"/>
          </w:tcPr>
          <w:p>
            <w:pPr>
              <w:ind w:left="420"/>
              <w:spacing w:after="0"/>
              <w:rPr>
                <w:sz w:val="20"/>
                <w:szCs w:val="20"/>
                <w:color w:val="auto"/>
              </w:rPr>
            </w:pPr>
            <w:r>
              <w:rPr>
                <w:rFonts w:ascii="Arial" w:cs="Arial" w:eastAsia="Arial" w:hAnsi="Arial"/>
                <w:sz w:val="18"/>
                <w:szCs w:val="18"/>
                <w:color w:val="auto"/>
              </w:rPr>
              <w:t>Consent of KPMG LLP</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(n)(3)</w:t>
            </w:r>
          </w:p>
        </w:tc>
        <w:tc>
          <w:tcPr>
            <w:tcW w:w="4240" w:type="dxa"/>
            <w:vAlign w:val="bottom"/>
          </w:tcPr>
          <w:p>
            <w:pPr>
              <w:ind w:left="420"/>
              <w:spacing w:after="0"/>
              <w:rPr>
                <w:sz w:val="20"/>
                <w:szCs w:val="20"/>
                <w:color w:val="auto"/>
              </w:rPr>
            </w:pPr>
            <w:r>
              <w:rPr>
                <w:rFonts w:ascii="Arial" w:cs="Arial" w:eastAsia="Arial" w:hAnsi="Arial"/>
                <w:sz w:val="18"/>
                <w:szCs w:val="18"/>
                <w:color w:val="auto"/>
              </w:rPr>
              <w:t>Report of KPMG LLP (2)</w:t>
            </w:r>
          </w:p>
        </w:tc>
      </w:tr>
    </w:tbl>
    <w:p>
      <w:pPr>
        <w:spacing w:after="0" w:line="102" w:lineRule="exact"/>
        <w:rPr>
          <w:sz w:val="20"/>
          <w:szCs w:val="20"/>
          <w:color w:val="auto"/>
        </w:rPr>
      </w:pPr>
    </w:p>
    <w:p>
      <w:pPr>
        <w:ind w:left="1260" w:hanging="1252"/>
        <w:spacing w:after="0"/>
        <w:tabs>
          <w:tab w:leader="none" w:pos="1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Code of Ethics of TPG Specialty Lending, Inc. and TSL Advisers, LLC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“Underwriting” in this Registration Statement is incorporated herein by reference.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27.</w:t>
            </w:r>
          </w:p>
        </w:tc>
        <w:tc>
          <w:tcPr>
            <w:tcW w:w="930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Expenses of Issuance and Distribution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40" w:type="dxa"/>
            <w:vAlign w:val="bottom"/>
            <w:gridSpan w:val="2"/>
          </w:tcPr>
          <w:p>
            <w:pPr>
              <w:spacing w:after="0"/>
              <w:rPr>
                <w:sz w:val="17"/>
                <w:szCs w:val="17"/>
                <w:color w:val="auto"/>
              </w:rPr>
            </w:pPr>
          </w:p>
        </w:tc>
        <w:tc>
          <w:tcPr>
            <w:tcW w:w="9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21,028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Stock Exchange listing fees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350,000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2,000,000</w:t>
            </w:r>
            <w:r>
              <w:rPr>
                <w:rFonts w:ascii="Arial" w:cs="Arial" w:eastAsia="Arial" w:hAnsi="Arial"/>
                <w:sz w:val="11"/>
                <w:szCs w:val="11"/>
                <w:color w:val="auto"/>
                <w:w w:val="87"/>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350,000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221,346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auto"/>
                <w:w w:val="99"/>
              </w:rPr>
              <w:t>Total</w:t>
            </w:r>
          </w:p>
        </w:tc>
        <w:tc>
          <w:tcPr>
            <w:tcW w:w="30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3,000,000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of the expenses set forth above shall be borne by the Registrant.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0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 Holders of Securities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9740" w:type="dxa"/>
            <w:vAlign w:val="bottom"/>
            <w:gridSpan w:val="3"/>
          </w:tcPr>
          <w:p>
            <w:pPr>
              <w:ind w:left="460"/>
              <w:spacing w:after="0"/>
              <w:rPr>
                <w:sz w:val="20"/>
                <w:szCs w:val="20"/>
                <w:color w:val="auto"/>
              </w:rPr>
            </w:pPr>
            <w:r>
              <w:rPr>
                <w:rFonts w:ascii="Arial" w:cs="Arial" w:eastAsia="Arial" w:hAnsi="Arial"/>
                <w:sz w:val="18"/>
                <w:szCs w:val="18"/>
                <w:color w:val="auto"/>
                <w:w w:val="97"/>
              </w:rPr>
              <w:t>The following table sets forth the approximate number of record holders of our common stock as of December 31, 2013.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40" w:type="dxa"/>
            <w:vAlign w:val="bottom"/>
          </w:tcPr>
          <w:p>
            <w:pPr>
              <w:spacing w:after="0"/>
              <w:rPr>
                <w:sz w:val="20"/>
                <w:szCs w:val="20"/>
                <w:color w:val="auto"/>
              </w:rPr>
            </w:pPr>
            <w:r>
              <w:rPr>
                <w:rFonts w:ascii="Arial" w:cs="Arial" w:eastAsia="Arial" w:hAnsi="Arial"/>
                <w:sz w:val="14"/>
                <w:szCs w:val="14"/>
                <w:b w:val="1"/>
                <w:bCs w:val="1"/>
                <w:color w:val="auto"/>
                <w:w w:val="94"/>
              </w:rPr>
              <w:t>Title of Class</w:t>
            </w:r>
          </w:p>
        </w:tc>
        <w:tc>
          <w:tcPr>
            <w:tcW w:w="6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Delaware General Corporation Law.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Investment Advisory Agreement and the Administration Agreement provide that the Adviser and its members, managers, officers, employees, agents, controlling persons and any other person or entity affiliated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on March 28, 2013 (SEC File No. 801-72185), and is incorporated herein by reference.</w:t>
      </w: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5"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jc w:val="both"/>
        <w:ind w:left="460" w:right="160" w:hanging="452"/>
        <w:spacing w:after="0" w:line="259"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40"/>
          </w:cols>
          <w:pgMar w:left="240" w:top="460" w:right="3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14th day of March, 2014.</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1800"/>
        <w:spacing w:after="0"/>
        <w:tabs>
          <w:tab w:leader="none" w:pos="6540" w:val="left"/>
          <w:tab w:leader="none" w:pos="102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22"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Michael Fishman</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Joshua Easterly</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Alan Kirshenbaum</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A. Ross</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Richard A. Higginbotham</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Ronald K. Tanemura</w:t>
      </w:r>
    </w:p>
    <w:p>
      <w:pPr>
        <w:spacing w:after="0" w:line="200" w:lineRule="exact"/>
        <w:rPr>
          <w:sz w:val="20"/>
          <w:szCs w:val="20"/>
          <w:color w:val="auto"/>
        </w:rPr>
      </w:pPr>
    </w:p>
    <w:p>
      <w:pPr>
        <w:spacing w:after="0" w:line="22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Michael Fishman</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 and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Director and Chairman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Director and Chairman of the Audit Committee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March 14,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14, 2014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14,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14,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14,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14, 2014</w:t>
      </w:r>
    </w:p>
    <w:p>
      <w:pPr>
        <w:sectPr>
          <w:pgSz w:w="11900" w:h="16838" w:orient="portrait"/>
          <w:cols w:equalWidth="0" w:num="3">
            <w:col w:w="3560" w:space="720"/>
            <w:col w:w="4820" w:space="720"/>
            <w:col w:w="1340"/>
          </w:cols>
          <w:pgMar w:left="240" w:top="459" w:right="499"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consent to the use of our report dated March 4, 2014, with respect to the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and our report dated March 4, 2014 on the consolidated senior securities schedule of the Company included herein, and to the references to our firm under the headings “Senior Securities” and “Experts” in the prospectus.</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decimal"/>
      <w:start w:val="1"/>
    </w:lvl>
  </w:abstractNum>
  <w:abstractNum w:abstractNumId="2">
    <w:nsid w:val="1716703B"/>
    <w:multiLevelType w:val="hybridMultilevel"/>
    <w:lvl w:ilvl="0">
      <w:lvlJc w:val="left"/>
      <w:lvlText w:val="(%1)"/>
      <w:numFmt w:val="decimal"/>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lvl w:ilvl="1">
      <w:lvlJc w:val="left"/>
      <w:lvlText w:val="•"/>
      <w:numFmt w:val="bullet"/>
      <w:start w:val="1"/>
    </w:lvl>
  </w:abstractNum>
  <w:abstractNum w:abstractNumId="6">
    <w:nsid w:val="68EBC550"/>
    <w:multiLevelType w:val="hybridMultilevel"/>
    <w:lvl w:ilvl="0">
      <w:lvlJc w:val="left"/>
      <w:lvlText w:val="•"/>
      <w:numFmt w:val="bullet"/>
      <w:start w:val="1"/>
    </w:lvl>
    <w:lvl w:ilvl="1">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1)"/>
      <w:numFmt w:val="decimal"/>
      <w:start w:val="5"/>
    </w:lvl>
  </w:abstractNum>
  <w:abstractNum w:abstractNumId="16">
    <w:nsid w:val="7F01579B"/>
    <w:multiLevelType w:val="hybridMultilevel"/>
    <w:lvl w:ilvl="0">
      <w:lvlJc w:val="left"/>
      <w:lvlText w:val="(%1)"/>
      <w:numFmt w:val="decimal"/>
      <w:start w:val="1"/>
    </w:lvl>
  </w:abstractNum>
  <w:abstractNum w:abstractNumId="17">
    <w:nsid w:val="49DA307D"/>
    <w:multiLevelType w:val="hybridMultilevel"/>
    <w:lvl w:ilvl="0">
      <w:lvlJc w:val="left"/>
      <w:lvlText w:val="•"/>
      <w:numFmt w:val="bullet"/>
      <w:start w:val="1"/>
    </w:lvl>
    <w:lvl w:ilvl="1">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1)"/>
      <w:numFmt w:val="lowerRoman"/>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1)"/>
      <w:numFmt w:val="decimal"/>
      <w:start w:val="1"/>
    </w:lvl>
  </w:abstractNum>
  <w:abstractNum w:abstractNumId="31">
    <w:nsid w:val="555C55B5"/>
    <w:multiLevelType w:val="hybridMultilevel"/>
    <w:lvl w:ilvl="0">
      <w:lvlJc w:val="left"/>
      <w:lvlText w:val="(%1)"/>
      <w:numFmt w:val="decimal"/>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1)"/>
      <w:numFmt w:val="decimal"/>
      <w:start w:val="1"/>
    </w:lvl>
  </w:abstractNum>
  <w:abstractNum w:abstractNumId="34">
    <w:nsid w:val="6A3DD3E8"/>
    <w:multiLevelType w:val="hybridMultilevel"/>
    <w:lvl w:ilvl="0">
      <w:lvlJc w:val="left"/>
      <w:lvlText w:val="(%1)"/>
      <w:numFmt w:val="decimal"/>
      <w:start w:val="1"/>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1)"/>
      <w:numFmt w:val="decimal"/>
      <w:start w:val="1"/>
    </w:lvl>
  </w:abstractNum>
  <w:abstractNum w:abstractNumId="40">
    <w:nsid w:val="1D545C4D"/>
    <w:multiLevelType w:val="hybridMultilevel"/>
    <w:lvl w:ilvl="0">
      <w:lvlJc w:val="left"/>
      <w:lvlText w:val="•"/>
      <w:numFmt w:val="bullet"/>
      <w:start w:val="1"/>
    </w:lvl>
    <w:lvl w:ilvl="1">
      <w:lvlJc w:val="left"/>
      <w:lvlText w:val="º"/>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1)"/>
      <w:numFmt w:val="decimal"/>
      <w:start w:val="1"/>
    </w:lvl>
  </w:abstractNum>
  <w:abstractNum w:abstractNumId="43">
    <w:nsid w:val="2A155DBC"/>
    <w:multiLevelType w:val="hybridMultilevel"/>
    <w:lvl w:ilvl="0">
      <w:lvlJc w:val="left"/>
      <w:lvlText w:val="•"/>
      <w:numFmt w:val="bullet"/>
      <w:start w:val="1"/>
    </w:lvl>
    <w:lvl w:ilvl="1">
      <w:lvlJc w:val="left"/>
      <w:lvlText w:val="º"/>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1)"/>
      <w:numFmt w:val="decimal"/>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1)"/>
      <w:numFmt w:val="decimal"/>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lvl w:ilvl="1">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lvl w:ilvl="1">
      <w:lvlJc w:val="left"/>
      <w:lvlText w:val="•"/>
      <w:numFmt w:val="bullet"/>
      <w:start w:val="1"/>
    </w:lvl>
  </w:abstractNum>
  <w:abstractNum w:abstractNumId="64">
    <w:nsid w:val="4C9B0904"/>
    <w:multiLevelType w:val="hybridMultilevel"/>
    <w:lvl w:ilvl="0">
      <w:lvlJc w:val="left"/>
      <w:lvlText w:val="•"/>
      <w:numFmt w:val="bullet"/>
      <w:start w:val="1"/>
    </w:lvl>
    <w:lvl w:ilvl="1">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1)"/>
      <w:numFmt w:val="decimal"/>
      <w:start w:val="1"/>
    </w:lvl>
  </w:abstractNum>
  <w:abstractNum w:abstractNumId="67">
    <w:nsid w:val="5675FF36"/>
    <w:multiLevelType w:val="hybridMultilevel"/>
    <w:lvl w:ilvl="0">
      <w:lvlJc w:val="left"/>
      <w:lvlText w:val="(%1)"/>
      <w:numFmt w:val="decimal"/>
      <w:start w:val="1"/>
    </w:lvl>
  </w:abstractNum>
  <w:abstractNum w:abstractNumId="68">
    <w:nsid w:val="3DD15094"/>
    <w:multiLevelType w:val="hybridMultilevel"/>
    <w:lvl w:ilvl="0">
      <w:lvlJc w:val="left"/>
      <w:lvlText w:val="(%1)"/>
      <w:numFmt w:val="decimal"/>
      <w:start w:val="5"/>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1)"/>
      <w:numFmt w:val="lowerRoman"/>
      <w:start w:val="1"/>
    </w:lvl>
  </w:abstractNum>
  <w:abstractNum w:abstractNumId="79">
    <w:nsid w:val="2C6E4AFD"/>
    <w:multiLevelType w:val="hybridMultilevel"/>
    <w:lvl w:ilvl="0">
      <w:lvlJc w:val="left"/>
      <w:lvlText w:val="(%1)"/>
      <w:numFmt w:val="lowerRoman"/>
      <w:start w:val="2"/>
    </w:lvl>
  </w:abstractNum>
  <w:abstractNum w:abstractNumId="80">
    <w:nsid w:val="17A1B582"/>
    <w:multiLevelType w:val="hybridMultilevel"/>
    <w:lvl w:ilvl="0">
      <w:lvlJc w:val="left"/>
      <w:lvlText w:val="•"/>
      <w:numFmt w:val="bullet"/>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1)"/>
      <w:numFmt w:val="decimal"/>
    </w:lvl>
    <w:lvl w:ilvl="1">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1)"/>
      <w:numFmt w:val="decimal"/>
      <w:start w:val="1"/>
    </w:lvl>
  </w:abstractNum>
  <w:abstractNum w:abstractNumId="98">
    <w:nsid w:val="2E48F044"/>
    <w:multiLevelType w:val="hybridMultilevel"/>
    <w:lvl w:ilvl="0">
      <w:lvlJc w:val="left"/>
      <w:lvlText w:val="(%1)"/>
      <w:numFmt w:val="decimal"/>
      <w:start w:val="3"/>
    </w:lvl>
  </w:abstractNum>
  <w:abstractNum w:abstractNumId="99">
    <w:nsid w:val="49D0FEAC"/>
    <w:multiLevelType w:val="hybridMultilevel"/>
    <w:lvl w:ilvl="0">
      <w:lvlJc w:val="left"/>
      <w:lvlText w:val="(%1)"/>
      <w:numFmt w:val="decimal"/>
      <w:start w:val="8"/>
    </w:lvl>
  </w:abstractNum>
  <w:abstractNum w:abstractNumId="100">
    <w:nsid w:val="4BEE5A5B"/>
    <w:multiLevelType w:val="hybridMultilevel"/>
    <w:lvl w:ilvl="0">
      <w:lvlJc w:val="left"/>
      <w:lvlText w:val="(%1)"/>
      <w:numFmt w:val="decimal"/>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lvl w:ilvl="1">
      <w:lvlJc w:val="left"/>
      <w:lvlText w:val="•"/>
      <w:numFmt w:val="bullet"/>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
      <w:numFmt w:val="bullet"/>
      <w:start w:val="1"/>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1)"/>
      <w:numFmt w:val="lowerRoman"/>
      <w:start w:val="1"/>
    </w:lvl>
  </w:abstractNum>
  <w:abstractNum w:abstractNumId="111">
    <w:nsid w:val="1816F8C4"/>
    <w:multiLevelType w:val="hybridMultilevel"/>
    <w:lvl w:ilvl="0">
      <w:lvlJc w:val="left"/>
      <w:lvlText w:val="•"/>
      <w:numFmt w:val="bullet"/>
      <w:start w:val="1"/>
    </w:lvl>
  </w:abstractNum>
  <w:abstractNum w:abstractNumId="112">
    <w:nsid w:val="37DF2233"/>
    <w:multiLevelType w:val="hybridMultilevel"/>
    <w:lvl w:ilvl="0">
      <w:lvlJc w:val="left"/>
      <w:lvlText w:val="•"/>
      <w:numFmt w:val="bullet"/>
      <w:start w:val="1"/>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
      <w:numFmt w:val="bullet"/>
      <w:start w:val="1"/>
    </w:lvl>
  </w:abstractNum>
  <w:abstractNum w:abstractNumId="120">
    <w:nsid w:val="631B64D4"/>
    <w:multiLevelType w:val="hybridMultilevel"/>
    <w:lvl w:ilvl="0">
      <w:lvlJc w:val="left"/>
      <w:lvlText w:val="•"/>
      <w:numFmt w:val="bullet"/>
      <w:start w:val="1"/>
    </w:lvl>
  </w:abstractNum>
  <w:abstractNum w:abstractNumId="121">
    <w:nsid w:val="78B5E776"/>
    <w:multiLevelType w:val="hybridMultilevel"/>
    <w:lvl w:ilvl="0">
      <w:lvlJc w:val="left"/>
      <w:lvlText w:val="•"/>
      <w:numFmt w:val="bullet"/>
      <w:start w:val="1"/>
    </w:lvl>
  </w:abstractNum>
  <w:abstractNum w:abstractNumId="122">
    <w:nsid w:val="75486E47"/>
    <w:multiLevelType w:val="hybridMultilevel"/>
    <w:lvl w:ilvl="0">
      <w:lvlJc w:val="left"/>
      <w:lvlText w:val="(%1)"/>
      <w:numFmt w:val="decimal"/>
      <w:start w:val="1"/>
    </w:lvl>
  </w:abstractNum>
  <w:abstractNum w:abstractNumId="123">
    <w:nsid w:val="6E534CDE"/>
    <w:multiLevelType w:val="hybridMultilevel"/>
    <w:lvl w:ilvl="0">
      <w:lvlJc w:val="left"/>
      <w:lvlText w:val="(%1)"/>
      <w:numFmt w:val="decimal"/>
      <w:start w:val="1"/>
    </w:lvl>
  </w:abstractNum>
  <w:abstractNum w:abstractNumId="124">
    <w:nsid w:val="1A0DDE32"/>
    <w:multiLevelType w:val="hybridMultilevel"/>
    <w:lvl w:ilvl="0">
      <w:lvlJc w:val="left"/>
      <w:lvlText w:val="(%1)"/>
      <w:numFmt w:val="decimal"/>
      <w:start w:val="1"/>
    </w:lvl>
  </w:abstractNum>
  <w:abstractNum w:abstractNumId="125">
    <w:nsid w:val="65968C1C"/>
    <w:multiLevelType w:val="hybridMultilevel"/>
    <w:lvl w:ilvl="0">
      <w:lvlJc w:val="left"/>
      <w:lvlText w:val="(%1)"/>
      <w:numFmt w:val="decimal"/>
      <w:start w:val="3"/>
    </w:lvl>
  </w:abstractNum>
  <w:abstractNum w:abstractNumId="126">
    <w:nsid w:val="46263DEC"/>
    <w:multiLevelType w:val="hybridMultilevel"/>
    <w:lvl w:ilvl="0">
      <w:lvlJc w:val="left"/>
      <w:lvlText w:val="(%1)"/>
      <w:numFmt w:val="decimal"/>
      <w:start w:val="1"/>
    </w:lvl>
  </w:abstractNum>
  <w:abstractNum w:abstractNumId="127">
    <w:nsid w:val="260D8C4A"/>
    <w:multiLevelType w:val="hybridMultilevel"/>
    <w:lvl w:ilvl="0">
      <w:lvlJc w:val="left"/>
      <w:lvlText w:val="%1."/>
      <w:numFmt w:val="decimal"/>
      <w:start w:val="1"/>
    </w:lvl>
  </w:abstractNum>
  <w:abstractNum w:abstractNumId="128">
    <w:nsid w:val="73D4D3C4"/>
    <w:multiLevelType w:val="hybridMultilevel"/>
    <w:lvl w:ilvl="0">
      <w:lvlJc w:val="left"/>
      <w:lvlText w:val="%1."/>
      <w:numFmt w:val="decimal"/>
      <w:start w:val="2"/>
    </w:lvl>
  </w:abstractNum>
  <w:abstractNum w:abstractNumId="129">
    <w:nsid w:val="746F2E30"/>
    <w:multiLevelType w:val="hybridMultilevel"/>
    <w:lvl w:ilvl="0">
      <w:lvlJc w:val="left"/>
      <w:lvlText w:val="•"/>
      <w:numFmt w:val="bullet"/>
      <w:start w:val="1"/>
    </w:lvl>
  </w:abstractNum>
  <w:abstractNum w:abstractNumId="130">
    <w:nsid w:val="6FDE8AF6"/>
    <w:multiLevelType w:val="hybridMultilevel"/>
    <w:lvl w:ilvl="0">
      <w:lvlJc w:val="left"/>
      <w:lvlText w:val="•"/>
      <w:numFmt w:val="bullet"/>
      <w:start w:val="1"/>
    </w:lvl>
  </w:abstractNum>
  <w:abstractNum w:abstractNumId="131">
    <w:nsid w:val="3FC32E20"/>
    <w:multiLevelType w:val="hybridMultilevel"/>
    <w:lvl w:ilvl="0">
      <w:lvlJc w:val="left"/>
      <w:lvlText w:val="•"/>
      <w:numFmt w:val="bullet"/>
      <w:start w:val="1"/>
    </w:lvl>
  </w:abstractNum>
  <w:abstractNum w:abstractNumId="132">
    <w:nsid w:val="49C0E823"/>
    <w:multiLevelType w:val="hybridMultilevel"/>
    <w:lvl w:ilvl="0">
      <w:lvlJc w:val="left"/>
      <w:lvlText w:val="%1."/>
      <w:numFmt w:val="decimal"/>
      <w:start w:val="3"/>
    </w:lvl>
  </w:abstractNum>
  <w:abstractNum w:abstractNumId="133">
    <w:nsid w:val="14D53685"/>
    <w:multiLevelType w:val="hybridMultilevel"/>
    <w:lvl w:ilvl="0">
      <w:lvlJc w:val="left"/>
      <w:lvlText w:val="(%1)"/>
      <w:numFmt w:val="lowerRoman"/>
      <w:start w:val="1"/>
    </w:lvl>
  </w:abstractNum>
  <w:abstractNum w:abstractNumId="134">
    <w:nsid w:val="230F856C"/>
    <w:multiLevelType w:val="hybridMultilevel"/>
    <w:lvl w:ilvl="0">
      <w:lvlJc w:val="left"/>
      <w:lvlText w:val="(%1)"/>
      <w:numFmt w:val="lowerRoman"/>
      <w:start w:val="2"/>
    </w:lvl>
  </w:abstractNum>
  <w:abstractNum w:abstractNumId="135">
    <w:nsid w:val="6EAA85FB"/>
    <w:multiLevelType w:val="hybridMultilevel"/>
    <w:lvl w:ilvl="0">
      <w:lvlJc w:val="left"/>
      <w:lvlText w:val="(%1)"/>
      <w:numFmt w:val="decimal"/>
      <w:start w:val="1"/>
    </w:lvl>
  </w:abstractNum>
  <w:abstractNum w:abstractNumId="136">
    <w:nsid w:val="3F06ECB2"/>
    <w:multiLevelType w:val="hybridMultilevel"/>
    <w:lvl w:ilvl="0">
      <w:lvlJc w:val="left"/>
      <w:lvlText w:val="%1."/>
      <w:numFmt w:val="decimal"/>
      <w:start w:val="5"/>
    </w:lvl>
  </w:abstractNum>
  <w:abstractNum w:abstractNumId="137">
    <w:nsid w:val="3B594807"/>
    <w:multiLevelType w:val="hybridMultilevel"/>
    <w:lvl w:ilvl="0">
      <w:lvlJc w:val="left"/>
      <w:lvlText w:val="%1."/>
      <w:numFmt w:val="decimal"/>
      <w:start w:val="6"/>
    </w:lvl>
  </w:abstractNum>
  <w:abstractNum w:abstractNumId="138">
    <w:nsid w:val="6CAA2304"/>
    <w:multiLevelType w:val="hybridMultilevel"/>
    <w:lvl w:ilvl="0">
      <w:lvlJc w:val="left"/>
      <w:lvlText w:val="(%1)"/>
      <w:numFmt w:val="decimal"/>
      <w:start w:val="1"/>
    </w:lvl>
  </w:abstractNum>
  <w:abstractNum w:abstractNumId="139">
    <w:nsid w:val="3F7C2FF4"/>
    <w:multiLevelType w:val="hybridMultilevel"/>
    <w:lvl w:ilvl="0">
      <w:lvlJc w:val="left"/>
      <w:lvlText w:val="(%1)"/>
      <w:numFmt w:val="decimal"/>
      <w:start w:val="1"/>
    </w:lvl>
  </w:abstractNum>
  <w:abstractNum w:abstractNumId="140">
    <w:nsid w:val="25413BEC"/>
    <w:multiLevelType w:val="hybridMultilevel"/>
    <w:lvl w:ilvl="0">
      <w:lvlJc w:val="left"/>
      <w:lvlText w:val="•"/>
      <w:numFmt w:val="bullet"/>
      <w:start w:val="1"/>
    </w:lvl>
    <w:lvl w:ilvl="1">
      <w:lvlJc w:val="left"/>
      <w:lvlText w:val="•"/>
      <w:numFmt w:val="bullet"/>
      <w:start w:val="1"/>
    </w:lvl>
  </w:abstractNum>
  <w:abstractNum w:abstractNumId="141">
    <w:nsid w:val="17180B0B"/>
    <w:multiLevelType w:val="hybridMultilevel"/>
    <w:lvl w:ilvl="0">
      <w:lvlJc w:val="left"/>
      <w:lvlText w:val="•"/>
      <w:numFmt w:val="bullet"/>
      <w:start w:val="1"/>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1."/>
      <w:numFmt w:val="decimal"/>
      <w:start w:val="8"/>
    </w:lvl>
  </w:abstractNum>
  <w:abstractNum w:abstractNumId="144">
    <w:nsid w:val="11CCA8BA"/>
    <w:multiLevelType w:val="hybridMultilevel"/>
    <w:lvl w:ilvl="0">
      <w:lvlJc w:val="left"/>
      <w:lvlText w:val="(%1)"/>
      <w:numFmt w:val="decimal"/>
      <w:start w:val="1"/>
    </w:lvl>
  </w:abstractNum>
  <w:abstractNum w:abstractNumId="145">
    <w:nsid w:val="4D32AB86"/>
    <w:multiLevelType w:val="hybridMultilevel"/>
    <w:lvl w:ilvl="0">
      <w:lvlJc w:val="left"/>
      <w:lvlText w:val="(%1)"/>
      <w:numFmt w:val="decimal"/>
      <w:start w:val="1"/>
    </w:lvl>
  </w:abstractNum>
  <w:abstractNum w:abstractNumId="146">
    <w:nsid w:val="3F07ACC3"/>
    <w:multiLevelType w:val="hybridMultilevel"/>
    <w:lvl w:ilvl="0">
      <w:lvlJc w:val="left"/>
      <w:lvlText w:val="(%1)"/>
      <w:numFmt w:val="decimal"/>
      <w:start w:val="1"/>
    </w:lvl>
  </w:abstractNum>
  <w:abstractNum w:abstractNumId="147">
    <w:nsid w:val="6B47F63E"/>
    <w:multiLevelType w:val="hybridMultilevel"/>
    <w:lvl w:ilvl="0">
      <w:lvlJc w:val="left"/>
      <w:lvlText w:val="(%1)"/>
      <w:numFmt w:val="decimal"/>
      <w:start w:val="1"/>
    </w:lvl>
  </w:abstractNum>
  <w:abstractNum w:abstractNumId="148">
    <w:nsid w:val="5CB44A05"/>
    <w:multiLevelType w:val="hybridMultilevel"/>
    <w:lvl w:ilvl="0">
      <w:lvlJc w:val="left"/>
      <w:lvlText w:val="(%1)"/>
      <w:numFmt w:val="decimal"/>
      <w:start w:val="1"/>
    </w:lvl>
  </w:abstractNum>
  <w:abstractNum w:abstractNumId="149">
    <w:nsid w:val="16CF80F1"/>
    <w:multiLevelType w:val="hybridMultilevel"/>
    <w:lvl w:ilvl="0">
      <w:lvlJc w:val="left"/>
      <w:lvlText w:val="(%1)"/>
      <w:numFmt w:val="decimal"/>
      <w:start w:val="1"/>
    </w:lvl>
  </w:abstractNum>
  <w:abstractNum w:abstractNumId="150">
    <w:nsid w:val="1C695DEC"/>
    <w:multiLevelType w:val="hybridMultilevel"/>
    <w:lvl w:ilvl="0">
      <w:lvlJc w:val="left"/>
      <w:lvlText w:val="(%1)"/>
      <w:numFmt w:val="decimal"/>
      <w:start w:val="1"/>
    </w:lvl>
  </w:abstractNum>
  <w:abstractNum w:abstractNumId="151">
    <w:nsid w:val="3FCFAED9"/>
    <w:multiLevelType w:val="hybridMultilevel"/>
    <w:lvl w:ilvl="0">
      <w:lvlJc w:val="left"/>
      <w:lvlText w:val="(%1)"/>
      <w:numFmt w:val="decimal"/>
      <w:start w:val="1"/>
    </w:lvl>
  </w:abstractNum>
  <w:abstractNum w:abstractNumId="152">
    <w:nsid w:val="F856867"/>
    <w:multiLevelType w:val="hybridMultilevel"/>
    <w:lvl w:ilvl="0">
      <w:lvlJc w:val="left"/>
      <w:lvlText w:val="%1"/>
      <w:numFmt w:val="upperLetter"/>
      <w:start w:val="53"/>
    </w:lvl>
  </w:abstractNum>
  <w:abstractNum w:abstractNumId="153">
    <w:nsid w:val="11B1CC33"/>
    <w:multiLevelType w:val="hybridMultilevel"/>
    <w:lvl w:ilvl="0">
      <w:lvlJc w:val="left"/>
      <w:lvlText w:val="%1"/>
      <w:numFmt w:val="upperLetter"/>
      <w:start w:val="27"/>
    </w:lvl>
  </w:abstractNum>
  <w:abstractNum w:abstractNumId="154">
    <w:nsid w:val="2E22FBB7"/>
    <w:multiLevelType w:val="hybridMultilevel"/>
    <w:lvl w:ilvl="0">
      <w:lvlJc w:val="left"/>
      <w:lvlText w:val="%1"/>
      <w:numFmt w:val="upperLetter"/>
      <w:start w:val="54"/>
    </w:lvl>
  </w:abstractNum>
  <w:abstractNum w:abstractNumId="155">
    <w:nsid w:val="29934699"/>
    <w:multiLevelType w:val="hybridMultilevel"/>
    <w:lvl w:ilvl="0">
      <w:lvlJc w:val="left"/>
      <w:lvlText w:val="%1"/>
      <w:numFmt w:val="upperLetter"/>
      <w:start w:val="28"/>
    </w:lvl>
  </w:abstractNum>
  <w:abstractNum w:abstractNumId="156">
    <w:nsid w:val="77485850"/>
    <w:multiLevelType w:val="hybridMultilevel"/>
    <w:lvl w:ilvl="0">
      <w:lvlJc w:val="left"/>
      <w:lvlText w:val="%1"/>
      <w:numFmt w:val="upperLetter"/>
      <w:start w:val="55"/>
    </w:lvl>
  </w:abstractNum>
  <w:abstractNum w:abstractNumId="157">
    <w:nsid w:val="744939A3"/>
    <w:multiLevelType w:val="hybridMultilevel"/>
    <w:lvl w:ilvl="0">
      <w:lvlJc w:val="left"/>
      <w:lvlText w:val="%1"/>
      <w:numFmt w:val="upperLetter"/>
      <w:start w:val="29"/>
    </w:lvl>
  </w:abstractNum>
  <w:abstractNum w:abstractNumId="158">
    <w:nsid w:val="4FA0D2E3"/>
    <w:multiLevelType w:val="hybridMultilevel"/>
    <w:lvl w:ilvl="0">
      <w:lvlJc w:val="left"/>
      <w:lvlText w:val="%1"/>
      <w:numFmt w:val="upperLetter"/>
      <w:start w:val="53"/>
    </w:lvl>
  </w:abstractNum>
  <w:abstractNum w:abstractNumId="159">
    <w:nsid w:val="6B1D2C14"/>
    <w:multiLevelType w:val="hybridMultilevel"/>
    <w:lvl w:ilvl="0">
      <w:lvlJc w:val="left"/>
      <w:lvlText w:val="%1"/>
      <w:numFmt w:val="upperLetter"/>
      <w:start w:val="27"/>
    </w:lvl>
  </w:abstractNum>
  <w:abstractNum w:abstractNumId="160">
    <w:nsid w:val="68B867D3"/>
    <w:multiLevelType w:val="hybridMultilevel"/>
    <w:lvl w:ilvl="0">
      <w:lvlJc w:val="left"/>
      <w:lvlText w:val="%1"/>
      <w:numFmt w:val="upperLetter"/>
      <w:start w:val="54"/>
    </w:lvl>
  </w:abstractNum>
  <w:abstractNum w:abstractNumId="161">
    <w:nsid w:val="3F7F5DD9"/>
    <w:multiLevelType w:val="hybridMultilevel"/>
    <w:lvl w:ilvl="0">
      <w:lvlJc w:val="left"/>
      <w:lvlText w:val="%1"/>
      <w:numFmt w:val="upperLetter"/>
      <w:start w:val="28"/>
    </w:lvl>
  </w:abstractNum>
  <w:abstractNum w:abstractNumId="162">
    <w:nsid w:val="2AE05A34"/>
    <w:multiLevelType w:val="hybridMultilevel"/>
    <w:lvl w:ilvl="0">
      <w:lvlJc w:val="left"/>
      <w:lvlText w:val="%1"/>
      <w:numFmt w:val="upperLetter"/>
      <w:start w:val="55"/>
    </w:lvl>
  </w:abstractNum>
  <w:abstractNum w:abstractNumId="163">
    <w:nsid w:val="32794FF7"/>
    <w:multiLevelType w:val="hybridMultilevel"/>
    <w:lvl w:ilvl="0">
      <w:lvlJc w:val="left"/>
      <w:lvlText w:val="%1"/>
      <w:numFmt w:val="upperLetter"/>
      <w:start w:val="29"/>
    </w:lvl>
  </w:abstractNum>
  <w:abstractNum w:abstractNumId="164">
    <w:nsid w:val="5454945E"/>
    <w:multiLevelType w:val="hybridMultilevel"/>
    <w:lvl w:ilvl="0">
      <w:lvlJc w:val="left"/>
      <w:lvlText w:val="(%1)"/>
      <w:numFmt w:val="decimal"/>
      <w:start w:val="2"/>
    </w:lvl>
  </w:abstractNum>
  <w:abstractNum w:abstractNumId="165">
    <w:nsid w:val="4DEFDFA0"/>
    <w:multiLevelType w:val="hybridMultilevel"/>
    <w:lvl w:ilvl="0">
      <w:lvlJc w:val="left"/>
      <w:lvlText w:val="(%1)"/>
      <w:numFmt w:val="lowerLetter"/>
      <w:start w:val="2"/>
    </w:lvl>
  </w:abstractNum>
  <w:abstractNum w:abstractNumId="166">
    <w:nsid w:val="2123D5F2"/>
    <w:multiLevelType w:val="hybridMultilevel"/>
    <w:lvl w:ilvl="0">
      <w:lvlJc w:val="left"/>
      <w:lvlText w:val="(%1)"/>
      <w:numFmt w:val="lowerLetter"/>
      <w:start w:val="5"/>
    </w:lvl>
  </w:abstractNum>
  <w:abstractNum w:abstractNumId="167">
    <w:nsid w:val="135B8110"/>
    <w:multiLevelType w:val="hybridMultilevel"/>
    <w:lvl w:ilvl="0">
      <w:lvlJc w:val="left"/>
      <w:lvlText w:val="(%1)"/>
      <w:numFmt w:val="lowerLetter"/>
      <w:start w:val="12"/>
    </w:lvl>
  </w:abstractNum>
  <w:abstractNum w:abstractNumId="168">
    <w:nsid w:val="94927A8"/>
    <w:multiLevelType w:val="hybridMultilevel"/>
    <w:lvl w:ilvl="0">
      <w:lvlJc w:val="left"/>
      <w:lvlText w:val="(%1)"/>
      <w:numFmt w:val="lowerLetter"/>
      <w:start w:val="15"/>
    </w:lvl>
  </w:abstractNum>
  <w:abstractNum w:abstractNumId="169">
    <w:nsid w:val="DCDF8F6"/>
    <w:multiLevelType w:val="hybridMultilevel"/>
    <w:lvl w:ilvl="0">
      <w:lvlJc w:val="left"/>
      <w:lvlText w:val="(%1)"/>
      <w:numFmt w:val="decimal"/>
      <w:start w:val="1"/>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2019-12-07T23:53:03Z</dcterms:created>
  <dcterms:modified xsi:type="dcterms:W3CDTF">2019-12-07T23:53:03Z</dcterms:modified>
</cp:coreProperties>
</file>