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tabs>
          <w:tab w:leader="none" w:pos="300" w:val="left"/>
          <w:tab w:leader="none" w:pos="30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n/a</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3780790</wp:posOffset>
            </wp:positionH>
            <wp:positionV relativeFrom="paragraph">
              <wp:posOffset>-19050</wp:posOffset>
            </wp:positionV>
            <wp:extent cx="438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815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TPG Speciality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Calendar Year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340" w:right="9880" w:hanging="8"/>
        <w:spacing w:after="0" w:line="598" w:lineRule="auto"/>
        <w:tabs>
          <w:tab w:leader="none" w:pos="5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spacing w:after="0" w:line="1" w:lineRule="exact"/>
        <w:rPr>
          <w:rFonts w:ascii="Arial" w:cs="Arial" w:eastAsia="Arial" w:hAnsi="Arial"/>
          <w:sz w:val="16"/>
          <w:szCs w:val="16"/>
          <w:color w:val="auto"/>
        </w:rPr>
      </w:pPr>
    </w:p>
    <w:p>
      <w:pPr>
        <w:ind w:left="520" w:hanging="188"/>
        <w:spacing w:after="0"/>
        <w:tabs>
          <w:tab w:leader="none" w:pos="5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52" w:lineRule="exact"/>
        <w:rPr>
          <w:rFonts w:ascii="Arial" w:cs="Arial" w:eastAsia="Arial" w:hAnsi="Arial"/>
          <w:sz w:val="18"/>
          <w:szCs w:val="18"/>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134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869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00" w:right="5140" w:hanging="406"/>
        <w:spacing w:after="0" w:line="257" w:lineRule="auto"/>
        <w:tabs>
          <w:tab w:leader="none" w:pos="7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SILVER CREEK CAPITAL MANAGEMENT LLC</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ind w:left="320"/>
              <w:spacing w:after="0"/>
              <w:rPr>
                <w:sz w:val="20"/>
                <w:szCs w:val="20"/>
                <w:color w:val="auto"/>
              </w:rPr>
            </w:pPr>
            <w:r>
              <w:rPr>
                <w:rFonts w:ascii="Arial" w:cs="Arial" w:eastAsia="Arial" w:hAnsi="Arial"/>
                <w:sz w:val="18"/>
                <w:szCs w:val="18"/>
                <w:b w:val="1"/>
                <w:bCs w:val="1"/>
                <w:color w:val="auto"/>
                <w:w w:val="79"/>
              </w:rPr>
              <w:t>2</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(a)</w:t>
            </w:r>
          </w:p>
        </w:tc>
        <w:tc>
          <w:tcPr>
            <w:tcW w:w="660" w:type="dxa"/>
            <w:vAlign w:val="bottom"/>
            <w:vMerge w:val="restart"/>
          </w:tcPr>
          <w:p>
            <w:pPr>
              <w:ind w:left="80"/>
              <w:spacing w:after="0"/>
              <w:rPr>
                <w:sz w:val="20"/>
                <w:szCs w:val="20"/>
                <w:color w:val="auto"/>
              </w:rPr>
            </w:pPr>
            <w:r>
              <w:rPr>
                <w:rFonts w:ascii="Arial" w:cs="Arial" w:eastAsia="Arial" w:hAnsi="Arial"/>
                <w:sz w:val="18"/>
                <w:szCs w:val="18"/>
                <w:color w:val="auto"/>
              </w:rPr>
              <w:t>o</w:t>
            </w:r>
          </w:p>
        </w:tc>
        <w:tc>
          <w:tcPr>
            <w:tcW w:w="6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3</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4</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w w:val="92"/>
              </w:rPr>
              <w:t>Washington</w:t>
            </w: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5</w:t>
            </w:r>
          </w:p>
        </w:tc>
        <w:tc>
          <w:tcPr>
            <w:tcW w:w="91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8"/>
                <w:szCs w:val="18"/>
                <w:color w:val="auto"/>
              </w:rPr>
              <w:t>NUMBER OF</w:t>
            </w:r>
          </w:p>
        </w:tc>
        <w:tc>
          <w:tcPr>
            <w:tcW w:w="68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vMerge w:val="continue"/>
          </w:tcPr>
          <w:p>
            <w:pPr>
              <w:spacing w:after="0"/>
              <w:rPr>
                <w:sz w:val="17"/>
                <w:szCs w:val="17"/>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6</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7</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8</w:t>
            </w:r>
          </w:p>
        </w:tc>
        <w:tc>
          <w:tcPr>
            <w:tcW w:w="91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9120" w:type="dxa"/>
            <w:vAlign w:val="bottom"/>
            <w:vMerge w:val="restart"/>
          </w:tcPr>
          <w:p>
            <w:pPr>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9</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18893</w:t>
            </w: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32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3.74%</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IA , IA</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This Schedule 13G is being filed pursuant to Rule 13d-1(c) under the Securities Exchange Act of 1934, as amended (the "Exchange Act"), on behalf of Silver Creek Capital Management LLC, a Washington limited liability company ("Silver Creek Capital"), Silver Creek Advisory Partners LLC, a Delaware limited liability company("Silver Creek Partners") and the following private investment funds they manage (together, the "Funds"): Silver Creek Special Opportunities Fund III, L.P., a Delaware limited partnership ("SO3"); Silver Creek Special Opportunities Fund Cayman III, L.P., a Cayman Islands exempted limied partnership ("SO3C"); Silver Creek Credit Opportunities II Fund A, L.P, a Cayman Islands exempted limited partnership ("CO2A"); and Silver Creek Credit Opportunities III Fund B, L.P., a Cayman Islands exempted limited partnership ("CO3B") (together, the "Funds", Silver Creek Capital and Silver Creek Partners, each a "Reporting Person"). Silver Creek Capital serves as the investment adviser for SO3 and SO3C. Silver Creek Partners serves as the investment adviser for CO2A and CO3B. Each of Silver Creek Capital and Silver Creek Partners is also the investment manager or adviser to a variety of other private investment funds not including the Funds. This Schedule 13G relates to the Common Stock, par value $.01 per share, of TPG Specialty Lending, Inc.(the "Company"). Unless the context otherwise requires, references herein to the "Common Stock" are to such Common Stock of the Company. The Funds directly own the Common Stock to which this Schedule 13G relates, and each of Silver Creek Capital and Silver Creek Partners may be deemed to have beneficial ownership over such Common Stock by virtue of the authority granted to them by the respective Funds that they advise to vote and to dispose of the securities held by such Funds, including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134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869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00" w:right="5140" w:hanging="406"/>
        <w:spacing w:after="0" w:line="257"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Silver Creek Advisory Partners LLC</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ind w:left="320"/>
              <w:spacing w:after="0"/>
              <w:rPr>
                <w:sz w:val="20"/>
                <w:szCs w:val="20"/>
                <w:color w:val="auto"/>
              </w:rPr>
            </w:pPr>
            <w:r>
              <w:rPr>
                <w:rFonts w:ascii="Arial" w:cs="Arial" w:eastAsia="Arial" w:hAnsi="Arial"/>
                <w:sz w:val="18"/>
                <w:szCs w:val="18"/>
                <w:b w:val="1"/>
                <w:bCs w:val="1"/>
                <w:color w:val="auto"/>
                <w:w w:val="79"/>
              </w:rPr>
              <w:t>2</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(a)</w:t>
            </w:r>
          </w:p>
        </w:tc>
        <w:tc>
          <w:tcPr>
            <w:tcW w:w="660" w:type="dxa"/>
            <w:vAlign w:val="bottom"/>
            <w:vMerge w:val="restart"/>
          </w:tcPr>
          <w:p>
            <w:pPr>
              <w:ind w:left="80"/>
              <w:spacing w:after="0"/>
              <w:rPr>
                <w:sz w:val="20"/>
                <w:szCs w:val="20"/>
                <w:color w:val="auto"/>
              </w:rPr>
            </w:pPr>
            <w:r>
              <w:rPr>
                <w:rFonts w:ascii="Arial" w:cs="Arial" w:eastAsia="Arial" w:hAnsi="Arial"/>
                <w:sz w:val="18"/>
                <w:szCs w:val="18"/>
                <w:color w:val="auto"/>
              </w:rPr>
              <w:t>o</w:t>
            </w:r>
          </w:p>
        </w:tc>
        <w:tc>
          <w:tcPr>
            <w:tcW w:w="6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3</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4</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5</w:t>
            </w:r>
          </w:p>
        </w:tc>
        <w:tc>
          <w:tcPr>
            <w:tcW w:w="91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8"/>
                <w:szCs w:val="18"/>
                <w:color w:val="auto"/>
              </w:rPr>
              <w:t>NUMBER OF</w:t>
            </w:r>
          </w:p>
        </w:tc>
        <w:tc>
          <w:tcPr>
            <w:tcW w:w="68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vMerge w:val="continue"/>
          </w:tcPr>
          <w:p>
            <w:pPr>
              <w:spacing w:after="0"/>
              <w:rPr>
                <w:sz w:val="17"/>
                <w:szCs w:val="17"/>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6</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7</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8</w:t>
            </w:r>
          </w:p>
        </w:tc>
        <w:tc>
          <w:tcPr>
            <w:tcW w:w="91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9120" w:type="dxa"/>
            <w:vAlign w:val="bottom"/>
            <w:vMerge w:val="restart"/>
          </w:tcPr>
          <w:p>
            <w:pPr>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9</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11854</w:t>
            </w: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32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2.35%</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IA , IA</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134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869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00" w:right="5140" w:hanging="406"/>
        <w:spacing w:after="0" w:line="257" w:lineRule="auto"/>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Silver Creek Credit Opportunities II Fund A, L.P.</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2</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(a)</w:t>
            </w: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auto"/>
              </w:rPr>
              <w:t>o</w:t>
            </w:r>
          </w:p>
        </w:tc>
        <w:tc>
          <w:tcPr>
            <w:tcW w:w="4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x</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3</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4</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8"/>
                <w:szCs w:val="18"/>
                <w:color w:val="auto"/>
                <w:w w:val="89"/>
              </w:rPr>
              <w:t>Cayman Islands</w:t>
            </w: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5</w:t>
            </w:r>
          </w:p>
        </w:tc>
        <w:tc>
          <w:tcPr>
            <w:tcW w:w="91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8"/>
                <w:szCs w:val="18"/>
                <w:color w:val="auto"/>
              </w:rPr>
              <w:t>NUMBER OF</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6</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7"/>
                <w:szCs w:val="17"/>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7</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REPORTING</w:t>
            </w:r>
          </w:p>
        </w:tc>
        <w:tc>
          <w:tcPr>
            <w:tcW w:w="26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PERSON WITH:</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8</w:t>
            </w:r>
          </w:p>
        </w:tc>
        <w:tc>
          <w:tcPr>
            <w:tcW w:w="91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9120" w:type="dxa"/>
            <w:vAlign w:val="bottom"/>
            <w:vMerge w:val="restart"/>
          </w:tcPr>
          <w:p>
            <w:pPr>
              <w:spacing w:after="0"/>
              <w:rPr>
                <w:sz w:val="20"/>
                <w:szCs w:val="20"/>
                <w:color w:val="auto"/>
              </w:rPr>
            </w:pPr>
            <w:r>
              <w:rPr>
                <w:rFonts w:ascii="Arial" w:cs="Arial" w:eastAsia="Arial" w:hAnsi="Arial"/>
                <w:sz w:val="18"/>
                <w:szCs w:val="18"/>
                <w:color w:val="auto"/>
              </w:rPr>
              <w:t>5124</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9</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5124</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32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PN , PN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134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869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00" w:right="5140" w:hanging="406"/>
        <w:spacing w:after="0" w:line="257"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Silver Creek Credit Opportunities III Fund B, L.P.</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2</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(a)</w:t>
            </w: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auto"/>
              </w:rPr>
              <w:t>o</w:t>
            </w:r>
          </w:p>
        </w:tc>
        <w:tc>
          <w:tcPr>
            <w:tcW w:w="4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x</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3</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4</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8"/>
                <w:szCs w:val="18"/>
                <w:color w:val="auto"/>
                <w:w w:val="89"/>
              </w:rPr>
              <w:t>Cayman Islands</w:t>
            </w: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5</w:t>
            </w:r>
          </w:p>
        </w:tc>
        <w:tc>
          <w:tcPr>
            <w:tcW w:w="91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8"/>
                <w:szCs w:val="18"/>
                <w:color w:val="auto"/>
              </w:rPr>
              <w:t>NUMBER OF</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6</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7"/>
                <w:szCs w:val="17"/>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7</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REPORTING</w:t>
            </w:r>
          </w:p>
        </w:tc>
        <w:tc>
          <w:tcPr>
            <w:tcW w:w="26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PERSON WITH:</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8</w:t>
            </w:r>
          </w:p>
        </w:tc>
        <w:tc>
          <w:tcPr>
            <w:tcW w:w="91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9120" w:type="dxa"/>
            <w:vAlign w:val="bottom"/>
            <w:vMerge w:val="restart"/>
          </w:tcPr>
          <w:p>
            <w:pPr>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9</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6730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32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1.33%</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PN , PN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134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869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00" w:right="5140" w:hanging="406"/>
        <w:spacing w:after="0" w:line="257" w:lineRule="auto"/>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Silver Creek Special Opportunities Fund Cayman III, L.P.</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2</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(a)</w:t>
            </w:r>
          </w:p>
        </w:tc>
        <w:tc>
          <w:tcPr>
            <w:tcW w:w="920" w:type="dxa"/>
            <w:vAlign w:val="bottom"/>
            <w:gridSpan w:val="2"/>
            <w:vMerge w:val="restart"/>
          </w:tcPr>
          <w:p>
            <w:pPr>
              <w:ind w:left="80"/>
              <w:spacing w:after="0"/>
              <w:rPr>
                <w:sz w:val="20"/>
                <w:szCs w:val="20"/>
                <w:color w:val="auto"/>
              </w:rPr>
            </w:pPr>
            <w:r>
              <w:rPr>
                <w:rFonts w:ascii="Arial" w:cs="Arial" w:eastAsia="Arial" w:hAnsi="Arial"/>
                <w:sz w:val="18"/>
                <w:szCs w:val="18"/>
                <w:color w:val="auto"/>
              </w:rPr>
              <w:t>o</w:t>
            </w:r>
          </w:p>
        </w:tc>
        <w:tc>
          <w:tcPr>
            <w:tcW w:w="42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9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x</w:t>
            </w:r>
          </w:p>
        </w:tc>
        <w:tc>
          <w:tcPr>
            <w:tcW w:w="42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3</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680" w:type="dxa"/>
            <w:vAlign w:val="bottom"/>
            <w:tcBorders>
              <w:bottom w:val="single" w:sz="8" w:color="auto"/>
            </w:tcBorders>
            <w:gridSpan w:val="2"/>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4</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460" w:type="dxa"/>
            <w:vAlign w:val="bottom"/>
            <w:gridSpan w:val="3"/>
            <w:vMerge w:val="restart"/>
          </w:tcPr>
          <w:p>
            <w:pPr>
              <w:ind w:left="280"/>
              <w:spacing w:after="0"/>
              <w:rPr>
                <w:sz w:val="20"/>
                <w:szCs w:val="20"/>
                <w:color w:val="auto"/>
              </w:rPr>
            </w:pPr>
            <w:r>
              <w:rPr>
                <w:rFonts w:ascii="Arial" w:cs="Arial" w:eastAsia="Arial" w:hAnsi="Arial"/>
                <w:sz w:val="18"/>
                <w:szCs w:val="18"/>
                <w:color w:val="auto"/>
                <w:w w:val="89"/>
              </w:rPr>
              <w:t>Cayman Islands</w:t>
            </w: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5</w:t>
            </w:r>
          </w:p>
        </w:tc>
        <w:tc>
          <w:tcPr>
            <w:tcW w:w="91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8"/>
                <w:szCs w:val="18"/>
                <w:color w:val="auto"/>
              </w:rPr>
              <w:t>NUMBER OF</w:t>
            </w: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6</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260" w:type="dxa"/>
            <w:vAlign w:val="bottom"/>
          </w:tcPr>
          <w:p>
            <w:pPr>
              <w:spacing w:after="0"/>
              <w:rPr>
                <w:sz w:val="17"/>
                <w:szCs w:val="17"/>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7</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REPORTING</w:t>
            </w:r>
          </w:p>
        </w:tc>
        <w:tc>
          <w:tcPr>
            <w:tcW w:w="260" w:type="dxa"/>
            <w:vAlign w:val="bottom"/>
          </w:tcPr>
          <w:p>
            <w:pPr>
              <w:spacing w:after="0"/>
              <w:rPr>
                <w:sz w:val="18"/>
                <w:szCs w:val="18"/>
                <w:color w:val="auto"/>
              </w:rPr>
            </w:pPr>
          </w:p>
        </w:tc>
        <w:tc>
          <w:tcPr>
            <w:tcW w:w="42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PERSON WITH:</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8</w:t>
            </w:r>
          </w:p>
        </w:tc>
        <w:tc>
          <w:tcPr>
            <w:tcW w:w="91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vMerge w:val="continue"/>
          </w:tcPr>
          <w:p>
            <w:pPr>
              <w:spacing w:after="0"/>
              <w:rPr>
                <w:sz w:val="17"/>
                <w:szCs w:val="17"/>
                <w:color w:val="auto"/>
              </w:rPr>
            </w:pPr>
          </w:p>
        </w:tc>
        <w:tc>
          <w:tcPr>
            <w:tcW w:w="9120" w:type="dxa"/>
            <w:vAlign w:val="bottom"/>
            <w:vMerge w:val="restart"/>
          </w:tcPr>
          <w:p>
            <w:pPr>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9</w:t>
            </w:r>
          </w:p>
        </w:tc>
        <w:tc>
          <w:tcPr>
            <w:tcW w:w="11000" w:type="dxa"/>
            <w:vAlign w:val="bottom"/>
            <w:gridSpan w:val="5"/>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10251</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32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2.03%</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PN , PN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1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134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869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69440"/>
                    </a:xfrm>
                    <a:prstGeom prst="rect">
                      <a:avLst/>
                    </a:prstGeom>
                    <a:noFill/>
                  </pic:spPr>
                </pic:pic>
              </a:graphicData>
            </a:graphic>
          </wp:anchor>
        </w:drawing>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00" w:right="5140" w:hanging="406"/>
        <w:spacing w:after="0" w:line="257"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Silver Creek Special Opportunities Fund III, L.P.</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ind w:left="300"/>
              <w:spacing w:after="0"/>
              <w:rPr>
                <w:sz w:val="20"/>
                <w:szCs w:val="20"/>
                <w:color w:val="auto"/>
              </w:rPr>
            </w:pPr>
            <w:r>
              <w:rPr>
                <w:rFonts w:ascii="Arial" w:cs="Arial" w:eastAsia="Arial" w:hAnsi="Arial"/>
                <w:sz w:val="18"/>
                <w:szCs w:val="18"/>
                <w:b w:val="1"/>
                <w:bCs w:val="1"/>
                <w:color w:val="auto"/>
                <w:w w:val="99"/>
              </w:rPr>
              <w:t>2</w:t>
            </w:r>
          </w:p>
        </w:tc>
        <w:tc>
          <w:tcPr>
            <w:tcW w:w="540" w:type="dxa"/>
            <w:vAlign w:val="bottom"/>
            <w:vMerge w:val="restart"/>
          </w:tcPr>
          <w:p>
            <w:pPr>
              <w:ind w:left="280"/>
              <w:spacing w:after="0"/>
              <w:rPr>
                <w:sz w:val="20"/>
                <w:szCs w:val="20"/>
                <w:color w:val="auto"/>
              </w:rPr>
            </w:pPr>
            <w:r>
              <w:rPr>
                <w:rFonts w:ascii="Arial" w:cs="Arial" w:eastAsia="Arial" w:hAnsi="Arial"/>
                <w:sz w:val="18"/>
                <w:szCs w:val="18"/>
                <w:color w:val="auto"/>
              </w:rPr>
              <w:t>(a)</w:t>
            </w:r>
          </w:p>
        </w:tc>
        <w:tc>
          <w:tcPr>
            <w:tcW w:w="660" w:type="dxa"/>
            <w:vAlign w:val="bottom"/>
            <w:vMerge w:val="restart"/>
          </w:tcPr>
          <w:p>
            <w:pPr>
              <w:ind w:left="80"/>
              <w:spacing w:after="0"/>
              <w:rPr>
                <w:sz w:val="20"/>
                <w:szCs w:val="20"/>
                <w:color w:val="auto"/>
              </w:rPr>
            </w:pPr>
            <w:r>
              <w:rPr>
                <w:rFonts w:ascii="Arial" w:cs="Arial" w:eastAsia="Arial" w:hAnsi="Arial"/>
                <w:sz w:val="18"/>
                <w:szCs w:val="18"/>
                <w:color w:val="auto"/>
              </w:rPr>
              <w:t>o</w:t>
            </w:r>
          </w:p>
        </w:tc>
        <w:tc>
          <w:tcPr>
            <w:tcW w:w="680" w:type="dxa"/>
            <w:vAlign w:val="bottom"/>
          </w:tcPr>
          <w:p>
            <w:pPr>
              <w:spacing w:after="0"/>
              <w:rPr>
                <w:sz w:val="20"/>
                <w:szCs w:val="20"/>
                <w:color w:val="auto"/>
              </w:rPr>
            </w:pPr>
          </w:p>
        </w:tc>
        <w:tc>
          <w:tcPr>
            <w:tcW w:w="9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(b)</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3</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4</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Delaware</w:t>
            </w: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5</w:t>
            </w:r>
          </w:p>
        </w:tc>
        <w:tc>
          <w:tcPr>
            <w:tcW w:w="91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8"/>
                <w:szCs w:val="18"/>
                <w:color w:val="auto"/>
              </w:rPr>
              <w:t>NUMBER OF</w:t>
            </w:r>
          </w:p>
        </w:tc>
        <w:tc>
          <w:tcPr>
            <w:tcW w:w="68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vMerge w:val="continue"/>
          </w:tcPr>
          <w:p>
            <w:pPr>
              <w:spacing w:after="0"/>
              <w:rPr>
                <w:sz w:val="17"/>
                <w:szCs w:val="17"/>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6</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02"/>
        </w:trPr>
        <w:tc>
          <w:tcPr>
            <w:tcW w:w="1620" w:type="dxa"/>
            <w:vAlign w:val="bottom"/>
            <w:tcBorders>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7"/>
              </w:rPr>
              <w:t>OWNED BY EACH</w:t>
            </w: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7</w:t>
            </w:r>
          </w:p>
        </w:tc>
        <w:tc>
          <w:tcPr>
            <w:tcW w:w="9120" w:type="dxa"/>
            <w:vAlign w:val="bottom"/>
          </w:tcPr>
          <w:p>
            <w:pPr>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vMerge w:val="continue"/>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PERSON WITH:</w:t>
            </w:r>
          </w:p>
        </w:tc>
        <w:tc>
          <w:tcPr>
            <w:tcW w:w="68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8</w:t>
            </w:r>
          </w:p>
        </w:tc>
        <w:tc>
          <w:tcPr>
            <w:tcW w:w="91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9120" w:type="dxa"/>
            <w:vAlign w:val="bottom"/>
            <w:vMerge w:val="restart"/>
          </w:tcPr>
          <w:p>
            <w:pPr>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9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9</w:t>
            </w:r>
          </w:p>
        </w:tc>
        <w:tc>
          <w:tcPr>
            <w:tcW w:w="11000" w:type="dxa"/>
            <w:vAlign w:val="bottom"/>
            <w:gridSpan w:val="4"/>
          </w:tcPr>
          <w:p>
            <w:pPr>
              <w:ind w:left="2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02"/>
        </w:trPr>
        <w:tc>
          <w:tcPr>
            <w:tcW w:w="420" w:type="dxa"/>
            <w:vAlign w:val="bottom"/>
            <w:vMerge w:val="continue"/>
          </w:tcPr>
          <w:p>
            <w:pPr>
              <w:spacing w:after="0"/>
              <w:rPr>
                <w:sz w:val="17"/>
                <w:szCs w:val="17"/>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8"/>
                <w:szCs w:val="18"/>
                <w:color w:val="auto"/>
              </w:rPr>
              <w:t>8642</w:t>
            </w:r>
          </w:p>
        </w:tc>
        <w:tc>
          <w:tcPr>
            <w:tcW w:w="6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32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3228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x</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1.71%</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PN , PN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FOOTNOTES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TPG Specialty Lending,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 301 Commerce Street, Suite 3300</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Fort Worth, Texas 76102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Silver Creek Capital Management LLC</w:t>
      </w:r>
    </w:p>
    <w:p>
      <w:pPr>
        <w:spacing w:after="0" w:line="237"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1301 Fifth Avenue, 40th Floor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Seattle, Washington 98101</w:t>
      </w:r>
    </w:p>
    <w:p>
      <w:pPr>
        <w:spacing w:after="0" w:line="237" w:lineRule="exact"/>
        <w:rPr>
          <w:rFonts w:ascii="Arial" w:cs="Arial" w:eastAsia="Arial" w:hAnsi="Arial"/>
          <w:sz w:val="18"/>
          <w:szCs w:val="18"/>
          <w:color w:val="auto"/>
        </w:rPr>
      </w:pPr>
    </w:p>
    <w:p>
      <w:pPr>
        <w:jc w:val="both"/>
        <w:ind w:left="1300" w:right="904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Washington</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TPG Specialty Lending, Inc. Common Stock</w:t>
      </w:r>
    </w:p>
    <w:p>
      <w:pPr>
        <w:spacing w:after="0" w:line="23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30,747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6.09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30,747</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30,747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footnote above for Silver Creek Capital Management LLC.</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 Joint Filing Agreement, dated February 14, 2012, by and between the Reporting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9" w:name="page10"/>
    <w:bookmarkEnd w:id="9"/>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ind w:left="82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Silver Creek Capital Management LLC</w:t>
      </w:r>
    </w:p>
    <w:p>
      <w:pPr>
        <w:sectPr>
          <w:pgSz w:w="11900" w:h="16838" w:orient="portrait"/>
          <w:cols w:equalWidth="0" w:num="1">
            <w:col w:w="11280"/>
          </w:cols>
          <w:pgMar w:left="240" w:top="513" w:right="3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Eric E. Dillion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ectPr>
          <w:pgSz w:w="11900" w:h="16838" w:orient="portrait"/>
          <w:cols w:equalWidth="0" w:num="2">
            <w:col w:w="5000" w:space="720"/>
            <w:col w:w="5560"/>
          </w:cols>
          <w:pgMar w:left="240" w:top="513" w:right="379" w:bottom="1440" w:gutter="0" w:footer="0" w:header="0"/>
          <w:type w:val="continuous"/>
        </w:sectPr>
      </w:pPr>
    </w:p>
    <w:p>
      <w:pPr>
        <w:spacing w:after="0" w:line="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Advisory Partners LLC</w:t>
      </w:r>
    </w:p>
    <w:p>
      <w:pPr>
        <w:sectPr>
          <w:pgSz w:w="11900" w:h="16838" w:orient="portrait"/>
          <w:cols w:equalWidth="0" w:num="1">
            <w:col w:w="11280"/>
          </w:cols>
          <w:pgMar w:left="240" w:top="513" w:right="37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Eric E. Dillion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ectPr>
          <w:pgSz w:w="11900" w:h="16838" w:orient="portrait"/>
          <w:cols w:equalWidth="0" w:num="2">
            <w:col w:w="5000" w:space="720"/>
            <w:col w:w="5560"/>
          </w:cols>
          <w:pgMar w:left="240" w:top="513" w:right="379" w:bottom="1440" w:gutter="0" w:footer="0" w:header="0"/>
          <w:type w:val="continuous"/>
        </w:sectPr>
      </w:pPr>
    </w:p>
    <w:p>
      <w:pPr>
        <w:spacing w:after="0" w:line="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Special Opportunities Fund III, L.P.</w:t>
      </w:r>
    </w:p>
    <w:p>
      <w:pPr>
        <w:sectPr>
          <w:pgSz w:w="11900" w:h="16838" w:orient="portrait"/>
          <w:cols w:equalWidth="0" w:num="1">
            <w:col w:w="11280"/>
          </w:cols>
          <w:pgMar w:left="240" w:top="513" w:right="37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Eric E. Dillion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Eric E. Dillion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Manager, Silver Creek Special Opportunities III GP LLC,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3">
            <w:col w:w="5000" w:space="720"/>
            <w:col w:w="260" w:space="100"/>
            <w:col w:w="5200"/>
          </w:cols>
          <w:pgMar w:left="240" w:top="513" w:right="379" w:bottom="1440" w:gutter="0" w:footer="0" w:header="0"/>
          <w:type w:val="continuous"/>
        </w:sectPr>
      </w:pPr>
    </w:p>
    <w:p>
      <w:pPr>
        <w:spacing w:after="0" w:line="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Special Opportunities Fund Cayman III, L.P.</w:t>
      </w:r>
    </w:p>
    <w:p>
      <w:pPr>
        <w:sectPr>
          <w:pgSz w:w="11900" w:h="16838" w:orient="portrait"/>
          <w:cols w:equalWidth="0" w:num="1">
            <w:col w:w="11280"/>
          </w:cols>
          <w:pgMar w:left="240" w:top="513" w:right="37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Eric E. Dillion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Eric E. Dillion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Silver Creek Special Opportunities III GP Ltd.,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3">
            <w:col w:w="5000" w:space="720"/>
            <w:col w:w="260" w:space="100"/>
            <w:col w:w="5200"/>
          </w:cols>
          <w:pgMar w:left="240" w:top="513" w:right="379" w:bottom="1440" w:gutter="0" w:footer="0" w:header="0"/>
          <w:type w:val="continuous"/>
        </w:sectPr>
      </w:pPr>
    </w:p>
    <w:p>
      <w:pPr>
        <w:spacing w:after="0" w:line="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Credit Opportunities II Fund A, L.P.</w:t>
      </w:r>
    </w:p>
    <w:p>
      <w:pPr>
        <w:sectPr>
          <w:pgSz w:w="11900" w:h="16838" w:orient="portrait"/>
          <w:cols w:equalWidth="0" w:num="1">
            <w:col w:w="11280"/>
          </w:cols>
          <w:pgMar w:left="240" w:top="513" w:right="37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Eric E. Dillion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Eric E. Dillion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Silver Creek Credit Opportunities Cayman GP, Ltd.,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3">
            <w:col w:w="5000" w:space="720"/>
            <w:col w:w="260" w:space="100"/>
            <w:col w:w="5200"/>
          </w:cols>
          <w:pgMar w:left="240" w:top="513" w:right="379" w:bottom="1440" w:gutter="0" w:footer="0" w:header="0"/>
          <w:type w:val="continuous"/>
        </w:sectPr>
      </w:pPr>
    </w:p>
    <w:p>
      <w:pPr>
        <w:spacing w:after="0" w:line="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Silver Creek Credit Opportunities III Fund B, L.P.</w:t>
      </w:r>
    </w:p>
    <w:p>
      <w:pPr>
        <w:sectPr>
          <w:pgSz w:w="11900" w:h="16838" w:orient="portrait"/>
          <w:cols w:equalWidth="0" w:num="1">
            <w:col w:w="11280"/>
          </w:cols>
          <w:pgMar w:left="240" w:top="513" w:right="37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Eric E. Dillion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Eric E. Dillion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Silver Creek Credit Opportunities Cayman GP, Ltd.,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3">
            <w:col w:w="5000" w:space="720"/>
            <w:col w:w="260" w:space="100"/>
            <w:col w:w="5200"/>
          </w:cols>
          <w:pgMar w:left="240" w:top="513" w:right="3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280"/>
          </w:cols>
          <w:pgMar w:left="240" w:top="513" w:right="379"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513" w:right="3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 FOR SCHEDULE 13D WITH RESPECT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38" w:lineRule="exact"/>
        <w:rPr>
          <w:sz w:val="20"/>
          <w:szCs w:val="20"/>
          <w:color w:val="auto"/>
        </w:rPr>
      </w:pPr>
    </w:p>
    <w:p>
      <w:pPr>
        <w:jc w:val="both"/>
        <w:ind w:firstLine="222"/>
        <w:spacing w:after="0" w:line="273"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 This Agreement may be executed in any number of counterparts and all of such counterparts taken together shall constitute one and the same instrument.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SILVER CREEK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Eric E. Dillon</w:t>
      </w:r>
    </w:p>
    <w:p>
      <w:pPr>
        <w:spacing w:after="0" w:line="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SILVER CREEK SPECIAL OPPORTUNITIES FUND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396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gridSpan w:val="2"/>
          </w:tcPr>
          <w:p>
            <w:pPr>
              <w:ind w:left="100"/>
              <w:spacing w:after="0"/>
              <w:rPr>
                <w:sz w:val="20"/>
                <w:szCs w:val="20"/>
                <w:color w:val="auto"/>
              </w:rPr>
            </w:pPr>
            <w:r>
              <w:rPr>
                <w:rFonts w:ascii="Arial" w:cs="Arial" w:eastAsia="Arial" w:hAnsi="Arial"/>
                <w:sz w:val="18"/>
                <w:szCs w:val="18"/>
                <w:color w:val="auto"/>
                <w:w w:val="91"/>
              </w:rPr>
              <w:t>Manager, Silver Creek Special Opportunities III GP LLC, its General Partner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SILVER CREEK SPECIAL OPPORTUNITIES FUND III CAYMAN,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912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820" w:type="dxa"/>
            <w:vAlign w:val="bottom"/>
            <w:gridSpan w:val="2"/>
          </w:tcPr>
          <w:p>
            <w:pPr>
              <w:ind w:left="100"/>
              <w:spacing w:after="0"/>
              <w:rPr>
                <w:sz w:val="20"/>
                <w:szCs w:val="20"/>
                <w:color w:val="auto"/>
              </w:rPr>
            </w:pPr>
            <w:r>
              <w:rPr>
                <w:rFonts w:ascii="Arial" w:cs="Arial" w:eastAsia="Arial" w:hAnsi="Arial"/>
                <w:sz w:val="18"/>
                <w:szCs w:val="18"/>
                <w:color w:val="auto"/>
              </w:rPr>
              <w:t>Director, Silver Creek Special Opportunities III GP Ltd., its General Partner</w:t>
            </w:r>
          </w:p>
        </w:tc>
      </w:tr>
      <w:tr>
        <w:trPr>
          <w:trHeight w:val="659"/>
        </w:trPr>
        <w:tc>
          <w:tcPr>
            <w:tcW w:w="6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9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SILVER CREEK ADVISORY PARTNERS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Eric E. Dillon</w:t>
      </w:r>
    </w:p>
    <w:p>
      <w:pPr>
        <w:spacing w:after="0" w:line="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SILVER CREEK CREDIT OPPORTUNITIES II FUND A,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42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0"/>
              </w:rPr>
              <w:t>Director, Silver Creek Credit Opportunities Cayman GP, Ltd., its General Partner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SILVER CREEK CREDIT OPPORTUNITIES III FUND B,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E. Dillon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E. Dillon</w:t>
            </w:r>
          </w:p>
        </w:tc>
        <w:tc>
          <w:tcPr>
            <w:tcW w:w="91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0840" w:type="dxa"/>
            <w:vAlign w:val="bottom"/>
            <w:gridSpan w:val="2"/>
          </w:tcPr>
          <w:p>
            <w:pPr>
              <w:ind w:left="100"/>
              <w:spacing w:after="0"/>
              <w:rPr>
                <w:sz w:val="20"/>
                <w:szCs w:val="20"/>
                <w:color w:val="auto"/>
              </w:rPr>
            </w:pPr>
            <w:r>
              <w:rPr>
                <w:rFonts w:ascii="Arial" w:cs="Arial" w:eastAsia="Arial" w:hAnsi="Arial"/>
                <w:sz w:val="18"/>
                <w:szCs w:val="18"/>
                <w:color w:val="auto"/>
              </w:rPr>
              <w:t>Director, Silver Creek Credit Opportunities Cayman GP, Ltd., its General Partner</w:t>
            </w:r>
          </w:p>
        </w:tc>
      </w:tr>
      <w:tr>
        <w:trPr>
          <w:trHeight w:val="577"/>
        </w:trPr>
        <w:tc>
          <w:tcPr>
            <w:tcW w:w="6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o"/>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2019-12-07T23:36:51Z</dcterms:created>
  <dcterms:modified xsi:type="dcterms:W3CDTF">2019-12-07T23:36:51Z</dcterms:modified>
</cp:coreProperties>
</file>