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35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00" w:type="dxa"/>
            <w:vAlign w:val="bottom"/>
          </w:tcPr>
          <w:p>
            <w:pPr>
              <w:jc w:val="center"/>
              <w:ind w:right="1902"/>
              <w:spacing w:after="0"/>
              <w:rPr>
                <w:sz w:val="20"/>
                <w:szCs w:val="20"/>
                <w:color w:val="auto"/>
              </w:rPr>
            </w:pPr>
            <w:r>
              <w:rPr>
                <w:rFonts w:ascii="Arial" w:cs="Arial" w:eastAsia="Arial" w:hAnsi="Arial"/>
                <w:sz w:val="18"/>
                <w:szCs w:val="18"/>
                <w:b w:val="1"/>
                <w:bCs w:val="1"/>
                <w:color w:val="auto"/>
                <w:w w:val="87"/>
              </w:rPr>
              <w:t>301 Commerce Street, Suite 3300,</w:t>
            </w:r>
          </w:p>
        </w:tc>
        <w:tc>
          <w:tcPr>
            <w:tcW w:w="3040" w:type="dxa"/>
            <w:vAlign w:val="bottom"/>
          </w:tcPr>
          <w:p>
            <w:pPr>
              <w:spacing w:after="0"/>
              <w:rPr>
                <w:sz w:val="24"/>
                <w:szCs w:val="24"/>
                <w:color w:val="auto"/>
              </w:rPr>
            </w:pPr>
          </w:p>
        </w:tc>
      </w:tr>
      <w:tr>
        <w:trPr>
          <w:trHeight w:val="231"/>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94"/>
              </w:rPr>
              <w:t>Fort Worth, TX</w:t>
            </w:r>
          </w:p>
        </w:tc>
        <w:tc>
          <w:tcPr>
            <w:tcW w:w="304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40" w:space="380"/>
            <w:col w:w="160" w:space="100"/>
            <w:col w:w="5960" w:space="720"/>
            <w:col w:w="1920" w:space="480"/>
            <w:col w:w="160"/>
          </w:cols>
          <w:pgMar w:left="240" w:top="230" w:right="239" w:bottom="1440" w:gutter="0" w:footer="0" w:header="0"/>
          <w:type w:val="continuous"/>
        </w:sectPr>
      </w:pPr>
    </w:p>
    <w:p>
      <w:pPr>
        <w:spacing w:after="0" w:line="184" w:lineRule="exact"/>
        <w:tabs>
          <w:tab w:leader="none" w:pos="9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40" w:space="180"/>
            <w:col w:w="1200"/>
          </w:cols>
          <w:pgMar w:left="240" w:top="230"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November 9, 2012 was 370,440.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SEPTEMBER 30, 2012</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INDEX</w:t>
            </w:r>
          </w:p>
        </w:tc>
        <w:tc>
          <w:tcPr>
            <w:tcW w:w="20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580" w:type="dxa"/>
            <w:vAlign w:val="bottom"/>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300" w:type="dxa"/>
            <w:vAlign w:val="bottom"/>
            <w:gridSpan w:val="2"/>
          </w:tcPr>
          <w:p>
            <w:pPr>
              <w:spacing w:after="0"/>
              <w:rPr>
                <w:sz w:val="22"/>
                <w:szCs w:val="22"/>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300" w:type="dxa"/>
            <w:vAlign w:val="bottom"/>
            <w:gridSpan w:val="2"/>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September 30, 2012 and December 31, 2011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for the three and nine months ended September 30, 2012 and 2011 (Unaudited)</w:t>
              </w:r>
            </w:hyperlink>
          </w:p>
        </w:tc>
        <w:tc>
          <w:tcPr>
            <w:tcW w:w="170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Schedules of Investments as of September 30, 2012 and December 31, 2011 (Unaudited)</w:t>
              </w:r>
            </w:hyperlink>
          </w:p>
        </w:tc>
        <w:tc>
          <w:tcPr>
            <w:tcW w:w="28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8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Consolidated Statements of Changes in Net Assets for the nine months ended September 30, 2012 and 2011 (Unaudited)</w:t>
              </w:r>
            </w:hyperlink>
          </w:p>
        </w:tc>
        <w:tc>
          <w:tcPr>
            <w:tcW w:w="15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7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Consolidated Statements of Cash Flows for the nine months ended September 30, 2012 and 2011 (Unaudited)</w:t>
              </w:r>
            </w:hyperlink>
          </w:p>
        </w:tc>
        <w:tc>
          <w:tcPr>
            <w:tcW w:w="23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Notes to Consolidated Financial Statements (Unaudited)</w:t>
              </w:r>
            </w:hyperlink>
          </w:p>
        </w:tc>
        <w:tc>
          <w:tcPr>
            <w:tcW w:w="60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100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60" w:type="dxa"/>
            <w:vAlign w:val="bottom"/>
            <w:tcBorders>
              <w:left w:val="single" w:sz="8" w:color="0000EE"/>
            </w:tcBorders>
            <w:shd w:val="clear" w:color="auto" w:fill="0000EE"/>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tcBorders>
              <w:left w:val="single" w:sz="8" w:color="0000EE"/>
            </w:tcBorders>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PART II.</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1A.</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10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6.</w:t>
              </w:r>
            </w:hyperlink>
          </w:p>
        </w:tc>
        <w:tc>
          <w:tcPr>
            <w:tcW w:w="100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6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3"/>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gridSpan w:val="2"/>
          </w:tcPr>
          <w:p>
            <w:pPr>
              <w:spacing w:after="0"/>
              <w:rPr>
                <w:sz w:val="24"/>
                <w:szCs w:val="24"/>
                <w:color w:val="auto"/>
              </w:rPr>
            </w:pPr>
          </w:p>
        </w:tc>
        <w:tc>
          <w:tcPr>
            <w:tcW w:w="6100" w:type="dxa"/>
            <w:vAlign w:val="bottom"/>
            <w:gridSpan w:val="11"/>
          </w:tcPr>
          <w:p>
            <w:pPr>
              <w:jc w:val="right"/>
              <w:ind w:right="1352"/>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or a continuation or worsening of the current global recession,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ability to raise capital and our investment activities; and,</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sections entitled “Risk Factors” in this report and in our Annual Report on Form 10-K for the year ended December 31, 2011, filed with the SEC on March 22, 2012, as amended, and elsewhere in our filings with the SEC.</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(the “1934 Act”), which preclude civil liability for certain forward-looking statements, do not apply to the forward-looking statements in this report because we are an investment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“TSL”, “Company”, “we”, “us” and “our” refer to TPG Specialty Lending, Inc. unless the context states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Non-controlled, non-affiliated investments (amortized cost of $461,434 and $140,255, respectively)</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469,192</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Non-controlled, affiliated investments (amortized cost of $40,685 and $41,781, respectively)</w:t>
            </w: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41,406</w:t>
            </w:r>
          </w:p>
        </w:tc>
        <w:tc>
          <w:tcPr>
            <w:tcW w:w="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investments at fair value (amortized cost of $502,119 and $182,036, respectively)</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510,598</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178,291</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14,172</w:t>
            </w:r>
          </w:p>
        </w:tc>
        <w:tc>
          <w:tcPr>
            <w:tcW w:w="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704,865</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332,249</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310,951</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1,339</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Dividend payable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9,056</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331,374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159,157</w:t>
            </w: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4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8"/>
              </w:rPr>
              <w:t>Preferred stock, $0.01 par value; 100,000,000 shares authorized; no shares issued and outstanding</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$0.01 par value; 100,000,000 shares authorized; 371,439 and 177,532 shares issued,</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and 370,440 and 176,533 shares outstanding, respectively</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365,645</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at cost; 999 shares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Accumulated net investment loss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(2,137)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Accumulated net realized gains on investments</w:t>
            </w: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373,491</w:t>
            </w:r>
          </w:p>
        </w:tc>
        <w:tc>
          <w:tcPr>
            <w:tcW w:w="8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704,865</w:t>
            </w:r>
          </w:p>
        </w:tc>
        <w:tc>
          <w:tcPr>
            <w:tcW w:w="8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6"/>
              </w:rPr>
              <w:t>Three Months Ended</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6"/>
              </w:rPr>
              <w:t>September 30, 2012</w:t>
            </w:r>
          </w:p>
        </w:tc>
        <w:tc>
          <w:tcPr>
            <w:tcW w:w="80" w:type="dxa"/>
            <w:vAlign w:val="bottom"/>
          </w:tcPr>
          <w:p>
            <w:pPr>
              <w:spacing w:after="0"/>
              <w:rPr>
                <w:sz w:val="12"/>
                <w:szCs w:val="12"/>
                <w:color w:val="auto"/>
              </w:rPr>
            </w:pPr>
          </w:p>
        </w:tc>
        <w:tc>
          <w:tcPr>
            <w:tcW w:w="11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2012</w:t>
            </w: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13,486</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1,233</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29,778</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13,620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30,109</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2,723</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860"/>
              <w:spacing w:after="0"/>
              <w:rPr>
                <w:sz w:val="20"/>
                <w:szCs w:val="20"/>
                <w:color w:val="auto"/>
              </w:rPr>
            </w:pPr>
            <w:r>
              <w:rPr>
                <w:rFonts w:ascii="Arial" w:cs="Arial" w:eastAsia="Arial" w:hAnsi="Arial"/>
                <w:sz w:val="18"/>
                <w:szCs w:val="18"/>
                <w:color w:val="auto"/>
                <w:w w:val="94"/>
              </w:rPr>
              <w:t>Total investment income from non-controlled, affiliated investments</w:t>
            </w: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2,733</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21"/>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Initial organization</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Incentive fees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2,397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4,789</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Directors’ fees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86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7,826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18,114</w:t>
            </w:r>
          </w:p>
        </w:tc>
        <w:tc>
          <w:tcPr>
            <w:tcW w:w="5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(2,409)</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Net Expenses</w:t>
            </w: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6,637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15,705</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17,137</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322"/>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Net Gains on Investments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4,137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Realized gains: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Total Net Gains on Investments</w:t>
            </w: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5,664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9,998</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w w:val="88"/>
              </w:rPr>
              <w:t>Increase (Decrease) in Net Assets Resulting from Operations</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13,581</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Consolidated Schedule of Investments as of September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2940" w:type="dxa"/>
            <w:vAlign w:val="bottom"/>
            <w:vMerge w:val="restart"/>
          </w:tcPr>
          <w:p>
            <w:pPr>
              <w:spacing w:after="0"/>
              <w:rPr>
                <w:sz w:val="14"/>
                <w:szCs w:val="14"/>
                <w:color w:val="auto"/>
              </w:rPr>
            </w:pPr>
          </w:p>
        </w:tc>
        <w:tc>
          <w:tcPr>
            <w:tcW w:w="1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Industry</w:t>
            </w: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Acquisition</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Amortized</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6"/>
              </w:rPr>
              <w:t>Interest</w:t>
            </w:r>
          </w:p>
        </w:tc>
        <w:tc>
          <w:tcPr>
            <w:tcW w:w="13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5"/>
              </w:rPr>
              <w:t>Date</w:t>
            </w:r>
          </w:p>
        </w:tc>
        <w:tc>
          <w:tcPr>
            <w:tcW w:w="88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9"/>
              </w:rPr>
              <w:t>Cost (2)</w:t>
            </w:r>
          </w:p>
        </w:tc>
        <w:tc>
          <w:tcPr>
            <w:tcW w:w="8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Secured Loans</w:t>
            </w:r>
          </w:p>
        </w:tc>
        <w:tc>
          <w:tcPr>
            <w:tcW w:w="1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40" w:type="dxa"/>
            <w:vAlign w:val="bottom"/>
            <w:gridSpan w:val="2"/>
          </w:tcPr>
          <w:p>
            <w:pPr>
              <w:spacing w:after="0"/>
              <w:rPr>
                <w:sz w:val="20"/>
                <w:szCs w:val="20"/>
                <w:color w:val="auto"/>
              </w:rPr>
            </w:pPr>
            <w:r>
              <w:rPr>
                <w:rFonts w:ascii="Arial" w:cs="Arial" w:eastAsia="Arial" w:hAnsi="Arial"/>
                <w:sz w:val="18"/>
                <w:szCs w:val="18"/>
                <w:color w:val="auto"/>
                <w:w w:val="95"/>
              </w:rPr>
              <w:t>Solarsoft, LP (f/k/a CMS-XKO Holding Company,</w:t>
            </w:r>
          </w:p>
        </w:tc>
        <w:tc>
          <w:tcPr>
            <w:tcW w:w="1580" w:type="dxa"/>
            <w:vAlign w:val="bottom"/>
            <w:gridSpan w:val="2"/>
          </w:tcPr>
          <w:p>
            <w:pPr>
              <w:spacing w:after="0"/>
              <w:rPr>
                <w:sz w:val="20"/>
                <w:szCs w:val="20"/>
                <w:color w:val="auto"/>
              </w:rPr>
            </w:pPr>
            <w:r>
              <w:rPr>
                <w:rFonts w:ascii="Arial" w:cs="Arial" w:eastAsia="Arial" w:hAnsi="Arial"/>
                <w:sz w:val="18"/>
                <w:szCs w:val="18"/>
                <w:color w:val="auto"/>
              </w:rPr>
              <w:t>Software provider</w:t>
            </w:r>
          </w:p>
        </w:tc>
        <w:tc>
          <w:tcPr>
            <w:tcW w:w="126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LP) (3)(4)(7)</w:t>
            </w:r>
          </w:p>
        </w:tc>
        <w:tc>
          <w:tcPr>
            <w:tcW w:w="1580" w:type="dxa"/>
            <w:vAlign w:val="bottom"/>
            <w:gridSpan w:val="2"/>
          </w:tcPr>
          <w:p>
            <w:pPr>
              <w:spacing w:after="0"/>
              <w:rPr>
                <w:sz w:val="20"/>
                <w:szCs w:val="20"/>
                <w:color w:val="auto"/>
              </w:rPr>
            </w:pPr>
            <w:r>
              <w:rPr>
                <w:rFonts w:ascii="Arial" w:cs="Arial" w:eastAsia="Arial" w:hAnsi="Arial"/>
                <w:sz w:val="18"/>
                <w:szCs w:val="18"/>
                <w:color w:val="auto"/>
              </w:rPr>
              <w:t>for electrical</w:t>
            </w:r>
          </w:p>
        </w:tc>
        <w:tc>
          <w:tcPr>
            <w:tcW w:w="1260" w:type="dxa"/>
            <w:vAlign w:val="bottom"/>
            <w:gridSpan w:val="2"/>
          </w:tcPr>
          <w:p>
            <w:pPr>
              <w:spacing w:after="0"/>
              <w:rPr>
                <w:sz w:val="20"/>
                <w:szCs w:val="20"/>
                <w:color w:val="auto"/>
              </w:rPr>
            </w:pPr>
            <w:r>
              <w:rPr>
                <w:rFonts w:ascii="Arial" w:cs="Arial" w:eastAsia="Arial" w:hAnsi="Arial"/>
                <w:sz w:val="18"/>
                <w:szCs w:val="18"/>
                <w:color w:val="auto"/>
              </w:rPr>
              <w:t>loan ($41,016</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260" w:type="dxa"/>
            <w:vAlign w:val="bottom"/>
            <w:gridSpan w:val="2"/>
          </w:tcPr>
          <w:p>
            <w:pPr>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1100" w:type="dxa"/>
            <w:vAlign w:val="bottom"/>
          </w:tcPr>
          <w:p>
            <w:pPr>
              <w:spacing w:after="0"/>
              <w:rPr>
                <w:sz w:val="20"/>
                <w:szCs w:val="20"/>
                <w:color w:val="auto"/>
              </w:rPr>
            </w:pPr>
            <w:r>
              <w:rPr>
                <w:rFonts w:ascii="Arial" w:cs="Arial" w:eastAsia="Arial" w:hAnsi="Arial"/>
                <w:sz w:val="18"/>
                <w:szCs w:val="18"/>
                <w:color w:val="auto"/>
              </w:rPr>
              <w:t>7/2016)</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7/8/2011</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$ 40,247</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$ 41,323</w:t>
            </w:r>
          </w:p>
        </w:tc>
        <w:tc>
          <w:tcPr>
            <w:tcW w:w="2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 Inc. (3)(5)(7)</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provider</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food and</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($31,406</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companies</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9/2015)</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8/31/2011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30,785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31,406</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8"/>
        </w:trPr>
        <w:tc>
          <w:tcPr>
            <w:tcW w:w="3740" w:type="dxa"/>
            <w:vAlign w:val="bottom"/>
            <w:gridSpan w:val="2"/>
          </w:tcPr>
          <w:p>
            <w:pPr>
              <w:spacing w:after="0"/>
              <w:rPr>
                <w:sz w:val="20"/>
                <w:szCs w:val="20"/>
                <w:color w:val="auto"/>
              </w:rPr>
            </w:pPr>
            <w:r>
              <w:rPr>
                <w:rFonts w:ascii="Arial" w:cs="Arial" w:eastAsia="Arial" w:hAnsi="Arial"/>
                <w:sz w:val="18"/>
                <w:szCs w:val="18"/>
                <w:color w:val="auto"/>
              </w:rPr>
              <w:t>Ecommerce Industries, Inc. (3)(7)</w:t>
            </w:r>
          </w:p>
        </w:tc>
        <w:tc>
          <w:tcPr>
            <w:tcW w:w="1580" w:type="dxa"/>
            <w:vAlign w:val="bottom"/>
            <w:gridSpan w:val="2"/>
          </w:tcPr>
          <w:p>
            <w:pPr>
              <w:spacing w:after="0"/>
              <w:rPr>
                <w:sz w:val="20"/>
                <w:szCs w:val="20"/>
                <w:color w:val="auto"/>
              </w:rPr>
            </w:pPr>
            <w:r>
              <w:rPr>
                <w:rFonts w:ascii="Arial" w:cs="Arial" w:eastAsia="Arial" w:hAnsi="Arial"/>
                <w:sz w:val="18"/>
                <w:szCs w:val="18"/>
                <w:color w:val="auto"/>
              </w:rPr>
              <w:t>ERP and</w:t>
            </w:r>
          </w:p>
        </w:tc>
        <w:tc>
          <w:tcPr>
            <w:tcW w:w="126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eCommerce</w:t>
            </w:r>
          </w:p>
        </w:tc>
        <w:tc>
          <w:tcPr>
            <w:tcW w:w="1260" w:type="dxa"/>
            <w:vAlign w:val="bottom"/>
            <w:gridSpan w:val="2"/>
          </w:tcPr>
          <w:p>
            <w:pPr>
              <w:spacing w:after="0"/>
              <w:rPr>
                <w:sz w:val="20"/>
                <w:szCs w:val="20"/>
                <w:color w:val="auto"/>
              </w:rPr>
            </w:pPr>
            <w:r>
              <w:rPr>
                <w:rFonts w:ascii="Arial" w:cs="Arial" w:eastAsia="Arial" w:hAnsi="Arial"/>
                <w:sz w:val="18"/>
                <w:szCs w:val="18"/>
                <w:color w:val="auto"/>
              </w:rPr>
              <w:t>loan ($21,850</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systems software</w:t>
            </w:r>
          </w:p>
        </w:tc>
        <w:tc>
          <w:tcPr>
            <w:tcW w:w="1260" w:type="dxa"/>
            <w:vAlign w:val="bottom"/>
            <w:gridSpan w:val="2"/>
          </w:tcPr>
          <w:p>
            <w:pPr>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10/2016)</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10/17/2011</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21,555</w:t>
            </w:r>
          </w:p>
        </w:tc>
        <w:tc>
          <w:tcPr>
            <w:tcW w:w="600" w:type="dxa"/>
            <w:vAlign w:val="bottom"/>
          </w:tcPr>
          <w:p>
            <w:pPr>
              <w:jc w:val="right"/>
              <w:spacing w:after="0"/>
              <w:rPr>
                <w:sz w:val="20"/>
                <w:szCs w:val="20"/>
                <w:color w:val="auto"/>
              </w:rPr>
            </w:pPr>
            <w:r>
              <w:rPr>
                <w:rFonts w:ascii="Arial" w:cs="Arial" w:eastAsia="Arial" w:hAnsi="Arial"/>
                <w:sz w:val="18"/>
                <w:szCs w:val="18"/>
                <w:color w:val="auto"/>
              </w:rPr>
              <w:t>22,099</w:t>
            </w: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 (3)(7)</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Cross-platform</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($37,169</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tools</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8/2016)</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11.25%</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10/31/2011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36,661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36,890</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8"/>
        </w:trPr>
        <w:tc>
          <w:tcPr>
            <w:tcW w:w="3740" w:type="dxa"/>
            <w:vAlign w:val="bottom"/>
            <w:gridSpan w:val="2"/>
          </w:tcPr>
          <w:p>
            <w:pPr>
              <w:spacing w:after="0"/>
              <w:rPr>
                <w:sz w:val="20"/>
                <w:szCs w:val="20"/>
                <w:color w:val="auto"/>
              </w:rPr>
            </w:pPr>
            <w:r>
              <w:rPr>
                <w:rFonts w:ascii="Arial" w:cs="Arial" w:eastAsia="Arial" w:hAnsi="Arial"/>
                <w:sz w:val="18"/>
                <w:szCs w:val="18"/>
                <w:color w:val="auto"/>
              </w:rPr>
              <w:t>MSC.Software Corporation (3)(7)</w:t>
            </w:r>
          </w:p>
        </w:tc>
        <w:tc>
          <w:tcPr>
            <w:tcW w:w="1580" w:type="dxa"/>
            <w:vAlign w:val="bottom"/>
            <w:gridSpan w:val="2"/>
          </w:tcPr>
          <w:p>
            <w:pPr>
              <w:spacing w:after="0"/>
              <w:rPr>
                <w:sz w:val="20"/>
                <w:szCs w:val="20"/>
                <w:color w:val="auto"/>
              </w:rPr>
            </w:pPr>
            <w:r>
              <w:rPr>
                <w:rFonts w:ascii="Arial" w:cs="Arial" w:eastAsia="Arial" w:hAnsi="Arial"/>
                <w:sz w:val="18"/>
                <w:szCs w:val="18"/>
                <w:color w:val="auto"/>
              </w:rPr>
              <w:t>Multidiscipline</w:t>
            </w:r>
          </w:p>
        </w:tc>
        <w:tc>
          <w:tcPr>
            <w:tcW w:w="126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simulation software</w:t>
            </w:r>
          </w:p>
        </w:tc>
        <w:tc>
          <w:tcPr>
            <w:tcW w:w="1260" w:type="dxa"/>
            <w:vAlign w:val="bottom"/>
            <w:gridSpan w:val="2"/>
          </w:tcPr>
          <w:p>
            <w:pPr>
              <w:spacing w:after="0"/>
              <w:rPr>
                <w:sz w:val="20"/>
                <w:szCs w:val="20"/>
                <w:color w:val="auto"/>
              </w:rPr>
            </w:pPr>
            <w:r>
              <w:rPr>
                <w:rFonts w:ascii="Arial" w:cs="Arial" w:eastAsia="Arial" w:hAnsi="Arial"/>
                <w:sz w:val="18"/>
                <w:szCs w:val="18"/>
                <w:color w:val="auto"/>
              </w:rPr>
              <w:t>loan ($33,688</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12/2016)</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12/23/2011</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33,132</w:t>
            </w:r>
          </w:p>
        </w:tc>
        <w:tc>
          <w:tcPr>
            <w:tcW w:w="600" w:type="dxa"/>
            <w:vAlign w:val="bottom"/>
          </w:tcPr>
          <w:p>
            <w:pPr>
              <w:jc w:val="right"/>
              <w:spacing w:after="0"/>
              <w:rPr>
                <w:sz w:val="20"/>
                <w:szCs w:val="20"/>
                <w:color w:val="auto"/>
              </w:rPr>
            </w:pPr>
            <w:r>
              <w:rPr>
                <w:rFonts w:ascii="Arial" w:cs="Arial" w:eastAsia="Arial" w:hAnsi="Arial"/>
                <w:sz w:val="18"/>
                <w:szCs w:val="18"/>
                <w:color w:val="auto"/>
              </w:rPr>
              <w:t>34,024</w:t>
            </w: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Signal Corporation (3)(7)</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Manufacturer of</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safety, emergency</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($41,608</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heavy duty</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cleaning equipment</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2/2017)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12.00%</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2/22/2012</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41,005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42,024</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8"/>
        </w:trPr>
        <w:tc>
          <w:tcPr>
            <w:tcW w:w="3740" w:type="dxa"/>
            <w:vAlign w:val="bottom"/>
            <w:gridSpan w:val="2"/>
          </w:tcPr>
          <w:p>
            <w:pPr>
              <w:spacing w:after="0"/>
              <w:rPr>
                <w:sz w:val="20"/>
                <w:szCs w:val="20"/>
                <w:color w:val="auto"/>
              </w:rPr>
            </w:pPr>
            <w:r>
              <w:rPr>
                <w:rFonts w:ascii="Arial" w:cs="Arial" w:eastAsia="Arial" w:hAnsi="Arial"/>
                <w:sz w:val="18"/>
                <w:szCs w:val="18"/>
                <w:color w:val="auto"/>
              </w:rPr>
              <w:t>Vivint, Inc. (3)(7)</w:t>
            </w:r>
          </w:p>
        </w:tc>
        <w:tc>
          <w:tcPr>
            <w:tcW w:w="1580" w:type="dxa"/>
            <w:vAlign w:val="bottom"/>
            <w:gridSpan w:val="2"/>
          </w:tcPr>
          <w:p>
            <w:pPr>
              <w:spacing w:after="0"/>
              <w:rPr>
                <w:sz w:val="20"/>
                <w:szCs w:val="20"/>
                <w:color w:val="auto"/>
              </w:rPr>
            </w:pPr>
            <w:r>
              <w:rPr>
                <w:rFonts w:ascii="Arial" w:cs="Arial" w:eastAsia="Arial" w:hAnsi="Arial"/>
                <w:sz w:val="18"/>
                <w:szCs w:val="18"/>
                <w:color w:val="auto"/>
              </w:rPr>
              <w:t>Residential alarm</w:t>
            </w:r>
          </w:p>
        </w:tc>
        <w:tc>
          <w:tcPr>
            <w:tcW w:w="126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dealer and full</w:t>
            </w:r>
          </w:p>
        </w:tc>
        <w:tc>
          <w:tcPr>
            <w:tcW w:w="1260" w:type="dxa"/>
            <w:vAlign w:val="bottom"/>
            <w:gridSpan w:val="2"/>
          </w:tcPr>
          <w:p>
            <w:pPr>
              <w:spacing w:after="0"/>
              <w:rPr>
                <w:sz w:val="20"/>
                <w:szCs w:val="20"/>
                <w:color w:val="auto"/>
              </w:rPr>
            </w:pPr>
            <w:r>
              <w:rPr>
                <w:rFonts w:ascii="Arial" w:cs="Arial" w:eastAsia="Arial" w:hAnsi="Arial"/>
                <w:sz w:val="18"/>
                <w:szCs w:val="18"/>
                <w:color w:val="auto"/>
              </w:rPr>
              <w:t>loan ($40,000</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service alarm</w:t>
            </w:r>
          </w:p>
        </w:tc>
        <w:tc>
          <w:tcPr>
            <w:tcW w:w="1260" w:type="dxa"/>
            <w:vAlign w:val="bottom"/>
            <w:gridSpan w:val="2"/>
          </w:tcPr>
          <w:p>
            <w:pPr>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monitoring</w:t>
            </w:r>
          </w:p>
        </w:tc>
        <w:tc>
          <w:tcPr>
            <w:tcW w:w="1100" w:type="dxa"/>
            <w:vAlign w:val="bottom"/>
          </w:tcPr>
          <w:p>
            <w:pPr>
              <w:spacing w:after="0"/>
              <w:rPr>
                <w:sz w:val="20"/>
                <w:szCs w:val="20"/>
                <w:color w:val="auto"/>
              </w:rPr>
            </w:pPr>
            <w:r>
              <w:rPr>
                <w:rFonts w:ascii="Arial" w:cs="Arial" w:eastAsia="Arial" w:hAnsi="Arial"/>
                <w:sz w:val="18"/>
                <w:szCs w:val="18"/>
                <w:color w:val="auto"/>
              </w:rPr>
              <w:t>4/2013)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13.00%</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2/28/2012</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39,770</w:t>
            </w:r>
          </w:p>
        </w:tc>
        <w:tc>
          <w:tcPr>
            <w:tcW w:w="600" w:type="dxa"/>
            <w:vAlign w:val="bottom"/>
          </w:tcPr>
          <w:p>
            <w:pPr>
              <w:jc w:val="right"/>
              <w:spacing w:after="0"/>
              <w:rPr>
                <w:sz w:val="20"/>
                <w:szCs w:val="20"/>
                <w:color w:val="auto"/>
              </w:rPr>
            </w:pPr>
            <w:r>
              <w:rPr>
                <w:rFonts w:ascii="Arial" w:cs="Arial" w:eastAsia="Arial" w:hAnsi="Arial"/>
                <w:sz w:val="18"/>
                <w:szCs w:val="18"/>
                <w:color w:val="auto"/>
              </w:rPr>
              <w:t>39,900</w:t>
            </w: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Mannington Mills, Inc. (3)(7)</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and</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flooring</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($47,449</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3/2017)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14.00%</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3/5/2012</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46,284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49,688</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3740" w:type="dxa"/>
            <w:vAlign w:val="bottom"/>
            <w:gridSpan w:val="2"/>
          </w:tcPr>
          <w:p>
            <w:pPr>
              <w:spacing w:after="0"/>
              <w:rPr>
                <w:sz w:val="20"/>
                <w:szCs w:val="20"/>
                <w:color w:val="auto"/>
              </w:rPr>
            </w:pPr>
            <w:r>
              <w:rPr>
                <w:rFonts w:ascii="Arial" w:cs="Arial" w:eastAsia="Arial" w:hAnsi="Arial"/>
                <w:sz w:val="18"/>
                <w:szCs w:val="18"/>
                <w:color w:val="auto"/>
              </w:rPr>
              <w:t>Mandalay Baseball Properties,</w:t>
            </w:r>
          </w:p>
        </w:tc>
        <w:tc>
          <w:tcPr>
            <w:tcW w:w="1580" w:type="dxa"/>
            <w:vAlign w:val="bottom"/>
            <w:gridSpan w:val="2"/>
          </w:tcPr>
          <w:p>
            <w:pPr>
              <w:spacing w:after="0"/>
              <w:rPr>
                <w:sz w:val="20"/>
                <w:szCs w:val="20"/>
                <w:color w:val="auto"/>
              </w:rPr>
            </w:pPr>
            <w:r>
              <w:rPr>
                <w:rFonts w:ascii="Arial" w:cs="Arial" w:eastAsia="Arial" w:hAnsi="Arial"/>
                <w:sz w:val="18"/>
                <w:szCs w:val="18"/>
                <w:color w:val="auto"/>
              </w:rPr>
              <w:t>Sports</w:t>
            </w:r>
          </w:p>
        </w:tc>
        <w:tc>
          <w:tcPr>
            <w:tcW w:w="126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LLC (3)(7)</w:t>
            </w:r>
          </w:p>
        </w:tc>
        <w:tc>
          <w:tcPr>
            <w:tcW w:w="158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1260" w:type="dxa"/>
            <w:vAlign w:val="bottom"/>
            <w:gridSpan w:val="2"/>
          </w:tcPr>
          <w:p>
            <w:pPr>
              <w:spacing w:after="0"/>
              <w:rPr>
                <w:sz w:val="20"/>
                <w:szCs w:val="20"/>
                <w:color w:val="auto"/>
              </w:rPr>
            </w:pPr>
            <w:r>
              <w:rPr>
                <w:rFonts w:ascii="Arial" w:cs="Arial" w:eastAsia="Arial" w:hAnsi="Arial"/>
                <w:sz w:val="18"/>
                <w:szCs w:val="18"/>
                <w:color w:val="auto"/>
              </w:rPr>
              <w:t>loan ($28,084</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4/2017)</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12.00%</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4/12/2012</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27,304</w:t>
            </w:r>
          </w:p>
        </w:tc>
        <w:tc>
          <w:tcPr>
            <w:tcW w:w="600" w:type="dxa"/>
            <w:vAlign w:val="bottom"/>
          </w:tcPr>
          <w:p>
            <w:pPr>
              <w:jc w:val="right"/>
              <w:spacing w:after="0"/>
              <w:rPr>
                <w:sz w:val="20"/>
                <w:szCs w:val="20"/>
                <w:color w:val="auto"/>
              </w:rPr>
            </w:pPr>
            <w:r>
              <w:rPr>
                <w:rFonts w:ascii="Arial" w:cs="Arial" w:eastAsia="Arial" w:hAnsi="Arial"/>
                <w:sz w:val="18"/>
                <w:szCs w:val="18"/>
                <w:color w:val="auto"/>
              </w:rPr>
              <w:t>27,702</w:t>
            </w: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Infogix, Inc. (3)(7)</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Business operations</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($30,806</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solutions</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10.00%</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6/1/2012</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30,359</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8"/>
        </w:trPr>
        <w:tc>
          <w:tcPr>
            <w:tcW w:w="3740" w:type="dxa"/>
            <w:vAlign w:val="bottom"/>
            <w:gridSpan w:val="2"/>
          </w:tcPr>
          <w:p>
            <w:pPr>
              <w:spacing w:after="0"/>
              <w:rPr>
                <w:sz w:val="20"/>
                <w:szCs w:val="20"/>
                <w:color w:val="auto"/>
              </w:rPr>
            </w:pPr>
            <w:r>
              <w:rPr>
                <w:rFonts w:ascii="Arial" w:cs="Arial" w:eastAsia="Arial" w:hAnsi="Arial"/>
                <w:sz w:val="18"/>
                <w:szCs w:val="18"/>
                <w:color w:val="auto"/>
              </w:rPr>
              <w:t>Attachmate Corporation (3)(7)</w:t>
            </w:r>
          </w:p>
        </w:tc>
        <w:tc>
          <w:tcPr>
            <w:tcW w:w="1580" w:type="dxa"/>
            <w:vAlign w:val="bottom"/>
            <w:gridSpan w:val="2"/>
          </w:tcPr>
          <w:p>
            <w:pPr>
              <w:spacing w:after="0"/>
              <w:rPr>
                <w:sz w:val="20"/>
                <w:szCs w:val="20"/>
                <w:color w:val="auto"/>
              </w:rPr>
            </w:pPr>
            <w:r>
              <w:rPr>
                <w:rFonts w:ascii="Arial" w:cs="Arial" w:eastAsia="Arial" w:hAnsi="Arial"/>
                <w:sz w:val="18"/>
                <w:szCs w:val="18"/>
                <w:color w:val="auto"/>
              </w:rPr>
              <w:t>Multidiscipline</w:t>
            </w:r>
          </w:p>
        </w:tc>
        <w:tc>
          <w:tcPr>
            <w:tcW w:w="126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simulation software</w:t>
            </w:r>
          </w:p>
        </w:tc>
        <w:tc>
          <w:tcPr>
            <w:tcW w:w="1260" w:type="dxa"/>
            <w:vAlign w:val="bottom"/>
            <w:gridSpan w:val="2"/>
          </w:tcPr>
          <w:p>
            <w:pPr>
              <w:spacing w:after="0"/>
              <w:rPr>
                <w:sz w:val="20"/>
                <w:szCs w:val="20"/>
                <w:color w:val="auto"/>
              </w:rPr>
            </w:pPr>
            <w:r>
              <w:rPr>
                <w:rFonts w:ascii="Arial" w:cs="Arial" w:eastAsia="Arial" w:hAnsi="Arial"/>
                <w:sz w:val="18"/>
                <w:szCs w:val="18"/>
                <w:color w:val="auto"/>
              </w:rPr>
              <w:t>loan ($2,944</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11/2017)</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6/25/2012</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2,900</w:t>
            </w:r>
          </w:p>
        </w:tc>
        <w:tc>
          <w:tcPr>
            <w:tcW w:w="600" w:type="dxa"/>
            <w:vAlign w:val="bottom"/>
          </w:tcPr>
          <w:p>
            <w:pPr>
              <w:jc w:val="right"/>
              <w:spacing w:after="0"/>
              <w:rPr>
                <w:sz w:val="20"/>
                <w:szCs w:val="20"/>
                <w:color w:val="auto"/>
              </w:rPr>
            </w:pPr>
            <w:r>
              <w:rPr>
                <w:rFonts w:ascii="Arial" w:cs="Arial" w:eastAsia="Arial" w:hAnsi="Arial"/>
                <w:sz w:val="18"/>
                <w:szCs w:val="18"/>
                <w:color w:val="auto"/>
              </w:rPr>
              <w:t>3,023</w:t>
            </w: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eResearch Technology, Inc. (3)(7)</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Pharmaceutical</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services</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($25,000</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5/2018)</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7/3/2012</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24,028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24,875</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8"/>
        </w:trPr>
        <w:tc>
          <w:tcPr>
            <w:tcW w:w="3740" w:type="dxa"/>
            <w:vAlign w:val="bottom"/>
            <w:gridSpan w:val="2"/>
          </w:tcPr>
          <w:p>
            <w:pPr>
              <w:spacing w:after="0"/>
              <w:rPr>
                <w:sz w:val="20"/>
                <w:szCs w:val="20"/>
                <w:color w:val="auto"/>
              </w:rPr>
            </w:pPr>
            <w:r>
              <w:rPr>
                <w:rFonts w:ascii="Arial" w:cs="Arial" w:eastAsia="Arial" w:hAnsi="Arial"/>
                <w:sz w:val="18"/>
                <w:szCs w:val="18"/>
                <w:color w:val="auto"/>
              </w:rPr>
              <w:t>Teletrac, Inc. (3)(7)</w:t>
            </w:r>
          </w:p>
        </w:tc>
        <w:tc>
          <w:tcPr>
            <w:tcW w:w="1580" w:type="dxa"/>
            <w:vAlign w:val="bottom"/>
            <w:gridSpan w:val="2"/>
          </w:tcPr>
          <w:p>
            <w:pPr>
              <w:spacing w:after="0"/>
              <w:rPr>
                <w:sz w:val="20"/>
                <w:szCs w:val="20"/>
                <w:color w:val="auto"/>
              </w:rPr>
            </w:pPr>
            <w:r>
              <w:rPr>
                <w:rFonts w:ascii="Arial" w:cs="Arial" w:eastAsia="Arial" w:hAnsi="Arial"/>
                <w:sz w:val="18"/>
                <w:szCs w:val="18"/>
                <w:color w:val="auto"/>
              </w:rPr>
              <w:t>Fleet management</w:t>
            </w:r>
          </w:p>
        </w:tc>
        <w:tc>
          <w:tcPr>
            <w:tcW w:w="126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solutions</w:t>
            </w:r>
          </w:p>
        </w:tc>
        <w:tc>
          <w:tcPr>
            <w:tcW w:w="1260" w:type="dxa"/>
            <w:vAlign w:val="bottom"/>
            <w:gridSpan w:val="2"/>
          </w:tcPr>
          <w:p>
            <w:pPr>
              <w:spacing w:after="0"/>
              <w:rPr>
                <w:sz w:val="20"/>
                <w:szCs w:val="20"/>
                <w:color w:val="auto"/>
              </w:rPr>
            </w:pPr>
            <w:r>
              <w:rPr>
                <w:rFonts w:ascii="Arial" w:cs="Arial" w:eastAsia="Arial" w:hAnsi="Arial"/>
                <w:sz w:val="18"/>
                <w:szCs w:val="18"/>
                <w:color w:val="auto"/>
              </w:rPr>
              <w:t>loan ($17,456</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7/2017)</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7/23/2012</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17,075</w:t>
            </w:r>
          </w:p>
        </w:tc>
        <w:tc>
          <w:tcPr>
            <w:tcW w:w="600" w:type="dxa"/>
            <w:vAlign w:val="bottom"/>
          </w:tcPr>
          <w:p>
            <w:pPr>
              <w:jc w:val="right"/>
              <w:spacing w:after="0"/>
              <w:rPr>
                <w:sz w:val="20"/>
                <w:szCs w:val="20"/>
                <w:color w:val="auto"/>
              </w:rPr>
            </w:pPr>
            <w:r>
              <w:rPr>
                <w:rFonts w:ascii="Arial" w:cs="Arial" w:eastAsia="Arial" w:hAnsi="Arial"/>
                <w:sz w:val="18"/>
                <w:szCs w:val="18"/>
                <w:color w:val="auto"/>
              </w:rPr>
              <w:t>17,107</w:t>
            </w: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80" w:type="dxa"/>
            <w:vAlign w:val="bottom"/>
          </w:tcPr>
          <w:p>
            <w:pPr>
              <w:spacing w:after="0"/>
              <w:rPr>
                <w:sz w:val="14"/>
                <w:szCs w:val="14"/>
                <w:color w:val="auto"/>
              </w:rPr>
            </w:pPr>
          </w:p>
        </w:tc>
        <w:tc>
          <w:tcPr>
            <w:tcW w:w="15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Industry</w:t>
            </w:r>
          </w:p>
        </w:tc>
        <w:tc>
          <w:tcPr>
            <w:tcW w:w="13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Acquisition</w:t>
            </w:r>
          </w:p>
        </w:tc>
        <w:tc>
          <w:tcPr>
            <w:tcW w:w="3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Amortized</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4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6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6"/>
              </w:rPr>
              <w:t>Interest</w:t>
            </w:r>
          </w:p>
        </w:tc>
        <w:tc>
          <w:tcPr>
            <w:tcW w:w="114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2"/>
                <w:szCs w:val="12"/>
                <w:color w:val="auto"/>
              </w:rPr>
            </w:pP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Cost (2)</w:t>
            </w: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4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Consona Holdings,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Enterprise</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Senior secured</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(3)(7)</w:t>
            </w: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application</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($30,000</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software solutions</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par, due 8/2018)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8/13/2012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29,573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Heartland Automotive Holdings, LLC (3)(7)</w:t>
            </w: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Preventive</w:t>
            </w:r>
          </w:p>
        </w:tc>
        <w:tc>
          <w:tcPr>
            <w:tcW w:w="130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automotive</w:t>
            </w:r>
          </w:p>
        </w:tc>
        <w:tc>
          <w:tcPr>
            <w:tcW w:w="1300" w:type="dxa"/>
            <w:vAlign w:val="bottom"/>
            <w:gridSpan w:val="2"/>
          </w:tcPr>
          <w:p>
            <w:pPr>
              <w:spacing w:after="0"/>
              <w:rPr>
                <w:sz w:val="20"/>
                <w:szCs w:val="20"/>
                <w:color w:val="auto"/>
              </w:rPr>
            </w:pPr>
            <w:r>
              <w:rPr>
                <w:rFonts w:ascii="Arial" w:cs="Arial" w:eastAsia="Arial" w:hAnsi="Arial"/>
                <w:sz w:val="18"/>
                <w:szCs w:val="18"/>
                <w:color w:val="auto"/>
              </w:rPr>
              <w:t>loan ($39,444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maintenance</w:t>
            </w:r>
          </w:p>
        </w:tc>
        <w:tc>
          <w:tcPr>
            <w:tcW w:w="1300" w:type="dxa"/>
            <w:vAlign w:val="bottom"/>
            <w:gridSpan w:val="2"/>
          </w:tcPr>
          <w:p>
            <w:pPr>
              <w:spacing w:after="0"/>
              <w:rPr>
                <w:sz w:val="20"/>
                <w:szCs w:val="20"/>
                <w:color w:val="auto"/>
              </w:rPr>
            </w:pPr>
            <w:r>
              <w:rPr>
                <w:rFonts w:ascii="Arial" w:cs="Arial" w:eastAsia="Arial" w:hAnsi="Arial"/>
                <w:sz w:val="18"/>
                <w:szCs w:val="18"/>
                <w:color w:val="auto"/>
                <w:w w:val="96"/>
              </w:rPr>
              <w:t>par, due 6/2017)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services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8/28/2012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38,285</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38,231</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Synagro Technologies,</w:t>
            </w: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Recycling and</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(3)</w:t>
            </w: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4"/>
              </w:rPr>
              <w:t>waste management</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loan ($5,000 par,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9/14/2012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96"/>
              </w:rPr>
              <w:t>International Equipment Solutions, Inc. (3)(7)</w:t>
            </w: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Engineered</w:t>
            </w:r>
          </w:p>
        </w:tc>
        <w:tc>
          <w:tcPr>
            <w:tcW w:w="130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equipment</w:t>
            </w:r>
          </w:p>
        </w:tc>
        <w:tc>
          <w:tcPr>
            <w:tcW w:w="1300" w:type="dxa"/>
            <w:vAlign w:val="bottom"/>
            <w:gridSpan w:val="2"/>
          </w:tcPr>
          <w:p>
            <w:pPr>
              <w:spacing w:after="0"/>
              <w:rPr>
                <w:sz w:val="20"/>
                <w:szCs w:val="20"/>
                <w:color w:val="auto"/>
              </w:rPr>
            </w:pPr>
            <w:r>
              <w:rPr>
                <w:rFonts w:ascii="Arial" w:cs="Arial" w:eastAsia="Arial" w:hAnsi="Arial"/>
                <w:sz w:val="18"/>
                <w:szCs w:val="18"/>
                <w:color w:val="auto"/>
              </w:rPr>
              <w:t>loan ($29,771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manufacturing</w:t>
            </w:r>
          </w:p>
        </w:tc>
        <w:tc>
          <w:tcPr>
            <w:tcW w:w="1300" w:type="dxa"/>
            <w:vAlign w:val="bottom"/>
            <w:gridSpan w:val="2"/>
          </w:tcPr>
          <w:p>
            <w:pPr>
              <w:spacing w:after="0"/>
              <w:rPr>
                <w:sz w:val="20"/>
                <w:szCs w:val="20"/>
                <w:color w:val="auto"/>
              </w:rPr>
            </w:pPr>
            <w:r>
              <w:rPr>
                <w:rFonts w:ascii="Arial" w:cs="Arial" w:eastAsia="Arial" w:hAnsi="Arial"/>
                <w:sz w:val="18"/>
                <w:szCs w:val="18"/>
                <w:color w:val="auto"/>
                <w:w w:val="96"/>
              </w:rPr>
              <w:t>par, due 9/2016)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9/18/2012</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29,061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29,029</w:t>
            </w: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Senior Secured Loans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490,442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498,805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21"/>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Senior Secured Revolving Loans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Vivint, Inc. (3)(7)</w:t>
            </w: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Residential alarm</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dealer and full</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service alarm</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($1,811 par, due</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monitoring</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4/2013)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company</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12.00%</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2/28/2012</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w w:val="91"/>
              </w:rPr>
              <w:t>Total Senior Secured Revolving Loans</w:t>
            </w: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1,776</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1,793</w:t>
            </w: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Preferred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AFS Technologies,</w:t>
            </w: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Software provider</w:t>
            </w:r>
          </w:p>
        </w:tc>
        <w:tc>
          <w:tcPr>
            <w:tcW w:w="130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200"/>
              <w:spacing w:after="0"/>
              <w:rPr>
                <w:sz w:val="20"/>
                <w:szCs w:val="20"/>
                <w:color w:val="auto"/>
              </w:rPr>
            </w:pPr>
            <w:r>
              <w:rPr>
                <w:rFonts w:ascii="Arial" w:cs="Arial" w:eastAsia="Arial" w:hAnsi="Arial"/>
                <w:sz w:val="18"/>
                <w:szCs w:val="18"/>
                <w:color w:val="auto"/>
              </w:rPr>
              <w:t>Inc. (5)(6)</w:t>
            </w: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for food and</w:t>
            </w:r>
          </w:p>
        </w:tc>
        <w:tc>
          <w:tcPr>
            <w:tcW w:w="1300" w:type="dxa"/>
            <w:vAlign w:val="bottom"/>
            <w:gridSpan w:val="2"/>
          </w:tcPr>
          <w:p>
            <w:pPr>
              <w:spacing w:after="0"/>
              <w:rPr>
                <w:sz w:val="20"/>
                <w:szCs w:val="20"/>
                <w:color w:val="auto"/>
              </w:rPr>
            </w:pPr>
            <w:r>
              <w:rPr>
                <w:rFonts w:ascii="Arial" w:cs="Arial" w:eastAsia="Arial" w:hAnsi="Arial"/>
                <w:sz w:val="18"/>
                <w:szCs w:val="18"/>
                <w:color w:val="auto"/>
              </w:rPr>
              <w:t>1 Preferred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beverage</w:t>
            </w:r>
          </w:p>
        </w:tc>
        <w:tc>
          <w:tcPr>
            <w:tcW w:w="1300" w:type="dxa"/>
            <w:vAlign w:val="bottom"/>
            <w:gridSpan w:val="2"/>
          </w:tcPr>
          <w:p>
            <w:pPr>
              <w:spacing w:after="0"/>
              <w:rPr>
                <w:sz w:val="20"/>
                <w:szCs w:val="20"/>
                <w:color w:val="auto"/>
              </w:rPr>
            </w:pPr>
            <w:r>
              <w:rPr>
                <w:rFonts w:ascii="Arial" w:cs="Arial" w:eastAsia="Arial" w:hAnsi="Arial"/>
                <w:sz w:val="18"/>
                <w:szCs w:val="18"/>
                <w:color w:val="auto"/>
              </w:rPr>
              <w:t>Stock (311,760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companies</w:t>
            </w:r>
          </w:p>
        </w:tc>
        <w:tc>
          <w:tcPr>
            <w:tcW w:w="1300" w:type="dxa"/>
            <w:vAlign w:val="bottom"/>
            <w:gridSpan w:val="2"/>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8/31/2011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w:t>
            </w: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Software provider</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B-2</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(5)(6)</w:t>
            </w: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 food and</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beverage</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Stock (2,069,193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companies</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8/31/2011</w:t>
            </w: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Preferred Equity</w:t>
            </w: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9,901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82"/>
              </w:rPr>
              <w:t>$ 502,119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510,598</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0" w:hanging="452"/>
        <w:spacing w:after="0" w:line="28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September 30, 2012, the Company does not “control” any of the portfolio companies. Certain portfolio company investments are subject to contractual restrictions on sales.</w:t>
      </w:r>
    </w:p>
    <w:p>
      <w:pPr>
        <w:spacing w:after="0" w:line="2" w:lineRule="exact"/>
        <w:rPr>
          <w:rFonts w:ascii="Arial" w:cs="Arial" w:eastAsia="Arial" w:hAnsi="Arial"/>
          <w:sz w:val="16"/>
          <w:szCs w:val="16"/>
          <w:color w:val="auto"/>
        </w:rPr>
      </w:pPr>
    </w:p>
    <w:p>
      <w:pPr>
        <w:ind w:left="460" w:right="5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an arrangement between the Company and other lenders in any syndication.</w:t>
      </w:r>
    </w:p>
    <w:p>
      <w:pPr>
        <w:spacing w:after="0" w:line="2" w:lineRule="exact"/>
        <w:rPr>
          <w:rFonts w:ascii="Arial" w:cs="Arial" w:eastAsia="Arial" w:hAnsi="Arial"/>
          <w:sz w:val="16"/>
          <w:szCs w:val="16"/>
          <w:color w:val="auto"/>
        </w:rPr>
      </w:pPr>
    </w:p>
    <w:p>
      <w:pPr>
        <w:jc w:val="both"/>
        <w:ind w:left="460" w:right="40" w:hanging="452"/>
        <w:spacing w:after="0" w:line="361"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preferred equity investment has an optional redemption feature which, if exercised, entitles the Company to a 1.5 times liquidation preference.</w:t>
      </w:r>
    </w:p>
    <w:p>
      <w:pPr>
        <w:spacing w:after="0" w:line="32"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6).</w:t>
      </w:r>
    </w:p>
    <w:p>
      <w:pPr>
        <w:spacing w:after="0" w:line="13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Transactions during the nine months ended September 30, 2012 in which the issuer was an affiliated company (but not a portfolio company that we “control”)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280"/>
              <w:spacing w:after="0"/>
              <w:rPr>
                <w:sz w:val="20"/>
                <w:szCs w:val="20"/>
                <w:color w:val="auto"/>
              </w:rPr>
            </w:pPr>
            <w:r>
              <w:rPr>
                <w:rFonts w:ascii="Arial" w:cs="Arial" w:eastAsia="Arial" w:hAnsi="Arial"/>
                <w:sz w:val="14"/>
                <w:szCs w:val="14"/>
                <w:b w:val="1"/>
                <w:bCs w:val="1"/>
                <w:color w:val="auto"/>
                <w:w w:val="96"/>
              </w:rPr>
              <w:t>As of and for the Nine Months</w:t>
            </w: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Ended September 30, 2012</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46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w w:val="78"/>
              </w:rPr>
              <w:t>Gross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78"/>
              <w:spacing w:after="0" w:line="12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20" w:type="dxa"/>
            <w:vAlign w:val="bottom"/>
            <w:gridSpan w:val="2"/>
          </w:tcPr>
          <w:p>
            <w:pPr>
              <w:jc w:val="right"/>
              <w:ind w:right="558"/>
              <w:spacing w:after="0" w:line="129"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920" w:type="dxa"/>
            <w:vAlign w:val="bottom"/>
          </w:tcPr>
          <w:p>
            <w:pPr>
              <w:jc w:val="right"/>
              <w:ind w:right="362"/>
              <w:spacing w:after="0" w:line="129" w:lineRule="exact"/>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3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Value at</w:t>
            </w: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Additions</w:t>
            </w:r>
          </w:p>
        </w:tc>
        <w:tc>
          <w:tcPr>
            <w:tcW w:w="4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Value at</w:t>
            </w:r>
          </w:p>
        </w:tc>
        <w:tc>
          <w:tcPr>
            <w:tcW w:w="4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Interest</w:t>
            </w:r>
          </w:p>
        </w:tc>
        <w:tc>
          <w:tcPr>
            <w:tcW w:w="22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December 31, 2011</w:t>
            </w:r>
          </w:p>
        </w:tc>
        <w:tc>
          <w:tcPr>
            <w:tcW w:w="100" w:type="dxa"/>
            <w:vAlign w:val="bottom"/>
          </w:tcPr>
          <w:p>
            <w:pPr>
              <w:spacing w:after="0"/>
              <w:rPr>
                <w:sz w:val="14"/>
                <w:szCs w:val="14"/>
                <w:color w:val="auto"/>
              </w:rPr>
            </w:pPr>
          </w:p>
        </w:tc>
        <w:tc>
          <w:tcPr>
            <w:tcW w:w="460" w:type="dxa"/>
            <w:vAlign w:val="bottom"/>
          </w:tcPr>
          <w:p>
            <w:pPr>
              <w:jc w:val="right"/>
              <w:ind w:right="122"/>
              <w:spacing w:after="0" w:line="148" w:lineRule="exact"/>
              <w:rPr>
                <w:sz w:val="20"/>
                <w:szCs w:val="20"/>
                <w:color w:val="auto"/>
              </w:rPr>
            </w:pPr>
            <w:r>
              <w:rPr>
                <w:rFonts w:ascii="Arial" w:cs="Arial" w:eastAsia="Arial" w:hAnsi="Arial"/>
                <w:sz w:val="14"/>
                <w:szCs w:val="14"/>
                <w:b w:val="1"/>
                <w:bCs w:val="1"/>
                <w:color w:val="auto"/>
              </w:rPr>
              <w:t>(a)</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78"/>
              <w:spacing w:after="0" w:line="148" w:lineRule="exact"/>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4"/>
                <w:szCs w:val="14"/>
                <w:color w:val="auto"/>
              </w:rPr>
            </w:pPr>
          </w:p>
        </w:tc>
        <w:tc>
          <w:tcPr>
            <w:tcW w:w="920" w:type="dxa"/>
            <w:vAlign w:val="bottom"/>
            <w:gridSpan w:val="2"/>
          </w:tcPr>
          <w:p>
            <w:pPr>
              <w:jc w:val="right"/>
              <w:ind w:right="518"/>
              <w:spacing w:after="0" w:line="148" w:lineRule="exact"/>
              <w:rPr>
                <w:sz w:val="20"/>
                <w:szCs w:val="20"/>
                <w:color w:val="auto"/>
              </w:rPr>
            </w:pPr>
            <w:r>
              <w:rPr>
                <w:rFonts w:ascii="Arial" w:cs="Arial" w:eastAsia="Arial" w:hAnsi="Arial"/>
                <w:sz w:val="14"/>
                <w:szCs w:val="14"/>
                <w:b w:val="1"/>
                <w:bCs w:val="1"/>
                <w:color w:val="auto"/>
                <w:w w:val="91"/>
              </w:rPr>
              <w:t>Loss</w:t>
            </w:r>
          </w:p>
        </w:tc>
        <w:tc>
          <w:tcPr>
            <w:tcW w:w="11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September 30, 2012</w:t>
            </w:r>
          </w:p>
        </w:tc>
        <w:tc>
          <w:tcPr>
            <w:tcW w:w="420" w:type="dxa"/>
            <w:vAlign w:val="bottom"/>
          </w:tcPr>
          <w:p>
            <w:pPr>
              <w:spacing w:after="0"/>
              <w:rPr>
                <w:sz w:val="14"/>
                <w:szCs w:val="14"/>
                <w:color w:val="auto"/>
              </w:rPr>
            </w:pPr>
          </w:p>
        </w:tc>
        <w:tc>
          <w:tcPr>
            <w:tcW w:w="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4"/>
                <w:szCs w:val="14"/>
                <w:color w:val="auto"/>
              </w:rPr>
            </w:pPr>
          </w:p>
        </w:tc>
        <w:tc>
          <w:tcPr>
            <w:tcW w:w="5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42,663</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(1,257</w:t>
            </w:r>
          </w:p>
        </w:tc>
        <w:tc>
          <w:tcPr>
            <w:tcW w:w="420" w:type="dxa"/>
            <w:vAlign w:val="bottom"/>
            <w:tcBorders>
              <w:top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w:t>
            </w:r>
          </w:p>
        </w:tc>
        <w:tc>
          <w:tcPr>
            <w:tcW w:w="420" w:type="dxa"/>
            <w:vAlign w:val="bottom"/>
            <w:tcBorders>
              <w:top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41,406</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2,723</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42,663</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161</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78"/>
              <w:spacing w:after="0"/>
              <w:rPr>
                <w:sz w:val="20"/>
                <w:szCs w:val="20"/>
                <w:color w:val="auto"/>
              </w:rPr>
            </w:pPr>
            <w:r>
              <w:rPr>
                <w:rFonts w:ascii="Arial" w:cs="Arial" w:eastAsia="Arial" w:hAnsi="Arial"/>
                <w:sz w:val="18"/>
                <w:szCs w:val="18"/>
                <w:color w:val="auto"/>
                <w:w w:val="98"/>
              </w:rPr>
              <w:t>(1,257)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8"/>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41,406</w:t>
            </w:r>
          </w:p>
        </w:tc>
        <w:tc>
          <w:tcPr>
            <w:tcW w:w="1120" w:type="dxa"/>
            <w:vAlign w:val="bottom"/>
            <w:gridSpan w:val="3"/>
          </w:tcPr>
          <w:p>
            <w:pPr>
              <w:jc w:val="center"/>
              <w:ind w:left="1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Schedule of Investments as of December 31,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4"/>
              </w:rPr>
              <w:t>Acquisition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460" w:type="dxa"/>
            <w:vAlign w:val="bottom"/>
            <w:gridSpan w:val="3"/>
            <w:vMerge w:val="continue"/>
          </w:tcPr>
          <w:p>
            <w:pPr>
              <w:spacing w:after="0"/>
              <w:rPr>
                <w:sz w:val="12"/>
                <w:szCs w:val="12"/>
                <w:color w:val="auto"/>
              </w:rPr>
            </w:pPr>
          </w:p>
        </w:tc>
        <w:tc>
          <w:tcPr>
            <w:tcW w:w="1080" w:type="dxa"/>
            <w:vAlign w:val="bottom"/>
          </w:tcPr>
          <w:p>
            <w:pPr>
              <w:ind w:left="300"/>
              <w:spacing w:after="0" w:line="148" w:lineRule="exact"/>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Investment</w:t>
            </w:r>
          </w:p>
        </w:tc>
        <w:tc>
          <w:tcPr>
            <w:tcW w:w="8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6"/>
              </w:rPr>
              <w:t>Interest</w:t>
            </w:r>
          </w:p>
        </w:tc>
        <w:tc>
          <w:tcPr>
            <w:tcW w:w="1700" w:type="dxa"/>
            <w:vAlign w:val="bottom"/>
            <w:gridSpan w:val="2"/>
          </w:tcPr>
          <w:p>
            <w:pPr>
              <w:jc w:val="right"/>
              <w:ind w:right="1140"/>
              <w:spacing w:after="0" w:line="148" w:lineRule="exact"/>
              <w:rPr>
                <w:sz w:val="20"/>
                <w:szCs w:val="20"/>
                <w:color w:val="auto"/>
              </w:rPr>
            </w:pPr>
            <w:r>
              <w:rPr>
                <w:rFonts w:ascii="Arial" w:cs="Arial" w:eastAsia="Arial" w:hAnsi="Arial"/>
                <w:sz w:val="14"/>
                <w:szCs w:val="14"/>
                <w:b w:val="1"/>
                <w:bCs w:val="1"/>
                <w:color w:val="auto"/>
              </w:rPr>
              <w:t>Date</w:t>
            </w:r>
          </w:p>
        </w:tc>
        <w:tc>
          <w:tcPr>
            <w:tcW w:w="8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Cost (2)</w:t>
            </w:r>
          </w:p>
        </w:tc>
        <w:tc>
          <w:tcPr>
            <w:tcW w:w="1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2"/>
                <w:szCs w:val="12"/>
                <w:color w:val="auto"/>
              </w:rPr>
            </w:pP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Secured Loans</w:t>
            </w: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Solarsoft, LP (f/k/a CMS-XKO Holding</w:t>
            </w: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Company,</w:t>
            </w:r>
          </w:p>
        </w:tc>
        <w:tc>
          <w:tcPr>
            <w:tcW w:w="1080" w:type="dxa"/>
            <w:vAlign w:val="bottom"/>
          </w:tcPr>
          <w:p>
            <w:pPr>
              <w:spacing w:after="0"/>
              <w:rPr>
                <w:sz w:val="20"/>
                <w:szCs w:val="20"/>
                <w:color w:val="auto"/>
              </w:rPr>
            </w:pPr>
            <w:r>
              <w:rPr>
                <w:rFonts w:ascii="Arial" w:cs="Arial" w:eastAsia="Arial" w:hAnsi="Arial"/>
                <w:sz w:val="18"/>
                <w:szCs w:val="18"/>
                <w:color w:val="auto"/>
              </w:rPr>
              <w:t>provider for</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LP) (3)(4)</w:t>
            </w:r>
          </w:p>
        </w:tc>
        <w:tc>
          <w:tcPr>
            <w:tcW w:w="1080" w:type="dxa"/>
            <w:vAlign w:val="bottom"/>
          </w:tcPr>
          <w:p>
            <w:pPr>
              <w:spacing w:after="0"/>
              <w:rPr>
                <w:sz w:val="20"/>
                <w:szCs w:val="20"/>
                <w:color w:val="auto"/>
              </w:rPr>
            </w:pPr>
            <w:r>
              <w:rPr>
                <w:rFonts w:ascii="Arial" w:cs="Arial" w:eastAsia="Arial" w:hAnsi="Arial"/>
                <w:sz w:val="18"/>
                <w:szCs w:val="18"/>
                <w:color w:val="auto"/>
              </w:rPr>
              <w:t>electrical</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($29,625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equipment</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2"/>
              </w:rPr>
              <w:t>manufacturing</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7/2016)</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7/8/2011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$ 29,052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$ 29,181</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 Cut Hospitality, Inc.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Full service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chain of</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($26,250 par,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8/2016)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8/15/2011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25,987</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AFS Technologies, Inc. (3)(5)</w:t>
            </w: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provider for</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food and</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($32,662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beverage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companies</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9/2015)</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8/31/2011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31,876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32,663</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Ecommerce Industries, Inc.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ERP and</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($22,713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10/2016)</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0"/>
              </w:rPr>
              <w:t>10/17/2011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Rogue Wave Holdings, Inc. (3)</w:t>
            </w:r>
          </w:p>
        </w:tc>
        <w:tc>
          <w:tcPr>
            <w:tcW w:w="1080" w:type="dxa"/>
            <w:vAlign w:val="bottom"/>
          </w:tcPr>
          <w:p>
            <w:pPr>
              <w:spacing w:after="0"/>
              <w:rPr>
                <w:sz w:val="20"/>
                <w:szCs w:val="20"/>
                <w:color w:val="auto"/>
              </w:rPr>
            </w:pPr>
            <w:r>
              <w:rPr>
                <w:rFonts w:ascii="Arial" w:cs="Arial" w:eastAsia="Arial" w:hAnsi="Arial"/>
                <w:sz w:val="18"/>
                <w:szCs w:val="18"/>
                <w:color w:val="auto"/>
                <w:w w:val="89"/>
              </w:rPr>
              <w:t>Cross-platform</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development</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($14,672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tools</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8/2016)</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11.75%</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w w:val="90"/>
              </w:rPr>
              <w:t>10/31/2011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14,550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14,635</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4"/>
              </w:rPr>
              <w:t>Multidiscipline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simulation</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12/2016)</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0"/>
              </w:rPr>
              <w:t>12/23/2011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Senior Secured Loans</w:t>
            </w: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157,870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160,178</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Bonds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Rare Restaurant Group, LLC</w:t>
            </w:r>
          </w:p>
        </w:tc>
        <w:tc>
          <w:tcPr>
            <w:tcW w:w="1080" w:type="dxa"/>
            <w:vAlign w:val="bottom"/>
          </w:tcPr>
          <w:p>
            <w:pPr>
              <w:spacing w:after="0"/>
              <w:rPr>
                <w:sz w:val="20"/>
                <w:szCs w:val="20"/>
                <w:color w:val="auto"/>
              </w:rPr>
            </w:pPr>
            <w:r>
              <w:rPr>
                <w:rFonts w:ascii="Arial" w:cs="Arial" w:eastAsia="Arial" w:hAnsi="Arial"/>
                <w:sz w:val="18"/>
                <w:szCs w:val="18"/>
                <w:color w:val="auto"/>
              </w:rPr>
              <w:t>Full service</w:t>
            </w:r>
          </w:p>
        </w:tc>
        <w:tc>
          <w:tcPr>
            <w:tcW w:w="1160" w:type="dxa"/>
            <w:vAlign w:val="bottom"/>
            <w:gridSpan w:val="2"/>
          </w:tcPr>
          <w:p>
            <w:pPr>
              <w:ind w:left="220"/>
              <w:spacing w:after="0" w:line="208"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22"/>
                <w:szCs w:val="22"/>
                <w:color w:val="auto"/>
                <w:vertAlign w:val="subscript"/>
              </w:rPr>
              <w:t>4</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chain of</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restaurants</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bond</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($16,462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5/2014)</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9.25%</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11/7/2011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13,255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13,170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line="209"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22"/>
                <w:szCs w:val="22"/>
                <w:color w:val="auto"/>
                <w:vertAlign w:val="subscript"/>
              </w:rPr>
              <w:t>4</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bond</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($1,250 par,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5/2014)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11/9/2011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Bonds</w:t>
            </w: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44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14,261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14,170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w:t>
            </w:r>
          </w:p>
        </w:tc>
        <w:tc>
          <w:tcPr>
            <w:tcW w:w="4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332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Industry</w:t>
            </w:r>
          </w:p>
        </w:tc>
        <w:tc>
          <w:tcPr>
            <w:tcW w:w="1580" w:type="dxa"/>
            <w:vAlign w:val="bottom"/>
            <w:gridSpan w:val="4"/>
          </w:tcPr>
          <w:p>
            <w:pPr>
              <w:ind w:left="60"/>
              <w:spacing w:after="0" w:line="148" w:lineRule="exact"/>
              <w:rPr>
                <w:sz w:val="20"/>
                <w:szCs w:val="20"/>
                <w:color w:val="auto"/>
              </w:rPr>
            </w:pPr>
            <w:r>
              <w:rPr>
                <w:rFonts w:ascii="Arial" w:cs="Arial" w:eastAsia="Arial" w:hAnsi="Arial"/>
                <w:sz w:val="14"/>
                <w:szCs w:val="14"/>
                <w:b w:val="1"/>
                <w:bCs w:val="1"/>
                <w:color w:val="auto"/>
              </w:rPr>
              <w:t>Investment    Interest</w:t>
            </w:r>
          </w:p>
        </w:tc>
        <w:tc>
          <w:tcPr>
            <w:tcW w:w="118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Date</w:t>
            </w:r>
          </w:p>
        </w:tc>
        <w:tc>
          <w:tcPr>
            <w:tcW w:w="400" w:type="dxa"/>
            <w:vAlign w:val="bottom"/>
          </w:tcPr>
          <w:p>
            <w:pPr>
              <w:spacing w:after="0"/>
              <w:rPr>
                <w:sz w:val="12"/>
                <w:szCs w:val="12"/>
                <w:color w:val="auto"/>
              </w:rPr>
            </w:pPr>
          </w:p>
        </w:tc>
        <w:tc>
          <w:tcPr>
            <w:tcW w:w="8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4"/>
              </w:rPr>
              <w:t>Cost (2)</w:t>
            </w:r>
          </w:p>
        </w:tc>
        <w:tc>
          <w:tcPr>
            <w:tcW w:w="1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2"/>
                <w:szCs w:val="12"/>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Preferred Equity</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AFS Technologies, Inc. (5)(6)</w:t>
            </w: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Software</w:t>
            </w:r>
          </w:p>
        </w:tc>
        <w:tc>
          <w:tcPr>
            <w:tcW w:w="1580" w:type="dxa"/>
            <w:vAlign w:val="bottom"/>
            <w:gridSpan w:val="4"/>
          </w:tcPr>
          <w:p>
            <w:pPr>
              <w:spacing w:after="0"/>
              <w:rPr>
                <w:sz w:val="20"/>
                <w:szCs w:val="20"/>
                <w:color w:val="auto"/>
              </w:rPr>
            </w:pPr>
            <w:r>
              <w:rPr>
                <w:rFonts w:ascii="Arial" w:cs="Arial" w:eastAsia="Arial" w:hAnsi="Arial"/>
                <w:sz w:val="18"/>
                <w:szCs w:val="18"/>
                <w:color w:val="auto"/>
              </w:rPr>
              <w:t>Series B-</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provider</w:t>
            </w:r>
          </w:p>
        </w:tc>
        <w:tc>
          <w:tcPr>
            <w:tcW w:w="760" w:type="dxa"/>
            <w:vAlign w:val="bottom"/>
          </w:tcPr>
          <w:p>
            <w:pPr>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for food</w:t>
            </w:r>
          </w:p>
        </w:tc>
        <w:tc>
          <w:tcPr>
            <w:tcW w:w="1580" w:type="dxa"/>
            <w:vAlign w:val="bottom"/>
            <w:gridSpan w:val="4"/>
          </w:tcPr>
          <w:p>
            <w:pPr>
              <w:spacing w:after="0"/>
              <w:rPr>
                <w:sz w:val="20"/>
                <w:szCs w:val="20"/>
                <w:color w:val="auto"/>
              </w:rPr>
            </w:pPr>
            <w:r>
              <w:rPr>
                <w:rFonts w:ascii="Arial" w:cs="Arial" w:eastAsia="Arial" w:hAnsi="Arial"/>
                <w:sz w:val="18"/>
                <w:szCs w:val="18"/>
                <w:color w:val="auto"/>
              </w:rPr>
              <w:t>Preferred</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and</w:t>
            </w:r>
          </w:p>
        </w:tc>
        <w:tc>
          <w:tcPr>
            <w:tcW w:w="1580" w:type="dxa"/>
            <w:vAlign w:val="bottom"/>
            <w:gridSpan w:val="4"/>
          </w:tcPr>
          <w:p>
            <w:pPr>
              <w:spacing w:after="0"/>
              <w:rPr>
                <w:sz w:val="20"/>
                <w:szCs w:val="20"/>
                <w:color w:val="auto"/>
              </w:rPr>
            </w:pPr>
            <w:r>
              <w:rPr>
                <w:rFonts w:ascii="Arial" w:cs="Arial" w:eastAsia="Arial" w:hAnsi="Arial"/>
                <w:sz w:val="18"/>
                <w:szCs w:val="18"/>
                <w:color w:val="auto"/>
              </w:rPr>
              <w:t>Stock</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beverage</w:t>
            </w:r>
          </w:p>
        </w:tc>
        <w:tc>
          <w:tcPr>
            <w:tcW w:w="760" w:type="dxa"/>
            <w:vAlign w:val="bottom"/>
          </w:tcPr>
          <w:p>
            <w:pPr>
              <w:spacing w:after="0"/>
              <w:rPr>
                <w:sz w:val="20"/>
                <w:szCs w:val="20"/>
                <w:color w:val="auto"/>
              </w:rPr>
            </w:pPr>
            <w:r>
              <w:rPr>
                <w:rFonts w:ascii="Arial" w:cs="Arial" w:eastAsia="Arial" w:hAnsi="Arial"/>
                <w:sz w:val="18"/>
                <w:szCs w:val="18"/>
                <w:color w:val="auto"/>
              </w:rPr>
              <w:t>(311,760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companies</w:t>
            </w:r>
          </w:p>
        </w:tc>
        <w:tc>
          <w:tcPr>
            <w:tcW w:w="1580" w:type="dxa"/>
            <w:vAlign w:val="bottom"/>
            <w:gridSpan w:val="4"/>
          </w:tcPr>
          <w:p>
            <w:pPr>
              <w:spacing w:after="0"/>
              <w:rPr>
                <w:sz w:val="20"/>
                <w:szCs w:val="20"/>
                <w:color w:val="auto"/>
              </w:rPr>
            </w:pPr>
            <w:r>
              <w:rPr>
                <w:rFonts w:ascii="Arial" w:cs="Arial" w:eastAsia="Arial" w:hAnsi="Arial"/>
                <w:sz w:val="18"/>
                <w:szCs w:val="18"/>
                <w:color w:val="auto"/>
              </w:rPr>
              <w:t>shares)</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8/31/2011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1,297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1,309</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 Inc. (5)(6)</w:t>
            </w: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Software</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Series B-</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provider</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for food</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Preferred</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and</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beverage</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85"/>
              </w:rPr>
              <w:t>(2,069,193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companies</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8/31/2011</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Preferred Equity</w:t>
            </w: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182,036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184,348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line="25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1940 Act, the Company would “control” a portfolio company if the Company owned more than 25% of its outstanding voting securities and/or had the power to exercise control over the management or policies of such portfolio company. As of December 31, 2011, the Company does not “control” any of the portfolio companies. Certain portfolio company investments are subject to contractual restrictions on sales.</w:t>
      </w:r>
    </w:p>
    <w:p>
      <w:pPr>
        <w:spacing w:after="0" w:line="1"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an arrangement between the Company and other lenders in any syndication.</w:t>
      </w:r>
    </w:p>
    <w:p>
      <w:pPr>
        <w:spacing w:after="0" w:line="2" w:lineRule="exact"/>
        <w:rPr>
          <w:rFonts w:ascii="Arial" w:cs="Arial" w:eastAsia="Arial" w:hAnsi="Arial"/>
          <w:sz w:val="16"/>
          <w:szCs w:val="16"/>
          <w:color w:val="auto"/>
        </w:rPr>
      </w:pPr>
    </w:p>
    <w:p>
      <w:pPr>
        <w:jc w:val="both"/>
        <w:ind w:left="460" w:right="40" w:hanging="452"/>
        <w:spacing w:after="0" w:line="30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preferred equity investment has an optional redemption feature which, if exercised, entitles the Company to a 1.5 times liquidation preference.</w:t>
      </w:r>
    </w:p>
    <w:p>
      <w:pPr>
        <w:spacing w:after="0" w:line="18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Transactions during the year ended December 31, 2011, in which the issuer was an affiliated company (but not a portfolio company that we “control”)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jc w:val="center"/>
              <w:ind w:left="206"/>
              <w:spacing w:after="0"/>
              <w:rPr>
                <w:sz w:val="20"/>
                <w:szCs w:val="20"/>
                <w:color w:val="auto"/>
              </w:rPr>
            </w:pPr>
            <w:r>
              <w:rPr>
                <w:rFonts w:ascii="Arial" w:cs="Arial" w:eastAsia="Arial" w:hAnsi="Arial"/>
                <w:sz w:val="14"/>
                <w:szCs w:val="14"/>
                <w:b w:val="1"/>
                <w:bCs w:val="1"/>
                <w:color w:val="auto"/>
                <w:w w:val="87"/>
              </w:rPr>
              <w:t>As of and for the Year</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226"/>
              <w:spacing w:after="0"/>
              <w:rPr>
                <w:sz w:val="20"/>
                <w:szCs w:val="20"/>
                <w:color w:val="auto"/>
              </w:rPr>
            </w:pPr>
            <w:r>
              <w:rPr>
                <w:rFonts w:ascii="Arial" w:cs="Arial" w:eastAsia="Arial" w:hAnsi="Arial"/>
                <w:sz w:val="14"/>
                <w:szCs w:val="14"/>
                <w:b w:val="1"/>
                <w:bCs w:val="1"/>
                <w:color w:val="auto"/>
                <w:w w:val="86"/>
              </w:rPr>
              <w:t>Ended December 31, 2011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22"/>
              <w:spacing w:after="0" w:line="129" w:lineRule="exact"/>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98"/>
              <w:spacing w:after="0" w:line="12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86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5"/>
              </w:rPr>
              <w:t>Value at</w:t>
            </w: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4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Reductions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Value at</w:t>
            </w:r>
          </w:p>
        </w:tc>
        <w:tc>
          <w:tcPr>
            <w:tcW w:w="2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Interest</w:t>
            </w:r>
          </w:p>
        </w:tc>
        <w:tc>
          <w:tcPr>
            <w:tcW w:w="22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3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4"/>
              </w:rPr>
              <w:t>December 31, 2010</w:t>
            </w: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578"/>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Gains</w:t>
            </w:r>
          </w:p>
        </w:tc>
        <w:tc>
          <w:tcPr>
            <w:tcW w:w="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2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AFS Technologies, Inc.</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42,618</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20" w:type="dxa"/>
            <w:vAlign w:val="bottom"/>
            <w:tcBorders>
              <w:top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42,663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42,618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78"/>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882</w:t>
            </w:r>
          </w:p>
        </w:tc>
        <w:tc>
          <w:tcPr>
            <w:tcW w:w="340" w:type="dxa"/>
            <w:vAlign w:val="bottom"/>
          </w:tcPr>
          <w:p>
            <w:pPr>
              <w:spacing w:after="0"/>
              <w:rPr>
                <w:sz w:val="19"/>
                <w:szCs w:val="19"/>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42,663</w:t>
            </w:r>
          </w:p>
        </w:tc>
        <w:tc>
          <w:tcPr>
            <w:tcW w:w="90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2"/>
              </w:rPr>
              <w:t>Nine Months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53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680" w:type="dxa"/>
            <w:vAlign w:val="bottom"/>
            <w:gridSpan w:val="4"/>
          </w:tcPr>
          <w:p>
            <w:pPr>
              <w:ind w:left="440"/>
              <w:spacing w:after="0"/>
              <w:rPr>
                <w:sz w:val="20"/>
                <w:szCs w:val="20"/>
                <w:color w:val="auto"/>
              </w:rPr>
            </w:pPr>
            <w:r>
              <w:rPr>
                <w:rFonts w:ascii="Arial" w:cs="Arial" w:eastAsia="Arial" w:hAnsi="Arial"/>
                <w:sz w:val="14"/>
                <w:szCs w:val="14"/>
                <w:b w:val="1"/>
                <w:bCs w:val="1"/>
                <w:color w:val="auto"/>
                <w:w w:val="93"/>
              </w:rPr>
              <w:t>September 30, 2011</w:t>
            </w: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(Decrease) in Net Assets Resulting from Operations</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17,137</w:t>
            </w:r>
          </w:p>
        </w:tc>
        <w:tc>
          <w:tcPr>
            <w:tcW w:w="480" w:type="dxa"/>
            <w:vAlign w:val="bottom"/>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(2,428)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2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Realized gains on investments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3,832</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53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b w:val="1"/>
                <w:bCs w:val="1"/>
                <w:color w:val="auto"/>
              </w:rPr>
              <w:t>Increase (Decrease) in Net Assets Resulting from</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3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Operations</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r>
      <w:tr>
        <w:trPr>
          <w:trHeight w:val="209"/>
        </w:trPr>
        <w:tc>
          <w:tcPr>
            <w:tcW w:w="538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5380" w:type="dxa"/>
            <w:vAlign w:val="bottom"/>
          </w:tcPr>
          <w:p>
            <w:pPr>
              <w:ind w:left="220"/>
              <w:spacing w:after="0"/>
              <w:rPr>
                <w:sz w:val="20"/>
                <w:szCs w:val="20"/>
                <w:color w:val="auto"/>
              </w:rPr>
            </w:pPr>
            <w:r>
              <w:rPr>
                <w:rFonts w:ascii="Arial" w:cs="Arial" w:eastAsia="Arial" w:hAnsi="Arial"/>
                <w:sz w:val="18"/>
                <w:szCs w:val="18"/>
                <w:b w:val="1"/>
                <w:bCs w:val="1"/>
                <w:color w:val="auto"/>
              </w:rPr>
              <w:t>Transactions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8"/>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1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14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Dividends declared</w:t>
            </w:r>
          </w:p>
        </w:tc>
        <w:tc>
          <w:tcPr>
            <w:tcW w:w="140" w:type="dxa"/>
            <w:vAlign w:val="bottom"/>
          </w:tcPr>
          <w:p>
            <w:pPr>
              <w:spacing w:after="0"/>
              <w:rPr>
                <w:sz w:val="19"/>
                <w:szCs w:val="19"/>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(19,510)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53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b w:val="1"/>
                <w:bCs w:val="1"/>
                <w:color w:val="auto"/>
              </w:rPr>
              <w:t>Increase in Net Assets Resulting from Capital Share</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3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Transactions</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173,264</w:t>
            </w: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107,999</w:t>
            </w:r>
          </w:p>
        </w:tc>
        <w:tc>
          <w:tcPr>
            <w:tcW w:w="120" w:type="dxa"/>
            <w:vAlign w:val="bottom"/>
            <w:shd w:val="clear" w:color="auto" w:fill="CCEEFF"/>
          </w:tcPr>
          <w:p>
            <w:pPr>
              <w:spacing w:after="0"/>
              <w:rPr>
                <w:sz w:val="20"/>
                <w:szCs w:val="20"/>
                <w:color w:val="auto"/>
              </w:rPr>
            </w:pPr>
          </w:p>
        </w:tc>
      </w:tr>
      <w:tr>
        <w:trPr>
          <w:trHeight w:val="221"/>
        </w:trPr>
        <w:tc>
          <w:tcPr>
            <w:tcW w:w="5380" w:type="dxa"/>
            <w:vAlign w:val="bottom"/>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200,399</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106,946</w:t>
            </w:r>
          </w:p>
        </w:tc>
        <w:tc>
          <w:tcPr>
            <w:tcW w:w="120" w:type="dxa"/>
            <w:vAlign w:val="bottom"/>
          </w:tcPr>
          <w:p>
            <w:pPr>
              <w:spacing w:after="0"/>
              <w:rPr>
                <w:sz w:val="19"/>
                <w:szCs w:val="19"/>
                <w:color w:val="auto"/>
              </w:rPr>
            </w:pPr>
          </w:p>
        </w:tc>
      </w:tr>
      <w:tr>
        <w:trPr>
          <w:trHeight w:val="218"/>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173,092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22"/>
        </w:trPr>
        <w:tc>
          <w:tcPr>
            <w:tcW w:w="5380" w:type="dxa"/>
            <w:vAlign w:val="bottom"/>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373,491</w:t>
            </w:r>
          </w:p>
        </w:tc>
        <w:tc>
          <w:tcPr>
            <w:tcW w:w="480" w:type="dxa"/>
            <w:vAlign w:val="bottom"/>
          </w:tcPr>
          <w:p>
            <w:pPr>
              <w:spacing w:after="0"/>
              <w:rPr>
                <w:sz w:val="19"/>
                <w:szCs w:val="19"/>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106,947</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92"/>
              </w:rPr>
              <w:t>Nine Months</w:t>
            </w: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2"/>
          </w:tcPr>
          <w:p>
            <w:pPr>
              <w:jc w:val="right"/>
              <w:ind w:right="130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7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27,135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increase (decrease) in net assets resulting from operations to net cash (used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operating activities:</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Realized gains on investments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(3,832)</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(6,166)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(448,542)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(98,299)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sales of investments, net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82,940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53,202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(6,909)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3,047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(297,694)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(98,788)</w:t>
            </w:r>
          </w:p>
        </w:tc>
        <w:tc>
          <w:tcPr>
            <w:tcW w:w="0" w:type="dxa"/>
            <w:vAlign w:val="bottom"/>
          </w:tcPr>
          <w:p>
            <w:pPr>
              <w:spacing w:after="0"/>
              <w:rPr>
                <w:sz w:val="1"/>
                <w:szCs w:val="1"/>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1,067,188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Repayments on debt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(911,237)</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(5,328)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Proceeds from issuance of common shares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187,692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108,000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(6,022)</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332,293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204,622</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Net Increase in Cash and Cash Equivalents</w:t>
            </w: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34,599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105,834</w:t>
            </w: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143,692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178,291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105,835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Interest paid during the period</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19,510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right="8220" w:firstLine="8"/>
        <w:spacing w:after="0" w:line="347" w:lineRule="auto"/>
        <w:tabs>
          <w:tab w:leader="none" w:pos="1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intends to elect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six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consolidated financial statements for interim periods, have been included. The results of operations for interim periods are not indicative of results to be expected for the full year. All significant intercompany balances and transactions have been eliminated.</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2011, which was filed with the Securities and Exchange Commission (“SEC”) on March 22,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 while its tax year ends on March 31.</w:t>
      </w:r>
    </w:p>
    <w:p>
      <w:pPr>
        <w:spacing w:after="0" w:line="246" w:lineRule="exact"/>
        <w:rPr>
          <w:sz w:val="20"/>
          <w:szCs w:val="20"/>
          <w:color w:val="auto"/>
        </w:rPr>
      </w:pPr>
    </w:p>
    <w:p>
      <w:pPr>
        <w:ind w:right="8840" w:firstLine="8"/>
        <w:spacing w:after="0" w:line="347" w:lineRule="auto"/>
        <w:tabs>
          <w:tab w:leader="none" w:pos="17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an independent third-party valuation firm engaged at the direction of the Board.</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Company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connection with debt and equity securities that were valued at fair value in good faith by the Board, the Board has engaged an independent third-party valuation firm to perform certain limited procedures that the Board identified and requested it to perform. As of September 30, 2012, the independent third-party valuation firm performed its procedures on the majority of investments which have been outstanding for greater than 45 days. Upon completion of such limited procedures, the third-party valuation firm determined that the fair value, as determined by the Board, of those investments subjected to their limited procedures was reasonable.</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Some of the factors considered include the number of prices obtained as well as an assessment as to their quality.</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intends to elect to be treated as a RIC under the Code for the taxable year ended March 31, 2012. So long as the Company elects and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360" w:firstLine="456"/>
        <w:spacing w:after="0" w:line="283"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 </w:t>
      </w:r>
      <w:r>
        <w:rPr>
          <w:rFonts w:ascii="Arial" w:cs="Arial" w:eastAsia="Arial" w:hAnsi="Arial"/>
          <w:sz w:val="16"/>
          <w:szCs w:val="16"/>
          <w:color w:val="auto"/>
        </w:rPr>
        <w:t>(“ASU 2011-04”) which largely aligns fair value measurement and disclosure requirements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Financial Reporting Standards and U.S. GAAP. ASU 2011-04 mainly represents clarifications to ASC 820 as well as some instances where a particular principle or requirement for measuring fair value or disclosing information about fair value measurements has changed. ASU 2011-04 clarifies that</w:t>
      </w:r>
    </w:p>
    <w:p>
      <w:pPr>
        <w:spacing w:after="0" w:line="3" w:lineRule="exact"/>
        <w:rPr>
          <w:sz w:val="20"/>
          <w:szCs w:val="20"/>
          <w:color w:val="auto"/>
        </w:rPr>
      </w:pPr>
    </w:p>
    <w:p>
      <w:pPr>
        <w:ind w:right="120" w:firstLine="8"/>
        <w:spacing w:after="0" w:line="287" w:lineRule="auto"/>
        <w:tabs>
          <w:tab w:leader="none" w:pos="21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highest and best use concept only applies to nonfinancial assets; (ii) an instrument classified in shareholders’ equity should be measured from the perspective of a market participant holding that instrument as an asset; and, (iii) quantitative disclosure is required for unobservable inputs used in Level 3 measurements. ASU 2011-04 amends ASC 820 so that (i) the fair value of a group of financial assets and financial liabilities with similar risk exposures may be measured on the basis of the entity’s net risk exposure; (ii) premiums or discounts may be applied in a fair value measurement under certain circumstances but blockage factor discounts are not permitted; and, (iii) additional Level 3 disclosures are required, including a narrative description of the sensitivity of the fair value measurement to changes in unobservable inputs. ASU 2011-04 is effective for interim and annual periods beginning after December 15, 2011. The Company has adopted ASU 2011-04 as of January 1, 2012. The adoption of ASU 2011-04 did not have a material impact on the Company’s financial position or results of operations.</w:t>
      </w:r>
    </w:p>
    <w:p>
      <w:pPr>
        <w:spacing w:after="0" w:line="199" w:lineRule="exact"/>
        <w:rPr>
          <w:sz w:val="20"/>
          <w:szCs w:val="20"/>
          <w:color w:val="auto"/>
        </w:rPr>
      </w:pPr>
    </w:p>
    <w:p>
      <w:pPr>
        <w:ind w:right="7920" w:firstLine="8"/>
        <w:spacing w:after="0" w:line="347" w:lineRule="auto"/>
        <w:tabs>
          <w:tab w:leader="none" w:pos="17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Administration Agreement also provides for reimbursement of certain initial organization costs incurred prior to the commencement of the Company’s operations (up to an aggregate of $1.5 million). During the nine months ended September 30, 2011, initial organization costs exceeded $1.5 million and accordingly, a corresponding amount was recorded in the consolidated financial statements and paid to the Adviser.</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three and nine months ended September 30, 2012, the Company incurred expenses of $0.2 million and $0.7 million, respectively, for administrative services payable to the Adviser under the terms of the Administration Agreement. Excluding initial organization and operating costs, for the three and nine months ended September 30, 2011 the Company incurred expenses of $0.1 million and $0.2 million, respectively, for administrative services payable to the Adviser under the terms of the Administration Agreement.</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Unless earlier terminated as described below, the Administration Agreement will remain in effect until March 15, 2013, and may be extended subject to required approvals. The Administration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The Advisory Agreement was subsequently amended on December 12, 2011.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16" w:lineRule="exact"/>
        <w:rPr>
          <w:sz w:val="20"/>
          <w:szCs w:val="20"/>
          <w:color w:val="auto"/>
        </w:rPr>
      </w:pPr>
    </w:p>
    <w:p>
      <w:pPr>
        <w:jc w:val="both"/>
        <w:ind w:right="140" w:firstLine="456"/>
        <w:spacing w:after="0" w:line="318" w:lineRule="auto"/>
        <w:rPr>
          <w:sz w:val="20"/>
          <w:szCs w:val="20"/>
          <w:color w:val="auto"/>
        </w:rPr>
      </w:pPr>
      <w:r>
        <w:rPr>
          <w:rFonts w:ascii="Arial" w:cs="Arial" w:eastAsia="Arial" w:hAnsi="Arial"/>
          <w:sz w:val="15"/>
          <w:szCs w:val="15"/>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the Company has an initial public offering of its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0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the three and nine months ended September 30, 2012, Management Fees were $2.5 million and $6.1 million, respectively. For each of the three and nine month periods ended September 30, 2011, Management Fees were $0.7 million.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Until such time that the Company has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three and nine months ended September 30, 2012, Management Fees of $1.2 million and $2.4 million, respectively, were waived. For each of the three and nine month periods ended September 30, 2011, Management Fees of $7 thousand were waived.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hanging="446"/>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80" w:hanging="446"/>
        <w:spacing w:after="0" w:line="290"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 For the three and nine months ended September 30, 2012, Incentive Fees were $2.4 million and $4.8 million, respectively, of which $1.5 million and $3.3 million, respectively, were realized and payable to the Adviser. For each of the three and nine month periods ended September 30, 2011, Incentive Fees were $0.2 million, of which none were realized and payable to the Adviser.</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December 12, 2013, and may be extended subject to required approvals.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and nine months ended September 30, 2012, were $0.9 million and $2.6 million, respectively. Expenses incurred by the Adviser on behalf of the Company for the three and nine months ended September 30, 2011, were $0.8 million and $1.4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as of September 30, 2012, and December 31,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5"/>
              </w:rPr>
              <w:t>September 30, 2012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Net Unrealized</w:t>
            </w:r>
          </w:p>
        </w:tc>
        <w:tc>
          <w:tcPr>
            <w:tcW w:w="100" w:type="dxa"/>
            <w:vAlign w:val="bottom"/>
          </w:tcPr>
          <w:p>
            <w:pPr>
              <w:spacing w:after="0"/>
              <w:rPr>
                <w:sz w:val="11"/>
                <w:szCs w:val="11"/>
                <w:color w:val="auto"/>
              </w:rPr>
            </w:pPr>
          </w:p>
        </w:tc>
      </w:tr>
      <w:tr>
        <w:trPr>
          <w:trHeight w:val="161"/>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Amortized Cost (1)</w:t>
            </w:r>
          </w:p>
        </w:tc>
        <w:tc>
          <w:tcPr>
            <w:tcW w:w="5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r>
      <w:tr>
        <w:trPr>
          <w:trHeight w:val="210"/>
        </w:trPr>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492,218</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$500,598</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9,901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r>
      <w:tr>
        <w:trPr>
          <w:trHeight w:val="27"/>
        </w:trPr>
        <w:tc>
          <w:tcPr>
            <w:tcW w:w="4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502,119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510,598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10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5"/>
              </w:rPr>
              <w:t>December 31, 2011</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Net Unrealized</w:t>
            </w:r>
          </w:p>
        </w:tc>
        <w:tc>
          <w:tcPr>
            <w:tcW w:w="100" w:type="dxa"/>
            <w:vAlign w:val="bottom"/>
          </w:tcPr>
          <w:p>
            <w:pPr>
              <w:spacing w:after="0"/>
              <w:rPr>
                <w:sz w:val="11"/>
                <w:szCs w:val="11"/>
                <w:color w:val="auto"/>
              </w:rPr>
            </w:pPr>
          </w:p>
        </w:tc>
      </w:tr>
      <w:tr>
        <w:trPr>
          <w:trHeight w:val="161"/>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Amortized Cost (1)</w:t>
            </w:r>
          </w:p>
        </w:tc>
        <w:tc>
          <w:tcPr>
            <w:tcW w:w="5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r>
      <w:tr>
        <w:trPr>
          <w:trHeight w:val="210"/>
        </w:trPr>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172,131</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$174,348</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9,905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r>
      <w:tr>
        <w:trPr>
          <w:trHeight w:val="27"/>
        </w:trPr>
        <w:tc>
          <w:tcPr>
            <w:tcW w:w="4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182,036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as of September 30, 2012, and December 31, 2011,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5"/>
              </w:rPr>
              <w:t>September 30, 2012</w:t>
            </w:r>
          </w:p>
        </w:tc>
        <w:tc>
          <w:tcPr>
            <w:tcW w:w="500" w:type="dxa"/>
            <w:vAlign w:val="bottom"/>
          </w:tcPr>
          <w:p>
            <w:pPr>
              <w:spacing w:after="0"/>
              <w:rPr>
                <w:sz w:val="14"/>
                <w:szCs w:val="14"/>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Software provider for electrical equipment manufacturing</w:t>
            </w:r>
          </w:p>
        </w:tc>
        <w:tc>
          <w:tcPr>
            <w:tcW w:w="6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34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Full service chain of restaurants</w:t>
            </w:r>
          </w:p>
        </w:tc>
        <w:tc>
          <w:tcPr>
            <w:tcW w:w="6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Software provider for food and beverage companies</w:t>
            </w:r>
          </w:p>
        </w:tc>
        <w:tc>
          <w:tcPr>
            <w:tcW w:w="2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ERP and eCommerce systems software</w:t>
            </w:r>
          </w:p>
        </w:tc>
        <w:tc>
          <w:tcPr>
            <w:tcW w:w="2300" w:type="dxa"/>
            <w:vAlign w:val="bottom"/>
            <w:gridSpan w:val="3"/>
          </w:tcPr>
          <w:p>
            <w:pPr>
              <w:jc w:val="right"/>
              <w:ind w:right="360"/>
              <w:spacing w:after="0"/>
              <w:rPr>
                <w:sz w:val="20"/>
                <w:szCs w:val="20"/>
                <w:color w:val="auto"/>
              </w:rPr>
            </w:pPr>
            <w:r>
              <w:rPr>
                <w:rFonts w:ascii="Arial" w:cs="Arial" w:eastAsia="Arial" w:hAnsi="Arial"/>
                <w:sz w:val="18"/>
                <w:szCs w:val="18"/>
                <w:color w:val="auto"/>
              </w:rPr>
              <w:t>4.3%</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Cross-platform software development tools</w:t>
            </w:r>
          </w:p>
        </w:tc>
        <w:tc>
          <w:tcPr>
            <w:tcW w:w="2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7.2%</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Multidiscipline simulation software</w:t>
            </w:r>
          </w:p>
        </w:tc>
        <w:tc>
          <w:tcPr>
            <w:tcW w:w="2300" w:type="dxa"/>
            <w:vAlign w:val="bottom"/>
            <w:gridSpan w:val="3"/>
          </w:tcPr>
          <w:p>
            <w:pPr>
              <w:jc w:val="right"/>
              <w:ind w:right="360"/>
              <w:spacing w:after="0"/>
              <w:rPr>
                <w:sz w:val="20"/>
                <w:szCs w:val="20"/>
                <w:color w:val="auto"/>
              </w:rPr>
            </w:pPr>
            <w:r>
              <w:rPr>
                <w:rFonts w:ascii="Arial" w:cs="Arial" w:eastAsia="Arial" w:hAnsi="Arial"/>
                <w:sz w:val="18"/>
                <w:szCs w:val="18"/>
                <w:color w:val="auto"/>
              </w:rPr>
              <w:t>7.3%</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Safety equipment manufacturer</w:t>
            </w:r>
          </w:p>
        </w:tc>
        <w:tc>
          <w:tcPr>
            <w:tcW w:w="2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Alarm dealer and service provider</w:t>
            </w:r>
          </w:p>
        </w:tc>
        <w:tc>
          <w:tcPr>
            <w:tcW w:w="2300" w:type="dxa"/>
            <w:vAlign w:val="bottom"/>
            <w:gridSpan w:val="3"/>
          </w:tcPr>
          <w:p>
            <w:pPr>
              <w:jc w:val="right"/>
              <w:ind w:right="36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residential flooring</w:t>
            </w:r>
          </w:p>
        </w:tc>
        <w:tc>
          <w:tcPr>
            <w:tcW w:w="2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Sports entertainment</w:t>
            </w:r>
          </w:p>
        </w:tc>
        <w:tc>
          <w:tcPr>
            <w:tcW w:w="2300" w:type="dxa"/>
            <w:vAlign w:val="bottom"/>
            <w:gridSpan w:val="3"/>
          </w:tcPr>
          <w:p>
            <w:pPr>
              <w:jc w:val="right"/>
              <w:ind w:right="36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Business operations management solutions</w:t>
            </w:r>
          </w:p>
        </w:tc>
        <w:tc>
          <w:tcPr>
            <w:tcW w:w="2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Engineered equipment manufacturing</w:t>
            </w:r>
          </w:p>
        </w:tc>
        <w:tc>
          <w:tcPr>
            <w:tcW w:w="2300" w:type="dxa"/>
            <w:vAlign w:val="bottom"/>
            <w:gridSpan w:val="3"/>
          </w:tcPr>
          <w:p>
            <w:pPr>
              <w:jc w:val="right"/>
              <w:ind w:right="36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Enterprise application software solutions</w:t>
            </w:r>
          </w:p>
        </w:tc>
        <w:tc>
          <w:tcPr>
            <w:tcW w:w="2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Fleet management solutions</w:t>
            </w:r>
          </w:p>
        </w:tc>
        <w:tc>
          <w:tcPr>
            <w:tcW w:w="2300" w:type="dxa"/>
            <w:vAlign w:val="bottom"/>
            <w:gridSpan w:val="3"/>
          </w:tcPr>
          <w:p>
            <w:pPr>
              <w:jc w:val="right"/>
              <w:ind w:right="36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Pharmaceutical research services</w:t>
            </w:r>
          </w:p>
        </w:tc>
        <w:tc>
          <w:tcPr>
            <w:tcW w:w="2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Preventive automotive maintenance services</w:t>
            </w:r>
          </w:p>
        </w:tc>
        <w:tc>
          <w:tcPr>
            <w:tcW w:w="2300" w:type="dxa"/>
            <w:vAlign w:val="bottom"/>
            <w:gridSpan w:val="3"/>
          </w:tcPr>
          <w:p>
            <w:pPr>
              <w:jc w:val="right"/>
              <w:ind w:right="36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Recycling and waste management</w:t>
            </w:r>
          </w:p>
        </w:tc>
        <w:tc>
          <w:tcPr>
            <w:tcW w:w="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as of September 30, 2012, and December 31, 2011,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7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September 30, 2012</w:t>
            </w:r>
          </w:p>
        </w:tc>
        <w:tc>
          <w:tcPr>
            <w:tcW w:w="1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440"/>
              <w:spacing w:after="0"/>
              <w:rPr>
                <w:sz w:val="20"/>
                <w:szCs w:val="20"/>
                <w:color w:val="auto"/>
              </w:rPr>
            </w:pPr>
            <w:r>
              <w:rPr>
                <w:rFonts w:ascii="Arial" w:cs="Arial" w:eastAsia="Arial" w:hAnsi="Arial"/>
                <w:sz w:val="18"/>
                <w:szCs w:val="18"/>
                <w:color w:val="auto"/>
              </w:rPr>
              <w:t>Northeast</w:t>
            </w:r>
          </w:p>
        </w:tc>
        <w:tc>
          <w:tcPr>
            <w:tcW w:w="3740" w:type="dxa"/>
            <w:vAlign w:val="bottom"/>
            <w:gridSpan w:val="3"/>
          </w:tcPr>
          <w:p>
            <w:pPr>
              <w:jc w:val="right"/>
              <w:ind w:right="480"/>
              <w:spacing w:after="0"/>
              <w:rPr>
                <w:sz w:val="20"/>
                <w:szCs w:val="20"/>
                <w:color w:val="auto"/>
              </w:rPr>
            </w:pPr>
            <w:r>
              <w:rPr>
                <w:rFonts w:ascii="Arial" w:cs="Arial" w:eastAsia="Arial" w:hAnsi="Arial"/>
                <w:sz w:val="18"/>
                <w:szCs w:val="18"/>
                <w:color w:val="auto"/>
              </w:rPr>
              <w:t>14.6%</w:t>
            </w:r>
          </w:p>
        </w:tc>
        <w:tc>
          <w:tcPr>
            <w:tcW w:w="5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w:t>
            </w:r>
          </w:p>
        </w:tc>
        <w:tc>
          <w:tcPr>
            <w:tcW w:w="37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23.6%</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3140" w:type="dxa"/>
            <w:vAlign w:val="bottom"/>
          </w:tcPr>
          <w:p>
            <w:pPr>
              <w:ind w:left="440"/>
              <w:spacing w:after="0"/>
              <w:rPr>
                <w:sz w:val="20"/>
                <w:szCs w:val="20"/>
                <w:color w:val="auto"/>
              </w:rPr>
            </w:pPr>
            <w:r>
              <w:rPr>
                <w:rFonts w:ascii="Arial" w:cs="Arial" w:eastAsia="Arial" w:hAnsi="Arial"/>
                <w:sz w:val="18"/>
                <w:szCs w:val="18"/>
                <w:color w:val="auto"/>
              </w:rPr>
              <w:t>Southwest</w:t>
            </w:r>
          </w:p>
        </w:tc>
        <w:tc>
          <w:tcPr>
            <w:tcW w:w="3740" w:type="dxa"/>
            <w:vAlign w:val="bottom"/>
            <w:gridSpan w:val="3"/>
          </w:tcPr>
          <w:p>
            <w:pPr>
              <w:jc w:val="right"/>
              <w:ind w:right="480"/>
              <w:spacing w:after="0"/>
              <w:rPr>
                <w:sz w:val="20"/>
                <w:szCs w:val="20"/>
                <w:color w:val="auto"/>
              </w:rPr>
            </w:pPr>
            <w:r>
              <w:rPr>
                <w:rFonts w:ascii="Arial" w:cs="Arial" w:eastAsia="Arial" w:hAnsi="Arial"/>
                <w:sz w:val="18"/>
                <w:szCs w:val="18"/>
                <w:color w:val="auto"/>
              </w:rPr>
              <w:t>8.1%</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Midwest</w:t>
            </w:r>
          </w:p>
        </w:tc>
        <w:tc>
          <w:tcPr>
            <w:tcW w:w="37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14.2%</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ind w:left="440"/>
              <w:spacing w:after="0"/>
              <w:rPr>
                <w:sz w:val="20"/>
                <w:szCs w:val="20"/>
                <w:color w:val="auto"/>
              </w:rPr>
            </w:pPr>
            <w:r>
              <w:rPr>
                <w:rFonts w:ascii="Arial" w:cs="Arial" w:eastAsia="Arial" w:hAnsi="Arial"/>
                <w:sz w:val="18"/>
                <w:szCs w:val="18"/>
                <w:color w:val="auto"/>
              </w:rPr>
              <w:t>West</w:t>
            </w:r>
          </w:p>
        </w:tc>
        <w:tc>
          <w:tcPr>
            <w:tcW w:w="3740" w:type="dxa"/>
            <w:vAlign w:val="bottom"/>
            <w:gridSpan w:val="3"/>
          </w:tcPr>
          <w:p>
            <w:pPr>
              <w:jc w:val="right"/>
              <w:ind w:right="480"/>
              <w:spacing w:after="0"/>
              <w:rPr>
                <w:sz w:val="20"/>
                <w:szCs w:val="20"/>
                <w:color w:val="auto"/>
              </w:rPr>
            </w:pPr>
            <w:r>
              <w:rPr>
                <w:rFonts w:ascii="Arial" w:cs="Arial" w:eastAsia="Arial" w:hAnsi="Arial"/>
                <w:sz w:val="18"/>
                <w:szCs w:val="18"/>
                <w:color w:val="auto"/>
              </w:rPr>
              <w:t>31.4%</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9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31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4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100" w:firstLine="8"/>
        <w:spacing w:after="0" w:line="369" w:lineRule="auto"/>
        <w:tabs>
          <w:tab w:leader="none" w:pos="17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fair value measurements for Investments at fair value as of September 30, 2012, and December 31, 2011:</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4"/>
                <w:szCs w:val="14"/>
                <w:b w:val="1"/>
                <w:bCs w:val="1"/>
                <w:color w:val="auto"/>
              </w:rPr>
              <w:t>Fair Value Hierarchy at September 30, 2012</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w w:val="84"/>
              </w:rPr>
              <w:t>Level 1</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8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$29,398</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$471,200</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$500,598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288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29,398</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481,200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510,598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8"/>
          </w:tcPr>
          <w:p>
            <w:pPr>
              <w:ind w:left="20"/>
              <w:spacing w:after="0"/>
              <w:rPr>
                <w:sz w:val="20"/>
                <w:szCs w:val="20"/>
                <w:color w:val="auto"/>
              </w:rPr>
            </w:pPr>
            <w:r>
              <w:rPr>
                <w:rFonts w:ascii="Arial" w:cs="Arial" w:eastAsia="Arial" w:hAnsi="Arial"/>
                <w:sz w:val="14"/>
                <w:szCs w:val="14"/>
                <w:b w:val="1"/>
                <w:bCs w:val="1"/>
                <w:color w:val="auto"/>
              </w:rPr>
              <w:t>Fair Value Hierarchy at December 31, 2011</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3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6"/>
              </w:rPr>
              <w:t>$ —</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$174,348</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8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80" w:type="dxa"/>
            <w:vAlign w:val="bottom"/>
            <w:vMerge w:val="restart"/>
          </w:tcPr>
          <w:p>
            <w:pPr>
              <w:jc w:val="right"/>
              <w:ind w:right="145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changes in Investments at fair value that use Level 3 inputs as of and for the three and nine months ended September 30, 2012:</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7"/>
              </w:rPr>
              <w:t>As of and for the Three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7"/>
              </w:rPr>
              <w:t>Months Ended September 30, 2012</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86"/>
              </w:rPr>
              <w:t>Preferred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Debt</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Equity/Mezzanine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Investments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$ 394,598</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$403,648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Purchases, net</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116,051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116,051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(45,742)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(45,742)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Paid-in-kind interest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950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4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$ 471,200</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10,000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481,200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7"/>
              </w:rPr>
              <w:t>As of and for the Nine</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86"/>
              </w:rPr>
              <w:t>Months Ended September 30, 2012</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tcPr>
          <w:p>
            <w:pPr>
              <w:jc w:val="center"/>
              <w:ind w:right="700"/>
              <w:spacing w:after="0" w:line="129" w:lineRule="exact"/>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Debt</w:t>
            </w:r>
          </w:p>
        </w:tc>
        <w:tc>
          <w:tcPr>
            <w:tcW w:w="540" w:type="dxa"/>
            <w:vAlign w:val="bottom"/>
          </w:tcPr>
          <w:p>
            <w:pPr>
              <w:spacing w:after="0"/>
              <w:rPr>
                <w:sz w:val="12"/>
                <w:szCs w:val="12"/>
                <w:color w:val="auto"/>
              </w:rPr>
            </w:pPr>
          </w:p>
        </w:tc>
        <w:tc>
          <w:tcPr>
            <w:tcW w:w="164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Equity/Mezzanine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Investments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$ 174,348</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Purchases, net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414,992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414,987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 net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(60,905)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(60,905)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Repayments</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(53,146)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(53,146)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6,241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(14,170)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$ 471,200</w:t>
            </w: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481,200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nine months ended September 30, 2012, as a result of changes in the observability of inputs into its valuation.</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following table presents information with respect to net change in unrealized appreciation or depreciation on Investments at fair value for which Level 3 inputs were used in determining fair value that are still held by the Company as of September 30, 2012, and September 30, 2011:</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ind w:right="2"/>
              <w:spacing w:after="0"/>
              <w:rPr>
                <w:sz w:val="20"/>
                <w:szCs w:val="20"/>
                <w:color w:val="auto"/>
              </w:rPr>
            </w:pPr>
            <w:r>
              <w:rPr>
                <w:rFonts w:ascii="Arial" w:cs="Arial" w:eastAsia="Arial" w:hAnsi="Arial"/>
                <w:sz w:val="14"/>
                <w:szCs w:val="14"/>
                <w:b w:val="1"/>
                <w:bCs w:val="1"/>
                <w:color w:val="auto"/>
                <w:w w:val="87"/>
              </w:rPr>
              <w:t>Net Change in Unrealized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Change in Unrealized</w:t>
            </w:r>
          </w:p>
        </w:tc>
      </w:tr>
      <w:tr>
        <w:trPr>
          <w:trHeight w:val="149"/>
        </w:trPr>
        <w:tc>
          <w:tcPr>
            <w:tcW w:w="3440" w:type="dxa"/>
            <w:vAlign w:val="bottom"/>
          </w:tcPr>
          <w:p>
            <w:pPr>
              <w:spacing w:after="0"/>
              <w:rPr>
                <w:sz w:val="12"/>
                <w:szCs w:val="12"/>
                <w:color w:val="auto"/>
              </w:rPr>
            </w:pPr>
          </w:p>
        </w:tc>
        <w:tc>
          <w:tcPr>
            <w:tcW w:w="2300" w:type="dxa"/>
            <w:vAlign w:val="bottom"/>
            <w:gridSpan w:val="3"/>
          </w:tcPr>
          <w:p>
            <w:pPr>
              <w:jc w:val="center"/>
              <w:ind w:left="542"/>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2940" w:type="dxa"/>
            <w:vAlign w:val="bottom"/>
            <w:gridSpan w:val="4"/>
          </w:tcPr>
          <w:p>
            <w:pPr>
              <w:jc w:val="center"/>
              <w:ind w:left="96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r>
      <w:tr>
        <w:trPr>
          <w:trHeight w:val="149"/>
        </w:trPr>
        <w:tc>
          <w:tcPr>
            <w:tcW w:w="3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for the Three Months Ended</w:t>
            </w:r>
          </w:p>
        </w:tc>
        <w:tc>
          <w:tcPr>
            <w:tcW w:w="116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r>
      <w:tr>
        <w:trPr>
          <w:trHeight w:val="149"/>
        </w:trPr>
        <w:tc>
          <w:tcPr>
            <w:tcW w:w="3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September 30, 2012 on</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2011 on</w:t>
            </w:r>
          </w:p>
        </w:tc>
      </w:tr>
      <w:tr>
        <w:trPr>
          <w:trHeight w:val="149"/>
        </w:trPr>
        <w:tc>
          <w:tcPr>
            <w:tcW w:w="3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Investments Held at</w:t>
            </w:r>
          </w:p>
        </w:tc>
      </w:tr>
      <w:tr>
        <w:trPr>
          <w:trHeight w:val="161"/>
        </w:trPr>
        <w:tc>
          <w:tcPr>
            <w:tcW w:w="3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ind w:right="2"/>
              <w:spacing w:after="0"/>
              <w:rPr>
                <w:sz w:val="20"/>
                <w:szCs w:val="20"/>
                <w:color w:val="auto"/>
              </w:rPr>
            </w:pPr>
            <w:r>
              <w:rPr>
                <w:rFonts w:ascii="Arial" w:cs="Arial" w:eastAsia="Arial" w:hAnsi="Arial"/>
                <w:sz w:val="14"/>
                <w:szCs w:val="14"/>
                <w:b w:val="1"/>
                <w:bCs w:val="1"/>
                <w:color w:val="auto"/>
                <w:w w:val="85"/>
              </w:rPr>
              <w:t>September 30, 2012</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2011</w:t>
            </w:r>
          </w:p>
        </w:tc>
      </w:tr>
      <w:tr>
        <w:trPr>
          <w:trHeight w:val="210"/>
        </w:trPr>
        <w:tc>
          <w:tcPr>
            <w:tcW w:w="3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right"/>
              <w:ind w:right="1242"/>
              <w:spacing w:after="0"/>
              <w:rPr>
                <w:sz w:val="20"/>
                <w:szCs w:val="20"/>
                <w:color w:val="auto"/>
              </w:rPr>
            </w:pPr>
            <w:r>
              <w:rPr>
                <w:rFonts w:ascii="Arial" w:cs="Arial" w:eastAsia="Arial" w:hAnsi="Arial"/>
                <w:sz w:val="18"/>
                <w:szCs w:val="18"/>
                <w:color w:val="auto"/>
              </w:rPr>
              <w:t>19</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ind w:right="4"/>
              <w:spacing w:after="0"/>
              <w:rPr>
                <w:sz w:val="20"/>
                <w:szCs w:val="20"/>
                <w:color w:val="auto"/>
              </w:rPr>
            </w:pPr>
            <w:r>
              <w:rPr>
                <w:rFonts w:ascii="Arial" w:cs="Arial" w:eastAsia="Arial" w:hAnsi="Arial"/>
                <w:sz w:val="14"/>
                <w:szCs w:val="14"/>
                <w:b w:val="1"/>
                <w:bCs w:val="1"/>
                <w:color w:val="auto"/>
                <w:w w:val="87"/>
              </w:rPr>
              <w:t>Net Change in Unrealized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Change in Unrealized</w:t>
            </w:r>
          </w:p>
        </w:tc>
      </w:tr>
      <w:tr>
        <w:trPr>
          <w:trHeight w:val="149"/>
        </w:trPr>
        <w:tc>
          <w:tcPr>
            <w:tcW w:w="3440" w:type="dxa"/>
            <w:vAlign w:val="bottom"/>
          </w:tcPr>
          <w:p>
            <w:pPr>
              <w:spacing w:after="0"/>
              <w:rPr>
                <w:sz w:val="12"/>
                <w:szCs w:val="12"/>
                <w:color w:val="auto"/>
              </w:rPr>
            </w:pPr>
          </w:p>
        </w:tc>
        <w:tc>
          <w:tcPr>
            <w:tcW w:w="2300" w:type="dxa"/>
            <w:vAlign w:val="bottom"/>
            <w:gridSpan w:val="3"/>
          </w:tcPr>
          <w:p>
            <w:pPr>
              <w:jc w:val="center"/>
              <w:ind w:left="542"/>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2940" w:type="dxa"/>
            <w:vAlign w:val="bottom"/>
            <w:gridSpan w:val="4"/>
          </w:tcPr>
          <w:p>
            <w:pPr>
              <w:jc w:val="center"/>
              <w:ind w:left="96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r>
      <w:tr>
        <w:trPr>
          <w:trHeight w:val="149"/>
        </w:trPr>
        <w:tc>
          <w:tcPr>
            <w:tcW w:w="3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for the Nine Months Ended</w:t>
            </w:r>
          </w:p>
        </w:tc>
        <w:tc>
          <w:tcPr>
            <w:tcW w:w="116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for the Nine Months Ended</w:t>
            </w:r>
          </w:p>
        </w:tc>
      </w:tr>
      <w:tr>
        <w:trPr>
          <w:trHeight w:val="149"/>
        </w:trPr>
        <w:tc>
          <w:tcPr>
            <w:tcW w:w="3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September 30, 2012 on</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2011 on</w:t>
            </w:r>
          </w:p>
        </w:tc>
      </w:tr>
      <w:tr>
        <w:trPr>
          <w:trHeight w:val="149"/>
        </w:trPr>
        <w:tc>
          <w:tcPr>
            <w:tcW w:w="3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Investments Held at</w:t>
            </w:r>
          </w:p>
        </w:tc>
      </w:tr>
      <w:tr>
        <w:trPr>
          <w:trHeight w:val="161"/>
        </w:trPr>
        <w:tc>
          <w:tcPr>
            <w:tcW w:w="3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ind w:right="4"/>
              <w:spacing w:after="0"/>
              <w:rPr>
                <w:sz w:val="20"/>
                <w:szCs w:val="20"/>
                <w:color w:val="auto"/>
              </w:rPr>
            </w:pPr>
            <w:r>
              <w:rPr>
                <w:rFonts w:ascii="Arial" w:cs="Arial" w:eastAsia="Arial" w:hAnsi="Arial"/>
                <w:sz w:val="14"/>
                <w:szCs w:val="14"/>
                <w:b w:val="1"/>
                <w:bCs w:val="1"/>
                <w:color w:val="auto"/>
                <w:w w:val="85"/>
              </w:rPr>
              <w:t>September 30, 2012</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2011</w:t>
            </w:r>
          </w:p>
        </w:tc>
      </w:tr>
      <w:tr>
        <w:trPr>
          <w:trHeight w:val="210"/>
        </w:trPr>
        <w:tc>
          <w:tcPr>
            <w:tcW w:w="3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2012</w:t>
            </w:r>
          </w:p>
        </w:tc>
        <w:tc>
          <w:tcPr>
            <w:tcW w:w="2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Fair Value</w:t>
            </w:r>
          </w:p>
        </w:tc>
        <w:tc>
          <w:tcPr>
            <w:tcW w:w="2380" w:type="dxa"/>
            <w:vAlign w:val="bottom"/>
          </w:tcPr>
          <w:p>
            <w:pPr>
              <w:ind w:left="600"/>
              <w:spacing w:after="0" w:line="155" w:lineRule="exact"/>
              <w:rPr>
                <w:sz w:val="20"/>
                <w:szCs w:val="20"/>
                <w:color w:val="auto"/>
              </w:rPr>
            </w:pPr>
            <w:r>
              <w:rPr>
                <w:rFonts w:ascii="Arial" w:cs="Arial" w:eastAsia="Arial" w:hAnsi="Arial"/>
                <w:sz w:val="14"/>
                <w:szCs w:val="14"/>
                <w:b w:val="1"/>
                <w:bCs w:val="1"/>
                <w:color w:val="auto"/>
              </w:rPr>
              <w:t>Valuation Technique</w:t>
            </w:r>
          </w:p>
        </w:tc>
        <w:tc>
          <w:tcPr>
            <w:tcW w:w="220" w:type="dxa"/>
            <w:vAlign w:val="bottom"/>
          </w:tcPr>
          <w:p>
            <w:pPr>
              <w:spacing w:after="0"/>
              <w:rPr>
                <w:sz w:val="13"/>
                <w:szCs w:val="13"/>
                <w:color w:val="auto"/>
              </w:rPr>
            </w:pPr>
          </w:p>
        </w:tc>
        <w:tc>
          <w:tcPr>
            <w:tcW w:w="2600" w:type="dxa"/>
            <w:vAlign w:val="bottom"/>
            <w:gridSpan w:val="2"/>
          </w:tcPr>
          <w:p>
            <w:pPr>
              <w:ind w:left="620"/>
              <w:spacing w:after="0" w:line="155" w:lineRule="exact"/>
              <w:rPr>
                <w:sz w:val="20"/>
                <w:szCs w:val="20"/>
                <w:color w:val="auto"/>
              </w:rPr>
            </w:pPr>
            <w:r>
              <w:rPr>
                <w:rFonts w:ascii="Arial" w:cs="Arial" w:eastAsia="Arial" w:hAnsi="Arial"/>
                <w:sz w:val="14"/>
                <w:szCs w:val="14"/>
                <w:b w:val="1"/>
                <w:bCs w:val="1"/>
                <w:color w:val="auto"/>
              </w:rPr>
              <w:t>Unobservable Input</w:t>
            </w:r>
          </w:p>
        </w:tc>
        <w:tc>
          <w:tcPr>
            <w:tcW w:w="2400" w:type="dxa"/>
            <w:vAlign w:val="bottom"/>
          </w:tcPr>
          <w:p>
            <w:pPr>
              <w:jc w:val="right"/>
              <w:ind w:right="339"/>
              <w:spacing w:after="0" w:line="155" w:lineRule="exact"/>
              <w:rPr>
                <w:sz w:val="20"/>
                <w:szCs w:val="20"/>
                <w:color w:val="auto"/>
              </w:rPr>
            </w:pPr>
            <w:r>
              <w:rPr>
                <w:rFonts w:ascii="Arial" w:cs="Arial" w:eastAsia="Arial" w:hAnsi="Arial"/>
                <w:sz w:val="14"/>
                <w:szCs w:val="14"/>
                <w:b w:val="1"/>
                <w:bCs w:val="1"/>
                <w:color w:val="auto"/>
              </w:rPr>
              <w:t>Range (Weighted Average)</w:t>
            </w:r>
          </w:p>
        </w:tc>
        <w:tc>
          <w:tcPr>
            <w:tcW w:w="20" w:type="dxa"/>
            <w:vAlign w:val="bottom"/>
          </w:tcPr>
          <w:p>
            <w:pPr>
              <w:spacing w:after="0"/>
              <w:rPr>
                <w:sz w:val="13"/>
                <w:szCs w:val="13"/>
                <w:color w:val="auto"/>
              </w:rPr>
            </w:pPr>
          </w:p>
        </w:tc>
      </w:tr>
      <w:tr>
        <w:trPr>
          <w:trHeight w:val="210"/>
        </w:trPr>
        <w:tc>
          <w:tcPr>
            <w:tcW w:w="2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471,200</w:t>
            </w:r>
          </w:p>
        </w:tc>
        <w:tc>
          <w:tcPr>
            <w:tcW w:w="3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2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2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 —15.00% (11.20%)</w:t>
            </w:r>
          </w:p>
        </w:tc>
        <w:tc>
          <w:tcPr>
            <w:tcW w:w="20" w:type="dxa"/>
            <w:vAlign w:val="bottom"/>
          </w:tcPr>
          <w:p>
            <w:pPr>
              <w:spacing w:after="0"/>
              <w:rPr>
                <w:sz w:val="18"/>
                <w:szCs w:val="18"/>
                <w:color w:val="auto"/>
              </w:rPr>
            </w:pPr>
          </w:p>
        </w:tc>
      </w:tr>
      <w:tr>
        <w:trPr>
          <w:trHeight w:val="208"/>
        </w:trPr>
        <w:tc>
          <w:tcPr>
            <w:tcW w:w="2380" w:type="dxa"/>
            <w:vAlign w:val="bottom"/>
          </w:tcPr>
          <w:p>
            <w:pPr>
              <w:spacing w:after="0"/>
              <w:rPr>
                <w:sz w:val="20"/>
                <w:szCs w:val="20"/>
                <w:color w:val="auto"/>
              </w:rPr>
            </w:pPr>
            <w:r>
              <w:rPr>
                <w:rFonts w:ascii="Arial" w:cs="Arial" w:eastAsia="Arial" w:hAnsi="Arial"/>
                <w:sz w:val="18"/>
                <w:szCs w:val="18"/>
                <w:color w:val="auto"/>
              </w:rPr>
              <w:t>Preferred equity/mezzanine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38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Market Approach</w:t>
            </w:r>
          </w:p>
        </w:tc>
        <w:tc>
          <w:tcPr>
            <w:tcW w:w="2820" w:type="dxa"/>
            <w:vAlign w:val="bottom"/>
            <w:gridSpan w:val="3"/>
          </w:tcPr>
          <w:p>
            <w:pPr>
              <w:ind w:left="220"/>
              <w:spacing w:after="0"/>
              <w:rPr>
                <w:sz w:val="20"/>
                <w:szCs w:val="20"/>
                <w:color w:val="auto"/>
              </w:rPr>
            </w:pPr>
            <w:r>
              <w:rPr>
                <w:rFonts w:ascii="Arial" w:cs="Arial" w:eastAsia="Arial" w:hAnsi="Arial"/>
                <w:sz w:val="18"/>
                <w:szCs w:val="18"/>
                <w:color w:val="auto"/>
              </w:rPr>
              <w:t>EBITDA Multiple</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8.5x</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Significant increases or decreases in any of the above inputs in isolation would result in a significantly lower or higher fair value measurement.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September 30, 2012, and December 31, 2011,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In accordance with the 1940 Act, with certain limitations, the Company is allowed to borrow amounts such that its asset coverage, as defined in the 1940 Act, is at least 200% after such borrowing. As of September 30, 2012, and December 31, 2011, our asset coverage was 220.1% and 211.7%,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consisted of the following as of September 30, 2012, and December 31,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September 30, 2012</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Total Facility</w:t>
            </w:r>
          </w:p>
        </w:tc>
        <w:tc>
          <w:tcPr>
            <w:tcW w:w="60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$ 249,700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61,251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7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550,000</w:t>
            </w:r>
          </w:p>
        </w:tc>
        <w:tc>
          <w:tcPr>
            <w:tcW w:w="6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$ 310,951</w:t>
            </w:r>
          </w:p>
        </w:tc>
        <w:tc>
          <w:tcPr>
            <w:tcW w:w="60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$ 201,317</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4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December 31, 2011</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Total Facility</w:t>
            </w:r>
          </w:p>
        </w:tc>
        <w:tc>
          <w:tcPr>
            <w:tcW w:w="60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$ 155,000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5620" w:right="3640" w:hanging="5612"/>
        <w:spacing w:after="0" w:line="440" w:lineRule="auto"/>
        <w:tabs>
          <w:tab w:leader="none" w:pos="4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 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Average debt outstanding during the nine months ended September 30, 2012, and the year ended December 31, 2011, was $92.4 million and $11.4 million, respectively. The weighted average interest rate for outstanding borrowings during the three and nine months ended September 30, 2012, was 2.95% and 2.92%, respectively. The weighted average interest rate for outstanding borrowings during each of the three and nine month periods ended September 30, 2011, was 3.75%.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September 30, 2012 and 2011, the components of interest expense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88"/>
              </w:rPr>
              <w:t>Three Months Ended</w:t>
            </w:r>
          </w:p>
        </w:tc>
        <w:tc>
          <w:tcPr>
            <w:tcW w:w="2400" w:type="dxa"/>
            <w:vAlign w:val="bottom"/>
            <w:gridSpan w:val="4"/>
          </w:tcPr>
          <w:p>
            <w:pPr>
              <w:jc w:val="center"/>
              <w:ind w:left="882"/>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September 30, 2012</w:t>
            </w:r>
          </w:p>
        </w:tc>
        <w:tc>
          <w:tcPr>
            <w:tcW w:w="108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September 30, 2011</w:t>
            </w: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Commitment fees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2"/>
        </w:trPr>
        <w:tc>
          <w:tcPr>
            <w:tcW w:w="504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1,780</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nine months ended September 30, 2012 and 2011, the components of interest expense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87"/>
              </w:rPr>
              <w:t>Nine Months Ended</w:t>
            </w:r>
          </w:p>
        </w:tc>
        <w:tc>
          <w:tcPr>
            <w:tcW w:w="2320" w:type="dxa"/>
            <w:vAlign w:val="bottom"/>
            <w:gridSpan w:val="4"/>
          </w:tcPr>
          <w:p>
            <w:pPr>
              <w:ind w:left="1060"/>
              <w:spacing w:after="0"/>
              <w:rPr>
                <w:sz w:val="20"/>
                <w:szCs w:val="20"/>
                <w:color w:val="auto"/>
              </w:rPr>
            </w:pPr>
            <w:r>
              <w:rPr>
                <w:rFonts w:ascii="Arial" w:cs="Arial" w:eastAsia="Arial" w:hAnsi="Arial"/>
                <w:sz w:val="14"/>
                <w:szCs w:val="14"/>
                <w:b w:val="1"/>
                <w:bCs w:val="1"/>
                <w:color w:val="auto"/>
                <w:w w:val="94"/>
              </w:rPr>
              <w:t>Nine Months Ended</w:t>
            </w:r>
          </w:p>
        </w:tc>
      </w:tr>
      <w:tr>
        <w:trPr>
          <w:trHeight w:val="161"/>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2012</w:t>
            </w:r>
          </w:p>
        </w:tc>
        <w:tc>
          <w:tcPr>
            <w:tcW w:w="10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September 30, 2011</w:t>
            </w: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Commitment fees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783</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2"/>
        </w:trPr>
        <w:tc>
          <w:tcPr>
            <w:tcW w:w="520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3,856</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August 23, 2012, the Company entered into a Senior Secured Revolving Credit Agreement (the “Revolving Credit Facility (SunTrust)”). The parties to the Revolving Credit Facility (SunTrust) include the Company, as Borrower, the lenders from time to time parties thereto (each a “Lender” and collectively, the “Lenders”) and SunTrust Bank, as Administrative Agent.</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Revolving Credit Facility (SunTrust) is guaranteed by TC Lending, LLC and certain domestic subsidiaries of the Company that are formed or acquired by the Company in the future (collectively, the “Guarantors”). Proceeds from borrowings may be used for general corporate purposes, including the funding of portfolio investments.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maximum principal amount of the facility is $200 million, subject to availability under the borrowing base, which is based on the Company’s portfolio investments and other outstanding indebtedness. Maximum capacity may be increased to $300 million through the exercise by the Borrower of an uncommitted accordion feature through which existing and new lenders may, at their option, agree to provide additional financing. The Revolving Credit Facility (SunTrust) includes a $30 million limit for swingline loans and a $20 million limit for letters of credit and is secured by a perfected first-priority interest in substantially all of the portfolio investments held by the Company and each Guarantor.</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availability period under the Revolving Credit Facility (SunTrust) will terminate on August 24, 2015 (“SunTrust Commitment Termination Date”) and it will mature on August 23, 2016 (“SunTrust Maturity Date”). During the period from the SunTrust Commitment Termination Date to the SunTrust Maturity Date, the Company will be obligated to make mandatory prepayments out of the proceeds of certain asset sales, and other recovery events and equity and debt issuances.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will bear interest at either LIBOR plus a margin, or the prime rate plus a margin. The Company may elect either the LIBOR or prime rate at the time of drawdown, and loans may be converted from one rate to another at any time, subject to certain conditions. The Company will also pay a fee of 0.50%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covenants, including certain financial covenants related to asset coverage and liquidity and other maintenance covenants, as well as customary events of default.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May 8, 2012 (the “Natixis Closing Date”), the Company’s wholly-owned subsidiary TPG SL SPV, LLC (the “Subsidiary”), a Delaware limited liability company, entered into a Revolving Credit and Security Agreement (the “Revolving Credit Facility (Natixis)”). Parties to the agreement include TPG SL SPV, LLC, as Borrower, the lenders from time to time parties thereto, Natixis, New York Branch, as Facility Agent and The Bank of New York Mellon Trust Company, N.A., as Collateral Agent. Also on May 8, 2012, the Company contributed certain investments to the Subsidiary pursuant to the terms of a Master Sale and Contribution Agreement by and between the Company and the Subsidiary. No gain or loss was recognized as a result of the contribution. Proceeds from the Revolving Credit Facility (Natixis) may be used to finance the acquisition of eligible assets by the Subsidiary, including the purchase of such assets from the Company. The Company retains a residual interest in assets contributed to or acquired by the Subsidiary through its ownership of the Subsidiary. The maximum principal amount is $100 million, subject to availability under the borrowing base which is based on the amount of the Subsidiary’s assets from time to time, and satisfaction of certain conditions, including an asset coverage test, an asset quality test and certain concentration limits.</w:t>
      </w:r>
    </w:p>
    <w:p>
      <w:pPr>
        <w:spacing w:after="0" w:line="12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agreement provides for a contribution and reinvestment period for up to 18 months after the Natixis Closing Date (the “Natixis Commitment Termination Date”). Prior to the Natixis Commitment Termination Date, proceeds received by the Subsidiary from interest, dividends, or fees on assets must be used to pay expenses and interest on outstanding borrowings, and the excess may be returned to the Company, subject to certain conditions. Proceeds received from principal on assets prior to the Natixis Commitment Termination Date must be used to make quarterly payments of principal on outstanding borrowings. Following the Natixis Commitment Termination Date, proceeds received by the Subsidiary from interest and principal on collateral assets must be used to make quarterly payments of principal on outstanding borrowings. Proceeds received from interest and principal at the end of a reporting period that have not gone through a settlement process are considered to be restricted cash. As of September 30, 2012, the Subsidiary had $6.2 million in restricted cash, a component of Prepaid expenses and other assets, in the accompanying consolidated financial statements.</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Revolving Credit Facility (Natixis) will mature on May 8, 2020. Amounts drawn bear interest at LIBOR plus a margin and an unutilized commitment fee of 0.75% paid on the undrawn portion of the commitment. The Revolving Credit Facility (Natixis) contains customary covenants, including certain maintenance covenants, and events of default. The Revolving Credit Facility (Natixis) is secured by a perfected first priority security interest in the assets of the Subsidiary and on any payments received by the Subsidiary in respect of such assets and as such, are not available to pay the debts of the Company. As of September 30, 2012, the Subsidiary had $139.9 million in assets, including $130.5 million in investments, and $61.7 million in liabilities, including the outstanding borrowings, on its balance sheet.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the Subsidiary are considered borrowings of the Company for purposes of complying with the asset coverage requirements under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the Company was in compliance with the terms of its debt facilities.</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Subsequent to September 30, 2012, the Company repaid a portion of its debt facilities and borrowed additional amounts to fund investments. As of November 9, 2012, there was $166.3 million in debt outstanding.</w:t>
      </w:r>
    </w:p>
    <w:p>
      <w:pPr>
        <w:spacing w:after="0" w:line="207" w:lineRule="exact"/>
        <w:rPr>
          <w:sz w:val="20"/>
          <w:szCs w:val="20"/>
          <w:color w:val="auto"/>
        </w:rPr>
      </w:pPr>
    </w:p>
    <w:p>
      <w:pPr>
        <w:ind w:right="8720" w:firstLine="8"/>
        <w:spacing w:after="0" w:line="473" w:lineRule="auto"/>
        <w:tabs>
          <w:tab w:leader="none" w:pos="176"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September 30, 2012, and December 31, 2011, the Company had the following commitments to fund investments: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2012</w:t>
            </w:r>
          </w:p>
        </w:tc>
        <w:tc>
          <w:tcPr>
            <w:tcW w:w="21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0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9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0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9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42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26,245</w:t>
            </w:r>
          </w:p>
        </w:tc>
        <w:tc>
          <w:tcPr>
            <w:tcW w:w="136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As of September 30, 2012, and December 31, 2011, the Company had $1.4 billion and $1.2 billion, respectively, in total capital commitments from investors ($1.0 billion and $1.0 billion unfunded, respectively), of which $114.1 million and $70.4 million, respectively, is from the Adviser and its affiliates ($84.8 million and $60.3 million unfunded,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September 30, 2012,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summarizes the total shares issued and proceeds received related to capital drawdowns delivered pursuant to the Subscription Agreements during the nine months ended September 30,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September 30, 2012</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Shares Issued</w:t>
            </w:r>
          </w:p>
        </w:tc>
        <w:tc>
          <w:tcPr>
            <w:tcW w:w="1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1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7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February 22, 2012</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35,521</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76,137</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May 31, 2012</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13,379</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34,789</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September 26, 2012</w:t>
            </w:r>
          </w:p>
        </w:tc>
        <w:tc>
          <w:tcPr>
            <w:tcW w:w="18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22,439</w:t>
            </w:r>
          </w:p>
        </w:tc>
        <w:tc>
          <w:tcPr>
            <w:tcW w:w="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9"/>
                <w:szCs w:val="19"/>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188,790</w:t>
            </w:r>
          </w:p>
        </w:tc>
        <w:tc>
          <w:tcPr>
            <w:tcW w:w="118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187,586</w:t>
            </w:r>
          </w:p>
        </w:tc>
        <w:tc>
          <w:tcPr>
            <w:tcW w:w="10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addition to the drawdowns noted above, on March 20, 2012, the Company issued 343 shares of its Common Stock to investors (including 29 shares to the Adviser) who have not opted out of the Company’s dividend reinvestment plan. The number of shares issued through the dividend reinvestment plan was determined by dividing the total dollar amount of the dividend payable to such investor by the net asset value per share of the Common Stock at December 31, 2011 (the record date of the dividend).</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On May 16, 2012, the Company issued 1,458 shares of its Common Stock to investors who had not opted out of the Company’s dividend reinvestment plan. The number of shares issued through the dividend reinvestment plan was determined by dividing the total dollar amount of the dividend payable to such investor by the net asset value per share of the Common Stock at March 31, 2012 (the record date of the dividend).</w:t>
      </w:r>
    </w:p>
    <w:p>
      <w:pPr>
        <w:spacing w:after="0" w:line="10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On August 7, 2012, the Company issued 3,316 shares of its Common Stock to investors who had not opted out of the Company’s dividend reinvestment plan. The number of shares issued through the dividend reinvestment plan was determined by dividing the total dollar amount of the dividend payable to such investor by the net asset value per share of the Common Stock at June 30, 2012 (the record date of the dividend).</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Common Stock issued through the dividend reinvestment plan was rounded down to the nearest whole share to avoid the issuance of fractional shares, and fractional shares were paid in cash.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dividends declared during the nine months ended September 30,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3540" w:type="dxa"/>
            <w:vAlign w:val="bottom"/>
          </w:tcPr>
          <w:p>
            <w:pPr>
              <w:spacing w:after="0"/>
              <w:rPr>
                <w:sz w:val="15"/>
                <w:szCs w:val="15"/>
                <w:color w:val="auto"/>
              </w:rPr>
            </w:pPr>
          </w:p>
        </w:tc>
        <w:tc>
          <w:tcPr>
            <w:tcW w:w="2060" w:type="dxa"/>
            <w:vAlign w:val="bottom"/>
            <w:gridSpan w:val="3"/>
          </w:tcPr>
          <w:p>
            <w:pPr>
              <w:ind w:left="380"/>
              <w:spacing w:after="0"/>
              <w:rPr>
                <w:sz w:val="20"/>
                <w:szCs w:val="20"/>
                <w:color w:val="auto"/>
              </w:rPr>
            </w:pPr>
            <w:r>
              <w:rPr>
                <w:rFonts w:ascii="Arial" w:cs="Arial" w:eastAsia="Arial" w:hAnsi="Arial"/>
                <w:sz w:val="14"/>
                <w:szCs w:val="14"/>
                <w:b w:val="1"/>
                <w:bCs w:val="1"/>
                <w:color w:val="auto"/>
              </w:rPr>
              <w:t>Record Date</w:t>
            </w:r>
          </w:p>
        </w:tc>
        <w:tc>
          <w:tcPr>
            <w:tcW w:w="1880" w:type="dxa"/>
            <w:vAlign w:val="bottom"/>
            <w:gridSpan w:val="3"/>
          </w:tcPr>
          <w:p>
            <w:pPr>
              <w:ind w:left="240"/>
              <w:spacing w:after="0"/>
              <w:rPr>
                <w:sz w:val="20"/>
                <w:szCs w:val="20"/>
                <w:color w:val="auto"/>
              </w:rPr>
            </w:pPr>
            <w:r>
              <w:rPr>
                <w:rFonts w:ascii="Arial" w:cs="Arial" w:eastAsia="Arial" w:hAnsi="Arial"/>
                <w:sz w:val="14"/>
                <w:szCs w:val="14"/>
                <w:b w:val="1"/>
                <w:bCs w:val="1"/>
                <w:color w:val="auto"/>
              </w:rPr>
              <w:t>Payment Date</w:t>
            </w: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Dividend per Share</w:t>
            </w:r>
          </w:p>
        </w:tc>
      </w:tr>
      <w:tr>
        <w:trPr>
          <w:trHeight w:val="203"/>
        </w:trPr>
        <w:tc>
          <w:tcPr>
            <w:tcW w:w="4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5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9"/>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100" w:type="dxa"/>
            <w:vAlign w:val="bottom"/>
          </w:tcPr>
          <w:p>
            <w:pPr>
              <w:jc w:val="right"/>
              <w:spacing w:after="0"/>
              <w:rPr>
                <w:sz w:val="20"/>
                <w:szCs w:val="20"/>
                <w:color w:val="auto"/>
              </w:rPr>
            </w:pPr>
            <w:r>
              <w:rPr>
                <w:rFonts w:ascii="Arial" w:cs="Arial" w:eastAsia="Arial" w:hAnsi="Arial"/>
                <w:sz w:val="18"/>
                <w:szCs w:val="18"/>
                <w:color w:val="auto"/>
              </w:rPr>
              <w:t>June 30,</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2012</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August 3,</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2012</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September 30,</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2012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October 30,</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2012</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r>
      <w:tr>
        <w:trPr>
          <w:trHeight w:val="222"/>
        </w:trPr>
        <w:tc>
          <w:tcPr>
            <w:tcW w:w="44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Declared for 2012</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dividends declared during the nine months ended September 30, 2012, were derived from net investment income, determined on a tax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losses, among other items. To the extent these differences are permanent, they are charged or credited to additional paid-in capital or accumulated net investment income (loss), as appropriate, in the period that the differences arise. These adjustments have no effect on the Company’s net assets or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March 31, 2012 and 2011, federal tax years remain subject to examination by the Internal Revenue Service.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at fair value as of September 30, 2012, approximates their amortized cost.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following per share data and ratios have been derived from information provided in the consolidated financial statements. The following are the financial highlights for a share of Common Stock outstanding during the nine month periods ended September 30, 2012, and September 30, 2011.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1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6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1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 2012</w:t>
            </w:r>
          </w:p>
        </w:tc>
        <w:tc>
          <w:tcPr>
            <w:tcW w:w="400" w:type="dxa"/>
            <w:vAlign w:val="bottom"/>
          </w:tcPr>
          <w:p>
            <w:pPr>
              <w:spacing w:after="0"/>
              <w:rPr>
                <w:sz w:val="12"/>
                <w:szCs w:val="12"/>
                <w:color w:val="auto"/>
              </w:rPr>
            </w:pPr>
          </w:p>
        </w:tc>
        <w:tc>
          <w:tcPr>
            <w:tcW w:w="1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30, 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Per Share Data</w:t>
            </w:r>
          </w:p>
        </w:tc>
        <w:tc>
          <w:tcPr>
            <w:tcW w:w="41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Net asset value, beginning of period</w:t>
            </w:r>
          </w:p>
        </w:tc>
        <w:tc>
          <w:tcPr>
            <w:tcW w:w="16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980.51</w:t>
            </w:r>
          </w:p>
        </w:tc>
        <w:tc>
          <w:tcPr>
            <w:tcW w:w="54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 (1)</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Net realized and unrealized gains (1)</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23.37</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from investment operations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322"/>
        </w:trPr>
        <w:tc>
          <w:tcPr>
            <w:tcW w:w="6560" w:type="dxa"/>
            <w:vAlign w:val="bottom"/>
            <w:gridSpan w:val="3"/>
          </w:tcPr>
          <w:p>
            <w:pPr>
              <w:spacing w:after="0"/>
              <w:rPr>
                <w:sz w:val="20"/>
                <w:szCs w:val="20"/>
                <w:color w:val="auto"/>
              </w:rPr>
            </w:pPr>
            <w:r>
              <w:rPr>
                <w:rFonts w:ascii="Arial" w:cs="Arial" w:eastAsia="Arial" w:hAnsi="Arial"/>
                <w:sz w:val="18"/>
                <w:szCs w:val="18"/>
                <w:color w:val="auto"/>
              </w:rPr>
              <w:t>Issuance of common shares at prices above net asset value (2)</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999.00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(2)</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(56.31)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increase in net assets</w:t>
            </w:r>
          </w:p>
        </w:tc>
        <w:tc>
          <w:tcPr>
            <w:tcW w:w="1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27.73</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965.50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1,008.24</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966.50</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Shares Outstanding, End of Period</w:t>
            </w: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60" w:type="dxa"/>
            <w:vAlign w:val="bottom"/>
            <w:gridSpan w:val="3"/>
            <w:vMerge w:val="continue"/>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370,440</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110,653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8"/>
                <w:szCs w:val="18"/>
                <w:color w:val="auto"/>
              </w:rPr>
              <w:t>(3)(5)</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2"/>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Ratios / Supplemental Data</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net expenses to average net assets (5)</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Ratio of net investment income (loss) to average net assets (5)</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5.80%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16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373,491</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282,445</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committed capital, end of period (4)</w:t>
            </w:r>
          </w:p>
        </w:tc>
        <w:tc>
          <w:tcPr>
            <w:tcW w:w="16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1,402,970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25.70%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of formation</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Information is not meaningful.</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460" w:right="1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includes $114.1 million and $54.5 million of commitments from the Adviser and its affiliates as of September 30, 2012, and September 30, 2011, respectively.</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Company has evaluated subsequent events through the date of issuance of the consolidated financial statements included herein. Other than those events previously disclosed, there have been no subsequent events that require disclosure in or adjustments to these consolidated financial statements.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were incorporated under the laws of the State of Delaware on July 21, 2010. We elected to be treated as a business development company under the 1940 Act, and intend to elect to be treated as a regulated investment company for federal income tax purposes. As such, we are required to comply with various statutory and regulatory requirements, such as the requirement to invest at least 70% of our assets in “qualifying assets,” source of income limitations, asset diversification requirements, and the requirement to distribute annually at least 90% of our taxable income and tax-exempt interest.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periods prior to July 1, 2011, we were a development stage company and had not commenced commercial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INVESTMENT ACTIVITY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investment activity for the three months ended September 30, 2012, is presented below (information presented herein is at amortized cost unless otherwise indicated):</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6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September 30, 2012</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 (1):</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Senior term debt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360" w:type="dxa"/>
            <w:vAlign w:val="bottom"/>
          </w:tcPr>
          <w:p>
            <w:pPr>
              <w:spacing w:after="0"/>
              <w:rPr>
                <w:sz w:val="20"/>
                <w:szCs w:val="20"/>
                <w:color w:val="auto"/>
              </w:rPr>
            </w:pPr>
            <w:r>
              <w:rPr>
                <w:rFonts w:ascii="Arial" w:cs="Arial" w:eastAsia="Arial" w:hAnsi="Arial"/>
                <w:sz w:val="18"/>
                <w:szCs w:val="18"/>
                <w:b w:val="1"/>
                <w:bCs w:val="1"/>
                <w:color w:val="auto"/>
              </w:rPr>
              <w:t>New investment commitments (2):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portfolio companies</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60" w:type="dxa"/>
            <w:vAlign w:val="bottom"/>
          </w:tcPr>
          <w:p>
            <w:pPr>
              <w:spacing w:after="0"/>
              <w:rPr>
                <w:sz w:val="20"/>
                <w:szCs w:val="20"/>
                <w:color w:val="auto"/>
              </w:rPr>
            </w:pPr>
            <w:r>
              <w:rPr>
                <w:rFonts w:ascii="Arial" w:cs="Arial" w:eastAsia="Arial" w:hAnsi="Arial"/>
                <w:sz w:val="18"/>
                <w:szCs w:val="18"/>
                <w:b w:val="1"/>
                <w:bCs w:val="1"/>
                <w:color w:val="auto"/>
              </w:rPr>
              <w:t>Average Total Investment in New Portfolio Companies (3):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44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of investments originally funded includes amounts originally funded on term loans, but not amounts subsequently repaid by borrowers in the period.</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investment commitments include new agreements to fund revolving credit facilities and term loans not funded at closing.</w:t>
      </w:r>
    </w:p>
    <w:p>
      <w:pPr>
        <w:spacing w:after="0" w:line="9" w:lineRule="exact"/>
        <w:rPr>
          <w:rFonts w:ascii="Arial" w:cs="Arial" w:eastAsia="Arial" w:hAnsi="Arial"/>
          <w:sz w:val="18"/>
          <w:szCs w:val="18"/>
          <w:color w:val="auto"/>
        </w:rPr>
      </w:pPr>
    </w:p>
    <w:p>
      <w:pPr>
        <w:ind w:left="460" w:right="4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Total Investment in New Portfolio Companies” is computed as the average of all investments made during the period, including investment commitments not yet funded.</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weighted average yields at fair value and amortized cost of the following portions of our portfolio as of September 30, 2012, were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90"/>
              </w:rPr>
              <w:t>September 30, 2012</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5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term debt</w:t>
            </w:r>
          </w:p>
        </w:tc>
        <w:tc>
          <w:tcPr>
            <w:tcW w:w="24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CEEFF"/>
          </w:tcPr>
          <w:p>
            <w:pPr>
              <w:spacing w:after="0"/>
              <w:rPr>
                <w:sz w:val="18"/>
                <w:szCs w:val="18"/>
                <w:color w:val="auto"/>
              </w:rPr>
            </w:pPr>
          </w:p>
        </w:tc>
        <w:tc>
          <w:tcPr>
            <w:tcW w:w="240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11.3%</w:t>
            </w:r>
          </w:p>
        </w:tc>
        <w:tc>
          <w:tcPr>
            <w:tcW w:w="42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generate revenues in the form of interest income from the debt securities we hold and dividends on either direct equity investments or equity interests obtained in connection with originating loans, such as options, warrants or conversion rights. In addition, we generate revenue in the form of commitment, loan origination, structuring or diligence fees, and fees for providing managerial assistance to our portfolio companies. Certain of these fees are capitalized and amortized as additional interest income over the life of the related investment.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three and nine months ended September 30, 2012, was $14.6 million and $32.8 million, respectively, which consisted of $14.4 million and $32.5 million, respectively, in interest income and $0.1 million and $0.3 million, respectively, in other income. Investment income from non-controlled, non-affiliated investments was $13.6 million and $30.1 million, respectively, while investment income from non-controlled, affiliated investments was $0.9 million and $2.7 million, respectively.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Investment income for each of the three and nine month periods ended September 30, 2011, was $1.5 million, which consisted of $1.5 million, respectively, in interest income and $3 thousand in other income. Investment income from non-controlled, non-affiliated investments was $1.2 million, while investment income from non-controlled, affiliated investments was $0.3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primary operating expenses include the payment of the Management Fee and, depending on our operating results, the Incentive Fee, expenses reimbursable under the Administration Agreement and the Advisory Agreement, and other direct expenses that we incur, such as compensation to our Board and interest payable for borrowings. The Management Fee and Incentive Fee compensate our Adviser for work in identifying, evaluating, negotiating, closing, monitoring, and realizing our investments. Under the terms of the Administration Agreement, our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our Adviser under the terms of the Administration Agreement. We bear all other costs and expenses of our operations and transactions.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Net expenses for the three and nine months ended September 30, 2012, were $6.6 million and $15.7 million, respectively, which consisted of $1.8 million and $3.9 million, respectively, of interest expense, $1.3 million and $3.7 million, respectively, in Management Fees (net of waivers), $2.4 million and $4.8 million, respectively, in Incentive Fees, $0.7 million and $2.0 million, respectively, in professional fees, $0.1 million and $0.2 million, respectively, in directors’ fees, and $0.4 million and $1.1 million, respectively, in other general and administrative expenses.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Net expenses for the three and nine months ended September 30, 2011, were $1.8 million and $4.0 million, respectively. During the nine months ended September 30, 2011, $1.5 million of initial organization costs were required to reimburse the Adviser in accordance with the Administration Agreement. Other operating expenses consisted of $36 thousand and $36 thousand, respectively, of interest expense, $0.7 million and $0.7 million, respectively, in Management Fees (net of waivers), $0.2 million and $0.2 million, respectively, in Incentive Fees, $0.6 million and $0.9 million, respectively, in professional fees, $0.1 million and $0.2 million, respectively, in directors’ fees, and $0.2 million and $0.5 million, respectively, in other general and administrative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and nine months ended September 30, 2012, realized gains consisted of the following:</w:t>
      </w:r>
    </w:p>
    <w:p>
      <w:pPr>
        <w:spacing w:after="0" w:line="2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4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0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September 30, 2012</w:t>
            </w:r>
          </w:p>
        </w:tc>
        <w:tc>
          <w:tcPr>
            <w:tcW w:w="114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5"/>
              </w:rPr>
              <w:t>September 30, 2012</w:t>
            </w: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0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El Pollo Loco, Inc.</w:t>
            </w:r>
          </w:p>
        </w:tc>
        <w:tc>
          <w:tcPr>
            <w:tcW w:w="10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realized gains</w:t>
            </w:r>
          </w:p>
        </w:tc>
        <w:tc>
          <w:tcPr>
            <w:tcW w:w="15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Gains from investments in Mannington Mills, Inc. and Rogue Wave Holdings, Inc. were associated with proceeds received from sales to coinvestors. Gains associated with Rare Restaurant Group, LLC and El Pollo Loco, Inc. were associated with proceeds received from the disposition of the investment.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realized gains during each of the three and nine month periods ended September 30,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Gains (Losses)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value our investments quarterly and any changes in fair value are recorded as unrealized gains or losses.</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During the three and nine months ended September 30, 2012, the net change in unrealized gains (losses) on our investment portfolio consisted of the following:</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9"/>
              </w:rPr>
              <w:t>Three Months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120" w:type="dxa"/>
            <w:vAlign w:val="bottom"/>
            <w:vMerge w:val="continue"/>
          </w:tcPr>
          <w:p>
            <w:pPr>
              <w:spacing w:after="0"/>
              <w:rPr>
                <w:sz w:val="14"/>
                <w:szCs w:val="14"/>
                <w:color w:val="auto"/>
              </w:rPr>
            </w:pPr>
          </w:p>
        </w:tc>
        <w:tc>
          <w:tcPr>
            <w:tcW w:w="2760" w:type="dxa"/>
            <w:vAlign w:val="bottom"/>
            <w:gridSpan w:val="4"/>
          </w:tcPr>
          <w:p>
            <w:pPr>
              <w:ind w:left="1040"/>
              <w:spacing w:after="0"/>
              <w:rPr>
                <w:sz w:val="20"/>
                <w:szCs w:val="20"/>
                <w:color w:val="auto"/>
              </w:rPr>
            </w:pPr>
            <w:r>
              <w:rPr>
                <w:rFonts w:ascii="Arial" w:cs="Arial" w:eastAsia="Arial" w:hAnsi="Arial"/>
                <w:sz w:val="14"/>
                <w:szCs w:val="14"/>
                <w:b w:val="1"/>
                <w:bCs w:val="1"/>
                <w:color w:val="auto"/>
              </w:rPr>
              <w:t>September 30, 2012</w:t>
            </w:r>
          </w:p>
        </w:tc>
        <w:tc>
          <w:tcPr>
            <w:tcW w:w="180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w w:val="85"/>
              </w:rPr>
              <w:t>September 30, 2012</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Unrealized losses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 (losses)</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vMerge w:val="restart"/>
          </w:tcPr>
          <w:p>
            <w:pPr>
              <w:jc w:val="right"/>
              <w:ind w:right="659"/>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net change in unrealized gains (losses) for the three and nine months ended September 30, 2012, by company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Three Months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100" w:type="dxa"/>
            <w:vAlign w:val="bottom"/>
            <w:vMerge w:val="continue"/>
          </w:tcPr>
          <w:p>
            <w:pPr>
              <w:spacing w:after="0"/>
              <w:rPr>
                <w:sz w:val="14"/>
                <w:szCs w:val="14"/>
                <w:color w:val="auto"/>
              </w:rPr>
            </w:pPr>
          </w:p>
        </w:tc>
        <w:tc>
          <w:tcPr>
            <w:tcW w:w="278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w w:val="87"/>
              </w:rPr>
              <w:t>September 30, 2012</w:t>
            </w:r>
          </w:p>
        </w:tc>
        <w:tc>
          <w:tcPr>
            <w:tcW w:w="180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w w:val="85"/>
              </w:rPr>
              <w:t>September 30, 2012</w:t>
            </w:r>
          </w:p>
        </w:tc>
        <w:tc>
          <w:tcPr>
            <w:tcW w:w="0" w:type="dxa"/>
            <w:vAlign w:val="bottom"/>
          </w:tcPr>
          <w:p>
            <w:pPr>
              <w:spacing w:after="0"/>
              <w:rPr>
                <w:sz w:val="1"/>
                <w:szCs w:val="1"/>
                <w:color w:val="auto"/>
              </w:rPr>
            </w:pPr>
          </w:p>
        </w:tc>
      </w:tr>
      <w:tr>
        <w:trPr>
          <w:trHeight w:val="20"/>
        </w:trPr>
        <w:tc>
          <w:tcPr>
            <w:tcW w:w="4100" w:type="dxa"/>
            <w:vAlign w:val="bottom"/>
            <w:shd w:val="clear" w:color="auto" w:fill="000000"/>
          </w:tcPr>
          <w:p>
            <w:pPr>
              <w:spacing w:after="0" w:line="20" w:lineRule="exact"/>
              <w:rPr>
                <w:sz w:val="1"/>
                <w:szCs w:val="1"/>
                <w:color w:val="auto"/>
              </w:rPr>
            </w:pPr>
          </w:p>
        </w:tc>
        <w:tc>
          <w:tcPr>
            <w:tcW w:w="10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AFS Technologies, Inc.</w:t>
            </w: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Attachmate Corporation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Consona Holdings,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El Pollo Loco,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eResearch Technology, Inc.</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Federal Signal Corporation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International Equipment Solutions,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Infogix, Inc.</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Mandalay Baseball Properties, LLC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MSC.Software Corporation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Solarsoft, LP (f/k/a CMS-XKO Holding Company, LP)</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Teletrac, Inc.</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Vivint, Inc.</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 (losses)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and nine months ended September 30, 2011, the net change in unrealized gains on our investment portfolio consisted of the following:</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Three and</w:t>
            </w:r>
          </w:p>
        </w:tc>
        <w:tc>
          <w:tcPr>
            <w:tcW w:w="0" w:type="dxa"/>
            <w:vAlign w:val="bottom"/>
          </w:tcPr>
          <w:p>
            <w:pPr>
              <w:spacing w:after="0"/>
              <w:rPr>
                <w:sz w:val="1"/>
                <w:szCs w:val="1"/>
                <w:color w:val="auto"/>
              </w:rPr>
            </w:pPr>
          </w:p>
        </w:tc>
      </w:tr>
      <w:tr>
        <w:trPr>
          <w:trHeight w:val="149"/>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6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2011</w:t>
            </w:r>
          </w:p>
        </w:tc>
        <w:tc>
          <w:tcPr>
            <w:tcW w:w="0" w:type="dxa"/>
            <w:vAlign w:val="bottom"/>
          </w:tcPr>
          <w:p>
            <w:pPr>
              <w:spacing w:after="0"/>
              <w:rPr>
                <w:sz w:val="1"/>
                <w:szCs w:val="1"/>
                <w:color w:val="auto"/>
              </w:rPr>
            </w:pPr>
          </w:p>
        </w:tc>
      </w:tr>
      <w:tr>
        <w:trPr>
          <w:trHeight w:val="210"/>
        </w:trPr>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net change in unrealized gains for the three and nine months ended September 30, 2011, by company consisted of the following:</w:t>
      </w:r>
    </w:p>
    <w:p>
      <w:pPr>
        <w:spacing w:after="0" w:line="3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Three and Nine</w:t>
            </w:r>
          </w:p>
        </w:tc>
        <w:tc>
          <w:tcPr>
            <w:tcW w:w="0" w:type="dxa"/>
            <w:vAlign w:val="bottom"/>
          </w:tcPr>
          <w:p>
            <w:pPr>
              <w:spacing w:after="0"/>
              <w:rPr>
                <w:sz w:val="1"/>
                <w:szCs w:val="1"/>
                <w:color w:val="auto"/>
              </w:rPr>
            </w:pPr>
          </w:p>
        </w:tc>
      </w:tr>
      <w:tr>
        <w:trPr>
          <w:trHeight w:val="14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6540" w:type="dxa"/>
            <w:vAlign w:val="bottom"/>
            <w:gridSpan w:val="2"/>
            <w:vMerge w:val="continue"/>
          </w:tcPr>
          <w:p>
            <w:pPr>
              <w:spacing w:after="0"/>
              <w:rPr>
                <w:sz w:val="14"/>
                <w:szCs w:val="14"/>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4"/>
              </w:rPr>
              <w:t>September 30, 2011</w:t>
            </w:r>
          </w:p>
        </w:tc>
        <w:tc>
          <w:tcPr>
            <w:tcW w:w="0" w:type="dxa"/>
            <w:vAlign w:val="bottom"/>
          </w:tcPr>
          <w:p>
            <w:pPr>
              <w:spacing w:after="0"/>
              <w:rPr>
                <w:sz w:val="1"/>
                <w:szCs w:val="1"/>
                <w:color w:val="auto"/>
              </w:rPr>
            </w:pPr>
          </w:p>
        </w:tc>
      </w:tr>
      <w:tr>
        <w:trPr>
          <w:trHeight w:val="210"/>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AFS Technologies, Inc.</w:t>
            </w:r>
          </w:p>
        </w:tc>
        <w:tc>
          <w:tcPr>
            <w:tcW w:w="1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Center Cut Hospitality,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Solarsoft, LP (f/k/a CMS-XKO Holding Company, LP)</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the Company’s business or results of operations. These hedging activities, which will be in compliance with applicable legal and regulatory requirements, may include the use of various instruments, including futures, options and forward contracts. We will bear the costs incurred in connection with entering into, administering and settling any such derivative contracts. There can be no assurance any hedging strategy we employ will be successful.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did not enter into any interest rate, foreign exchange or other derivative agreements during the three and nine months ended September 30, 2012, and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of September 30, 2012, we had $178.3 million in cash and cash equivalents on hand, an increase of $34.6 million from December 31, 2011. The increase was primarily attributable to additional borrowings under the debt facilities and proceeds from investor drawdown notices received near September 30, 2012. The primary uses of our cash and cash equivalents are for (1) investments in portfolio companies and other investments and to comply with certain portfolio diversification requirements; (2) the cost of operations (including paying our Adviser); (3) debt service, repayment, and other financing costs; and, (4) cash distributions to the holders of our shares.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expect to generate additional cash from (1) from operations; (2) future offerings of our common or preferred shares; and, (3) borrowings from banks or other lenders.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Cash and cash equivalents on hand as of September 30, 2012, combined with our uncalled capital commitments of $1.0 billion, is expected to be sufficient for our investing activities and to conduct our operations for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Share Activity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nine months ended September 30, 2012, we entered into subscription agreements (collectively, the “Subscription Agreements”) with several investors, including our Adviser, providing for the private placement of our Common Stock. Offering costs associated with the private placements were absorbed by the Adviser. Under the terms of the Subscription Agreements, investors are required to fund drawdowns to purchase our Common Stock up to the amount of their respective capital commitments on an as-needed basis, with a minimum of 10 business days’ prior notice. As of September 30, 2012, we had received capital commitments totaling $1.4 billion, of which $114.1 million was from our Adviser and its affiliates.</w:t>
      </w:r>
    </w:p>
    <w:p>
      <w:pPr>
        <w:spacing w:after="0" w:line="116"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During the nine months ended September 30, 2012, we delivered drawdown notices to our investors relating to the issuance of 188,790 shares of our Common Stock for aggregate offering proceeds of $187.7 million. See Note 8 to our consolidated financial statements for the dates and amounts of our drawdowns. Proceeds from the issuances were used in our investing activities and for other general corporate purposes.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to the shares issued pursuant to drawdown notices, we also issued 5,117 shares pursuant to our dividend reinvestment plan during the nine months ended September 30,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September 30, 2012, and December 31, 2011, we had $311.0 million and $155.0 million, respectively, outstanding and we were in compliance with the terms of the debt facilities. We intend to continue to utilize the debt facilities on a revolving basis to fund investments and for other general corporate purposes. See Note 6 to our consolidated financial statements for more detail on the debt facilities.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on our off balance sheet arrangements is contained in Note 7 to our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September 30, 2012, are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87"/>
              </w:rPr>
              <w:t>Payments Due by Period</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1-3 years</w:t>
            </w:r>
          </w:p>
        </w:tc>
        <w:tc>
          <w:tcPr>
            <w:tcW w:w="4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4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After 5 years</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250</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311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250</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In addition to the contractual payment obligations in the tables above, we also have commitments to fund investments. See </w:t>
      </w:r>
      <w:r>
        <w:rPr>
          <w:rFonts w:ascii="Arial" w:cs="Arial" w:eastAsia="Arial" w:hAnsi="Arial"/>
          <w:sz w:val="18"/>
          <w:szCs w:val="18"/>
          <w:i w:val="1"/>
          <w:iCs w:val="1"/>
          <w:color w:val="auto"/>
        </w:rPr>
        <w:t>“Off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ENVIRONMENT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U.S. capital markets have been experiencing extreme volatility and disruption for more than three years, and we believe that the U.S. economy has not fully recovered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conditions could limit our investment originations, limit our ability to grow, negatively impact our operating results, and delay or prevent us from launching or completing an IPO.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the Company’s Annual Report on Form 10-K for the year ended December 31, 2011, which was filed with the Securities and Exchange Commission (“SEC”) on March 22,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and interest rate risk. We currently do not hedge our exposure to these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will value these investments at fair value as determined in good faith by our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Note 2 to our consolidated financial statements for more details on estimates and judgments made by us in connection with the valuation of our investments.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In the future, we may fund a portion of our investments with borrowings, and at such time, our net investment income will be affected by the difference between the rate at which we invest and the rate at which we borrow. Accordingly, there can be no assurance that a significant change in market interest rates will not have a material adverse effect on our net investment income.</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September 30, 2012, the majority of the investments at fair value in our portfolio were at variable rates. Our debt facilities also bear interest at floating rates.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our balance sheet as of September 30, 2012, the following table shows the impact on net income for the three months ended September 30, 2012, of base rate changes in interest rates (considering interest rate floors and ceilings for variable rate instruments) assuming no changes in our investment and borrowing structure: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Basis Point Change</w:t>
            </w: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1"/>
        </w:trPr>
        <w:tc>
          <w:tcPr>
            <w:tcW w:w="3160" w:type="dxa"/>
            <w:vAlign w:val="bottom"/>
            <w:vMerge w:val="continue"/>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Expense</w:t>
            </w:r>
          </w:p>
        </w:tc>
        <w:tc>
          <w:tcPr>
            <w:tcW w:w="2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in millions)</w:t>
            </w:r>
          </w:p>
        </w:tc>
        <w:tc>
          <w:tcPr>
            <w:tcW w:w="33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980</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Up 200 basis points</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2,390</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3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Down 100 basis points</w:t>
            </w:r>
          </w:p>
        </w:tc>
        <w:tc>
          <w:tcPr>
            <w:tcW w:w="4540" w:type="dxa"/>
            <w:vAlign w:val="bottom"/>
            <w:gridSpan w:val="4"/>
          </w:tcPr>
          <w:p>
            <w:pPr>
              <w:jc w:val="right"/>
              <w:ind w:right="240"/>
              <w:spacing w:after="0"/>
              <w:rPr>
                <w:sz w:val="20"/>
                <w:szCs w:val="20"/>
                <w:color w:val="auto"/>
              </w:rPr>
            </w:pPr>
            <w:r>
              <w:rPr>
                <w:rFonts w:ascii="Arial" w:cs="Arial" w:eastAsia="Arial" w:hAnsi="Arial"/>
                <w:sz w:val="18"/>
                <w:szCs w:val="18"/>
                <w:color w:val="auto"/>
              </w:rPr>
              <w:t>(241)</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(146)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45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(281)</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Down 300 basis points</w:t>
            </w:r>
          </w:p>
        </w:tc>
        <w:tc>
          <w:tcPr>
            <w:tcW w:w="4540" w:type="dxa"/>
            <w:vAlign w:val="bottom"/>
            <w:gridSpan w:val="4"/>
          </w:tcPr>
          <w:p>
            <w:pPr>
              <w:jc w:val="right"/>
              <w:ind w:right="240"/>
              <w:spacing w:after="0"/>
              <w:rPr>
                <w:sz w:val="20"/>
                <w:szCs w:val="20"/>
                <w:color w:val="auto"/>
              </w:rPr>
            </w:pPr>
            <w:r>
              <w:rPr>
                <w:rFonts w:ascii="Arial" w:cs="Arial" w:eastAsia="Arial" w:hAnsi="Arial"/>
                <w:sz w:val="18"/>
                <w:szCs w:val="18"/>
                <w:color w:val="auto"/>
              </w:rPr>
              <w:t>(281)</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(255)</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56"/>
        </w:trPr>
        <w:tc>
          <w:tcPr>
            <w:tcW w:w="3160" w:type="dxa"/>
            <w:vAlign w:val="bottom"/>
          </w:tcPr>
          <w:p>
            <w:pPr>
              <w:spacing w:after="0"/>
              <w:rPr>
                <w:sz w:val="24"/>
                <w:szCs w:val="24"/>
                <w:color w:val="auto"/>
              </w:rPr>
            </w:pPr>
          </w:p>
        </w:tc>
        <w:tc>
          <w:tcPr>
            <w:tcW w:w="3320" w:type="dxa"/>
            <w:vAlign w:val="bottom"/>
          </w:tcPr>
          <w:p>
            <w:pPr>
              <w:jc w:val="right"/>
              <w:ind w:right="1512"/>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1934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1934 Act.</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on Form 10-K for the year ended December 31, 2011, which was filed with the SEC on March 22,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provides information regarding purchases of our common shares by our Adviser and its affiliates for each month in the three month period ended September 30,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0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5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5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76"/>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Average Price Paid</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1"/>
              </w:rPr>
              <w:t>Total Number of</w:t>
            </w:r>
          </w:p>
        </w:tc>
        <w:tc>
          <w:tcPr>
            <w:tcW w:w="720" w:type="dxa"/>
            <w:vAlign w:val="bottom"/>
          </w:tcPr>
          <w:p>
            <w:pPr>
              <w:spacing w:after="0"/>
              <w:rPr>
                <w:sz w:val="15"/>
                <w:szCs w:val="15"/>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Announced Plans or</w:t>
            </w:r>
          </w:p>
        </w:tc>
        <w:tc>
          <w:tcPr>
            <w:tcW w:w="10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61"/>
        </w:trPr>
        <w:tc>
          <w:tcPr>
            <w:tcW w:w="3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per Share</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3"/>
              </w:rPr>
              <w:t>Shares Purchased</w:t>
            </w:r>
          </w:p>
        </w:tc>
        <w:tc>
          <w:tcPr>
            <w:tcW w:w="720" w:type="dxa"/>
            <w:vAlign w:val="bottom"/>
          </w:tcPr>
          <w:p>
            <w:pPr>
              <w:spacing w:after="0"/>
              <w:rPr>
                <w:sz w:val="14"/>
                <w:szCs w:val="14"/>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Programs</w:t>
            </w:r>
          </w:p>
        </w:tc>
        <w:tc>
          <w:tcPr>
            <w:tcW w:w="10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2012</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August 2012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5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1,011.76</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1,011.76</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3,995</w:t>
            </w:r>
          </w:p>
        </w:tc>
        <w:tc>
          <w:tcPr>
            <w:tcW w:w="72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3,995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(a) Exhibits.</w:t>
            </w:r>
          </w:p>
        </w:tc>
        <w:tc>
          <w:tcPr>
            <w:tcW w:w="9800" w:type="dxa"/>
            <w:vAlign w:val="bottom"/>
          </w:tcPr>
          <w:p>
            <w:pPr>
              <w:spacing w:after="0"/>
              <w:rPr>
                <w:sz w:val="19"/>
                <w:szCs w:val="19"/>
                <w:color w:val="auto"/>
              </w:rPr>
            </w:pPr>
          </w:p>
        </w:tc>
      </w:tr>
      <w:tr>
        <w:trPr>
          <w:trHeight w:val="412"/>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10.1</w:t>
            </w:r>
          </w:p>
        </w:tc>
        <w:tc>
          <w:tcPr>
            <w:tcW w:w="9800" w:type="dxa"/>
            <w:vAlign w:val="bottom"/>
          </w:tcPr>
          <w:p>
            <w:pPr>
              <w:ind w:left="120"/>
              <w:spacing w:after="0"/>
              <w:rPr>
                <w:sz w:val="20"/>
                <w:szCs w:val="20"/>
                <w:color w:val="auto"/>
              </w:rPr>
            </w:pPr>
            <w:r>
              <w:rPr>
                <w:rFonts w:ascii="Arial" w:cs="Arial" w:eastAsia="Arial" w:hAnsi="Arial"/>
                <w:sz w:val="18"/>
                <w:szCs w:val="18"/>
                <w:color w:val="auto"/>
                <w:w w:val="88"/>
              </w:rPr>
              <w:t>Senior Secured Revolving Credit Agreement, dated as of August 23, 2012, among TPG Specialty Lending, Inc., as Borrower, the Lenders</w:t>
            </w:r>
          </w:p>
        </w:tc>
      </w:tr>
      <w:tr>
        <w:trPr>
          <w:trHeight w:val="222"/>
        </w:trPr>
        <w:tc>
          <w:tcPr>
            <w:tcW w:w="1040" w:type="dxa"/>
            <w:vAlign w:val="bottom"/>
          </w:tcPr>
          <w:p>
            <w:pPr>
              <w:spacing w:after="0"/>
              <w:rPr>
                <w:sz w:val="19"/>
                <w:szCs w:val="19"/>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Party Hereto and SunTrust Bank, as Administrative Agent, JPMorgan Chase Bank, N.A., as Syndication Agent.</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10.2</w:t>
            </w:r>
          </w:p>
        </w:tc>
        <w:tc>
          <w:tcPr>
            <w:tcW w:w="9800" w:type="dxa"/>
            <w:vAlign w:val="bottom"/>
          </w:tcPr>
          <w:p>
            <w:pPr>
              <w:ind w:left="120"/>
              <w:spacing w:after="0"/>
              <w:rPr>
                <w:sz w:val="20"/>
                <w:szCs w:val="20"/>
                <w:color w:val="auto"/>
              </w:rPr>
            </w:pPr>
            <w:r>
              <w:rPr>
                <w:rFonts w:ascii="Arial" w:cs="Arial" w:eastAsia="Arial" w:hAnsi="Arial"/>
                <w:sz w:val="18"/>
                <w:szCs w:val="18"/>
                <w:color w:val="auto"/>
                <w:w w:val="89"/>
              </w:rPr>
              <w:t>First Amendment to Amended and Restated Revolving Credit Agreement, dated October 31, 2012, among TPG. Specialty Lending, Inc.,</w:t>
            </w:r>
          </w:p>
        </w:tc>
      </w:tr>
      <w:tr>
        <w:trPr>
          <w:trHeight w:val="222"/>
        </w:trPr>
        <w:tc>
          <w:tcPr>
            <w:tcW w:w="1040" w:type="dxa"/>
            <w:vAlign w:val="bottom"/>
          </w:tcPr>
          <w:p>
            <w:pPr>
              <w:spacing w:after="0"/>
              <w:rPr>
                <w:sz w:val="19"/>
                <w:szCs w:val="19"/>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as Borrower, Deutsche Bank Trust Company Americas, as Administrative Agent, and Lenders Named Herein.</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31.1</w:t>
            </w:r>
          </w:p>
        </w:tc>
        <w:tc>
          <w:tcPr>
            <w:tcW w:w="9800" w:type="dxa"/>
            <w:vAlign w:val="bottom"/>
          </w:tcPr>
          <w:p>
            <w:pPr>
              <w:ind w:left="120"/>
              <w:spacing w:after="0"/>
              <w:rPr>
                <w:sz w:val="20"/>
                <w:szCs w:val="20"/>
                <w:color w:val="auto"/>
              </w:rPr>
            </w:pPr>
            <w:r>
              <w:rPr>
                <w:rFonts w:ascii="Arial" w:cs="Arial" w:eastAsia="Arial" w:hAnsi="Arial"/>
                <w:sz w:val="18"/>
                <w:szCs w:val="18"/>
                <w:color w:val="auto"/>
                <w:w w:val="89"/>
              </w:rPr>
              <w:t>Certification of Chief Executive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Act of 2002.</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31.2</w:t>
            </w:r>
          </w:p>
        </w:tc>
        <w:tc>
          <w:tcPr>
            <w:tcW w:w="9800" w:type="dxa"/>
            <w:vAlign w:val="bottom"/>
          </w:tcPr>
          <w:p>
            <w:pPr>
              <w:ind w:left="12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Act of 2002.</w:t>
            </w:r>
          </w:p>
        </w:tc>
      </w:tr>
    </w:tbl>
    <w:p>
      <w:pPr>
        <w:spacing w:after="0" w:line="102" w:lineRule="exact"/>
        <w:rPr>
          <w:sz w:val="20"/>
          <w:szCs w:val="20"/>
          <w:color w:val="auto"/>
        </w:rPr>
      </w:pPr>
    </w:p>
    <w:p>
      <w:pPr>
        <w:ind w:left="1620" w:right="280" w:hanging="910"/>
        <w:spacing w:after="0" w:line="268"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14, 2012</w:t>
      </w:r>
      <w:r>
        <w:rPr>
          <w:sz w:val="20"/>
          <w:szCs w:val="20"/>
          <w:color w:val="auto"/>
        </w:rPr>
        <w:tab/>
      </w:r>
      <w:r>
        <w:rPr>
          <w:rFonts w:ascii="Arial" w:cs="Arial" w:eastAsia="Arial" w:hAnsi="Arial"/>
          <w:sz w:val="16"/>
          <w:szCs w:val="16"/>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14, 2012</w:t>
      </w:r>
      <w:r>
        <w:rPr>
          <w:sz w:val="20"/>
          <w:szCs w:val="20"/>
          <w:color w:val="auto"/>
        </w:rPr>
        <w:tab/>
      </w:r>
      <w:r>
        <w:rPr>
          <w:rFonts w:ascii="Arial" w:cs="Arial" w:eastAsia="Arial" w:hAnsi="Arial"/>
          <w:sz w:val="16"/>
          <w:szCs w:val="16"/>
          <w:color w:val="auto"/>
        </w:rPr>
        <w:t>By:  /s/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E. Viola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Senior Credit Facility: 87263KAA2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Multicurrency Commitment: 87263KAB0</w:t>
      </w:r>
    </w:p>
    <w:p>
      <w:pPr>
        <w:spacing w:after="0" w:line="321"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SENIOR SECURED REVOLVING CREDIT AGREEMENT</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dated as of</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August 23, 2012</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TPG SPECIALTY LENDING, INC.</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Borrower</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The LENDERS Party Hereto</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8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8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122555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SUNTRUST ROBINSON HUMPHREY,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84455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8"/>
        </w:trPr>
        <w:tc>
          <w:tcPr>
            <w:tcW w:w="886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474"/>
        </w:trPr>
        <w:tc>
          <w:tcPr>
            <w:tcW w:w="88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860" w:type="dxa"/>
            <w:vAlign w:val="bottom"/>
          </w:tcPr>
          <w:p>
            <w:pPr>
              <w:spacing w:after="0"/>
              <w:rPr>
                <w:sz w:val="20"/>
                <w:szCs w:val="20"/>
                <w:color w:val="auto"/>
              </w:rPr>
            </w:pPr>
            <w:r>
              <w:rPr>
                <w:rFonts w:ascii="Arial" w:cs="Arial" w:eastAsia="Arial" w:hAnsi="Arial"/>
                <w:sz w:val="18"/>
                <w:szCs w:val="18"/>
                <w:color w:val="auto"/>
              </w:rPr>
              <w:t>ARTICLE I 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1.01. Defined Terms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1.02. Classification of Loans and Borrowings</w:t>
            </w:r>
          </w:p>
        </w:tc>
        <w:tc>
          <w:tcPr>
            <w:tcW w:w="2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1.03. Terms Generally</w:t>
            </w:r>
          </w:p>
        </w:tc>
        <w:tc>
          <w:tcPr>
            <w:tcW w:w="2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1.04. Accounting Terms; GAAP</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1.05. Currencies; Currency Equivalents</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860" w:type="dxa"/>
            <w:vAlign w:val="bottom"/>
          </w:tcPr>
          <w:p>
            <w:pPr>
              <w:spacing w:after="0"/>
              <w:rPr>
                <w:sz w:val="20"/>
                <w:szCs w:val="20"/>
                <w:color w:val="auto"/>
              </w:rPr>
            </w:pPr>
            <w:r>
              <w:rPr>
                <w:rFonts w:ascii="Arial" w:cs="Arial" w:eastAsia="Arial" w:hAnsi="Arial"/>
                <w:sz w:val="18"/>
                <w:szCs w:val="18"/>
                <w:color w:val="auto"/>
              </w:rPr>
              <w:t>ARTICLE II THE CREDITS</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2.01. The Commitments</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2.02. Loans and Borrowings</w:t>
            </w:r>
          </w:p>
        </w:tc>
        <w:tc>
          <w:tcPr>
            <w:tcW w:w="2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2.03. Requests for Syndicated Borrowings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2.04. Swingline Loans</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2.05. Letters of Credit</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2.06. Funding of Borrowings</w:t>
            </w:r>
          </w:p>
        </w:tc>
        <w:tc>
          <w:tcPr>
            <w:tcW w:w="2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2.07. Interest Elections</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2.08. Termination, Reduction or Increase of the Commitments</w:t>
            </w:r>
          </w:p>
        </w:tc>
        <w:tc>
          <w:tcPr>
            <w:tcW w:w="2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2.09. Repayment of Loans; Evidence of Debt</w:t>
            </w:r>
          </w:p>
        </w:tc>
        <w:tc>
          <w:tcPr>
            <w:tcW w:w="2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2.10. Prepayment of Loans</w:t>
            </w:r>
          </w:p>
        </w:tc>
        <w:tc>
          <w:tcPr>
            <w:tcW w:w="2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2.11. Fees</w:t>
            </w:r>
          </w:p>
        </w:tc>
        <w:tc>
          <w:tcPr>
            <w:tcW w:w="2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2.12. Interest</w:t>
            </w:r>
          </w:p>
        </w:tc>
        <w:tc>
          <w:tcPr>
            <w:tcW w:w="2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2.13. Alternate Rate of Interest</w:t>
            </w:r>
          </w:p>
        </w:tc>
        <w:tc>
          <w:tcPr>
            <w:tcW w:w="2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2.14. Increased Costs</w:t>
            </w:r>
          </w:p>
        </w:tc>
        <w:tc>
          <w:tcPr>
            <w:tcW w:w="2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2.15. Break Funding 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2.16. Taxes</w:t>
            </w:r>
          </w:p>
        </w:tc>
        <w:tc>
          <w:tcPr>
            <w:tcW w:w="2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2.17. Payments Generally; Pro Rata Treatment: Sharing of Set-offs</w:t>
            </w:r>
          </w:p>
        </w:tc>
        <w:tc>
          <w:tcPr>
            <w:tcW w:w="2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2.18. Mitigation Obligations; Replacement of Lenders</w:t>
            </w:r>
          </w:p>
        </w:tc>
        <w:tc>
          <w:tcPr>
            <w:tcW w:w="2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2.19. Defaulting Lenders</w:t>
            </w:r>
          </w:p>
        </w:tc>
        <w:tc>
          <w:tcPr>
            <w:tcW w:w="24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860" w:type="dxa"/>
            <w:vAlign w:val="bottom"/>
          </w:tcPr>
          <w:p>
            <w:pPr>
              <w:spacing w:after="0"/>
              <w:rPr>
                <w:sz w:val="20"/>
                <w:szCs w:val="20"/>
                <w:color w:val="auto"/>
              </w:rPr>
            </w:pPr>
            <w:r>
              <w:rPr>
                <w:rFonts w:ascii="Arial" w:cs="Arial" w:eastAsia="Arial" w:hAnsi="Arial"/>
                <w:sz w:val="18"/>
                <w:szCs w:val="18"/>
                <w:color w:val="auto"/>
              </w:rPr>
              <w:t>ARTICLE III REPRESENTATIONS AND WARRANTIES</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3.01. Organization; Powers</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860" w:type="dxa"/>
            <w:vAlign w:val="bottom"/>
          </w:tcPr>
          <w:p>
            <w:pPr>
              <w:ind w:left="440"/>
              <w:spacing w:after="0"/>
              <w:rPr>
                <w:sz w:val="20"/>
                <w:szCs w:val="20"/>
                <w:color w:val="auto"/>
              </w:rPr>
            </w:pPr>
            <w:r>
              <w:rPr>
                <w:rFonts w:ascii="Arial" w:cs="Arial" w:eastAsia="Arial" w:hAnsi="Arial"/>
                <w:sz w:val="18"/>
                <w:szCs w:val="18"/>
                <w:color w:val="auto"/>
              </w:rPr>
              <w:t>SECTION 3.02. Authorization; Enforceability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65"/>
        </w:trPr>
        <w:tc>
          <w:tcPr>
            <w:tcW w:w="8860" w:type="dxa"/>
            <w:vAlign w:val="bottom"/>
          </w:tcPr>
          <w:p>
            <w:pPr>
              <w:ind w:left="5640"/>
              <w:spacing w:after="0"/>
              <w:rPr>
                <w:sz w:val="20"/>
                <w:szCs w:val="20"/>
                <w:color w:val="auto"/>
              </w:rPr>
            </w:pPr>
            <w:r>
              <w:rPr>
                <w:rFonts w:ascii="Arial" w:cs="Arial" w:eastAsia="Arial" w:hAnsi="Arial"/>
                <w:sz w:val="18"/>
                <w:szCs w:val="18"/>
                <w:color w:val="auto"/>
              </w:rPr>
              <w:t>-i-</w:t>
            </w:r>
          </w:p>
        </w:tc>
        <w:tc>
          <w:tcPr>
            <w:tcW w:w="2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4" w:name="page35"/>
    <w:bookmarkEnd w:id="3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2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620" w:type="dxa"/>
            <w:vAlign w:val="bottom"/>
          </w:tcPr>
          <w:p>
            <w:pPr>
              <w:ind w:left="440"/>
              <w:spacing w:after="0"/>
              <w:rPr>
                <w:sz w:val="20"/>
                <w:szCs w:val="20"/>
                <w:color w:val="auto"/>
              </w:rPr>
            </w:pPr>
            <w:r>
              <w:rPr>
                <w:rFonts w:ascii="Arial" w:cs="Arial" w:eastAsia="Arial" w:hAnsi="Arial"/>
                <w:sz w:val="18"/>
                <w:szCs w:val="18"/>
                <w:color w:val="auto"/>
              </w:rPr>
              <w:t>SECTION 3.03. Governmental Approvals; No Conflicts</w:t>
            </w:r>
          </w:p>
        </w:tc>
        <w:tc>
          <w:tcPr>
            <w:tcW w:w="27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3.04. Financial Condition; No Material Adverse Change</w:t>
            </w:r>
          </w:p>
        </w:tc>
        <w:tc>
          <w:tcPr>
            <w:tcW w:w="27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3.05. Litigation</w:t>
            </w:r>
          </w:p>
        </w:tc>
        <w:tc>
          <w:tcPr>
            <w:tcW w:w="27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3.06. Compliance with Laws and Agreements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3.07. Taxes</w:t>
            </w:r>
          </w:p>
        </w:tc>
        <w:tc>
          <w:tcPr>
            <w:tcW w:w="27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3.08. ERISA</w:t>
            </w:r>
          </w:p>
        </w:tc>
        <w:tc>
          <w:tcPr>
            <w:tcW w:w="27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3.09. Disclosure</w:t>
            </w:r>
          </w:p>
        </w:tc>
        <w:tc>
          <w:tcPr>
            <w:tcW w:w="27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3.10. Investment Company Act; Margin Regulations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3.11. Material Agreements and Liens</w:t>
            </w:r>
          </w:p>
        </w:tc>
        <w:tc>
          <w:tcPr>
            <w:tcW w:w="2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3.12. Subsidiaries and Investments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3.13. Properties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3.14. Affiliate Agreements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3.15. OFAC</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3.16. Patriot Act</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3.17. Collateral Documents</w:t>
            </w: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IV CONDITIONS</w:t>
            </w: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4.01. Effective Date</w:t>
            </w: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4.02. Each Credit Event</w:t>
            </w:r>
          </w:p>
        </w:tc>
        <w:tc>
          <w:tcPr>
            <w:tcW w:w="27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V AFFIRMATIVE COVENANTS</w:t>
            </w:r>
          </w:p>
        </w:tc>
        <w:tc>
          <w:tcPr>
            <w:tcW w:w="27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5.01. Financial Statements and Other Information</w:t>
            </w:r>
          </w:p>
        </w:tc>
        <w:tc>
          <w:tcPr>
            <w:tcW w:w="27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5.02. Notices of Material Events</w:t>
            </w:r>
          </w:p>
        </w:tc>
        <w:tc>
          <w:tcPr>
            <w:tcW w:w="27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5.03. Existence: Conduct of Business</w:t>
            </w:r>
          </w:p>
        </w:tc>
        <w:tc>
          <w:tcPr>
            <w:tcW w:w="2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5.04. Payment of Obligations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5.05. Maintenance of Properties; Insurance</w:t>
            </w:r>
          </w:p>
        </w:tc>
        <w:tc>
          <w:tcPr>
            <w:tcW w:w="2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5.06. Books and Records; Inspection and Audit Rights</w:t>
            </w: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5.07. Compliance with Laws</w:t>
            </w: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5.08. Certain Obligations Respecting Subsidiaries; Further Assurances</w:t>
            </w: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5.09. Use of Proceeds</w:t>
            </w:r>
          </w:p>
        </w:tc>
        <w:tc>
          <w:tcPr>
            <w:tcW w:w="2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8620" w:type="dxa"/>
            <w:vAlign w:val="bottom"/>
          </w:tcPr>
          <w:p>
            <w:pPr>
              <w:ind w:left="440"/>
              <w:spacing w:after="0"/>
              <w:rPr>
                <w:sz w:val="20"/>
                <w:szCs w:val="20"/>
                <w:color w:val="auto"/>
              </w:rPr>
            </w:pPr>
            <w:r>
              <w:rPr>
                <w:rFonts w:ascii="Arial" w:cs="Arial" w:eastAsia="Arial" w:hAnsi="Arial"/>
                <w:sz w:val="18"/>
                <w:szCs w:val="18"/>
                <w:color w:val="auto"/>
              </w:rPr>
              <w:t>SECTION 5.10. Status of RIC and BDC</w:t>
            </w:r>
          </w:p>
        </w:tc>
        <w:tc>
          <w:tcPr>
            <w:tcW w:w="2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65"/>
        </w:trPr>
        <w:tc>
          <w:tcPr>
            <w:tcW w:w="8620" w:type="dxa"/>
            <w:vAlign w:val="bottom"/>
          </w:tcPr>
          <w:p>
            <w:pPr>
              <w:ind w:left="5600"/>
              <w:spacing w:after="0"/>
              <w:rPr>
                <w:sz w:val="20"/>
                <w:szCs w:val="20"/>
                <w:color w:val="auto"/>
              </w:rPr>
            </w:pPr>
            <w:r>
              <w:rPr>
                <w:rFonts w:ascii="Arial" w:cs="Arial" w:eastAsia="Arial" w:hAnsi="Arial"/>
                <w:sz w:val="18"/>
                <w:szCs w:val="18"/>
                <w:color w:val="auto"/>
              </w:rPr>
              <w:t>-ii-</w:t>
            </w:r>
          </w:p>
        </w:tc>
        <w:tc>
          <w:tcPr>
            <w:tcW w:w="270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40" w:type="dxa"/>
            <w:vAlign w:val="bottom"/>
          </w:tcPr>
          <w:p>
            <w:pPr>
              <w:jc w:val="center"/>
              <w:ind w:left="2512"/>
              <w:spacing w:after="0"/>
              <w:rPr>
                <w:sz w:val="20"/>
                <w:szCs w:val="20"/>
                <w:color w:val="auto"/>
              </w:rPr>
            </w:pPr>
            <w:r>
              <w:rPr>
                <w:rFonts w:ascii="Arial" w:cs="Arial" w:eastAsia="Arial" w:hAnsi="Arial"/>
                <w:sz w:val="18"/>
                <w:szCs w:val="18"/>
                <w:b w:val="1"/>
                <w:bCs w:val="1"/>
                <w:color w:val="auto"/>
                <w:w w:val="96"/>
              </w:rPr>
              <w:t>TABLE OF CONTENTS</w:t>
            </w:r>
          </w:p>
        </w:tc>
        <w:tc>
          <w:tcPr>
            <w:tcW w:w="2480" w:type="dxa"/>
            <w:vAlign w:val="bottom"/>
          </w:tcPr>
          <w:p>
            <w:pPr>
              <w:spacing w:after="0"/>
              <w:rPr>
                <w:sz w:val="18"/>
                <w:szCs w:val="18"/>
                <w:color w:val="auto"/>
              </w:rPr>
            </w:pPr>
          </w:p>
        </w:tc>
      </w:tr>
      <w:tr>
        <w:trPr>
          <w:trHeight w:val="228"/>
        </w:trPr>
        <w:tc>
          <w:tcPr>
            <w:tcW w:w="8840" w:type="dxa"/>
            <w:vAlign w:val="bottom"/>
          </w:tcPr>
          <w:p>
            <w:pPr>
              <w:jc w:val="center"/>
              <w:ind w:left="2492"/>
              <w:spacing w:after="0"/>
              <w:rPr>
                <w:sz w:val="20"/>
                <w:szCs w:val="20"/>
                <w:color w:val="auto"/>
              </w:rPr>
            </w:pPr>
            <w:r>
              <w:rPr>
                <w:rFonts w:ascii="Arial" w:cs="Arial" w:eastAsia="Arial" w:hAnsi="Arial"/>
                <w:sz w:val="18"/>
                <w:szCs w:val="18"/>
                <w:b w:val="1"/>
                <w:bCs w:val="1"/>
                <w:color w:val="auto"/>
                <w:w w:val="87"/>
              </w:rPr>
              <w:t>(continued)</w:t>
            </w:r>
          </w:p>
        </w:tc>
        <w:tc>
          <w:tcPr>
            <w:tcW w:w="2480" w:type="dxa"/>
            <w:vAlign w:val="bottom"/>
          </w:tcPr>
          <w:p>
            <w:pPr>
              <w:spacing w:after="0"/>
              <w:rPr>
                <w:sz w:val="19"/>
                <w:szCs w:val="19"/>
                <w:color w:val="auto"/>
              </w:rPr>
            </w:pPr>
          </w:p>
        </w:tc>
      </w:tr>
      <w:tr>
        <w:trPr>
          <w:trHeight w:val="474"/>
        </w:trPr>
        <w:tc>
          <w:tcPr>
            <w:tcW w:w="88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840" w:type="dxa"/>
            <w:vAlign w:val="bottom"/>
          </w:tcPr>
          <w:p>
            <w:pPr>
              <w:ind w:left="440"/>
              <w:spacing w:after="0"/>
              <w:rPr>
                <w:sz w:val="20"/>
                <w:szCs w:val="20"/>
                <w:color w:val="auto"/>
              </w:rPr>
            </w:pPr>
            <w:r>
              <w:rPr>
                <w:rFonts w:ascii="Arial" w:cs="Arial" w:eastAsia="Arial" w:hAnsi="Arial"/>
                <w:sz w:val="18"/>
                <w:szCs w:val="18"/>
                <w:color w:val="auto"/>
              </w:rPr>
              <w:t>SECTION 5.11. Investment Policies</w:t>
            </w:r>
          </w:p>
        </w:tc>
        <w:tc>
          <w:tcPr>
            <w:tcW w:w="2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5.12. Portfolio Valuation and Diversification Etc</w:t>
            </w:r>
          </w:p>
        </w:tc>
        <w:tc>
          <w:tcPr>
            <w:tcW w:w="24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5.13. Calculation of Borrowing Base</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VI NEGATIVE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6.01. Indebtedness</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6.02. Liens</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6.03. Fundamental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6.04. Investments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6.05. Restricted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6.06. Certain Restrictions on 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6.07. Certain Financial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6.08. Transactions with Affiliates</w:t>
            </w:r>
          </w:p>
        </w:tc>
        <w:tc>
          <w:tcPr>
            <w:tcW w:w="2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6.09. Lines of Business</w:t>
            </w:r>
          </w:p>
        </w:tc>
        <w:tc>
          <w:tcPr>
            <w:tcW w:w="2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6.10. No Further Negative Pledge</w:t>
            </w:r>
          </w:p>
        </w:tc>
        <w:tc>
          <w:tcPr>
            <w:tcW w:w="2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6.11. Modifications of Longer-Term Indebtedness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6.12. Payments of Longer-Term Indebtedness</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6.13. Accounting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6.14. SBIC Guarantee</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VII EVENTS OF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VIII THE ADMINISTRATIVE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8.01. Appointment of the Administrative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8.02. Capacity as Lender</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8.03. Limitation of Duties; Exculpation</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8.04. Reliance</w:t>
            </w:r>
          </w:p>
        </w:tc>
        <w:tc>
          <w:tcPr>
            <w:tcW w:w="24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8.05. Sub-Agents</w:t>
            </w:r>
          </w:p>
        </w:tc>
        <w:tc>
          <w:tcPr>
            <w:tcW w:w="24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8.06. Resignation; Successor Administrative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8.07. Reliance by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8.08. Modifications to Loan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IX MISCELLANEOUS</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9.01. Notices; Electronic Communications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65"/>
        </w:trPr>
        <w:tc>
          <w:tcPr>
            <w:tcW w:w="8840" w:type="dxa"/>
            <w:vAlign w:val="bottom"/>
          </w:tcPr>
          <w:p>
            <w:pPr>
              <w:jc w:val="center"/>
              <w:ind w:left="2492"/>
              <w:spacing w:after="0"/>
              <w:rPr>
                <w:sz w:val="20"/>
                <w:szCs w:val="20"/>
                <w:color w:val="auto"/>
              </w:rPr>
            </w:pPr>
            <w:r>
              <w:rPr>
                <w:rFonts w:ascii="Arial" w:cs="Arial" w:eastAsia="Arial" w:hAnsi="Arial"/>
                <w:sz w:val="18"/>
                <w:szCs w:val="18"/>
                <w:color w:val="auto"/>
              </w:rPr>
              <w:t>-iii-</w:t>
            </w:r>
          </w:p>
        </w:tc>
        <w:tc>
          <w:tcPr>
            <w:tcW w:w="248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400" w:type="dxa"/>
            <w:vAlign w:val="bottom"/>
          </w:tcPr>
          <w:p>
            <w:pPr>
              <w:jc w:val="center"/>
              <w:ind w:left="2072"/>
              <w:spacing w:after="0"/>
              <w:rPr>
                <w:sz w:val="20"/>
                <w:szCs w:val="20"/>
                <w:color w:val="auto"/>
              </w:rPr>
            </w:pPr>
            <w:r>
              <w:rPr>
                <w:rFonts w:ascii="Arial" w:cs="Arial" w:eastAsia="Arial" w:hAnsi="Arial"/>
                <w:sz w:val="18"/>
                <w:szCs w:val="18"/>
                <w:b w:val="1"/>
                <w:bCs w:val="1"/>
                <w:color w:val="auto"/>
                <w:w w:val="96"/>
              </w:rPr>
              <w:t>TABLE OF CONTENTS</w:t>
            </w:r>
          </w:p>
        </w:tc>
        <w:tc>
          <w:tcPr>
            <w:tcW w:w="2480" w:type="dxa"/>
            <w:vAlign w:val="bottom"/>
          </w:tcPr>
          <w:p>
            <w:pPr>
              <w:spacing w:after="0"/>
              <w:rPr>
                <w:sz w:val="18"/>
                <w:szCs w:val="18"/>
                <w:color w:val="auto"/>
              </w:rPr>
            </w:pPr>
          </w:p>
        </w:tc>
      </w:tr>
      <w:tr>
        <w:trPr>
          <w:trHeight w:val="228"/>
        </w:trPr>
        <w:tc>
          <w:tcPr>
            <w:tcW w:w="8400" w:type="dxa"/>
            <w:vAlign w:val="bottom"/>
          </w:tcPr>
          <w:p>
            <w:pPr>
              <w:jc w:val="center"/>
              <w:ind w:left="2052"/>
              <w:spacing w:after="0"/>
              <w:rPr>
                <w:sz w:val="20"/>
                <w:szCs w:val="20"/>
                <w:color w:val="auto"/>
              </w:rPr>
            </w:pPr>
            <w:r>
              <w:rPr>
                <w:rFonts w:ascii="Arial" w:cs="Arial" w:eastAsia="Arial" w:hAnsi="Arial"/>
                <w:sz w:val="18"/>
                <w:szCs w:val="18"/>
                <w:b w:val="1"/>
                <w:bCs w:val="1"/>
                <w:color w:val="auto"/>
                <w:w w:val="87"/>
              </w:rPr>
              <w:t>(continued)</w:t>
            </w:r>
          </w:p>
        </w:tc>
        <w:tc>
          <w:tcPr>
            <w:tcW w:w="2480" w:type="dxa"/>
            <w:vAlign w:val="bottom"/>
          </w:tcPr>
          <w:p>
            <w:pPr>
              <w:spacing w:after="0"/>
              <w:rPr>
                <w:sz w:val="19"/>
                <w:szCs w:val="19"/>
                <w:color w:val="auto"/>
              </w:rPr>
            </w:pPr>
          </w:p>
        </w:tc>
      </w:tr>
      <w:tr>
        <w:trPr>
          <w:trHeight w:val="474"/>
        </w:trPr>
        <w:tc>
          <w:tcPr>
            <w:tcW w:w="840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400" w:type="dxa"/>
            <w:vAlign w:val="bottom"/>
          </w:tcPr>
          <w:p>
            <w:pPr>
              <w:spacing w:after="0"/>
              <w:rPr>
                <w:sz w:val="20"/>
                <w:szCs w:val="20"/>
                <w:color w:val="auto"/>
              </w:rPr>
            </w:pPr>
            <w:r>
              <w:rPr>
                <w:rFonts w:ascii="Arial" w:cs="Arial" w:eastAsia="Arial" w:hAnsi="Arial"/>
                <w:sz w:val="18"/>
                <w:szCs w:val="18"/>
                <w:color w:val="auto"/>
              </w:rPr>
              <w:t>SECTION 9.02. Waivers; Amendments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9.03. Expenses; Indemnity; Damage Waiver</w:t>
            </w:r>
          </w:p>
        </w:tc>
        <w:tc>
          <w:tcPr>
            <w:tcW w:w="2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9.04. Successors and Assigns</w:t>
            </w:r>
          </w:p>
        </w:tc>
        <w:tc>
          <w:tcPr>
            <w:tcW w:w="24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9.05. Survival</w:t>
            </w:r>
          </w:p>
        </w:tc>
        <w:tc>
          <w:tcPr>
            <w:tcW w:w="2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9.07. 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9.08. Right of Setoff</w:t>
            </w:r>
          </w:p>
        </w:tc>
        <w:tc>
          <w:tcPr>
            <w:tcW w:w="2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9.09. Governing Law; Jurisdiction; Etc</w:t>
            </w:r>
          </w:p>
        </w:tc>
        <w:tc>
          <w:tcPr>
            <w:tcW w:w="2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9.10. WAIVER OF JURY TRIAL</w:t>
            </w:r>
          </w:p>
        </w:tc>
        <w:tc>
          <w:tcPr>
            <w:tcW w:w="24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9.11. Judgment Currency</w:t>
            </w:r>
          </w:p>
        </w:tc>
        <w:tc>
          <w:tcPr>
            <w:tcW w:w="24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9.12. Headings</w:t>
            </w:r>
          </w:p>
        </w:tc>
        <w:tc>
          <w:tcPr>
            <w:tcW w:w="24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9.13. Treatment of Certain Information; No Fiduciary Duty; Confidentiality</w:t>
            </w:r>
          </w:p>
        </w:tc>
        <w:tc>
          <w:tcPr>
            <w:tcW w:w="24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SECTION 9.14. USA PATRIOT Act</w:t>
            </w:r>
          </w:p>
        </w:tc>
        <w:tc>
          <w:tcPr>
            <w:tcW w:w="24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65"/>
        </w:trPr>
        <w:tc>
          <w:tcPr>
            <w:tcW w:w="8400" w:type="dxa"/>
            <w:vAlign w:val="bottom"/>
          </w:tcPr>
          <w:p>
            <w:pPr>
              <w:jc w:val="center"/>
              <w:ind w:left="2052"/>
              <w:spacing w:after="0"/>
              <w:rPr>
                <w:sz w:val="20"/>
                <w:szCs w:val="20"/>
                <w:color w:val="auto"/>
              </w:rPr>
            </w:pPr>
            <w:r>
              <w:rPr>
                <w:rFonts w:ascii="Arial" w:cs="Arial" w:eastAsia="Arial" w:hAnsi="Arial"/>
                <w:sz w:val="18"/>
                <w:szCs w:val="18"/>
                <w:color w:val="auto"/>
              </w:rPr>
              <w:t>-iv-</w:t>
            </w:r>
          </w:p>
        </w:tc>
        <w:tc>
          <w:tcPr>
            <w:tcW w:w="2480" w:type="dxa"/>
            <w:vAlign w:val="bottom"/>
          </w:tcPr>
          <w:p>
            <w:pPr>
              <w:spacing w:after="0"/>
              <w:rPr>
                <w:sz w:val="24"/>
                <w:szCs w:val="24"/>
                <w:color w:val="auto"/>
              </w:rPr>
            </w:pPr>
          </w:p>
        </w:tc>
      </w:tr>
    </w:tbl>
    <w:p>
      <w:pPr>
        <w:sectPr>
          <w:pgSz w:w="11900" w:h="16838" w:orient="portrait"/>
          <w:cols w:equalWidth="0" w:num="1">
            <w:col w:w="10880"/>
          </w:cols>
          <w:pgMar w:left="680" w:top="274" w:right="3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w w:val="97"/>
              </w:rPr>
              <w:t>SCHEDULE 1.01(a)</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w w:val="91"/>
              </w:rPr>
              <w:t>-   Approved Dealers and Approved Pricing Services</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w w:val="97"/>
              </w:rPr>
              <w:t>SCHEDULE 1.01(b)</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3660" w:type="dxa"/>
            <w:vAlign w:val="bottom"/>
          </w:tcPr>
          <w:p>
            <w:pPr>
              <w:ind w:left="140"/>
              <w:spacing w:after="0"/>
              <w:rPr>
                <w:sz w:val="20"/>
                <w:szCs w:val="20"/>
                <w:color w:val="auto"/>
              </w:rPr>
            </w:pPr>
            <w:r>
              <w:rPr>
                <w:rFonts w:ascii="Arial" w:cs="Arial" w:eastAsia="Arial" w:hAnsi="Arial"/>
                <w:sz w:val="18"/>
                <w:szCs w:val="18"/>
                <w:color w:val="auto"/>
              </w:rPr>
              <w:t>Commitments</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w w:val="98"/>
              </w:rPr>
              <w:t>SCHEDULE 1.01(c)</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   Industry Classification Group List</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SCHEDULE 3.11</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   Material Agreements and Liens</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w w:val="97"/>
              </w:rPr>
              <w:t>SCHEDULE 3.12(a)</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3660" w:type="dxa"/>
            <w:vAlign w:val="bottom"/>
          </w:tcPr>
          <w:p>
            <w:pPr>
              <w:ind w:left="140"/>
              <w:spacing w:after="0"/>
              <w:rPr>
                <w:sz w:val="20"/>
                <w:szCs w:val="20"/>
                <w:color w:val="auto"/>
              </w:rPr>
            </w:pPr>
            <w:r>
              <w:rPr>
                <w:rFonts w:ascii="Arial" w:cs="Arial" w:eastAsia="Arial" w:hAnsi="Arial"/>
                <w:sz w:val="18"/>
                <w:szCs w:val="18"/>
                <w:color w:val="auto"/>
              </w:rPr>
              <w:t>Subsidiaries</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w w:val="97"/>
              </w:rPr>
              <w:t>SCHEDULE 3.12(b)</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3660" w:type="dxa"/>
            <w:vAlign w:val="bottom"/>
          </w:tcPr>
          <w:p>
            <w:pPr>
              <w:ind w:left="140"/>
              <w:spacing w:after="0"/>
              <w:rPr>
                <w:sz w:val="20"/>
                <w:szCs w:val="20"/>
                <w:color w:val="auto"/>
              </w:rPr>
            </w:pPr>
            <w:r>
              <w:rPr>
                <w:rFonts w:ascii="Arial" w:cs="Arial" w:eastAsia="Arial" w:hAnsi="Arial"/>
                <w:sz w:val="18"/>
                <w:szCs w:val="18"/>
                <w:color w:val="auto"/>
              </w:rPr>
              <w:t>Investments</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SCHEDULE 6.08</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3660" w:type="dxa"/>
            <w:vAlign w:val="bottom"/>
          </w:tcPr>
          <w:p>
            <w:pPr>
              <w:ind w:left="140"/>
              <w:spacing w:after="0"/>
              <w:rPr>
                <w:sz w:val="20"/>
                <w:szCs w:val="20"/>
                <w:color w:val="auto"/>
              </w:rPr>
            </w:pPr>
            <w:r>
              <w:rPr>
                <w:rFonts w:ascii="Arial" w:cs="Arial" w:eastAsia="Arial" w:hAnsi="Arial"/>
                <w:sz w:val="18"/>
                <w:szCs w:val="18"/>
                <w:color w:val="auto"/>
              </w:rPr>
              <w:t>Transactions with Affiliates</w:t>
            </w:r>
          </w:p>
        </w:tc>
      </w:tr>
      <w:tr>
        <w:trPr>
          <w:trHeight w:val="426"/>
        </w:trPr>
        <w:tc>
          <w:tcPr>
            <w:tcW w:w="1580" w:type="dxa"/>
            <w:vAlign w:val="bottom"/>
          </w:tcPr>
          <w:p>
            <w:pPr>
              <w:spacing w:after="0"/>
              <w:rPr>
                <w:sz w:val="20"/>
                <w:szCs w:val="20"/>
                <w:color w:val="auto"/>
              </w:rPr>
            </w:pPr>
            <w:r>
              <w:rPr>
                <w:rFonts w:ascii="Arial" w:cs="Arial" w:eastAsia="Arial" w:hAnsi="Arial"/>
                <w:sz w:val="18"/>
                <w:szCs w:val="18"/>
                <w:color w:val="auto"/>
              </w:rPr>
              <w:t>EXHIBIT A</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EXHIBIT B</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   Form of Borrowing Base Certificate</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EXHIBIT C</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   Form of Borrowing Request</w:t>
            </w:r>
          </w:p>
        </w:tc>
      </w:tr>
    </w:tbl>
    <w:p>
      <w:pPr>
        <w:sectPr>
          <w:pgSz w:w="11900" w:h="16838" w:orient="portrait"/>
          <w:cols w:equalWidth="0" w:num="1">
            <w:col w:w="10219"/>
          </w:cols>
          <w:pgMar w:left="240" w:top="280" w:right="1440" w:bottom="1440" w:gutter="0" w:footer="0" w:header="0"/>
        </w:sectPr>
      </w:pPr>
    </w:p>
    <w:bookmarkStart w:id="38" w:name="page39"/>
    <w:bookmarkEnd w:id="38"/>
    <w:p>
      <w:pPr>
        <w:ind w:right="84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SENIOR SECURED REVOLVING CREDIT AGREEMENT dated as of August 23, 2012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TPG SPECIALTY LENDING,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party hereto, and SUNTRUST BANK, as Administrative Agent.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32"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Borrowing Base</w:t>
      </w:r>
      <w:r>
        <w:rPr>
          <w:rFonts w:ascii="Arial" w:cs="Arial" w:eastAsia="Arial" w:hAnsi="Arial"/>
          <w:sz w:val="16"/>
          <w:szCs w:val="16"/>
          <w:color w:val="auto"/>
        </w:rPr>
        <w:t xml:space="preserve">” means the Borrowing Base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8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Covered Debt Balance</w:t>
      </w:r>
      <w:r>
        <w:rPr>
          <w:rFonts w:ascii="Arial" w:cs="Arial" w:eastAsia="Arial" w:hAnsi="Arial"/>
          <w:sz w:val="18"/>
          <w:szCs w:val="18"/>
          <w:color w:val="auto"/>
        </w:rPr>
        <w:t xml:space="preserve">” means, on any date, the aggregate Covered Debt Amount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40"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for the Interest Period for any Eurocurrency Borrowing, an interest rate per annum (rounded upwards, if necessary, to the next 1/16 of 1%) equal to (a) the LIBO Rate for such Interest Period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Statutory Reserve Rate for such Interest Period.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SunTrust, in its capacity as administrative agent for the Lenders 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Appraisal Testing Month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5.12(b)(ii)(E)(y)</w:t>
      </w:r>
      <w:r>
        <w:rPr>
          <w:rFonts w:ascii="Arial" w:cs="Arial" w:eastAsia="Arial" w:hAnsi="Arial"/>
          <w:sz w:val="18"/>
          <w:szCs w:val="18"/>
          <w:color w:val="auto"/>
        </w:rPr>
        <w:t>.</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Account</w:t>
      </w:r>
      <w:r>
        <w:rPr>
          <w:rFonts w:ascii="Arial" w:cs="Arial" w:eastAsia="Arial" w:hAnsi="Arial"/>
          <w:sz w:val="18"/>
          <w:szCs w:val="18"/>
          <w:color w:val="auto"/>
        </w:rPr>
        <w:t>” means, for each Currency, an account in respect of such Currency designated by the Administrative Agent in a notice to the Borrower and the Lenders.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9" w:name="page40"/>
    <w:bookmarkEnd w:id="39"/>
    <w:p>
      <w:pPr>
        <w:ind w:right="16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43"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Agreements</w:t>
      </w:r>
      <w:r>
        <w:rPr>
          <w:rFonts w:ascii="Arial" w:cs="Arial" w:eastAsia="Arial" w:hAnsi="Arial"/>
          <w:sz w:val="16"/>
          <w:szCs w:val="16"/>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107"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Foreign Currency</w:t>
      </w:r>
      <w:r>
        <w:rPr>
          <w:rFonts w:ascii="Arial" w:cs="Arial" w:eastAsia="Arial" w:hAnsi="Arial"/>
          <w:sz w:val="18"/>
          <w:szCs w:val="18"/>
          <w:color w:val="auto"/>
        </w:rPr>
        <w:t>” means, at any time, any of Canadian Dollars, English Pounds Sterling, Euros and,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22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90"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for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and (c) the rate per annum equal to 1%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2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Dollar Percentage</w:t>
      </w:r>
      <w:r>
        <w:rPr>
          <w:rFonts w:ascii="Arial" w:cs="Arial" w:eastAsia="Arial" w:hAnsi="Arial"/>
          <w:sz w:val="18"/>
          <w:szCs w:val="18"/>
          <w:color w:val="auto"/>
        </w:rPr>
        <w:t>”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spacing w:after="0" w:line="127"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0" w:name="page41"/>
    <w:bookmarkEnd w:id="40"/>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Applicable Financial Statements</w:t>
      </w:r>
      <w:r>
        <w:rPr>
          <w:rFonts w:ascii="Arial" w:cs="Arial" w:eastAsia="Arial" w:hAnsi="Arial"/>
          <w:sz w:val="16"/>
          <w:szCs w:val="16"/>
          <w:color w:val="auto"/>
        </w:rPr>
        <w:t xml:space="preserve">” means, as at any date, the most-recent audited financial statements of the Borrower delivered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immediately prior to the delivery to the Lenders of new audited financial statements of the Borrower a Material Adverse Change (the “</w:t>
      </w:r>
      <w:r>
        <w:rPr>
          <w:rFonts w:ascii="Arial" w:cs="Arial" w:eastAsia="Arial" w:hAnsi="Arial"/>
          <w:sz w:val="16"/>
          <w:szCs w:val="16"/>
          <w:u w:val="single" w:color="auto"/>
          <w:color w:val="auto"/>
        </w:rPr>
        <w:t>Pre-existing MAC</w:t>
      </w:r>
      <w:r>
        <w:rPr>
          <w:rFonts w:ascii="Arial" w:cs="Arial" w:eastAsia="Arial" w:hAnsi="Arial"/>
          <w:sz w:val="16"/>
          <w:szCs w:val="16"/>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(a) with respect to any ABR Loan, 1.50% per annum; and (b) with respect to any Eurocurrency Loan, 2.50% per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annum.</w:t>
      </w:r>
    </w:p>
    <w:p>
      <w:pPr>
        <w:spacing w:after="0" w:line="165"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Multicurrency Percentage</w:t>
      </w:r>
      <w:r>
        <w:rPr>
          <w:rFonts w:ascii="Arial" w:cs="Arial" w:eastAsia="Arial" w:hAnsi="Arial"/>
          <w:sz w:val="16"/>
          <w:szCs w:val="16"/>
          <w:color w:val="auto"/>
        </w:rPr>
        <w:t>”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spacing w:after="0" w:line="107"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w:t>
      </w:r>
    </w:p>
    <w:p>
      <w:pPr>
        <w:spacing w:after="0" w:line="14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Dealer</w:t>
      </w:r>
      <w:r>
        <w:rPr>
          <w:rFonts w:ascii="Arial" w:cs="Arial" w:eastAsia="Arial" w:hAnsi="Arial"/>
          <w:sz w:val="18"/>
          <w:szCs w:val="18"/>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any other bank or broker-dealer acceptable to the Administrative Agent in its reasonable determination.</w:t>
      </w:r>
    </w:p>
    <w:p>
      <w:pPr>
        <w:spacing w:after="0" w:line="143"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Pricing Service</w:t>
      </w:r>
      <w:r>
        <w:rPr>
          <w:rFonts w:ascii="Arial" w:cs="Arial" w:eastAsia="Arial" w:hAnsi="Arial"/>
          <w:sz w:val="16"/>
          <w:szCs w:val="16"/>
          <w:color w:val="auto"/>
        </w:rPr>
        <w:t xml:space="preserve">” means a pricing or quotation service as set forth in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0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Third-Party Appraiser</w:t>
      </w:r>
      <w:r>
        <w:rPr>
          <w:rFonts w:ascii="Arial" w:cs="Arial" w:eastAsia="Arial" w:hAnsi="Arial"/>
          <w:sz w:val="18"/>
          <w:szCs w:val="18"/>
          <w:color w:val="auto"/>
        </w:rPr>
        <w:t>”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w:t>
      </w:r>
    </w:p>
    <w:p>
      <w:pPr>
        <w:spacing w:after="0" w:line="129"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1" w:name="page42"/>
    <w:bookmarkEnd w:id="41"/>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Howard &amp; Zukin Capital, Inc., Duff &amp; Phelps LLC, Murray, Devine and Company, Lincoln International LLC (formerly known as Lincoln Partners LLC) and Valuation Research Corporation are acceptable to the Administrative Agent. As used in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13"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Coverage Ratio</w:t>
      </w:r>
      <w:r>
        <w:rPr>
          <w:rFonts w:ascii="Arial" w:cs="Arial" w:eastAsia="Arial" w:hAnsi="Arial"/>
          <w:sz w:val="16"/>
          <w:szCs w:val="16"/>
          <w:color w:val="auto"/>
        </w:rPr>
        <w:t>” means the ratio, determined on a consolidated basis for Borrower and its Subsidiaries, without duplication, (a) the Value of total assets of the Borrower and its Subsidiaries, less all liabilities and indebtedness not represented by senior securities to (b) to the aggregate amount of senior securities representing indebtedness of Borrower and its Subsidiaries (including this Agreement and any Capital Call Facility),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16"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Commitment Termination Date and the date of termination of the Commitments.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all Syndicated ABR Loans of the same Class made, converted or continued on the same date, (b) all Eurocurrency Loans of the same Class denominated in the same Currency that have the same Interest Period or (c) a Swingline Loan.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xml:space="preserve">” means a certificate of a Financial Officer of the Borrower,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appropriately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completed.</w:t>
      </w:r>
    </w:p>
    <w:p>
      <w:pPr>
        <w:spacing w:after="0" w:line="16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at any date on which the same is determined, the amount, if any, that (a) the aggregate Covered Debt Amount as of such date exceeds (b) the Borrowing Base as of such date.</w:t>
      </w:r>
    </w:p>
    <w:p>
      <w:pPr>
        <w:spacing w:after="0" w:line="118"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2" w:name="page43"/>
    <w:bookmarkEnd w:id="42"/>
    <w:p>
      <w:pPr>
        <w:ind w:right="2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Syndicated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Calculation Amount</w:t>
      </w:r>
      <w:r>
        <w:rPr>
          <w:rFonts w:ascii="Arial" w:cs="Arial" w:eastAsia="Arial" w:hAnsi="Arial"/>
          <w:sz w:val="16"/>
          <w:szCs w:val="16"/>
          <w:color w:val="auto"/>
        </w:rPr>
        <w:t xml:space="preserve">” shall mean, as of the end of any Testing Quarter, an amount equal to the greater of: (a) (i) 125% of the Adjusted Covered Debt Balance (as of the end of such Testing Quarter)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aggregate Value of all Quoted Investments included in the Borrowing Base (as of the end of such Testing Quarter) and (b) 10% of the aggregate Value of all Unquoted Investments included in the Borrowing Base (as of the end of such Testing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more than 25% (or, if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applies, 10%, or as near thereto as reasonably practicable) of the aggregate Value of the Unquoted Investments in the Borrowing Base be tested in respect of any applicable Testing Quarter.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1" w:lineRule="exact"/>
        <w:rPr>
          <w:sz w:val="20"/>
          <w:szCs w:val="20"/>
          <w:color w:val="auto"/>
        </w:rPr>
      </w:pPr>
    </w:p>
    <w:p>
      <w:pPr>
        <w:ind w:right="34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 Date</w:t>
      </w:r>
      <w:r>
        <w:rPr>
          <w:rFonts w:ascii="Arial" w:cs="Arial" w:eastAsia="Arial" w:hAnsi="Arial"/>
          <w:sz w:val="18"/>
          <w:szCs w:val="18"/>
          <w:color w:val="auto"/>
        </w:rPr>
        <w:t xml:space="preserve">” means the date on which any Event of Default referred to in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occur or the date on which the Company receives written notice from the Administrative Agent that any Event of Default referred to in</w:t>
      </w:r>
    </w:p>
    <w:p>
      <w:pPr>
        <w:spacing w:after="0"/>
        <w:rPr>
          <w:sz w:val="20"/>
          <w:szCs w:val="20"/>
          <w:color w:val="auto"/>
        </w:rPr>
      </w:pP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has occurred.</w:t>
      </w:r>
    </w:p>
    <w:p>
      <w:pPr>
        <w:spacing w:after="0" w:line="165"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Percentage</w:t>
      </w:r>
      <w:r>
        <w:rPr>
          <w:rFonts w:ascii="Arial" w:cs="Arial" w:eastAsia="Arial" w:hAnsi="Arial"/>
          <w:sz w:val="18"/>
          <w:szCs w:val="18"/>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43"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Call Facility</w:t>
      </w:r>
      <w:r>
        <w:rPr>
          <w:rFonts w:ascii="Arial" w:cs="Arial" w:eastAsia="Arial" w:hAnsi="Arial"/>
          <w:sz w:val="16"/>
          <w:szCs w:val="16"/>
          <w:color w:val="auto"/>
        </w:rPr>
        <w:t>” means any limited recourse debt facility of the Borrower secured solely by the capital commitments of the equity holders thereof and assets related thereto (and not secured by any Portfolio Investments, Cash or other property, in each case that constitute Collateral hereunder or are included in the Borrowing Base hereunder), including the facility established by the Amended and Restated Revolving Credit Agreement between the Borrower, Deutsche Bank Trust Company Americas, as administrative agent, and the lenders named therein (or any extension, renewal or replacement thereof), existing on the date hereof or as amended or amended and restated from time to time.</w:t>
      </w:r>
    </w:p>
    <w:p>
      <w:pPr>
        <w:spacing w:after="0" w:line="102"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3" w:name="page44"/>
    <w:bookmarkEnd w:id="43"/>
    <w:p>
      <w:pPr>
        <w:ind w:right="20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any immediately available funds in Dollars or in any currency other than Dollars (measured in terms of the Dollar Equivalent thereof) which is a freely convertible currency.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in respect of a Letter of Credit or any obligation hereunder, to provide and pledge cash collateral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2.05(k)</w:t>
      </w:r>
      <w:r>
        <w:rPr>
          <w:rFonts w:ascii="Arial" w:cs="Arial" w:eastAsia="Arial" w:hAnsi="Arial"/>
          <w:sz w:val="16"/>
          <w:szCs w:val="16"/>
          <w:color w:val="auto"/>
        </w:rPr>
        <w:t>, at a location and pursuant to documentation in form and substance reasonably satisfactory to Administrative Agent and the Issuing Bank. “</w:t>
      </w:r>
      <w:r>
        <w:rPr>
          <w:rFonts w:ascii="Arial" w:cs="Arial" w:eastAsia="Arial" w:hAnsi="Arial"/>
          <w:sz w:val="16"/>
          <w:szCs w:val="16"/>
          <w:u w:val="single" w:color="auto"/>
          <w:color w:val="auto"/>
        </w:rPr>
        <w:t>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(other than Cash) that are one or more of the following obligations:</w:t>
      </w:r>
    </w:p>
    <w:p>
      <w:pPr>
        <w:spacing w:after="0" w:line="90" w:lineRule="exact"/>
        <w:rPr>
          <w:sz w:val="20"/>
          <w:szCs w:val="20"/>
          <w:color w:val="auto"/>
        </w:rPr>
      </w:pPr>
    </w:p>
    <w:p>
      <w:pPr>
        <w:ind w:left="1140" w:hanging="237"/>
        <w:spacing w:after="0"/>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U.S. Government Securities, in each case maturing within one year from the date of acquisition thereof;</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a credit rating of at least A-1 from S&amp;P and at least P-1 from Moody’s;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w:t>
      </w:r>
    </w:p>
    <w:p>
      <w:pPr>
        <w:spacing w:after="0" w:line="38" w:lineRule="exact"/>
        <w:rPr>
          <w:rFonts w:ascii="Arial" w:cs="Arial" w:eastAsia="Arial" w:hAnsi="Arial"/>
          <w:sz w:val="16"/>
          <w:szCs w:val="16"/>
          <w:color w:val="auto"/>
        </w:rPr>
      </w:pPr>
    </w:p>
    <w:p>
      <w:pPr>
        <w:ind w:left="460" w:right="60" w:firstLine="4"/>
        <w:spacing w:after="0" w:line="292" w:lineRule="auto"/>
        <w:tabs>
          <w:tab w:leader="none" w:pos="67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P-1 from Moody’s;</w:t>
      </w:r>
    </w:p>
    <w:p>
      <w:pPr>
        <w:spacing w:after="0" w:line="35" w:lineRule="exact"/>
        <w:rPr>
          <w:rFonts w:ascii="Arial" w:cs="Arial" w:eastAsia="Arial" w:hAnsi="Arial"/>
          <w:sz w:val="16"/>
          <w:szCs w:val="16"/>
          <w:color w:val="auto"/>
        </w:rPr>
      </w:pPr>
    </w:p>
    <w:p>
      <w:pPr>
        <w:ind w:left="460" w:right="40" w:firstLine="443"/>
        <w:spacing w:after="0" w:line="306" w:lineRule="auto"/>
        <w:tabs>
          <w:tab w:leader="none" w:pos="1147"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definition or (ii) an Approved Dealer having (or being a member of a consolidated group having) at such date of acquisition, a credit rating of at least A-1 from S&amp;P and at least P-1 from Moody’s; and</w:t>
      </w:r>
    </w:p>
    <w:p>
      <w:pPr>
        <w:spacing w:after="0" w:line="93"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4" w:name="page45"/>
    <w:bookmarkEnd w:id="44"/>
    <w:p>
      <w:pPr>
        <w:ind w:left="460" w:right="180" w:firstLine="443"/>
        <w:spacing w:after="0" w:line="332" w:lineRule="auto"/>
        <w:tabs>
          <w:tab w:leader="none" w:pos="1137"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investments in money market funds that invest solely, and which are restricted by their respective charters to invest solely, in investments of the type described in the immediately preceding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(including as to credit quality and maturity).</w:t>
      </w:r>
    </w:p>
    <w:p>
      <w:pPr>
        <w:spacing w:after="0" w:line="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or repurchase agreements)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1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External Manager ceases to be Controlled by (a) (I) David Bonderman or James Coulter and (II) Alan Waxman, or any of their successors or (b) an Affiliate of TPG Holdings II, L.P. (but, for the avoidance of doubt, excluding Controlled portfolio investment companies of TPG Holdings II, L.P.).</w:t>
      </w:r>
    </w:p>
    <w:p>
      <w:pPr>
        <w:spacing w:after="0" w:line="140"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w:t>
      </w:r>
    </w:p>
    <w:p>
      <w:pPr>
        <w:spacing w:after="0" w:line="2" w:lineRule="exact"/>
        <w:rPr>
          <w:sz w:val="20"/>
          <w:szCs w:val="20"/>
          <w:color w:val="auto"/>
        </w:rPr>
      </w:pPr>
    </w:p>
    <w:p>
      <w:pPr>
        <w:ind w:right="80" w:firstLine="8"/>
        <w:spacing w:after="0" w:line="252" w:lineRule="auto"/>
        <w:tabs>
          <w:tab w:leader="none" w:pos="2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47"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any Loan or Borrowing, refers to whether such Loan, or the Loans constituting such Borrowing, are Syndicated Dollar Loans, Syndicated Multicurrency Loans or Swingline Loans; when used in reference to any Lender, refers to whether such Lender is a Dollar Lender or a Multicurrency Lender; and, when used in reference to any Commitment, refers to whether such Commitment is a Dollar Commitment or a Multicurrency Commitment. The “</w:t>
      </w:r>
      <w:r>
        <w:rPr>
          <w:rFonts w:ascii="Arial" w:cs="Arial" w:eastAsia="Arial" w:hAnsi="Arial"/>
          <w:sz w:val="16"/>
          <w:szCs w:val="16"/>
          <w:u w:val="single" w:color="auto"/>
          <w:color w:val="auto"/>
        </w:rPr>
        <w:t>Class</w:t>
      </w:r>
      <w:r>
        <w:rPr>
          <w:rFonts w:ascii="Arial" w:cs="Arial" w:eastAsia="Arial" w:hAnsi="Arial"/>
          <w:sz w:val="16"/>
          <w:szCs w:val="16"/>
          <w:color w:val="auto"/>
        </w:rPr>
        <w:t>” of a Letter of Credit refers to whether such Letter of Credit is a Dollar Letter of Credit or a Multicurrency Letter of Credit.</w:t>
      </w:r>
    </w:p>
    <w:p>
      <w:pPr>
        <w:spacing w:after="0" w:line="99"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5" w:name="page46"/>
    <w:bookmarkEnd w:id="4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assigned to such term in the Guarantee and Security Agreement.</w:t>
      </w:r>
    </w:p>
    <w:p>
      <w:pPr>
        <w:spacing w:after="0" w:line="171"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SunTrust in its capacity as Collateral Agent under the Guarantee and Security Agreement, and includes any successor Collateral Agent thereunder.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the Dollar Commitments and the Multicurrency Commitments.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August 24, 2015, as such date may be extended upon the consent of each affected Lender.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171"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Debt Amount</w:t>
      </w:r>
      <w:r>
        <w:rPr>
          <w:rFonts w:ascii="Arial" w:cs="Arial" w:eastAsia="Arial" w:hAnsi="Arial"/>
          <w:sz w:val="18"/>
          <w:szCs w:val="18"/>
          <w:color w:val="auto"/>
        </w:rPr>
        <w:t xml:space="preserve">” means, on any date, the sum of (x) all of the Revolving Credit Exposures of all Lenders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aggregate amount of Other Covered Indebtedness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(z) the LC Exposures fully Cash Collateralized on such date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and the last paragraph of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Foreign Currency.</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32"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any Lender that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Issuing Bank, Swingline Lender or any Lender any other amount required to be paid by it hereunder (including in respect of its participation in Letters of Credit or Swingline Loans) within two Business Days of the date when due, (b) has notified the Borrower, the</w:t>
      </w:r>
    </w:p>
    <w:p>
      <w:pPr>
        <w:spacing w:after="0" w:line="107"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6" w:name="page47"/>
    <w:bookmarkEnd w:id="4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Administrative Agent,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or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shall be conclusive and binding absent manifest error, and such Lender shall be deemed to be a Defaulting Lender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upon such determination (and the Administrative Agent shall deliver written notice of such determination to the Borrower, each Issuing Bank and each Lender and the Swingline Lender).</w:t>
      </w:r>
    </w:p>
    <w:p>
      <w:pPr>
        <w:spacing w:after="0" w:line="13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Borrower with respect to (a) principal of and interest on the Loans and (b) accrued and unpaid fees under the Loan Documents.</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14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Commitment</w:t>
      </w:r>
      <w:r>
        <w:rPr>
          <w:rFonts w:ascii="Arial" w:cs="Arial" w:eastAsia="Arial" w:hAnsi="Arial"/>
          <w:sz w:val="18"/>
          <w:szCs w:val="18"/>
          <w:color w:val="auto"/>
        </w:rPr>
        <w:t>” means, with respect to each Dollar Lender, the commitment of such Dollar Lender to make Syndicated Loans, and to acquire participations in Letters of Credit and Swingline Loans, denominated in Dollars hereunder, expressed as an</w:t>
      </w:r>
    </w:p>
    <w:p>
      <w:pPr>
        <w:spacing w:after="0" w:line="118"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7" w:name="page48"/>
    <w:bookmarkEnd w:id="47"/>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amount representing the maximum aggregate amount of such Lender’s Revolving Dollar Credit Exposure hereunder, as such commitment may be (a) reduced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 pursuant to assignments by or to such Lender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The initial amount of each Lender’s Dollar Commitment is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or in the Assignment and Assumption pursuant to which such Lender shall have assumed its Dollar Commitment, as applicable. The initial aggregate amount of the Lenders’ Dollar Commitments is $0.</w:t>
      </w:r>
    </w:p>
    <w:p>
      <w:pPr>
        <w:spacing w:after="0" w:line="113" w:lineRule="exact"/>
        <w:rPr>
          <w:sz w:val="20"/>
          <w:szCs w:val="20"/>
          <w:color w:val="auto"/>
        </w:rPr>
      </w:pPr>
    </w:p>
    <w:p>
      <w:pPr>
        <w:jc w:val="both"/>
        <w:ind w:right="2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LC Exposure</w:t>
      </w:r>
      <w:r>
        <w:rPr>
          <w:rFonts w:ascii="Arial" w:cs="Arial" w:eastAsia="Arial" w:hAnsi="Arial"/>
          <w:sz w:val="16"/>
          <w:szCs w:val="16"/>
          <w:color w:val="auto"/>
        </w:rPr>
        <w:t xml:space="preserve">” means, at any time, the sum of (a) the aggregate undrawn amount of all outstanding Dollar Letters of Credit at such time </w:t>
      </w:r>
      <w:r>
        <w:rPr>
          <w:rFonts w:ascii="Arial" w:cs="Arial" w:eastAsia="Arial" w:hAnsi="Arial"/>
          <w:sz w:val="16"/>
          <w:szCs w:val="16"/>
          <w:u w:val="single" w:color="auto"/>
          <w:color w:val="auto"/>
        </w:rPr>
        <w:t>plus</w:t>
      </w:r>
    </w:p>
    <w:p>
      <w:pPr>
        <w:spacing w:after="0" w:line="38" w:lineRule="exact"/>
        <w:rPr>
          <w:sz w:val="20"/>
          <w:szCs w:val="20"/>
          <w:color w:val="auto"/>
        </w:rPr>
      </w:pPr>
    </w:p>
    <w:p>
      <w:pPr>
        <w:ind w:right="180" w:firstLine="8"/>
        <w:spacing w:after="0" w:line="323"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9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Lender</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Letters of Credit</w:t>
      </w:r>
      <w:r>
        <w:rPr>
          <w:rFonts w:ascii="Arial" w:cs="Arial" w:eastAsia="Arial" w:hAnsi="Arial"/>
          <w:sz w:val="18"/>
          <w:szCs w:val="18"/>
          <w:color w:val="auto"/>
        </w:rPr>
        <w:t>” means Letters of Credit that utilize the Dollar Commitments.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Loan</w:t>
      </w:r>
      <w:r>
        <w:rPr>
          <w:rFonts w:ascii="Arial" w:cs="Arial" w:eastAsia="Arial" w:hAnsi="Arial"/>
          <w:sz w:val="18"/>
          <w:szCs w:val="18"/>
          <w:color w:val="auto"/>
        </w:rPr>
        <w:t>” means a Loan denominated in Dollars.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means the date on which the conditions specified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194"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171"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8" w:name="page49"/>
    <w:bookmarkEnd w:id="48"/>
    <w:p>
      <w:pPr>
        <w:ind w:right="2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3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a single currency of the Participating Member States.</w:t>
      </w:r>
    </w:p>
    <w:p>
      <w:pPr>
        <w:spacing w:after="0" w:line="171"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constituting such Borrowing, are bearing interest at a rate determined by reference to the Adjusted LIBO Rate.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the Issuing Bank or any other recipient of any payment to be made by or on account of any obligation of the Borrower hereunder, (a) income, corporate, franchise or other similar taxes imposed on (or measured by) its net income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Borrower is located, (c) in the case of a Lender, any U.S. withholding tax imposed on amounts payable to such Lender (i) at the time such Lender (other than an assignee pursuant to a request by the Borrower under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16"/>
          <w:szCs w:val="16"/>
          <w:u w:val="single" w:color="auto"/>
          <w:color w:val="auto"/>
        </w:rPr>
        <w:t>Section 2.16(f)</w:t>
      </w:r>
      <w:r>
        <w:rPr>
          <w:rFonts w:ascii="Arial" w:cs="Arial" w:eastAsia="Arial" w:hAnsi="Arial"/>
          <w:sz w:val="16"/>
          <w:szCs w:val="16"/>
          <w:color w:val="auto"/>
        </w:rPr>
        <w:t>,</w:t>
      </w:r>
    </w:p>
    <w:p>
      <w:pPr>
        <w:spacing w:after="0" w:line="5" w:lineRule="exact"/>
        <w:rPr>
          <w:sz w:val="20"/>
          <w:szCs w:val="20"/>
          <w:color w:val="auto"/>
        </w:rPr>
      </w:pPr>
    </w:p>
    <w:p>
      <w:pPr>
        <w:ind w:firstLine="8"/>
        <w:spacing w:after="0" w:line="261"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U.S. federal, state or local backup withholding Taxes imposed on payments made under any Loan Document, and (e) any U.S. federal withholding tax that is imposed pursuant to FATCA.</w:t>
      </w:r>
    </w:p>
    <w:p>
      <w:pPr>
        <w:spacing w:after="0" w:line="124" w:lineRule="exact"/>
        <w:rPr>
          <w:sz w:val="20"/>
          <w:szCs w:val="20"/>
          <w:color w:val="auto"/>
        </w:rPr>
      </w:pPr>
    </w:p>
    <w:p>
      <w:pPr>
        <w:jc w:val="both"/>
        <w:ind w:left="5880"/>
        <w:spacing w:after="0"/>
        <w:tabs>
          <w:tab w:leader="none" w:pos="9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9" w:name="page50"/>
    <w:bookmarkEnd w:id="4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External Manager</w:t>
      </w:r>
      <w:r>
        <w:rPr>
          <w:rFonts w:ascii="Arial" w:cs="Arial" w:eastAsia="Arial" w:hAnsi="Arial"/>
          <w:sz w:val="18"/>
          <w:szCs w:val="18"/>
          <w:color w:val="auto"/>
        </w:rPr>
        <w:t>” means TSL Advisers, LLC.</w:t>
      </w:r>
    </w:p>
    <w:p>
      <w:pPr>
        <w:spacing w:after="0" w:line="171"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Extraordinary Receipts</w:t>
      </w:r>
      <w:r>
        <w:rPr>
          <w:rFonts w:ascii="Arial" w:cs="Arial" w:eastAsia="Arial" w:hAnsi="Arial"/>
          <w:sz w:val="16"/>
          <w:szCs w:val="16"/>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Extraordinary Receipts shall not include any (x) amounts that the Borrower receives from the Administrative Agent or any Lender pursuant to </w:t>
      </w:r>
      <w:r>
        <w:rPr>
          <w:rFonts w:ascii="Arial" w:cs="Arial" w:eastAsia="Arial" w:hAnsi="Arial"/>
          <w:sz w:val="16"/>
          <w:szCs w:val="16"/>
          <w:u w:val="single" w:color="auto"/>
          <w:color w:val="auto"/>
        </w:rPr>
        <w:t>Section 2.16(f)</w:t>
      </w:r>
      <w:r>
        <w:rPr>
          <w:rFonts w:ascii="Arial" w:cs="Arial" w:eastAsia="Arial" w:hAnsi="Arial"/>
          <w:sz w:val="16"/>
          <w:szCs w:val="16"/>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2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 1471 through 1474 of the Code, as of the date of this Agreement (or any amended or successor version that is substantively comparable and not materially more onerous to comply with) and any regulations or official interpretations thereof.</w:t>
      </w:r>
    </w:p>
    <w:p>
      <w:pPr>
        <w:spacing w:after="0" w:line="132"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August 23, 2016.</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an SPE Subsidiary or an SBIC Subsidiary.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at any time any Currency other than Dollars.</w:t>
      </w:r>
    </w:p>
    <w:p>
      <w:pPr>
        <w:spacing w:after="0" w:line="171"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Equivalent</w:t>
      </w:r>
      <w:r>
        <w:rPr>
          <w:rFonts w:ascii="Arial" w:cs="Arial" w:eastAsia="Arial" w:hAnsi="Arial"/>
          <w:sz w:val="18"/>
          <w:szCs w:val="18"/>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under Section 7701(a)(30) of the Code.</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0" w:name="page51"/>
    <w:bookmarkEnd w:id="50"/>
    <w:p>
      <w:pPr>
        <w:ind w:right="6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43"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171"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of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4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23" w:lineRule="exact"/>
        <w:rPr>
          <w:sz w:val="20"/>
          <w:szCs w:val="20"/>
          <w:color w:val="auto"/>
        </w:rPr>
      </w:pPr>
    </w:p>
    <w:p>
      <w:pPr>
        <w:jc w:val="both"/>
        <w:ind w:right="1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means that certain Guarantee and Security Agreement dated as of August 23, 2012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modified and supplemented and in effect from time to time.</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1" w:name="page52"/>
    <w:bookmarkEnd w:id="51"/>
    <w:p>
      <w:pPr>
        <w:ind w:right="2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Guarantee Assumption Agreement</w:t>
      </w:r>
      <w:r>
        <w:rPr>
          <w:rFonts w:ascii="Arial" w:cs="Arial" w:eastAsia="Arial" w:hAnsi="Arial"/>
          <w:sz w:val="16"/>
          <w:szCs w:val="16"/>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10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protection agreement, commodity price protection agreement or other interest or currency exchange rate or commodity price hedging arrangement.</w:t>
      </w:r>
    </w:p>
    <w:p>
      <w:pPr>
        <w:spacing w:after="0" w:line="132"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Subsidiaries</w:t>
      </w:r>
      <w:r>
        <w:rPr>
          <w:rFonts w:ascii="Arial" w:cs="Arial" w:eastAsia="Arial" w:hAnsi="Arial"/>
          <w:sz w:val="16"/>
          <w:szCs w:val="16"/>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2" w:name="page53"/>
    <w:bookmarkEnd w:id="5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w:t>
      </w:r>
      <w:r>
        <w:rPr>
          <w:rFonts w:ascii="Arial" w:cs="Arial" w:eastAsia="Arial" w:hAnsi="Arial"/>
          <w:sz w:val="18"/>
          <w:szCs w:val="18"/>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4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Classification Group</w:t>
      </w:r>
      <w:r>
        <w:rPr>
          <w:rFonts w:ascii="Arial" w:cs="Arial" w:eastAsia="Arial" w:hAnsi="Arial"/>
          <w:sz w:val="18"/>
          <w:szCs w:val="18"/>
          <w:color w:val="auto"/>
        </w:rPr>
        <w:t xml:space="preserve">” means (a) any of the classification groups set forth in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Election Request</w:t>
      </w:r>
      <w:r>
        <w:rPr>
          <w:rFonts w:ascii="Arial" w:cs="Arial" w:eastAsia="Arial" w:hAnsi="Arial"/>
          <w:sz w:val="16"/>
          <w:szCs w:val="16"/>
          <w:color w:val="auto"/>
        </w:rPr>
        <w:t xml:space="preserve">” means a request by the Borrower to convert or continue a Syndicated Borrowing in accordance with </w:t>
      </w:r>
      <w:r>
        <w:rPr>
          <w:rFonts w:ascii="Arial" w:cs="Arial" w:eastAsia="Arial" w:hAnsi="Arial"/>
          <w:sz w:val="16"/>
          <w:szCs w:val="16"/>
          <w:u w:val="single" w:color="auto"/>
          <w:color w:val="auto"/>
        </w:rPr>
        <w:t>Section 2.07</w:t>
      </w:r>
      <w:r>
        <w:rPr>
          <w:rFonts w:ascii="Arial" w:cs="Arial" w:eastAsia="Arial" w:hAnsi="Arial"/>
          <w:sz w:val="16"/>
          <w:szCs w:val="16"/>
          <w:color w:val="auto"/>
        </w:rPr>
        <w:t>.</w:t>
      </w:r>
    </w:p>
    <w:p>
      <w:pPr>
        <w:spacing w:after="0" w:line="19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4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Final Maturity Date, a period of less than one month’s duration commencing on the date of such Loan or Borrowing and ending on the Final Maturity Date, as specified in the applicable Borrowing Request or Interest Election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1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3" w:name="page54"/>
    <w:bookmarkEnd w:id="53"/>
    <w:p>
      <w:pPr>
        <w:ind w:right="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Investment</w:t>
      </w:r>
      <w:r>
        <w:rPr>
          <w:rFonts w:ascii="Arial" w:cs="Arial" w:eastAsia="Arial" w:hAnsi="Arial"/>
          <w:sz w:val="18"/>
          <w:szCs w:val="18"/>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171"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Policies</w:t>
      </w:r>
      <w:r>
        <w:rPr>
          <w:rFonts w:ascii="Arial" w:cs="Arial" w:eastAsia="Arial" w:hAnsi="Arial"/>
          <w:sz w:val="16"/>
          <w:szCs w:val="16"/>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SunTrust, in its capacity as the issuer of Letters of Credit hereunder, and its successors in such capacity as provided in </w:t>
      </w:r>
      <w:r>
        <w:rPr>
          <w:rFonts w:ascii="Arial" w:cs="Arial" w:eastAsia="Arial" w:hAnsi="Arial"/>
          <w:sz w:val="18"/>
          <w:szCs w:val="18"/>
          <w:u w:val="single" w:color="auto"/>
          <w:color w:val="auto"/>
        </w:rPr>
        <w:t>Section 2.05(j)</w:t>
      </w:r>
      <w:r>
        <w:rPr>
          <w:rFonts w:ascii="Arial" w:cs="Arial" w:eastAsia="Arial" w:hAnsi="Arial"/>
          <w:sz w:val="18"/>
          <w:szCs w:val="18"/>
          <w:color w:val="auto"/>
        </w:rPr>
        <w:t>. In the case of any Letter of Credit to be issued in an Agreed Foreign Currency, SunTrust may designate any of its affiliates as the “Issuing Bank” for purposes of such Letter of Credit.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Bank pursuant to a Letter of Credit.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Dollar LC Exposure and the Multicurrency LC Exposure.</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collectively, the Dollar Lenders and the Multicurrency Lenders. Unless the context otherwise requires, the term “Lenders” includes the Swingline Lender.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2.05(k)</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Documents</w:t>
      </w:r>
      <w:r>
        <w:rPr>
          <w:rFonts w:ascii="Arial" w:cs="Arial" w:eastAsia="Arial" w:hAnsi="Arial"/>
          <w:sz w:val="18"/>
          <w:szCs w:val="18"/>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4" w:name="page55"/>
    <w:bookmarkEnd w:id="54"/>
    <w:p>
      <w:pPr>
        <w:ind w:right="8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LIBO Rate</w:t>
      </w:r>
      <w:r>
        <w:rPr>
          <w:rFonts w:ascii="Arial" w:cs="Arial" w:eastAsia="Arial" w:hAnsi="Arial"/>
          <w:sz w:val="16"/>
          <w:szCs w:val="16"/>
          <w:color w:val="auto"/>
        </w:rPr>
        <w:t xml:space="preserve">” means, for any Interest Period, the British Bankers’ Association Interest Settlement Rate per annum for deposits in the relevant Currency for a period equal to the Interest Period as displayed in the Bloomberg Financial Markets System (or such other page on that service or such other service designated by the British Bankers’ Association for the display of such Association’s Interest Settlement Rates for deposits in the relevant Currency) as of 11:00 a.m., London time on the day that is two Business Days prior to the first day of the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Administrative Agent determines that the relevant foregoing sources are unavailable for the relevant Interest Period, LIBO Rate shall mean the rate of interest determined by the Administrative Agent to be the average (rounded upward, if necessary, to the nearest 1/100</w:t>
      </w:r>
      <w:r>
        <w:rPr>
          <w:rFonts w:ascii="Arial" w:cs="Arial" w:eastAsia="Arial" w:hAnsi="Arial"/>
          <w:sz w:val="10"/>
          <w:szCs w:val="10"/>
          <w:color w:val="auto"/>
        </w:rPr>
        <w:t>th</w:t>
      </w:r>
      <w:r>
        <w:rPr>
          <w:rFonts w:ascii="Arial" w:cs="Arial" w:eastAsia="Arial" w:hAnsi="Arial"/>
          <w:sz w:val="16"/>
          <w:szCs w:val="16"/>
          <w:color w:val="auto"/>
        </w:rPr>
        <w:t xml:space="preserve"> of 1%) of the rates per annum at which deposits in the relevant Currency are offered to the Administrative Agent two (2) business days preceding the first day of such Interest Period by four leading banks (selected by the Administrative Agent after consultation with the Borrower) in the London or other offshore interbank market for the relevant Currency as of 11:00 a.m. for delivery on the first day of such Interest Period, for the number of days comprised therein and in an amount comparable to the amount of the Administrative Agent’s portion of the relevant Eurocurrency Borrowing.</w:t>
      </w:r>
    </w:p>
    <w:p>
      <w:pPr>
        <w:spacing w:after="0" w:line="123"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Letter of Credit Documents and the Security Documents.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3.04(b)</w:t>
      </w:r>
      <w:r>
        <w:rPr>
          <w:rFonts w:ascii="Arial" w:cs="Arial" w:eastAsia="Arial" w:hAnsi="Arial"/>
          <w:sz w:val="18"/>
          <w:szCs w:val="18"/>
          <w:color w:val="auto"/>
        </w:rPr>
        <w:t>.</w:t>
      </w:r>
    </w:p>
    <w:p>
      <w:pPr>
        <w:spacing w:after="0" w:line="171" w:lineRule="exact"/>
        <w:rPr>
          <w:sz w:val="20"/>
          <w:szCs w:val="20"/>
          <w:color w:val="auto"/>
        </w:rPr>
      </w:pPr>
    </w:p>
    <w:p>
      <w:pPr>
        <w:ind w:right="30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9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5" w:name="page56"/>
    <w:bookmarkEnd w:id="55"/>
    <w:p>
      <w:pPr>
        <w:ind w:right="12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 Indebtedness (other than the Loans, Letters of Credit and Hedging Agreements), of any one or more of the Borrower and its Subsidiaries in an aggregate principal amount exceeding $10,000,000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$10,000,000.</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with respect to Cash Collateral consisting of Cash or deposit account balances, an amount equal to 100% of the Fronting Exposure of Issuing Bank with respect to Letters of Credit issued and outstanding at such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thereto.</w:t>
      </w:r>
    </w:p>
    <w:p>
      <w:pPr>
        <w:spacing w:after="0" w:line="171"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xml:space="preserve">” means, with respect to each Multicurrency Lender, the commitment of such Multicurrency Lender to make Syndicated Loans, and to acquire 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from time to time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and (b) reduced or increased from time to time pursuant to assignments by or to such Lender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initial amount of each Lender’s Multicurrency Commitment is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or in the Assignment and Assumption pursuant to which such Lender shall have assumed its Multicurrency commitment, as applicable. The initial aggregate amount of the Lenders’ Multicurrency Commitments is $200,000,000.</w:t>
      </w:r>
    </w:p>
    <w:p>
      <w:pPr>
        <w:spacing w:after="0" w:line="14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Exposure</w:t>
      </w:r>
      <w:r>
        <w:rPr>
          <w:rFonts w:ascii="Arial" w:cs="Arial" w:eastAsia="Arial" w:hAnsi="Arial"/>
          <w:sz w:val="18"/>
          <w:szCs w:val="18"/>
          <w:color w:val="auto"/>
        </w:rPr>
        <w:t xml:space="preserve">” means, at any time, the sum of (a) the aggregate undrawn amount of all outstanding Multicurrency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43"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Lender</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means Letters of Credit that utilize the Multicurrency Commitments.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w:t>
      </w:r>
      <w:r>
        <w:rPr>
          <w:rFonts w:ascii="Arial" w:cs="Arial" w:eastAsia="Arial" w:hAnsi="Arial"/>
          <w:sz w:val="18"/>
          <w:szCs w:val="18"/>
          <w:color w:val="auto"/>
        </w:rPr>
        <w:t>” means a Loan denominated in Dollars or an Agreed Foreign Currency.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6" w:name="page57"/>
    <w:bookmarkEnd w:id="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National Currency</w:t>
      </w:r>
      <w:r>
        <w:rPr>
          <w:rFonts w:ascii="Arial" w:cs="Arial" w:eastAsia="Arial" w:hAnsi="Arial"/>
          <w:sz w:val="18"/>
          <w:szCs w:val="18"/>
          <w:color w:val="auto"/>
        </w:rPr>
        <w:t>” means the currency, other than the Euro, of a Participating Member State.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171" w:lineRule="exact"/>
        <w:rPr>
          <w:sz w:val="20"/>
          <w:szCs w:val="20"/>
          <w:color w:val="auto"/>
        </w:rPr>
      </w:pPr>
    </w:p>
    <w:p>
      <w:pPr>
        <w:ind w:right="20" w:firstLine="921"/>
        <w:spacing w:after="0" w:line="302" w:lineRule="auto"/>
        <w:tabs>
          <w:tab w:leader="none" w:pos="1152" w:val="left"/>
        </w:tabs>
        <w:numPr>
          <w:ilvl w:val="1"/>
          <w:numId w:val="29"/>
        </w:numPr>
        <w:rPr>
          <w:rFonts w:ascii="Arial" w:cs="Arial" w:eastAsia="Arial" w:hAnsi="Arial"/>
          <w:sz w:val="15"/>
          <w:szCs w:val="15"/>
          <w:color w:val="auto"/>
        </w:rPr>
      </w:pPr>
      <w:r>
        <w:rPr>
          <w:rFonts w:ascii="Arial" w:cs="Arial" w:eastAsia="Arial" w:hAnsi="Arial"/>
          <w:sz w:val="15"/>
          <w:szCs w:val="15"/>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5"/>
          <w:szCs w:val="15"/>
          <w:u w:val="single" w:color="auto"/>
          <w:color w:val="auto"/>
        </w:rPr>
        <w:t>Section 2.10(d)</w:t>
      </w:r>
      <w:r>
        <w:rPr>
          <w:rFonts w:ascii="Arial" w:cs="Arial" w:eastAsia="Arial" w:hAnsi="Arial"/>
          <w:sz w:val="15"/>
          <w:szCs w:val="15"/>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5"/>
          <w:szCs w:val="15"/>
          <w:u w:val="single" w:color="auto"/>
          <w:color w:val="auto"/>
        </w:rPr>
        <w:t>minus</w:t>
      </w:r>
    </w:p>
    <w:p>
      <w:pPr>
        <w:spacing w:after="0" w:line="2" w:lineRule="exact"/>
        <w:rPr>
          <w:rFonts w:ascii="Arial" w:cs="Arial" w:eastAsia="Arial" w:hAnsi="Arial"/>
          <w:sz w:val="15"/>
          <w:szCs w:val="15"/>
          <w:color w:val="auto"/>
        </w:rPr>
      </w:pPr>
    </w:p>
    <w:p>
      <w:pPr>
        <w:ind w:right="220" w:firstLine="8"/>
        <w:spacing w:after="0" w:line="288"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22" w:lineRule="exact"/>
        <w:rPr>
          <w:rFonts w:ascii="Arial" w:cs="Arial" w:eastAsia="Arial" w:hAnsi="Arial"/>
          <w:sz w:val="16"/>
          <w:szCs w:val="16"/>
          <w:color w:val="auto"/>
        </w:rPr>
      </w:pPr>
    </w:p>
    <w:p>
      <w:pPr>
        <w:ind w:right="40" w:firstLine="921"/>
        <w:spacing w:after="0" w:line="302" w:lineRule="auto"/>
        <w:tabs>
          <w:tab w:leader="none" w:pos="1162" w:val="left"/>
        </w:tabs>
        <w:numPr>
          <w:ilvl w:val="1"/>
          <w:numId w:val="30"/>
        </w:numPr>
        <w:rPr>
          <w:rFonts w:ascii="Arial" w:cs="Arial" w:eastAsia="Arial" w:hAnsi="Arial"/>
          <w:sz w:val="15"/>
          <w:szCs w:val="15"/>
          <w:color w:val="auto"/>
        </w:rPr>
      </w:pPr>
      <w:r>
        <w:rPr>
          <w:rFonts w:ascii="Arial" w:cs="Arial" w:eastAsia="Arial" w:hAnsi="Arial"/>
          <w:sz w:val="15"/>
          <w:szCs w:val="15"/>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5"/>
          <w:szCs w:val="15"/>
          <w:u w:val="single" w:color="auto"/>
          <w:color w:val="auto"/>
        </w:rPr>
        <w:t>Section 2.10(d)</w:t>
      </w:r>
      <w:r>
        <w:rPr>
          <w:rFonts w:ascii="Arial" w:cs="Arial" w:eastAsia="Arial" w:hAnsi="Arial"/>
          <w:sz w:val="15"/>
          <w:szCs w:val="15"/>
          <w:color w:val="auto"/>
        </w:rPr>
        <w:t>), an amount equal to</w:t>
      </w:r>
    </w:p>
    <w:p>
      <w:pPr>
        <w:spacing w:after="0" w:line="1" w:lineRule="exact"/>
        <w:rPr>
          <w:rFonts w:ascii="Arial" w:cs="Arial" w:eastAsia="Arial" w:hAnsi="Arial"/>
          <w:sz w:val="15"/>
          <w:szCs w:val="15"/>
          <w:color w:val="auto"/>
        </w:rPr>
      </w:pPr>
    </w:p>
    <w:p>
      <w:pPr>
        <w:ind w:right="500" w:firstLine="8"/>
        <w:spacing w:after="0" w:line="302" w:lineRule="auto"/>
        <w:tabs>
          <w:tab w:leader="none" w:pos="2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sum of the cash and Cash Equivalents received in connection with such transaction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(1) reasonable out-of-pocket fees, costs and expenses, incurred by the Borrower or such Subsidiary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any reasonable costs, fees, commissions, premiums, expenses, or underwriting discounts or commissions incurred by the Borrower or any of its Subsidiaries in connection with such sale or issuance.</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 at such time.</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means material non-public information (within the meaning of United States federal, state or other applicable securities laws) with respect to Borrower or its Affiliates or their Securities.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collectively, the Borrower and the Subsidiary Guarantors.</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7" w:name="page58"/>
    <w:bookmarkEnd w:id="5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Covered Indebtedness</w:t>
      </w:r>
      <w:r>
        <w:rPr>
          <w:rFonts w:ascii="Arial" w:cs="Arial" w:eastAsia="Arial" w:hAnsi="Arial"/>
          <w:sz w:val="18"/>
          <w:szCs w:val="18"/>
          <w:color w:val="auto"/>
        </w:rPr>
        <w:t xml:space="preserve">” means, collectively, Secured Longer-Term Indebtedness, Secured Shorter-Term Indebtedness and Unsecured Shorter-Term Indebtedness; provided that “Other Covered Indebtedness” shall not include (a) any Indebtedness under any Capital Call Facility or (b) any Indebtedness secured by a Lien on Portfolio Investments permitted under </w:t>
      </w:r>
      <w:r>
        <w:rPr>
          <w:rFonts w:ascii="Arial" w:cs="Arial" w:eastAsia="Arial" w:hAnsi="Arial"/>
          <w:sz w:val="18"/>
          <w:szCs w:val="18"/>
          <w:u w:val="single" w:color="auto"/>
          <w:color w:val="auto"/>
        </w:rPr>
        <w:t>Section 6.02(e)</w:t>
      </w:r>
      <w:r>
        <w:rPr>
          <w:rFonts w:ascii="Arial" w:cs="Arial" w:eastAsia="Arial" w:hAnsi="Arial"/>
          <w:sz w:val="18"/>
          <w:szCs w:val="18"/>
          <w:color w:val="auto"/>
        </w:rPr>
        <w:t>.</w:t>
      </w:r>
    </w:p>
    <w:p>
      <w:pPr>
        <w:spacing w:after="0" w:line="140"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Permitted Indebtedness</w:t>
      </w:r>
      <w:r>
        <w:rPr>
          <w:rFonts w:ascii="Arial" w:cs="Arial" w:eastAsia="Arial" w:hAnsi="Arial"/>
          <w:sz w:val="16"/>
          <w:szCs w:val="16"/>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purchasing of securities,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16"/>
          <w:szCs w:val="16"/>
          <w:u w:val="single" w:color="auto"/>
          <w:color w:val="auto"/>
        </w:rPr>
        <w:t>clause (l)</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18"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any such taxes, charges or similar levies resulting from an assignment by any Lender in accordance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hereof (unless such assignment is made pursuant to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14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Company</w:t>
      </w:r>
      <w:r>
        <w:rPr>
          <w:rFonts w:ascii="Arial" w:cs="Arial" w:eastAsia="Arial" w:hAnsi="Arial"/>
          <w:sz w:val="18"/>
          <w:szCs w:val="18"/>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Community that adopts or has adopted the Euro as its lawful currency in accordance with the legislation of the European Union relating to the European Monetary Union.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194"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Liens incurred in the ordinary course of business, provided that such Liens (i) attach only to the securities (or proceeds) being purchased or sold and</w:t>
      </w:r>
    </w:p>
    <w:p>
      <w:pPr>
        <w:spacing w:after="0" w:line="38" w:lineRule="exact"/>
        <w:rPr>
          <w:sz w:val="20"/>
          <w:szCs w:val="20"/>
          <w:color w:val="auto"/>
        </w:rPr>
      </w:pPr>
    </w:p>
    <w:p>
      <w:pPr>
        <w:ind w:firstLine="8"/>
        <w:spacing w:after="0" w:line="284" w:lineRule="auto"/>
        <w:tabs>
          <w:tab w:leader="none" w:pos="258"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6"/>
          <w:szCs w:val="16"/>
          <w:u w:val="single" w:color="auto"/>
          <w:color w:val="auto"/>
        </w:rPr>
        <w:t>clause (l)</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and (i) deposits of money securing leases to which Borrower is a party as lessee made in the ordinary course of business. For the avoidance of doubt, no Liens securing any Capital Call Facility or the facility of any Financing Subsidiary shall be a Permitted Lien hereunder.</w:t>
      </w:r>
    </w:p>
    <w:p>
      <w:pPr>
        <w:spacing w:after="0" w:line="346"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Policy Amendment</w:t>
      </w:r>
      <w:r>
        <w:rPr>
          <w:rFonts w:ascii="Arial" w:cs="Arial" w:eastAsia="Arial" w:hAnsi="Arial"/>
          <w:sz w:val="18"/>
          <w:szCs w:val="18"/>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43"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SBIC Guarantee</w:t>
      </w:r>
      <w:r>
        <w:rPr>
          <w:rFonts w:ascii="Arial" w:cs="Arial" w:eastAsia="Arial" w:hAnsi="Arial"/>
          <w:sz w:val="18"/>
          <w:szCs w:val="18"/>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Arial" w:cs="Arial" w:eastAsia="Arial" w:hAnsi="Arial"/>
          <w:sz w:val="18"/>
          <w:szCs w:val="18"/>
          <w:u w:val="single" w:color="auto"/>
          <w:color w:val="auto"/>
        </w:rPr>
        <w:t>clause (s)</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 it shall be an Event of Default hereunder if any such event or condition giving rise to such recourse occurs).</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9" w:name="page60"/>
    <w:bookmarkEnd w:id="59"/>
    <w:p>
      <w:pPr>
        <w:ind w:right="3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PFPC</w:t>
      </w:r>
      <w:r>
        <w:rPr>
          <w:rFonts w:ascii="Arial" w:cs="Arial" w:eastAsia="Arial" w:hAnsi="Arial"/>
          <w:sz w:val="18"/>
          <w:szCs w:val="18"/>
          <w:color w:val="auto"/>
        </w:rPr>
        <w:t>” means PFPC Trust Company.</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means has the meaning set forth in </w:t>
      </w:r>
      <w:r>
        <w:rPr>
          <w:rFonts w:ascii="Arial" w:cs="Arial" w:eastAsia="Arial" w:hAnsi="Arial"/>
          <w:sz w:val="18"/>
          <w:szCs w:val="18"/>
          <w:u w:val="single" w:color="auto"/>
          <w:color w:val="auto"/>
        </w:rPr>
        <w:t>Section 5.01(i)</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Portfolio Investment</w:t>
      </w:r>
      <w:r>
        <w:rPr>
          <w:rFonts w:ascii="Arial" w:cs="Arial" w:eastAsia="Arial" w:hAnsi="Arial"/>
          <w:sz w:val="15"/>
          <w:szCs w:val="15"/>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w:t>
      </w:r>
    </w:p>
    <w:p>
      <w:pPr>
        <w:spacing w:after="0" w:line="2" w:lineRule="exact"/>
        <w:rPr>
          <w:sz w:val="20"/>
          <w:szCs w:val="20"/>
          <w:color w:val="auto"/>
        </w:rPr>
      </w:pPr>
    </w:p>
    <w:p>
      <w:pPr>
        <w:jc w:val="both"/>
        <w:ind w:right="60" w:firstLine="8"/>
        <w:spacing w:after="0" w:line="254"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Investment, which if debt, is an obligation (other than a revolving loan or delayed draw term loan) pursuant to which any future advances or payments to the Obligor may be required to be made by the Borrower; (e) any Investment which is made to a bankrupt entity (other than a debtor-in-possession financing and current pay obligations); and (f) any Investment, Cash or account in which a Financing Subsidiary has an interest or the lenders under a Capital Call Facility have a Lien.</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the rate which is quoted in the print edition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Money Rates Section.</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Center</w:t>
      </w:r>
      <w:r>
        <w:rPr>
          <w:rFonts w:ascii="Arial" w:cs="Arial" w:eastAsia="Arial" w:hAnsi="Arial"/>
          <w:sz w:val="18"/>
          <w:szCs w:val="18"/>
          <w:color w:val="auto"/>
        </w:rPr>
        <w:t>” means, in the case of any Currency, the principal financial center where such Currency is cleared and settled, as determined by the Administrative Agent.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Lender</w:t>
      </w:r>
      <w:r>
        <w:rPr>
          <w:rFonts w:ascii="Arial" w:cs="Arial" w:eastAsia="Arial" w:hAnsi="Arial"/>
          <w:sz w:val="16"/>
          <w:szCs w:val="16"/>
          <w:color w:val="auto"/>
        </w:rPr>
        <w:t>” means Lenders that do not wish to receive Non-Public Information with respect to the Borrower or any of its Subsidiaries or their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Quarterly Dates</w:t>
      </w:r>
      <w:r>
        <w:rPr>
          <w:rFonts w:ascii="Arial" w:cs="Arial" w:eastAsia="Arial" w:hAnsi="Arial"/>
          <w:sz w:val="16"/>
          <w:szCs w:val="16"/>
          <w:color w:val="auto"/>
        </w:rPr>
        <w:t>” means the last Business Day of March, June, September and December in each year, commencing on September 30, 2012.</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Quoted Investments</w:t>
      </w:r>
      <w:r>
        <w:rPr>
          <w:rFonts w:ascii="Arial" w:cs="Arial" w:eastAsia="Arial" w:hAnsi="Arial"/>
          <w:sz w:val="18"/>
          <w:szCs w:val="18"/>
          <w:color w:val="auto"/>
        </w:rPr>
        <w:t xml:space="preserve">” means a Portfolio Investment with a value assigned by the Borrower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filed by the Borrower with the Securities and Exchange Commission on March 14, 2011.</w:t>
      </w:r>
    </w:p>
    <w:p>
      <w:pPr>
        <w:spacing w:after="0" w:line="18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0" w:name="page61"/>
    <w:bookmarkEnd w:id="60"/>
    <w:p>
      <w:pPr>
        <w:ind w:right="4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Regulations D, T, U and X</w:t>
      </w:r>
      <w:r>
        <w:rPr>
          <w:rFonts w:ascii="Arial" w:cs="Arial" w:eastAsia="Arial" w:hAnsi="Arial"/>
          <w:sz w:val="18"/>
          <w:szCs w:val="18"/>
          <w:color w:val="auto"/>
        </w:rPr>
        <w:t>” means, respectively, Regulations D, T, U and X of the Board of Governors of the Federal Reserve System (or any successor), as the same may be modified and supplemented and in effect from time to time.</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employees, agents and advisors of such Person and such Person’s Affiliates.</w:t>
      </w:r>
    </w:p>
    <w:p>
      <w:pPr>
        <w:spacing w:after="0" w:line="126" w:lineRule="exact"/>
        <w:rPr>
          <w:sz w:val="20"/>
          <w:szCs w:val="20"/>
          <w:color w:val="auto"/>
        </w:rPr>
      </w:pPr>
    </w:p>
    <w:p>
      <w:pPr>
        <w:ind w:right="540" w:firstLine="913"/>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Relevant Available Funds</w:t>
      </w:r>
      <w:r>
        <w:rPr>
          <w:rFonts w:ascii="Arial" w:cs="Arial" w:eastAsia="Arial" w:hAnsi="Arial"/>
          <w:sz w:val="18"/>
          <w:szCs w:val="18"/>
          <w:color w:val="auto"/>
        </w:rPr>
        <w:t>” means the sum (without duplication) of (a) the aggregate undrawn capital commitments of the Borrower’s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holders to the Borrower,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available to be drawn under any committed facilities, including, for the avoidance of doubt, this Agreement, for which all applicable conditions to availability could be satisfied at such time.</w:t>
      </w:r>
    </w:p>
    <w:p>
      <w:pPr>
        <w:spacing w:after="0" w:line="138"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w:t>
      </w:r>
    </w:p>
    <w:p>
      <w:pPr>
        <w:spacing w:after="0" w:line="116"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44" w:lineRule="exact"/>
        <w:rPr>
          <w:sz w:val="20"/>
          <w:szCs w:val="20"/>
          <w:color w:val="auto"/>
        </w:rPr>
      </w:pPr>
    </w:p>
    <w:p>
      <w:pPr>
        <w:ind w:right="10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 of Capital</w:t>
      </w:r>
      <w:r>
        <w:rPr>
          <w:rFonts w:ascii="Arial" w:cs="Arial" w:eastAsia="Arial" w:hAnsi="Arial"/>
          <w:sz w:val="16"/>
          <w:szCs w:val="16"/>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net of any fees, costs, expenses and taxes payable with respect thereto).</w:t>
      </w:r>
    </w:p>
    <w:p>
      <w:pPr>
        <w:spacing w:after="0" w:line="15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1" w:name="page62"/>
    <w:bookmarkEnd w:id="61"/>
    <w:p>
      <w:pPr>
        <w:ind w:right="7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Dollar Credit Exposure and Revolving Multicurrency Credit Exposure at such time.</w:t>
      </w:r>
    </w:p>
    <w:p>
      <w:pPr>
        <w:spacing w:after="0" w:line="132"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Dollar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85"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Multicurrency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8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means, as of any date of determination, the result, expressed as a percentage, of the Revolving Credit Exposure on such date divided by the aggregate outstanding Covered Debt Amount on such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under the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division of The McGraw Hill Companies, Inc., a New York corporation, or any successor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w:t>
      </w:r>
      <w:r>
        <w:rPr>
          <w:rFonts w:ascii="Arial" w:cs="Arial" w:eastAsia="Arial" w:hAnsi="Arial"/>
          <w:sz w:val="18"/>
          <w:szCs w:val="18"/>
          <w:color w:val="auto"/>
        </w:rPr>
        <w:t>” means the United States Small Business Administration.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SBIC Equity Commitment</w:t>
      </w:r>
      <w:r>
        <w:rPr>
          <w:rFonts w:ascii="Arial" w:cs="Arial" w:eastAsia="Arial" w:hAnsi="Arial"/>
          <w:sz w:val="18"/>
          <w:szCs w:val="18"/>
          <w:color w:val="auto"/>
        </w:rPr>
        <w:t>” means a commitment by the Borrower to make one or more capital contributions to an SBIC Subsidiary.</w:t>
      </w:r>
    </w:p>
    <w:p>
      <w:pPr>
        <w:spacing w:after="0" w:line="17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SBIC Subsidiary</w:t>
      </w:r>
      <w:r>
        <w:rPr>
          <w:rFonts w:ascii="Arial" w:cs="Arial" w:eastAsia="Arial" w:hAnsi="Arial"/>
          <w:sz w:val="16"/>
          <w:szCs w:val="16"/>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14"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2" w:name="page63"/>
    <w:bookmarkEnd w:id="62"/>
    <w:p>
      <w:pPr>
        <w:ind w:right="3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Secured Debt Amount</w:t>
      </w:r>
      <w:r>
        <w:rPr>
          <w:rFonts w:ascii="Arial" w:cs="Arial" w:eastAsia="Arial" w:hAnsi="Arial"/>
          <w:sz w:val="18"/>
          <w:szCs w:val="18"/>
          <w:color w:val="auto"/>
        </w:rPr>
        <w:t>” means, on any date, the aggregate amount of all Secured Longer-Term Indebtedness and Secured Shorter-Term Indebtedness on such date (other than the obligations owed under (a) the Loan Documents, including the Revolving Credit Exposure, and (b) any Capital Call Facility).</w:t>
      </w:r>
    </w:p>
    <w:p>
      <w:pPr>
        <w:spacing w:after="0" w:line="140" w:lineRule="exact"/>
        <w:rPr>
          <w:sz w:val="20"/>
          <w:szCs w:val="20"/>
          <w:color w:val="auto"/>
        </w:rPr>
      </w:pPr>
    </w:p>
    <w:p>
      <w:pPr>
        <w:ind w:right="14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Longer-Term Indebtedness</w:t>
      </w:r>
      <w:r>
        <w:rPr>
          <w:rFonts w:ascii="Arial" w:cs="Arial" w:eastAsia="Arial" w:hAnsi="Arial"/>
          <w:sz w:val="16"/>
          <w:szCs w:val="16"/>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Final Maturity Date (it being understood that none of: (w) the conversion features under convertible notes; (x) the triggering and/or settlement thereof; or (y) any cash payment made in respect thereof ,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have either executed</w:t>
      </w:r>
    </w:p>
    <w:p>
      <w:pPr>
        <w:spacing w:after="0" w:line="1" w:lineRule="exact"/>
        <w:rPr>
          <w:sz w:val="20"/>
          <w:szCs w:val="20"/>
          <w:color w:val="auto"/>
        </w:rPr>
      </w:pPr>
    </w:p>
    <w:p>
      <w:pPr>
        <w:ind w:firstLine="8"/>
        <w:spacing w:after="0" w:line="295" w:lineRule="auto"/>
        <w:tabs>
          <w:tab w:leader="none" w:pos="21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 “Secured Longer-Term Indebtedness” shall not include any Indebtedness under any Capital Call Facility.</w:t>
      </w:r>
    </w:p>
    <w:p>
      <w:pPr>
        <w:spacing w:after="0" w:line="115"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Shorter-Term Indebtedness</w:t>
      </w:r>
      <w:r>
        <w:rPr>
          <w:rFonts w:ascii="Arial" w:cs="Arial" w:eastAsia="Arial" w:hAnsi="Arial"/>
          <w:sz w:val="16"/>
          <w:szCs w:val="16"/>
          <w:color w:val="auto"/>
        </w:rPr>
        <w:t>”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have either executed (i) a joinder agreement to the Guarantee and Security Agreement or</w:t>
      </w:r>
    </w:p>
    <w:p>
      <w:pPr>
        <w:spacing w:after="0" w:line="1" w:lineRule="exact"/>
        <w:rPr>
          <w:sz w:val="20"/>
          <w:szCs w:val="20"/>
          <w:color w:val="auto"/>
        </w:rPr>
      </w:pPr>
    </w:p>
    <w:p>
      <w:pPr>
        <w:ind w:right="40" w:firstLine="8"/>
        <w:spacing w:after="0" w:line="320" w:lineRule="auto"/>
        <w:tabs>
          <w:tab w:leader="none" w:pos="258"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such other document or agreement, in a form reasonably satisfactory to the Administrative Agent and the Collateral Agent, pursuant to which the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Arial" w:cs="Arial" w:eastAsia="Arial" w:hAnsi="Arial"/>
          <w:sz w:val="15"/>
          <w:szCs w:val="15"/>
          <w:u w:val="single" w:color="auto"/>
          <w:color w:val="auto"/>
        </w:rPr>
        <w:t>Section 6.11(a)</w:t>
      </w:r>
      <w:r>
        <w:rPr>
          <w:rFonts w:ascii="Arial" w:cs="Arial" w:eastAsia="Arial" w:hAnsi="Arial"/>
          <w:sz w:val="15"/>
          <w:szCs w:val="15"/>
          <w:color w:val="auto"/>
        </w:rPr>
        <w:t>. “Secured Shorter-Term Indebtedness” shall not include any Indebtedness under any Capital Call Facility.</w:t>
      </w:r>
    </w:p>
    <w:p>
      <w:pPr>
        <w:spacing w:after="0" w:line="10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2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3" w:name="page64"/>
    <w:bookmarkEnd w:id="63"/>
    <w:p>
      <w:pPr>
        <w:ind w:right="5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at any date, the amount determined on a consolidated basis, without duplication, in accordance with GAAP, of shareholders equity for the Borrower and its Subsidiaries at such date.</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 Subsidiary</w:t>
      </w:r>
      <w:r>
        <w:rPr>
          <w:rFonts w:ascii="Arial" w:cs="Arial" w:eastAsia="Arial" w:hAnsi="Arial"/>
          <w:sz w:val="18"/>
          <w:szCs w:val="18"/>
          <w:color w:val="auto"/>
        </w:rPr>
        <w:t>” means a direct or indirect Subsidiary of the Borrower to which any Obligor sells, conveys or otherwise transfers (whether directly or indirectly) Portfolio Investments, which engages in no material activities other than in connection with the purchase or financing of such assets and which is designated by the Borrower (as provided below) as an SPE Subsidiary:</w:t>
      </w:r>
    </w:p>
    <w:p>
      <w:pPr>
        <w:spacing w:after="0" w:line="140" w:lineRule="exact"/>
        <w:rPr>
          <w:sz w:val="20"/>
          <w:szCs w:val="20"/>
          <w:color w:val="auto"/>
        </w:rPr>
      </w:pPr>
    </w:p>
    <w:p>
      <w:pPr>
        <w:ind w:right="260" w:firstLine="921"/>
        <w:spacing w:after="0" w:line="256"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43" w:lineRule="exact"/>
        <w:rPr>
          <w:rFonts w:ascii="Arial" w:cs="Arial" w:eastAsia="Arial" w:hAnsi="Arial"/>
          <w:sz w:val="18"/>
          <w:szCs w:val="18"/>
          <w:color w:val="auto"/>
        </w:rPr>
      </w:pPr>
    </w:p>
    <w:p>
      <w:pPr>
        <w:ind w:right="60" w:firstLine="921"/>
        <w:spacing w:after="0" w:line="259"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which no Obligor has any material contract, agreement, arrangement or understanding other than on terms no less favorable to such Obligor than those that might be obtained at the time from Persons that are not Affiliates of any Obligor, other than fees payable in the ordinary course of business in connection with servicing receivables, and</w:t>
      </w:r>
    </w:p>
    <w:p>
      <w:pPr>
        <w:spacing w:after="0" w:line="140" w:lineRule="exact"/>
        <w:rPr>
          <w:rFonts w:ascii="Arial" w:cs="Arial" w:eastAsia="Arial" w:hAnsi="Arial"/>
          <w:sz w:val="18"/>
          <w:szCs w:val="18"/>
          <w:color w:val="auto"/>
        </w:rPr>
      </w:pPr>
    </w:p>
    <w:p>
      <w:pPr>
        <w:ind w:right="200" w:firstLine="921"/>
        <w:spacing w:after="0" w:line="268"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which no Obligor has any obligation to maintain or preserve such entity’s financial condition or cause such entity to achieve certain levels of operating results.</w:t>
      </w:r>
    </w:p>
    <w:p>
      <w:pPr>
        <w:spacing w:after="0" w:line="132"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Equity Interest</w:t>
      </w:r>
      <w:r>
        <w:rPr>
          <w:rFonts w:ascii="Arial" w:cs="Arial" w:eastAsia="Arial" w:hAnsi="Arial"/>
          <w:sz w:val="16"/>
          <w:szCs w:val="16"/>
          <w:color w:val="auto"/>
        </w:rPr>
        <w:t xml:space="preserve">” means any Equity Interest that is subject to a Lien in favor of creditors of the issuer of such Equity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8" w:lineRule="exact"/>
        <w:rPr>
          <w:sz w:val="20"/>
          <w:szCs w:val="20"/>
          <w:color w:val="auto"/>
        </w:rPr>
      </w:pPr>
    </w:p>
    <w:p>
      <w:pPr>
        <w:ind w:right="240" w:firstLine="8"/>
        <w:spacing w:after="0" w:line="254" w:lineRule="auto"/>
        <w:tabs>
          <w:tab w:leader="none" w:pos="2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44"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2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4" w:name="page65"/>
    <w:bookmarkEnd w:id="64"/>
    <w:p>
      <w:pPr>
        <w:ind w:firstLine="913"/>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5"/>
          <w:szCs w:val="15"/>
          <w:u w:val="single" w:color="auto"/>
          <w:color w:val="auto"/>
        </w:rPr>
        <w:t>Statutory Reserve Rate</w:t>
      </w:r>
      <w:r>
        <w:rPr>
          <w:rFonts w:ascii="Arial" w:cs="Arial" w:eastAsia="Arial" w:hAnsi="Arial"/>
          <w:sz w:val="15"/>
          <w:szCs w:val="15"/>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05"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2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any Subsidiary that is a Guarantor under the Guarantee and Security Agreement. It is understood and agreed that no Financing Subsidiary, Immaterial Subsidiary or Foreign Subsidiary shall be a Subsidiary Guarantor.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SunTrust</w:t>
      </w:r>
      <w:r>
        <w:rPr>
          <w:rFonts w:ascii="Arial" w:cs="Arial" w:eastAsia="Arial" w:hAnsi="Arial"/>
          <w:sz w:val="18"/>
          <w:szCs w:val="18"/>
          <w:color w:val="auto"/>
        </w:rPr>
        <w:t>” means SunTrust Bank.</w:t>
      </w:r>
    </w:p>
    <w:p>
      <w:pPr>
        <w:spacing w:after="0" w:line="171"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0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xml:space="preserve">” means SunTrust, in its capacity as lender of Swingline Loans hereunder, and its successors in such capacity as provided in </w:t>
      </w:r>
      <w:r>
        <w:rPr>
          <w:rFonts w:ascii="Arial" w:cs="Arial" w:eastAsia="Arial" w:hAnsi="Arial"/>
          <w:sz w:val="18"/>
          <w:szCs w:val="18"/>
          <w:u w:val="single" w:color="auto"/>
          <w:color w:val="auto"/>
        </w:rPr>
        <w:t>Section 2.04(d)</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5" w:name="page66"/>
    <w:bookmarkEnd w:id="65"/>
    <w:p>
      <w:pPr>
        <w:ind w:right="2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Syndicated</w:t>
      </w:r>
      <w:r>
        <w:rPr>
          <w:rFonts w:ascii="Arial" w:cs="Arial" w:eastAsia="Arial" w:hAnsi="Arial"/>
          <w:sz w:val="18"/>
          <w:szCs w:val="18"/>
          <w:color w:val="auto"/>
        </w:rPr>
        <w:t xml:space="preserve">”, when used in reference to any Loan or Borrowing, refers to whether such Loan, or the Loans constituting such Borrowing, are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32" w:lineRule="exact"/>
        <w:rPr>
          <w:sz w:val="20"/>
          <w:szCs w:val="20"/>
          <w:color w:val="auto"/>
        </w:rPr>
      </w:pPr>
    </w:p>
    <w:p>
      <w:pPr>
        <w:ind w:right="46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6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earliest to occur of (i) the Final Maturity Date, (ii) the date of the termination of the Commitments in full pursuant to </w:t>
      </w:r>
      <w:r>
        <w:rPr>
          <w:rFonts w:ascii="Arial" w:cs="Arial" w:eastAsia="Arial" w:hAnsi="Arial"/>
          <w:sz w:val="18"/>
          <w:szCs w:val="18"/>
          <w:u w:val="single" w:color="auto"/>
          <w:color w:val="auto"/>
        </w:rPr>
        <w:t>Section 2.08(c)</w:t>
      </w:r>
      <w:r>
        <w:rPr>
          <w:rFonts w:ascii="Arial" w:cs="Arial" w:eastAsia="Arial" w:hAnsi="Arial"/>
          <w:sz w:val="18"/>
          <w:szCs w:val="18"/>
          <w:color w:val="auto"/>
        </w:rPr>
        <w:t xml:space="preserve">, or (iii) the date on which the Commitments are terminated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5.12(b)(ii)(E)(x)</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and the other Loan Documents, the borrowing of Loans, the use of the proceeds thereof and the issuance of Letters of Credit hereunder.</w:t>
      </w:r>
    </w:p>
    <w:p>
      <w:pPr>
        <w:spacing w:after="0" w:line="132"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32"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Undisclosed Administration</w:t>
      </w:r>
      <w:r>
        <w:rPr>
          <w:rFonts w:ascii="Arial" w:cs="Arial" w:eastAsia="Arial" w:hAnsi="Arial"/>
          <w:sz w:val="16"/>
          <w:szCs w:val="16"/>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from time to time in the State of New York.</w:t>
      </w:r>
    </w:p>
    <w:p>
      <w:pPr>
        <w:spacing w:after="0" w:line="171"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Unsecured Longer-Term Indebtedness</w:t>
      </w:r>
      <w:r>
        <w:rPr>
          <w:rFonts w:ascii="Arial" w:cs="Arial" w:eastAsia="Arial" w:hAnsi="Arial"/>
          <w:sz w:val="16"/>
          <w:szCs w:val="16"/>
          <w:color w:val="auto"/>
        </w:rPr>
        <w:t xml:space="preserve">” means any Indebtedness of an Obligor (which may be Guaranteed by Subsidiary Guarantors) that (a) has no amortization prior to, and a final maturity date not earlier than, six months after the Final Maturity Date (it being understood that none of : (w) the conversion features under convertible notes; (x) the triggering and/or settlement thereof or (y) any cash payment made in respect thereof,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16"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Shorter-Term Indebtedness</w:t>
      </w:r>
      <w:r>
        <w:rPr>
          <w:rFonts w:ascii="Arial" w:cs="Arial" w:eastAsia="Arial" w:hAnsi="Arial"/>
          <w:sz w:val="18"/>
          <w:szCs w:val="18"/>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18"/>
          <w:szCs w:val="18"/>
          <w:u w:val="single" w:color="auto"/>
          <w:color w:val="auto"/>
        </w:rPr>
        <w:t>Section 6.11(a)</w:t>
      </w:r>
      <w:r>
        <w:rPr>
          <w:rFonts w:ascii="Arial" w:cs="Arial" w:eastAsia="Arial" w:hAnsi="Arial"/>
          <w:sz w:val="18"/>
          <w:szCs w:val="18"/>
          <w:color w:val="auto"/>
        </w:rPr>
        <w:t>.</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6" w:name="page67"/>
    <w:bookmarkEnd w:id="6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Unquoted Investments</w:t>
      </w:r>
      <w:r>
        <w:rPr>
          <w:rFonts w:ascii="Arial" w:cs="Arial" w:eastAsia="Arial" w:hAnsi="Arial"/>
          <w:sz w:val="18"/>
          <w:szCs w:val="18"/>
          <w:color w:val="auto"/>
        </w:rPr>
        <w:t xml:space="preserve">” means a Portfolio Investment with a value assigned by the Borrower pursuant to </w:t>
      </w:r>
      <w:r>
        <w:rPr>
          <w:rFonts w:ascii="Arial" w:cs="Arial" w:eastAsia="Arial" w:hAnsi="Arial"/>
          <w:sz w:val="18"/>
          <w:szCs w:val="18"/>
          <w:u w:val="single" w:color="auto"/>
          <w:color w:val="auto"/>
        </w:rPr>
        <w:t>Section 5.12(b)(ii)(B)</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3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43"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0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7" w:name="page68"/>
    <w:bookmarkEnd w:id="67"/>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Currencies; Currency Equivalents</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83" w:lineRule="auto"/>
        <w:tabs>
          <w:tab w:leader="none" w:pos="115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Currencies Generally</w:t>
      </w:r>
      <w:r>
        <w:rPr>
          <w:rFonts w:ascii="Arial" w:cs="Arial" w:eastAsia="Arial" w:hAnsi="Arial"/>
          <w:sz w:val="16"/>
          <w:szCs w:val="16"/>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the last sentence of </w:t>
      </w:r>
      <w:r>
        <w:rPr>
          <w:rFonts w:ascii="Arial" w:cs="Arial" w:eastAsia="Arial" w:hAnsi="Arial"/>
          <w:sz w:val="16"/>
          <w:szCs w:val="16"/>
          <w:u w:val="single" w:color="auto"/>
          <w:color w:val="auto"/>
        </w:rPr>
        <w:t>Section 2.17(a)</w:t>
      </w:r>
      <w:r>
        <w:rPr>
          <w:rFonts w:ascii="Arial" w:cs="Arial" w:eastAsia="Arial" w:hAnsi="Arial"/>
          <w:sz w:val="16"/>
          <w:szCs w:val="16"/>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w:t>
      </w:r>
    </w:p>
    <w:p>
      <w:pPr>
        <w:spacing w:after="0" w:line="2" w:lineRule="exact"/>
        <w:rPr>
          <w:rFonts w:ascii="Arial" w:cs="Arial" w:eastAsia="Arial" w:hAnsi="Arial"/>
          <w:sz w:val="16"/>
          <w:szCs w:val="16"/>
          <w:color w:val="auto"/>
        </w:rPr>
      </w:pPr>
    </w:p>
    <w:p>
      <w:pPr>
        <w:ind w:right="40" w:firstLine="8"/>
        <w:spacing w:after="0" w:line="287" w:lineRule="auto"/>
        <w:tabs>
          <w:tab w:leader="none" w:pos="2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w:t>
      </w:r>
    </w:p>
    <w:p>
      <w:pPr>
        <w:spacing w:after="0" w:line="11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8" w:name="page69"/>
    <w:bookmarkEnd w:id="68"/>
    <w:p>
      <w:pPr>
        <w:ind w:right="40" w:firstLine="921"/>
        <w:spacing w:after="0" w:line="287" w:lineRule="auto"/>
        <w:tabs>
          <w:tab w:leader="none" w:pos="116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Provisions Relating to Euro</w:t>
      </w:r>
      <w:r>
        <w:rPr>
          <w:rFonts w:ascii="Arial" w:cs="Arial" w:eastAsia="Arial" w:hAnsi="Arial"/>
          <w:sz w:val="16"/>
          <w:szCs w:val="16"/>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Borrowing denominated in such currency that is outstanding immediately prior to such date, such replacement shall take effect at the end of the Interest Period therefor.</w:t>
      </w:r>
    </w:p>
    <w:p>
      <w:pPr>
        <w:spacing w:after="0" w:line="123"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Commitments</w:t>
      </w:r>
      <w:r>
        <w:rPr>
          <w:rFonts w:ascii="Arial" w:cs="Arial" w:eastAsia="Arial" w:hAnsi="Arial"/>
          <w:sz w:val="18"/>
          <w:szCs w:val="18"/>
          <w:color w:val="auto"/>
        </w:rPr>
        <w:t>. Subject to the terms and conditions set forth herein:</w:t>
      </w:r>
    </w:p>
    <w:p>
      <w:pPr>
        <w:spacing w:after="0" w:line="171" w:lineRule="exact"/>
        <w:rPr>
          <w:sz w:val="20"/>
          <w:szCs w:val="20"/>
          <w:color w:val="auto"/>
        </w:rPr>
      </w:pPr>
    </w:p>
    <w:p>
      <w:pPr>
        <w:ind w:right="140" w:firstLine="921"/>
        <w:spacing w:after="0" w:line="256"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Dollar Lender severally agrees to make Syndicated Loans in Dollars to the Borrower from time to time during the Availability Period in an aggregate principal amount that will not result in (i) such Lender’s Revolving Dollar Credit Exposure exceeding such Lender’s Dollar Commitment, (ii) the aggregate Revolving Dollar Credit Exposure of all of the Dollar Lenders exceeding the aggregate Dollar Commitments or (iii) the total Covered Debt Amount exceeding the Borrowing Base then in effect; and</w:t>
      </w:r>
    </w:p>
    <w:p>
      <w:pPr>
        <w:spacing w:after="0" w:line="143" w:lineRule="exact"/>
        <w:rPr>
          <w:rFonts w:ascii="Arial" w:cs="Arial" w:eastAsia="Arial" w:hAnsi="Arial"/>
          <w:sz w:val="18"/>
          <w:szCs w:val="18"/>
          <w:color w:val="auto"/>
        </w:rPr>
      </w:pPr>
    </w:p>
    <w:p>
      <w:pPr>
        <w:ind w:right="20" w:firstLine="921"/>
        <w:spacing w:after="0" w:line="298" w:lineRule="auto"/>
        <w:tabs>
          <w:tab w:leader="none" w:pos="11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Multicurrency Lender severally agrees to make Syndicated Loans in Dollars and in Agreed Foreign Currencies to the Borrower from time to time during the Availability Period in an aggregate principal amount that will not result in (i) such Lender’s Revolving Multicurrency Credit Exposure exceeding such Lender’s Multicurrency Commitment, (ii) the aggregate Revolving Multicurrency Credit Exposure of all of the Multicurrency Lenders exceeding the aggregate Multicurrency Commitments or (iii) the total Covered Debt Amount exceeding the Borrowing Base then in effect.</w:t>
      </w:r>
    </w:p>
    <w:p>
      <w:pPr>
        <w:spacing w:after="0" w:line="9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9" w:name="page70"/>
    <w:bookmarkEnd w:id="6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the foregoing limits and subject to the terms and conditions set forth herein, the Borrower may borrow, prepay and reborrow Syndicated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6" w:lineRule="auto"/>
        <w:tabs>
          <w:tab w:leader="none" w:pos="11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Obligations of Lenders</w:t>
      </w:r>
      <w:r>
        <w:rPr>
          <w:rFonts w:ascii="Arial" w:cs="Arial" w:eastAsia="Arial" w:hAnsi="Arial"/>
          <w:sz w:val="18"/>
          <w:szCs w:val="18"/>
          <w:color w:val="auto"/>
        </w:rPr>
        <w:t xml:space="preserve">.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w:t>
      </w:r>
    </w:p>
    <w:p>
      <w:pPr>
        <w:spacing w:after="0" w:line="143" w:lineRule="exact"/>
        <w:rPr>
          <w:rFonts w:ascii="Arial" w:cs="Arial" w:eastAsia="Arial" w:hAnsi="Arial"/>
          <w:sz w:val="18"/>
          <w:szCs w:val="18"/>
          <w:color w:val="auto"/>
        </w:rPr>
      </w:pPr>
    </w:p>
    <w:p>
      <w:pPr>
        <w:jc w:val="both"/>
        <w:ind w:right="120" w:firstLine="921"/>
        <w:spacing w:after="0" w:line="298" w:lineRule="auto"/>
        <w:tabs>
          <w:tab w:leader="none" w:pos="1161"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Type of Loans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 to repay such Loan in accordance with the terms of this Agreement.</w:t>
      </w:r>
    </w:p>
    <w:p>
      <w:pPr>
        <w:spacing w:after="0" w:line="112" w:lineRule="exact"/>
        <w:rPr>
          <w:rFonts w:ascii="Arial" w:cs="Arial" w:eastAsia="Arial" w:hAnsi="Arial"/>
          <w:sz w:val="16"/>
          <w:szCs w:val="16"/>
          <w:color w:val="auto"/>
        </w:rPr>
      </w:pPr>
    </w:p>
    <w:p>
      <w:pPr>
        <w:ind w:right="20" w:firstLine="921"/>
        <w:spacing w:after="0" w:line="255" w:lineRule="auto"/>
        <w:tabs>
          <w:tab w:leader="none" w:pos="11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8"/>
          <w:szCs w:val="18"/>
          <w:u w:val="single" w:color="auto"/>
          <w:color w:val="auto"/>
        </w:rPr>
        <w:t>Section 2.05(f)</w:t>
      </w:r>
      <w:r>
        <w:rPr>
          <w:rFonts w:ascii="Arial" w:cs="Arial" w:eastAsia="Arial" w:hAnsi="Arial"/>
          <w:sz w:val="18"/>
          <w:szCs w:val="18"/>
          <w:color w:val="auto"/>
        </w:rPr>
        <w:t>. Borrowings of more than one Class, Currency and Type may be outstanding at the same time.</w:t>
      </w:r>
    </w:p>
    <w:p>
      <w:pPr>
        <w:spacing w:after="0" w:line="142" w:lineRule="exact"/>
        <w:rPr>
          <w:rFonts w:ascii="Arial" w:cs="Arial" w:eastAsia="Arial" w:hAnsi="Arial"/>
          <w:sz w:val="18"/>
          <w:szCs w:val="18"/>
          <w:color w:val="auto"/>
        </w:rPr>
      </w:pPr>
    </w:p>
    <w:p>
      <w:pPr>
        <w:ind w:right="140" w:firstLine="921"/>
        <w:spacing w:after="0" w:line="332" w:lineRule="auto"/>
        <w:tabs>
          <w:tab w:leader="none" w:pos="1161"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Limitations on Interest Periods</w:t>
      </w:r>
      <w:r>
        <w:rPr>
          <w:rFonts w:ascii="Arial" w:cs="Arial" w:eastAsia="Arial" w:hAnsi="Arial"/>
          <w:sz w:val="16"/>
          <w:szCs w:val="16"/>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w:t>
      </w:r>
    </w:p>
    <w:p>
      <w:pPr>
        <w:spacing w:after="0" w:line="85" w:lineRule="exact"/>
        <w:rPr>
          <w:rFonts w:ascii="Arial" w:cs="Arial" w:eastAsia="Arial" w:hAnsi="Arial"/>
          <w:sz w:val="16"/>
          <w:szCs w:val="16"/>
          <w:color w:val="auto"/>
        </w:rPr>
      </w:pPr>
    </w:p>
    <w:p>
      <w:pPr>
        <w:ind w:right="20" w:firstLine="921"/>
        <w:spacing w:after="0" w:line="298" w:lineRule="auto"/>
        <w:tabs>
          <w:tab w:leader="none" w:pos="11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Treatment of Classes</w:t>
      </w:r>
      <w:r>
        <w:rPr>
          <w:rFonts w:ascii="Arial" w:cs="Arial" w:eastAsia="Arial" w:hAnsi="Arial"/>
          <w:sz w:val="16"/>
          <w:szCs w:val="16"/>
          <w:color w:val="auto"/>
        </w:rPr>
        <w:t>. Notwithstanding anything to the contrary contained herein, with respect to each Syndicated Loan, Swingline Loan or Letter of Credit designated in Dollars,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9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0" w:name="page71"/>
    <w:bookmarkEnd w:id="7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2.03. </w:t>
      </w:r>
      <w:r>
        <w:rPr>
          <w:rFonts w:ascii="Arial" w:cs="Arial" w:eastAsia="Arial" w:hAnsi="Arial"/>
          <w:sz w:val="18"/>
          <w:szCs w:val="18"/>
          <w:u w:val="single" w:color="auto"/>
          <w:color w:val="auto"/>
        </w:rPr>
        <w:t>Requests for Syndicated Borrowings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Notice by the Borrower</w:t>
      </w:r>
      <w:r>
        <w:rPr>
          <w:rFonts w:ascii="Arial" w:cs="Arial" w:eastAsia="Arial" w:hAnsi="Arial"/>
          <w:sz w:val="16"/>
          <w:szCs w:val="16"/>
          <w:color w:val="auto"/>
        </w:rPr>
        <w:t>. To request a Syndicated Borrowing, the Borrower shall notify the Administrative Agent of such request by telephone</w:t>
      </w:r>
    </w:p>
    <w:p>
      <w:pPr>
        <w:spacing w:after="0" w:line="38" w:lineRule="exact"/>
        <w:rPr>
          <w:rFonts w:ascii="Arial" w:cs="Arial" w:eastAsia="Arial" w:hAnsi="Arial"/>
          <w:sz w:val="16"/>
          <w:szCs w:val="16"/>
          <w:color w:val="auto"/>
        </w:rPr>
      </w:pPr>
    </w:p>
    <w:p>
      <w:pPr>
        <w:ind w:right="160" w:firstLine="8"/>
        <w:spacing w:after="0" w:line="252" w:lineRule="auto"/>
        <w:tabs>
          <w:tab w:leader="none" w:pos="2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a Eurocurrency Borrowing denominated in Dollars, not later than 11:00 a.m., Atlanta, Georgia time, three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one Business Day before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48" w:lineRule="exact"/>
        <w:rPr>
          <w:rFonts w:ascii="Arial" w:cs="Arial" w:eastAsia="Arial" w:hAnsi="Arial"/>
          <w:sz w:val="18"/>
          <w:szCs w:val="18"/>
          <w:color w:val="auto"/>
        </w:rPr>
      </w:pPr>
    </w:p>
    <w:p>
      <w:pPr>
        <w:ind w:left="1160" w:hanging="239"/>
        <w:spacing w:after="0"/>
        <w:tabs>
          <w:tab w:leader="none" w:pos="1160" w:val="left"/>
        </w:tabs>
        <w:numPr>
          <w:ilvl w:val="2"/>
          <w:numId w:val="44"/>
        </w:numPr>
        <w:rPr>
          <w:rFonts w:ascii="Arial" w:cs="Arial" w:eastAsia="Arial" w:hAnsi="Arial"/>
          <w:sz w:val="16"/>
          <w:szCs w:val="16"/>
          <w:color w:val="auto"/>
        </w:rPr>
      </w:pPr>
      <w:r>
        <w:rPr>
          <w:rFonts w:ascii="Arial" w:cs="Arial" w:eastAsia="Arial" w:hAnsi="Arial"/>
          <w:sz w:val="16"/>
          <w:szCs w:val="16"/>
          <w:u w:val="single" w:color="auto"/>
          <w:color w:val="auto"/>
        </w:rPr>
        <w:t>Content of Borrowing Requests</w:t>
      </w:r>
      <w:r>
        <w:rPr>
          <w:rFonts w:ascii="Arial" w:cs="Arial" w:eastAsia="Arial" w:hAnsi="Arial"/>
          <w:sz w:val="16"/>
          <w:szCs w:val="16"/>
          <w:color w:val="auto"/>
        </w:rPr>
        <w:t>. Each telephonic and written Borrowing Request shall specify the following information in compliance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83" w:lineRule="exact"/>
        <w:rPr>
          <w:rFonts w:ascii="Arial" w:cs="Arial" w:eastAsia="Arial" w:hAnsi="Arial"/>
          <w:sz w:val="16"/>
          <w:szCs w:val="16"/>
          <w:color w:val="auto"/>
        </w:rPr>
      </w:pPr>
    </w:p>
    <w:p>
      <w:pPr>
        <w:ind w:left="1120" w:hanging="217"/>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whether such Borrowing is to be made under the Dollar Commitments or the Multicurrency Commitments;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aggregate amount and Currency of the requested Borrowing;</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5" w:lineRule="exact"/>
        <w:rPr>
          <w:rFonts w:ascii="Arial" w:cs="Arial" w:eastAsia="Arial" w:hAnsi="Arial"/>
          <w:sz w:val="18"/>
          <w:szCs w:val="18"/>
          <w:color w:val="auto"/>
        </w:rPr>
      </w:pPr>
    </w:p>
    <w:p>
      <w:pPr>
        <w:ind w:left="460" w:right="740" w:firstLine="443"/>
        <w:spacing w:after="0" w:line="261" w:lineRule="auto"/>
        <w:tabs>
          <w:tab w:leader="none" w:pos="11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case of a Syndicated Borrowing denominated in Dollars, whether such Borrowing is to be an ABR Borrowing or a Eurocurrency Borrowing;</w:t>
      </w:r>
    </w:p>
    <w:p>
      <w:pPr>
        <w:spacing w:after="0" w:line="5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in the case of a Eurocurrency Borrowing, the Interest Period therefor,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w:t>
      </w:r>
    </w:p>
    <w:p>
      <w:pPr>
        <w:spacing w:after="0" w:line="171" w:lineRule="exact"/>
        <w:rPr>
          <w:rFonts w:ascii="Arial" w:cs="Arial" w:eastAsia="Arial" w:hAnsi="Arial"/>
          <w:sz w:val="18"/>
          <w:szCs w:val="18"/>
          <w:color w:val="auto"/>
        </w:rPr>
      </w:pPr>
    </w:p>
    <w:p>
      <w:pPr>
        <w:ind w:right="360" w:firstLine="921"/>
        <w:spacing w:after="0" w:line="259" w:lineRule="auto"/>
        <w:tabs>
          <w:tab w:leader="none" w:pos="1152"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40" w:lineRule="exact"/>
        <w:rPr>
          <w:rFonts w:ascii="Arial" w:cs="Arial" w:eastAsia="Arial" w:hAnsi="Arial"/>
          <w:sz w:val="18"/>
          <w:szCs w:val="18"/>
          <w:color w:val="auto"/>
        </w:rPr>
      </w:pPr>
    </w:p>
    <w:p>
      <w:pPr>
        <w:ind w:right="140" w:firstLine="921"/>
        <w:spacing w:after="0" w:line="254" w:lineRule="auto"/>
        <w:tabs>
          <w:tab w:leader="none" w:pos="1161"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Failure to Elect</w:t>
      </w:r>
      <w:r>
        <w:rPr>
          <w:rFonts w:ascii="Arial" w:cs="Arial" w:eastAsia="Arial" w:hAnsi="Arial"/>
          <w:sz w:val="18"/>
          <w:szCs w:val="18"/>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w:t>
      </w:r>
    </w:p>
    <w:p>
      <w:pPr>
        <w:spacing w:after="0" w:line="13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1" w:name="page72"/>
    <w:bookmarkEnd w:id="71"/>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90"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Agreement to Make Swingline Loans</w:t>
      </w:r>
      <w:r>
        <w:rPr>
          <w:rFonts w:ascii="Arial" w:cs="Arial" w:eastAsia="Arial" w:hAnsi="Arial"/>
          <w:sz w:val="16"/>
          <w:szCs w:val="16"/>
          <w:color w:val="auto"/>
        </w:rPr>
        <w:t xml:space="preserve">. Subject to the terms and conditions set forth herein, the Swingline Lender agrees to make Swingline Loans under each Commitment to the Borrower from time to time during the Availability Period in Dollars, in an aggregate principal amount at any time outstanding that will not result in (i) the aggregate principal amount of outstanding Swingline Loans of both Classes exceeding $30,000,000, (ii) the total Revolving Dollar Credit Exposures exceeding the aggregate Dollar Commitments, (iii) the total Revolving Multicurrency Credit Exposures exceeding the aggregate Multicurrency Commitments or (iv) the total Covered Debt Amount exceeding the Borrowing Base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18" w:lineRule="exact"/>
        <w:rPr>
          <w:rFonts w:ascii="Arial" w:cs="Arial" w:eastAsia="Arial" w:hAnsi="Arial"/>
          <w:sz w:val="16"/>
          <w:szCs w:val="16"/>
          <w:color w:val="auto"/>
        </w:rPr>
      </w:pPr>
    </w:p>
    <w:p>
      <w:pPr>
        <w:ind w:right="60" w:firstLine="921"/>
        <w:spacing w:after="0" w:line="290" w:lineRule="auto"/>
        <w:tabs>
          <w:tab w:leader="none" w:pos="116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Notice of Swingline Loans by the Borrower</w:t>
      </w:r>
      <w:r>
        <w:rPr>
          <w:rFonts w:ascii="Arial" w:cs="Arial" w:eastAsia="Arial" w:hAnsi="Arial"/>
          <w:sz w:val="16"/>
          <w:szCs w:val="16"/>
          <w:color w:val="auto"/>
        </w:rPr>
        <w:t xml:space="preserve">. To request a Swingline Loan, the Borrower shall notify the Administrative Agent of such request by telephone (confirmed by telecopy) not later than 11:00 a.m., Atlanta, Georgia time, on the day of such proposed Swingline Loan. Each such notice shall be irrevocable and shall specify the requested date (which shall be a Business Day), the amount of the requested Swingline Loan and whether such Swingline Loan is to be made under the Dollar Commitments or the Multicurrency Commitments.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Arial" w:cs="Arial" w:eastAsia="Arial" w:hAnsi="Arial"/>
          <w:sz w:val="16"/>
          <w:szCs w:val="16"/>
          <w:u w:val="single" w:color="auto"/>
          <w:color w:val="auto"/>
        </w:rPr>
        <w:t>Section 2.05(f)</w:t>
      </w:r>
      <w:r>
        <w:rPr>
          <w:rFonts w:ascii="Arial" w:cs="Arial" w:eastAsia="Arial" w:hAnsi="Arial"/>
          <w:sz w:val="16"/>
          <w:szCs w:val="16"/>
          <w:color w:val="auto"/>
        </w:rPr>
        <w:t>, by remittance to the Issuing Bank) by 3:00 p.m., Atlanta, Georgia time, on the requested date of such Swingline Loan.</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Participations by Lenders in Swingline Loans</w:t>
      </w:r>
      <w:r>
        <w:rPr>
          <w:rFonts w:ascii="Arial" w:cs="Arial" w:eastAsia="Arial" w:hAnsi="Arial"/>
          <w:sz w:val="16"/>
          <w:szCs w:val="16"/>
          <w:color w:val="auto"/>
        </w:rPr>
        <w:t>. The Swingline Lender may by written notice given to the Administrative Agent not later than</w:t>
      </w:r>
    </w:p>
    <w:p>
      <w:pPr>
        <w:spacing w:after="0" w:line="3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 xml:space="preserve">10:00 a.m., Atlanta, Georgia time on any Business Day, require the Lenders of the applicable Class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Dollar Percentage or Applicable Multicurrency Percentage of such Swingline Loan or Loans. Each Lender hereby absolutely and unconditionally agrees, upon receipt of notice as provided above in this paragraph, to pay to the Administrative Agent, for account of the Swingline Lender, such Lender’s Applicable Dollar Percentage or Applicable Multicurrency Percentage, as the case may be, of such Swingline Loan 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required to purchase a participation in a Swingline Loan pursuant to this</w:t>
      </w:r>
    </w:p>
    <w:p>
      <w:pPr>
        <w:spacing w:after="0" w:line="10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2.04(c)</w:t>
      </w:r>
      <w:r>
        <w:rPr>
          <w:rFonts w:ascii="Arial" w:cs="Arial" w:eastAsia="Arial" w:hAnsi="Arial"/>
          <w:sz w:val="16"/>
          <w:szCs w:val="16"/>
          <w:color w:val="auto"/>
        </w:rPr>
        <w:t xml:space="preserve"> if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would not be satisfied in respect of a Borrowing at the time such Swingline Loan was made and</w:t>
      </w:r>
    </w:p>
    <w:p>
      <w:pPr>
        <w:spacing w:after="0" w:line="38" w:lineRule="exact"/>
        <w:rPr>
          <w:sz w:val="20"/>
          <w:szCs w:val="20"/>
          <w:color w:val="auto"/>
        </w:rPr>
      </w:pPr>
    </w:p>
    <w:p>
      <w:pPr>
        <w:ind w:right="520" w:firstLine="8"/>
        <w:spacing w:after="0" w:line="261" w:lineRule="auto"/>
        <w:tabs>
          <w:tab w:leader="none" w:pos="2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Required Lenders of the respective Class shall have so notified the Swingline Lender in writing and shall not have subsequently determined that the circumstances giving rise to such conditions not being satisfied no longer exist.</w:t>
      </w:r>
    </w:p>
    <w:p>
      <w:pPr>
        <w:spacing w:after="0" w:line="13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Subject to the foregoing, each Lender acknowledges and agrees that its obligation to acquire participations in Swingline Loans pursuant to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124" w:lineRule="exact"/>
        <w:rPr>
          <w:sz w:val="20"/>
          <w:szCs w:val="20"/>
          <w:color w:val="auto"/>
        </w:rPr>
      </w:pPr>
    </w:p>
    <w:p>
      <w:pPr>
        <w:ind w:right="20" w:firstLine="921"/>
        <w:spacing w:after="0" w:line="286" w:lineRule="auto"/>
        <w:tabs>
          <w:tab w:leader="none" w:pos="116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Resignation and Replacement of Swingline Lender</w:t>
      </w:r>
      <w:r>
        <w:rPr>
          <w:rFonts w:ascii="Arial" w:cs="Arial" w:eastAsia="Arial" w:hAnsi="Arial"/>
          <w:sz w:val="16"/>
          <w:szCs w:val="16"/>
          <w:color w:val="auto"/>
        </w:rPr>
        <w:t xml:space="preserve">. The Swingline Lender may resign and be replaced at any time by written agreement among the Borrower, the Administrative Agent, the resigning Swingline Lender and the successor Swingline Lender. 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Arial" w:cs="Arial" w:eastAsia="Arial" w:hAnsi="Arial"/>
          <w:sz w:val="16"/>
          <w:szCs w:val="16"/>
          <w:u w:val="single" w:color="auto"/>
          <w:color w:val="auto"/>
        </w:rPr>
        <w:t>Section 2.19(a)</w:t>
      </w:r>
      <w:r>
        <w:rPr>
          <w:rFonts w:ascii="Arial" w:cs="Arial" w:eastAsia="Arial" w:hAnsi="Arial"/>
          <w:sz w:val="16"/>
          <w:szCs w:val="16"/>
          <w:color w:val="auto"/>
        </w:rPr>
        <w:t>, then the Swingline Lender may, upon prior written notice to the Borrower and the Administrative Agent, resign as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 (i) 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have no obligation to make additional Swingline Loans.</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71" w:lineRule="exact"/>
        <w:rPr>
          <w:sz w:val="20"/>
          <w:szCs w:val="20"/>
          <w:color w:val="auto"/>
        </w:rPr>
      </w:pPr>
    </w:p>
    <w:p>
      <w:pPr>
        <w:ind w:left="-920" w:right="40" w:firstLine="921"/>
        <w:spacing w:after="0" w:line="294" w:lineRule="auto"/>
        <w:tabs>
          <w:tab w:leader="none" w:pos="23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in addition to the Loans provided for in </w:t>
      </w:r>
      <w:r>
        <w:rPr>
          <w:rFonts w:ascii="Arial" w:cs="Arial" w:eastAsia="Arial" w:hAnsi="Arial"/>
          <w:sz w:val="16"/>
          <w:szCs w:val="16"/>
          <w:u w:val="single" w:color="auto"/>
          <w:color w:val="auto"/>
        </w:rPr>
        <w:t>Section 2.01</w:t>
      </w:r>
      <w:r>
        <w:rPr>
          <w:rFonts w:ascii="Arial" w:cs="Arial" w:eastAsia="Arial" w:hAnsi="Arial"/>
          <w:sz w:val="16"/>
          <w:szCs w:val="16"/>
          <w:color w:val="auto"/>
        </w:rPr>
        <w:t>, the Borrower may request the Issuing Bank to issue, at any time and from time to time during the Availability Period and under either the Dollar Commitments or Multicurrency Commitments, Letters of Credit denominated in Dollars or (in the case of Letters of Credit under the Multicurrency Commitments) in any Agreed Foreign Currency for its own account in such form as is acceptable to the Issuing Bank in its reasonable determination. Letters of Credit issued hereunder shall constitute utilization of the Commitments up to the aggregate amount available to be drawn thereunder.</w:t>
      </w:r>
    </w:p>
    <w:p>
      <w:pPr>
        <w:spacing w:after="0" w:line="115" w:lineRule="exact"/>
        <w:rPr>
          <w:rFonts w:ascii="Arial" w:cs="Arial" w:eastAsia="Arial" w:hAnsi="Arial"/>
          <w:sz w:val="16"/>
          <w:szCs w:val="16"/>
          <w:color w:val="auto"/>
        </w:rPr>
      </w:pPr>
    </w:p>
    <w:p>
      <w:pPr>
        <w:ind w:left="-920" w:firstLine="921"/>
        <w:spacing w:after="0" w:line="286" w:lineRule="auto"/>
        <w:tabs>
          <w:tab w:leader="none" w:pos="241"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or Extension</w:t>
      </w:r>
      <w:r>
        <w:rPr>
          <w:rFonts w:ascii="Arial" w:cs="Arial" w:eastAsia="Arial" w:hAnsi="Arial"/>
          <w:sz w:val="16"/>
          <w:szCs w:val="16"/>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127" w:lineRule="exact"/>
        <w:rPr>
          <w:rFonts w:ascii="Arial" w:cs="Arial" w:eastAsia="Arial" w:hAnsi="Arial"/>
          <w:sz w:val="16"/>
          <w:szCs w:val="16"/>
          <w:color w:val="auto"/>
        </w:rPr>
      </w:pPr>
    </w:p>
    <w:p>
      <w:pPr>
        <w:ind w:left="-920" w:right="220" w:firstLine="921"/>
        <w:spacing w:after="0" w:line="291" w:lineRule="auto"/>
        <w:tabs>
          <w:tab w:leader="none" w:pos="23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Limitations on Amounts</w:t>
      </w:r>
      <w:r>
        <w:rPr>
          <w:rFonts w:ascii="Arial" w:cs="Arial" w:eastAsia="Arial" w:hAnsi="Arial"/>
          <w:sz w:val="16"/>
          <w:szCs w:val="16"/>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shall not exceed $20,000,0000, (ii) the total Revolving Dollar Credit Exposures shall not exceed the aggregate Dollar Commitments, (iii) the total Revolving Multicurrency Credit Exposures shall not exceed the aggregate Multicurrency Commitments and (iv) the total Covered Debt Amount shall not exceed the Borrowing Base then in effect.</w:t>
      </w:r>
    </w:p>
    <w:p>
      <w:pPr>
        <w:spacing w:after="0" w:line="107" w:lineRule="exact"/>
        <w:rPr>
          <w:sz w:val="20"/>
          <w:szCs w:val="20"/>
          <w:color w:val="auto"/>
        </w:rPr>
      </w:pPr>
    </w:p>
    <w:p>
      <w:pPr>
        <w:jc w:val="both"/>
        <w:ind w:left="4940"/>
        <w:spacing w:after="0"/>
        <w:tabs>
          <w:tab w:leader="none" w:pos="85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00"/>
          </w:cols>
          <w:pgMar w:left="1160" w:top="280" w:right="239" w:bottom="1440" w:gutter="0" w:footer="0" w:header="0"/>
        </w:sectPr>
      </w:pPr>
    </w:p>
    <w:bookmarkStart w:id="74" w:name="page75"/>
    <w:bookmarkEnd w:id="74"/>
    <w:p>
      <w:pPr>
        <w:ind w:right="140" w:firstLine="921"/>
        <w:spacing w:after="0" w:line="290" w:lineRule="auto"/>
        <w:tabs>
          <w:tab w:leader="none" w:pos="1161"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Expiration Date</w:t>
      </w:r>
      <w:r>
        <w:rPr>
          <w:rFonts w:ascii="Arial" w:cs="Arial" w:eastAsia="Arial" w:hAnsi="Arial"/>
          <w:sz w:val="16"/>
          <w:szCs w:val="16"/>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term may provide for the renewal thereof for additional one-year periods. No Letter of Credit may be renewed following the earlier to occur of the Commitment Termination Date and the Termination Date, except to the extent that the relevant Letter of Credit is Cash Collateralized no later than five (5) Business Days prior to the Commitment Termination Date or Termination Date, as applicable, or supported by another letter of credit, in each case pursuant to arrangements reasonably satisfactory to the Issuing Bank and the Administrative Agent.</w:t>
      </w:r>
    </w:p>
    <w:p>
      <w:pPr>
        <w:spacing w:after="0" w:line="118" w:lineRule="exact"/>
        <w:rPr>
          <w:rFonts w:ascii="Arial" w:cs="Arial" w:eastAsia="Arial" w:hAnsi="Arial"/>
          <w:sz w:val="16"/>
          <w:szCs w:val="16"/>
          <w:color w:val="auto"/>
        </w:rPr>
      </w:pPr>
    </w:p>
    <w:p>
      <w:pPr>
        <w:ind w:right="80" w:firstLine="921"/>
        <w:spacing w:after="0" w:line="301" w:lineRule="auto"/>
        <w:tabs>
          <w:tab w:leader="none" w:pos="1152" w:val="left"/>
        </w:tabs>
        <w:numPr>
          <w:ilvl w:val="1"/>
          <w:numId w:val="50"/>
        </w:numPr>
        <w:rPr>
          <w:rFonts w:ascii="Arial" w:cs="Arial" w:eastAsia="Arial" w:hAnsi="Arial"/>
          <w:sz w:val="15"/>
          <w:szCs w:val="15"/>
          <w:color w:val="auto"/>
        </w:rPr>
      </w:pPr>
      <w:r>
        <w:rPr>
          <w:rFonts w:ascii="Arial" w:cs="Arial" w:eastAsia="Arial" w:hAnsi="Arial"/>
          <w:sz w:val="15"/>
          <w:szCs w:val="15"/>
          <w:u w:val="single" w:color="auto"/>
          <w:color w:val="auto"/>
        </w:rPr>
        <w:t>Participations</w:t>
      </w:r>
      <w:r>
        <w:rPr>
          <w:rFonts w:ascii="Arial" w:cs="Arial" w:eastAsia="Arial" w:hAnsi="Arial"/>
          <w:sz w:val="15"/>
          <w:szCs w:val="15"/>
          <w:color w:val="auto"/>
        </w:rPr>
        <w:t xml:space="preserve">. By the issuance of a Letter of Credit of a Class (or an amendment to a Letter of Credit increasing the amount thereof) by the Issuing Bank, and without any further action on the part of the Issuing Bank or the Lenders, the Issuing Bank hereby grants to each Lender of such Class, and each Lender of such Class hereby acquires from the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Lender shall be required to purchase a participation in a Letter of Credit pursuant to this </w:t>
      </w:r>
      <w:r>
        <w:rPr>
          <w:rFonts w:ascii="Arial" w:cs="Arial" w:eastAsia="Arial" w:hAnsi="Arial"/>
          <w:sz w:val="15"/>
          <w:szCs w:val="15"/>
          <w:u w:val="single" w:color="auto"/>
          <w:color w:val="auto"/>
        </w:rPr>
        <w:t>Section 2.05(e)</w:t>
      </w:r>
      <w:r>
        <w:rPr>
          <w:rFonts w:ascii="Arial" w:cs="Arial" w:eastAsia="Arial" w:hAnsi="Arial"/>
          <w:sz w:val="15"/>
          <w:szCs w:val="15"/>
          <w:color w:val="auto"/>
        </w:rPr>
        <w:t xml:space="preserve"> if (x) the conditions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would not be satisfied in respect of a Borrowing at the time such Letter of Credit was issued and</w:t>
      </w:r>
    </w:p>
    <w:p>
      <w:pPr>
        <w:spacing w:after="0" w:line="4" w:lineRule="exact"/>
        <w:rPr>
          <w:rFonts w:ascii="Arial" w:cs="Arial" w:eastAsia="Arial" w:hAnsi="Arial"/>
          <w:sz w:val="15"/>
          <w:szCs w:val="15"/>
          <w:color w:val="auto"/>
        </w:rPr>
      </w:pPr>
    </w:p>
    <w:p>
      <w:pPr>
        <w:ind w:right="840" w:firstLine="8"/>
        <w:spacing w:after="0" w:line="261" w:lineRule="auto"/>
        <w:tabs>
          <w:tab w:leader="none" w:pos="2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Required Lenders of the respective Class shall have so notified the Issuing Bank in writing and shall not have subsequently determined that the circumstances giving rise to such conditions not being satisfied no longer exist.</w:t>
      </w:r>
    </w:p>
    <w:p>
      <w:pPr>
        <w:spacing w:after="0" w:line="138"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In consideration and in furtherance of the foregoing, each Lender of a Class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 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spacing w:after="0" w:line="114"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5" w:name="page76"/>
    <w:bookmarkEnd w:id="75"/>
    <w:p>
      <w:pPr>
        <w:ind w:right="100" w:firstLine="921"/>
        <w:spacing w:after="0" w:line="289" w:lineRule="auto"/>
        <w:tabs>
          <w:tab w:leader="none" w:pos="113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Reimbursement</w:t>
      </w:r>
      <w:r>
        <w:rPr>
          <w:rFonts w:ascii="Arial" w:cs="Arial" w:eastAsia="Arial" w:hAnsi="Arial"/>
          <w:sz w:val="16"/>
          <w:szCs w:val="16"/>
          <w:color w:val="auto"/>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18" w:lineRule="exact"/>
        <w:rPr>
          <w:sz w:val="20"/>
          <w:szCs w:val="20"/>
          <w:color w:val="auto"/>
        </w:rPr>
      </w:pPr>
    </w:p>
    <w:p>
      <w:pPr>
        <w:ind w:right="720" w:firstLine="913"/>
        <w:spacing w:after="0" w:line="259" w:lineRule="auto"/>
        <w:rPr>
          <w:sz w:val="20"/>
          <w:szCs w:val="20"/>
          <w:color w:val="auto"/>
        </w:rPr>
      </w:pPr>
      <w:r>
        <w:rPr>
          <w:rFonts w:ascii="Arial" w:cs="Arial" w:eastAsia="Arial" w:hAnsi="Arial"/>
          <w:sz w:val="18"/>
          <w:szCs w:val="18"/>
          <w:color w:val="auto"/>
        </w:rPr>
        <w:t>If the Borrower fails to make such payment when due, the Administrative Agent shall notify each applicable Lender of the applicable LC Disbursement, the payment then due from the Borrower in respect thereof and such Lender’s Applicable Dollar Percentage or Applicable Multicurrency Percentage, as the case may be, thereof.</w:t>
      </w:r>
    </w:p>
    <w:p>
      <w:pPr>
        <w:spacing w:after="0" w:line="140" w:lineRule="exact"/>
        <w:rPr>
          <w:sz w:val="20"/>
          <w:szCs w:val="20"/>
          <w:color w:val="auto"/>
        </w:rPr>
      </w:pPr>
    </w:p>
    <w:p>
      <w:pPr>
        <w:ind w:right="40" w:firstLine="921"/>
        <w:spacing w:after="0" w:line="283" w:lineRule="auto"/>
        <w:tabs>
          <w:tab w:leader="none" w:pos="1161"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strictly with the terms of such Letter of Credit, and</w:t>
      </w:r>
    </w:p>
    <w:p>
      <w:pPr>
        <w:spacing w:after="0" w:line="2" w:lineRule="exact"/>
        <w:rPr>
          <w:rFonts w:ascii="Arial" w:cs="Arial" w:eastAsia="Arial" w:hAnsi="Arial"/>
          <w:sz w:val="16"/>
          <w:szCs w:val="16"/>
          <w:color w:val="auto"/>
        </w:rPr>
      </w:pPr>
    </w:p>
    <w:p>
      <w:pPr>
        <w:ind w:firstLine="8"/>
        <w:spacing w:after="0" w:line="261" w:lineRule="auto"/>
        <w:tabs>
          <w:tab w:leader="none" w:pos="2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event or circumstance whatsoever, whether or not similar to any of the foregoing, that might, but for the provisions of this Section, constitute a legal or equitable discharge of the Borrower’s obligations hereunder.</w:t>
      </w:r>
    </w:p>
    <w:p>
      <w:pPr>
        <w:spacing w:after="0" w:line="138" w:lineRule="exact"/>
        <w:rPr>
          <w:sz w:val="20"/>
          <w:szCs w:val="20"/>
          <w:color w:val="auto"/>
        </w:rPr>
      </w:pPr>
    </w:p>
    <w:p>
      <w:pPr>
        <w:ind w:right="180" w:firstLine="913"/>
        <w:spacing w:after="0" w:line="288" w:lineRule="auto"/>
        <w:rPr>
          <w:sz w:val="20"/>
          <w:szCs w:val="20"/>
          <w:color w:val="auto"/>
        </w:rPr>
      </w:pPr>
      <w:r>
        <w:rPr>
          <w:rFonts w:ascii="Arial" w:cs="Arial" w:eastAsia="Arial" w:hAnsi="Arial"/>
          <w:sz w:val="16"/>
          <w:szCs w:val="16"/>
          <w:color w:val="auto"/>
        </w:rPr>
        <w:t xml:space="preserve">Neither the Administrative Agent, the Lenders nor the Issuing Bank, nor any of their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fraud, gross negligence or willful misconduct when determining whether drafts and other documents presented under a Letter of Credit comply with the terms thereof. The parties hereto expressly agree that:</w:t>
      </w:r>
    </w:p>
    <w:p>
      <w:pPr>
        <w:spacing w:after="0" w:line="106"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6" w:name="page77"/>
    <w:bookmarkEnd w:id="76"/>
    <w:p>
      <w:pPr>
        <w:ind w:left="-443" w:right="40" w:firstLine="443"/>
        <w:spacing w:after="0" w:line="259" w:lineRule="auto"/>
        <w:tabs>
          <w:tab w:leader="none" w:pos="205"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59" w:lineRule="exact"/>
        <w:rPr>
          <w:rFonts w:ascii="Arial" w:cs="Arial" w:eastAsia="Arial" w:hAnsi="Arial"/>
          <w:sz w:val="18"/>
          <w:szCs w:val="18"/>
          <w:color w:val="auto"/>
        </w:rPr>
      </w:pPr>
    </w:p>
    <w:p>
      <w:pPr>
        <w:ind w:left="-443" w:right="80" w:firstLine="443"/>
        <w:spacing w:after="0" w:line="268" w:lineRule="auto"/>
        <w:tabs>
          <w:tab w:leader="none" w:pos="2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Issuing Bank shall have the right, in its sole discretion, to decline to accept such documents and to make such payment if such documents are not in strict compliance with the terms of such Letter of Credit; and</w:t>
      </w:r>
    </w:p>
    <w:p>
      <w:pPr>
        <w:spacing w:after="0" w:line="50" w:lineRule="exact"/>
        <w:rPr>
          <w:rFonts w:ascii="Arial" w:cs="Arial" w:eastAsia="Arial" w:hAnsi="Arial"/>
          <w:sz w:val="18"/>
          <w:szCs w:val="18"/>
          <w:color w:val="auto"/>
        </w:rPr>
      </w:pPr>
    </w:p>
    <w:p>
      <w:pPr>
        <w:ind w:left="-443" w:right="440" w:firstLine="443"/>
        <w:spacing w:after="0" w:line="259" w:lineRule="auto"/>
        <w:tabs>
          <w:tab w:leader="none" w:pos="30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40" w:lineRule="exact"/>
        <w:rPr>
          <w:rFonts w:ascii="Arial" w:cs="Arial" w:eastAsia="Arial" w:hAnsi="Arial"/>
          <w:sz w:val="18"/>
          <w:szCs w:val="18"/>
          <w:color w:val="auto"/>
        </w:rPr>
      </w:pPr>
    </w:p>
    <w:p>
      <w:pPr>
        <w:ind w:left="-903" w:right="180" w:firstLine="921"/>
        <w:spacing w:after="0" w:line="255" w:lineRule="auto"/>
        <w:tabs>
          <w:tab w:leader="none" w:pos="259"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the Issuing Bank and the applicable Lenders with respect to any such LC Disbursement.</w:t>
      </w:r>
    </w:p>
    <w:p>
      <w:pPr>
        <w:spacing w:after="0" w:line="142" w:lineRule="exact"/>
        <w:rPr>
          <w:rFonts w:ascii="Arial" w:cs="Arial" w:eastAsia="Arial" w:hAnsi="Arial"/>
          <w:sz w:val="18"/>
          <w:szCs w:val="18"/>
          <w:color w:val="auto"/>
        </w:rPr>
      </w:pPr>
    </w:p>
    <w:p>
      <w:pPr>
        <w:ind w:left="-903" w:right="40" w:firstLine="921"/>
        <w:spacing w:after="0" w:line="290" w:lineRule="auto"/>
        <w:tabs>
          <w:tab w:leader="none" w:pos="220"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within two Business Days following the date when due pursuant to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then the provisions of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shall apply. Interest accrued pursuant to this paragraph shall be for account of the Issuing Bank, except that interest accrued on and after the date of payment by any Lender pursuant to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to reimburse the Issuing Bank shall be for account of such Lender to the extent of such payment.</w:t>
      </w:r>
    </w:p>
    <w:p>
      <w:pPr>
        <w:spacing w:after="0" w:line="118" w:lineRule="exact"/>
        <w:rPr>
          <w:rFonts w:ascii="Arial" w:cs="Arial" w:eastAsia="Arial" w:hAnsi="Arial"/>
          <w:sz w:val="16"/>
          <w:szCs w:val="16"/>
          <w:color w:val="auto"/>
        </w:rPr>
      </w:pPr>
    </w:p>
    <w:p>
      <w:pPr>
        <w:ind w:left="-903" w:firstLine="921"/>
        <w:spacing w:after="0" w:line="291" w:lineRule="auto"/>
        <w:tabs>
          <w:tab w:leader="none" w:pos="220"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Resignation and/or Replacement of Issuing Bank</w:t>
      </w:r>
      <w:r>
        <w:rPr>
          <w:rFonts w:ascii="Arial" w:cs="Arial" w:eastAsia="Arial" w:hAnsi="Arial"/>
          <w:sz w:val="16"/>
          <w:szCs w:val="16"/>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Upon the effectiveness of any resignation of the Issuing Bank, the Borrower shall pay all unpaid fees accrued for account of the resigning Issuing Bank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w:t>
      </w:r>
    </w:p>
    <w:p>
      <w:pPr>
        <w:spacing w:after="0" w:line="107"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77" w:name="page78"/>
    <w:bookmarkEnd w:id="77"/>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 and all previous Issuing Banks, as the context shall require. After the effective resignation of the Issuing Bank hereunder, the resigning Issuing Bank, as the case may be, shall remain a party hereto and shall continue to have all the rights and obligations of the Issuing Bank under this Agreement with respect to Letters of Credit issued by it prior to such resignation, but shall not be required to issue additional Letters of Credit.</w:t>
      </w:r>
    </w:p>
    <w:p>
      <w:pPr>
        <w:spacing w:after="0" w:line="107" w:lineRule="exact"/>
        <w:rPr>
          <w:sz w:val="20"/>
          <w:szCs w:val="20"/>
          <w:color w:val="auto"/>
        </w:rPr>
      </w:pPr>
    </w:p>
    <w:p>
      <w:pPr>
        <w:ind w:firstLine="921"/>
        <w:spacing w:after="0" w:line="289" w:lineRule="auto"/>
        <w:tabs>
          <w:tab w:leader="none" w:pos="1161"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the Borrower shall be required to provide Cash Collateral for LC Exposure pursuant to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the Borrower shall immediately deposit into a segregated collateral account or accounts (herein, collectively, the “</w:t>
      </w:r>
      <w:r>
        <w:rPr>
          <w:rFonts w:ascii="Arial" w:cs="Arial" w:eastAsia="Arial" w:hAnsi="Arial"/>
          <w:sz w:val="16"/>
          <w:szCs w:val="16"/>
          <w:u w:val="single" w:color="auto"/>
          <w:color w:val="auto"/>
        </w:rPr>
        <w:t>Letter of Credit Collateral Account</w:t>
      </w:r>
      <w:r>
        <w:rPr>
          <w:rFonts w:ascii="Arial" w:cs="Arial" w:eastAsia="Arial" w:hAnsi="Arial"/>
          <w:sz w:val="16"/>
          <w:szCs w:val="16"/>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91" w:lineRule="auto"/>
        <w:tabs>
          <w:tab w:leader="none" w:pos="115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Funding by Lenders</w:t>
      </w:r>
      <w:r>
        <w:rPr>
          <w:rFonts w:ascii="Arial" w:cs="Arial" w:eastAsia="Arial" w:hAnsi="Arial"/>
          <w:sz w:val="16"/>
          <w:szCs w:val="16"/>
          <w:color w:val="auto"/>
        </w:rPr>
        <w:t xml:space="preserve">. Each Lender shall make each Loan to be made by it hereunder on the proposed date thereof by wire transfer of immediately available funds by 11:00 a.m., Atlanta, Georgia time, to the account of the Administrative Agent most recently designated by it for such purpose by notice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Syndicated ABR Borrowings made to finance the reimbursement of an LC Disbursement as provided in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shall be remitted by the Administrative Agent to the Issuing Bank.</w:t>
      </w:r>
    </w:p>
    <w:p>
      <w:pPr>
        <w:spacing w:after="0" w:line="120" w:lineRule="exact"/>
        <w:rPr>
          <w:rFonts w:ascii="Arial" w:cs="Arial" w:eastAsia="Arial" w:hAnsi="Arial"/>
          <w:sz w:val="16"/>
          <w:szCs w:val="16"/>
          <w:color w:val="auto"/>
        </w:rPr>
      </w:pPr>
    </w:p>
    <w:p>
      <w:pPr>
        <w:ind w:right="40" w:firstLine="921"/>
        <w:spacing w:after="0" w:line="287" w:lineRule="auto"/>
        <w:tabs>
          <w:tab w:leader="none" w:pos="116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Presumption by the Administrative Agent</w:t>
      </w:r>
      <w:r>
        <w:rPr>
          <w:rFonts w:ascii="Arial" w:cs="Arial" w:eastAsia="Arial" w:hAnsi="Arial"/>
          <w:sz w:val="16"/>
          <w:szCs w:val="16"/>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0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8" w:name="page79"/>
    <w:bookmarkEnd w:id="78"/>
    <w:p>
      <w:pPr>
        <w:ind w:left="45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171" w:lineRule="exact"/>
        <w:rPr>
          <w:sz w:val="20"/>
          <w:szCs w:val="20"/>
          <w:color w:val="auto"/>
        </w:rPr>
      </w:pPr>
    </w:p>
    <w:p>
      <w:pPr>
        <w:ind w:left="-464" w:right="60" w:firstLine="921"/>
        <w:spacing w:after="0" w:line="286" w:lineRule="auto"/>
        <w:tabs>
          <w:tab w:leader="none" w:pos="687" w:val="left"/>
        </w:tabs>
        <w:numPr>
          <w:ilvl w:val="2"/>
          <w:numId w:val="58"/>
        </w:numPr>
        <w:rPr>
          <w:rFonts w:ascii="Arial" w:cs="Arial" w:eastAsia="Arial" w:hAnsi="Arial"/>
          <w:sz w:val="16"/>
          <w:szCs w:val="16"/>
          <w:color w:val="auto"/>
        </w:rPr>
      </w:pPr>
      <w:r>
        <w:rPr>
          <w:rFonts w:ascii="Arial" w:cs="Arial" w:eastAsia="Arial" w:hAnsi="Arial"/>
          <w:sz w:val="16"/>
          <w:szCs w:val="16"/>
          <w:u w:val="single" w:color="auto"/>
          <w:color w:val="auto"/>
        </w:rPr>
        <w:t>Elections by the Borrower for Syndicated Borrowings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2.03(d)</w:t>
      </w:r>
      <w:r>
        <w:rPr>
          <w:rFonts w:ascii="Arial" w:cs="Arial" w:eastAsia="Arial" w:hAnsi="Arial"/>
          <w:sz w:val="16"/>
          <w:szCs w:val="16"/>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27" w:lineRule="exact"/>
        <w:rPr>
          <w:rFonts w:ascii="Arial" w:cs="Arial" w:eastAsia="Arial" w:hAnsi="Arial"/>
          <w:sz w:val="16"/>
          <w:szCs w:val="16"/>
          <w:color w:val="auto"/>
        </w:rPr>
      </w:pPr>
    </w:p>
    <w:p>
      <w:pPr>
        <w:ind w:left="-464" w:right="320" w:firstLine="921"/>
        <w:spacing w:after="0" w:line="294" w:lineRule="auto"/>
        <w:tabs>
          <w:tab w:leader="none" w:pos="697" w:val="left"/>
        </w:tabs>
        <w:numPr>
          <w:ilvl w:val="2"/>
          <w:numId w:val="58"/>
        </w:numPr>
        <w:rPr>
          <w:rFonts w:ascii="Arial" w:cs="Arial" w:eastAsia="Arial" w:hAnsi="Arial"/>
          <w:sz w:val="16"/>
          <w:szCs w:val="16"/>
          <w:color w:val="auto"/>
        </w:rPr>
      </w:pPr>
      <w:r>
        <w:rPr>
          <w:rFonts w:ascii="Arial" w:cs="Arial" w:eastAsia="Arial" w:hAnsi="Arial"/>
          <w:sz w:val="16"/>
          <w:szCs w:val="16"/>
          <w:u w:val="single" w:color="auto"/>
          <w:color w:val="auto"/>
        </w:rPr>
        <w:t>Notice of Elections</w:t>
      </w:r>
      <w:r>
        <w:rPr>
          <w:rFonts w:ascii="Arial" w:cs="Arial" w:eastAsia="Arial" w:hAnsi="Arial"/>
          <w:sz w:val="16"/>
          <w:szCs w:val="16"/>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15" w:lineRule="exact"/>
        <w:rPr>
          <w:rFonts w:ascii="Arial" w:cs="Arial" w:eastAsia="Arial" w:hAnsi="Arial"/>
          <w:sz w:val="16"/>
          <w:szCs w:val="16"/>
          <w:color w:val="auto"/>
        </w:rPr>
      </w:pPr>
    </w:p>
    <w:p>
      <w:pPr>
        <w:ind w:left="-464" w:right="820" w:firstLine="921"/>
        <w:spacing w:after="0" w:line="268" w:lineRule="auto"/>
        <w:tabs>
          <w:tab w:leader="none" w:pos="687" w:val="left"/>
        </w:tabs>
        <w:numPr>
          <w:ilvl w:val="2"/>
          <w:numId w:val="58"/>
        </w:numPr>
        <w:rPr>
          <w:rFonts w:ascii="Arial" w:cs="Arial" w:eastAsia="Arial" w:hAnsi="Arial"/>
          <w:sz w:val="18"/>
          <w:szCs w:val="18"/>
          <w:color w:val="auto"/>
        </w:rPr>
      </w:pPr>
      <w:r>
        <w:rPr>
          <w:rFonts w:ascii="Arial" w:cs="Arial" w:eastAsia="Arial" w:hAnsi="Arial"/>
          <w:sz w:val="18"/>
          <w:szCs w:val="18"/>
          <w:u w:val="single" w:color="auto"/>
          <w:color w:val="auto"/>
        </w:rPr>
        <w:t>Content of Interest Election Requests</w:t>
      </w:r>
      <w:r>
        <w:rPr>
          <w:rFonts w:ascii="Arial" w:cs="Arial" w:eastAsia="Arial" w:hAnsi="Arial"/>
          <w:sz w:val="18"/>
          <w:szCs w:val="18"/>
          <w:color w:val="auto"/>
        </w:rPr>
        <w:t xml:space="preserve">. 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 w:right="20" w:firstLine="443"/>
        <w:spacing w:after="0" w:line="286" w:lineRule="auto"/>
        <w:tabs>
          <w:tab w:leader="none" w:pos="643"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6"/>
          <w:szCs w:val="16"/>
          <w:u w:val="single" w:color="auto"/>
          <w:color w:val="auto"/>
        </w:rPr>
        <w:t>clauses</w:t>
      </w:r>
    </w:p>
    <w:p>
      <w:pPr>
        <w:ind w:left="316" w:hanging="316"/>
        <w:spacing w:after="0"/>
        <w:tabs>
          <w:tab w:leader="none" w:pos="316" w:val="left"/>
        </w:tabs>
        <w:numPr>
          <w:ilvl w:val="0"/>
          <w:numId w:val="60"/>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paragraph shall be specified for each resulting Borrowing);</w:t>
      </w:r>
    </w:p>
    <w:p>
      <w:pPr>
        <w:spacing w:after="0" w:line="83" w:lineRule="exact"/>
        <w:rPr>
          <w:rFonts w:ascii="Arial" w:cs="Arial" w:eastAsia="Arial" w:hAnsi="Arial"/>
          <w:sz w:val="18"/>
          <w:szCs w:val="18"/>
          <w:u w:val="single" w:color="auto"/>
          <w:color w:val="auto"/>
        </w:rPr>
      </w:pPr>
    </w:p>
    <w:p>
      <w:pPr>
        <w:ind w:left="696" w:hanging="257"/>
        <w:spacing w:after="0"/>
        <w:tabs>
          <w:tab w:leader="none" w:pos="696"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58" w:lineRule="exact"/>
        <w:rPr>
          <w:sz w:val="20"/>
          <w:szCs w:val="20"/>
          <w:color w:val="auto"/>
        </w:rPr>
      </w:pPr>
    </w:p>
    <w:p>
      <w:pPr>
        <w:jc w:val="both"/>
        <w:ind w:left="5396"/>
        <w:spacing w:after="0"/>
        <w:tabs>
          <w:tab w:leader="none" w:pos="8955"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56"/>
          </w:cols>
          <w:pgMar w:left="704" w:top="280" w:right="239" w:bottom="1440" w:gutter="0" w:footer="0" w:header="0"/>
        </w:sectPr>
      </w:pPr>
    </w:p>
    <w:bookmarkStart w:id="79" w:name="page80"/>
    <w:bookmarkEnd w:id="7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(iii) whether, in the case of a Borrowing denominated in Dollars, the resulting Borrowing is to be an ABR Borrowing or a Eurocurrency Borrowing;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right="160" w:firstLine="443"/>
        <w:spacing w:after="0" w:line="268" w:lineRule="auto"/>
        <w:tabs>
          <w:tab w:leader="none" w:pos="7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w:t>
      </w:r>
    </w:p>
    <w:p>
      <w:pPr>
        <w:spacing w:after="0" w:line="132" w:lineRule="exact"/>
        <w:rPr>
          <w:sz w:val="20"/>
          <w:szCs w:val="20"/>
          <w:color w:val="auto"/>
        </w:rPr>
      </w:pPr>
    </w:p>
    <w:p>
      <w:pPr>
        <w:ind w:left="-460" w:right="260" w:firstLine="921"/>
        <w:spacing w:after="0" w:line="268" w:lineRule="auto"/>
        <w:tabs>
          <w:tab w:leader="none" w:pos="70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an Interest Election Request, the Administrative Agent shall advise each applicable Lender of the details thereof and of such Lender’s portion of each resulting Borrowing.</w:t>
      </w:r>
    </w:p>
    <w:p>
      <w:pPr>
        <w:spacing w:after="0" w:line="131" w:lineRule="exact"/>
        <w:rPr>
          <w:rFonts w:ascii="Arial" w:cs="Arial" w:eastAsia="Arial" w:hAnsi="Arial"/>
          <w:sz w:val="18"/>
          <w:szCs w:val="18"/>
          <w:color w:val="auto"/>
        </w:rPr>
      </w:pPr>
    </w:p>
    <w:p>
      <w:pPr>
        <w:ind w:left="-460" w:firstLine="921"/>
        <w:spacing w:after="0" w:line="289" w:lineRule="auto"/>
        <w:tabs>
          <w:tab w:leader="none" w:pos="69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Failure to Elect; Events of Default</w:t>
      </w:r>
      <w:r>
        <w:rPr>
          <w:rFonts w:ascii="Arial" w:cs="Arial" w:eastAsia="Arial" w:hAnsi="Arial"/>
          <w:sz w:val="16"/>
          <w:szCs w:val="16"/>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or Increase of the Commitments</w:t>
      </w:r>
      <w:r>
        <w:rPr>
          <w:rFonts w:ascii="Arial" w:cs="Arial" w:eastAsia="Arial" w:hAnsi="Arial"/>
          <w:sz w:val="18"/>
          <w:szCs w:val="18"/>
          <w:color w:val="auto"/>
        </w:rPr>
        <w:t>.</w:t>
      </w:r>
    </w:p>
    <w:p>
      <w:pPr>
        <w:spacing w:after="0" w:line="171" w:lineRule="exact"/>
        <w:rPr>
          <w:sz w:val="20"/>
          <w:szCs w:val="20"/>
          <w:color w:val="auto"/>
        </w:rPr>
      </w:pPr>
    </w:p>
    <w:p>
      <w:pPr>
        <w:ind w:left="700" w:hanging="239"/>
        <w:spacing w:after="0"/>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Scheduled Termination</w:t>
      </w:r>
      <w:r>
        <w:rPr>
          <w:rFonts w:ascii="Arial" w:cs="Arial" w:eastAsia="Arial" w:hAnsi="Arial"/>
          <w:sz w:val="16"/>
          <w:szCs w:val="16"/>
          <w:color w:val="auto"/>
        </w:rPr>
        <w:t>. Unless previously terminated, the Commitments of each Class shall terminate on the Commitment Termination Date.</w:t>
      </w:r>
    </w:p>
    <w:p>
      <w:pPr>
        <w:spacing w:after="0" w:line="194" w:lineRule="exact"/>
        <w:rPr>
          <w:rFonts w:ascii="Arial" w:cs="Arial" w:eastAsia="Arial" w:hAnsi="Arial"/>
          <w:sz w:val="16"/>
          <w:szCs w:val="16"/>
          <w:color w:val="auto"/>
        </w:rPr>
      </w:pPr>
    </w:p>
    <w:p>
      <w:pPr>
        <w:ind w:left="-460" w:right="60" w:firstLine="921"/>
        <w:spacing w:after="0" w:line="291" w:lineRule="auto"/>
        <w:tabs>
          <w:tab w:leader="none" w:pos="70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Voluntary Termination or Reduction</w:t>
      </w:r>
      <w:r>
        <w:rPr>
          <w:rFonts w:ascii="Arial" w:cs="Arial" w:eastAsia="Arial" w:hAnsi="Arial"/>
          <w:sz w:val="16"/>
          <w:szCs w:val="16"/>
          <w:color w:val="auto"/>
        </w:rPr>
        <w:t xml:space="preserve">. The Borrower may at any time terminate, or from time to time reduce, the Commitments of either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 Class shall be in an amount that is $10,000,000 (or, if less, the entire amount of the Commitments of such Class) or a larger multiple of $5,000,000 in excess thereof and (ii) the Borrower shall not terminate or reduce the Commitments of either Class if, after giving effect to any concurrent prepayment of the Syndicated Loans of such Class in accordance with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6"/>
          <w:szCs w:val="16"/>
          <w:u w:val="single" w:color="auto"/>
          <w:color w:val="auto"/>
        </w:rPr>
        <w:t>Section 2.04(a)(i)</w:t>
      </w:r>
      <w:r>
        <w:rPr>
          <w:rFonts w:ascii="Arial" w:cs="Arial" w:eastAsia="Arial" w:hAnsi="Arial"/>
          <w:sz w:val="16"/>
          <w:szCs w:val="16"/>
          <w:color w:val="auto"/>
        </w:rPr>
        <w:t xml:space="preserve"> and the Letters of Credit permitted under </w:t>
      </w:r>
      <w:r>
        <w:rPr>
          <w:rFonts w:ascii="Arial" w:cs="Arial" w:eastAsia="Arial" w:hAnsi="Arial"/>
          <w:sz w:val="16"/>
          <w:szCs w:val="16"/>
          <w:u w:val="single" w:color="auto"/>
          <w:color w:val="auto"/>
        </w:rPr>
        <w:t>Section 2.05(c)(i)</w:t>
      </w:r>
      <w:r>
        <w:rPr>
          <w:rFonts w:ascii="Arial" w:cs="Arial" w:eastAsia="Arial" w:hAnsi="Arial"/>
          <w:sz w:val="16"/>
          <w:szCs w:val="16"/>
          <w:color w:val="auto"/>
        </w:rPr>
        <w:t xml:space="preserve"> shall result in a dollar-for-dollar reduction of such amounts as applicable.</w:t>
      </w:r>
    </w:p>
    <w:p>
      <w:pPr>
        <w:spacing w:after="0" w:line="120" w:lineRule="exact"/>
        <w:rPr>
          <w:rFonts w:ascii="Arial" w:cs="Arial" w:eastAsia="Arial" w:hAnsi="Arial"/>
          <w:sz w:val="16"/>
          <w:szCs w:val="16"/>
          <w:color w:val="auto"/>
        </w:rPr>
      </w:pPr>
    </w:p>
    <w:p>
      <w:pPr>
        <w:ind w:left="-460" w:right="20" w:firstLine="921"/>
        <w:spacing w:after="0" w:line="306" w:lineRule="auto"/>
        <w:tabs>
          <w:tab w:leader="none" w:pos="69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Notice of Voluntary Termination or Reduction</w:t>
      </w:r>
      <w:r>
        <w:rPr>
          <w:rFonts w:ascii="Arial" w:cs="Arial" w:eastAsia="Arial" w:hAnsi="Arial"/>
          <w:sz w:val="16"/>
          <w:szCs w:val="16"/>
          <w:color w:val="auto"/>
        </w:rPr>
        <w:t xml:space="preserve">. The Borrower shall notify the Administrative Agent of any election to terminate or reduce the Commitments under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w:t>
      </w:r>
    </w:p>
    <w:p>
      <w:pPr>
        <w:spacing w:after="0" w:line="93" w:lineRule="exact"/>
        <w:rPr>
          <w:sz w:val="20"/>
          <w:szCs w:val="20"/>
          <w:color w:val="auto"/>
        </w:rPr>
      </w:pPr>
    </w:p>
    <w:p>
      <w:pPr>
        <w:jc w:val="both"/>
        <w:ind w:left="5400"/>
        <w:spacing w:after="0"/>
        <w:tabs>
          <w:tab w:leader="none" w:pos="8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80" w:name="page81"/>
    <w:bookmarkEnd w:id="80"/>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contents thereof. Each notice delivered by the Borrower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07" w:lineRule="exact"/>
        <w:rPr>
          <w:sz w:val="20"/>
          <w:szCs w:val="20"/>
          <w:color w:val="auto"/>
        </w:rPr>
      </w:pPr>
    </w:p>
    <w:p>
      <w:pPr>
        <w:ind w:left="460" w:right="460" w:firstLine="443"/>
        <w:spacing w:after="0" w:line="332" w:lineRule="auto"/>
        <w:tabs>
          <w:tab w:leader="none" w:pos="114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Effect of Termination or Reduction</w:t>
      </w:r>
      <w:r>
        <w:rPr>
          <w:rFonts w:ascii="Arial" w:cs="Arial" w:eastAsia="Arial" w:hAnsi="Arial"/>
          <w:sz w:val="16"/>
          <w:szCs w:val="16"/>
          <w:color w:val="auto"/>
        </w:rPr>
        <w:t>. Any termination or reduction of the Commitments of a Class shall be permanent. Each reduction of the Commitments of a Class shall be made ratably among the Lenders of such Class in accordance with their respective Commitments.</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Increase of the Commitments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89" w:lineRule="auto"/>
        <w:tabs>
          <w:tab w:leader="none" w:pos="110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Requests for Increase by Borrower</w:t>
      </w:r>
      <w:r>
        <w:rPr>
          <w:rFonts w:ascii="Arial" w:cs="Arial" w:eastAsia="Arial" w:hAnsi="Arial"/>
          <w:sz w:val="16"/>
          <w:szCs w:val="16"/>
          <w:color w:val="auto"/>
        </w:rPr>
        <w:t>. The Borrower may, at any time, request that the Commitments hereunder of a Class be increased (each such proposed increase being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upon notice to the Administrative Agent (who shall promptly notify the Lenders), which notice shall specify the time period within which each Lender is requested to respond (which shall in no event be less than ten Business Days from the date of delivery of such notice to the Lenders). Any Lender not responding within such time period shall be deemed to have declined to increase its Commitment. The Borrower shall provide notice to the Administrative Agent specifying each existing Lender (each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and/or each additional lender (each an “</w:t>
      </w:r>
      <w:r>
        <w:rPr>
          <w:rFonts w:ascii="Arial" w:cs="Arial" w:eastAsia="Arial" w:hAnsi="Arial"/>
          <w:sz w:val="16"/>
          <w:szCs w:val="16"/>
          <w:u w:val="single" w:color="auto"/>
          <w:color w:val="auto"/>
        </w:rPr>
        <w:t>Assuming Lender</w:t>
      </w:r>
      <w:r>
        <w:rPr>
          <w:rFonts w:ascii="Arial" w:cs="Arial" w:eastAsia="Arial" w:hAnsi="Arial"/>
          <w:sz w:val="16"/>
          <w:szCs w:val="16"/>
          <w:color w:val="auto"/>
        </w:rPr>
        <w:t>”) that shall have agreed to an additional Commitment and the date on which such increase is to be effective (the “</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Increase Date</w:t>
      </w:r>
      <w:r>
        <w:rPr>
          <w:rFonts w:ascii="Arial" w:cs="Arial" w:eastAsia="Arial" w:hAnsi="Arial"/>
          <w:sz w:val="16"/>
          <w:szCs w:val="16"/>
          <w:color w:val="auto"/>
        </w:rPr>
        <w:t xml:space="preserve">”), which shall be a Business Day at least three Business Days after delivery of such notice and 30 days prior to the Commitment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7" w:lineRule="exact"/>
        <w:rPr>
          <w:rFonts w:ascii="Arial" w:cs="Arial" w:eastAsia="Arial" w:hAnsi="Arial"/>
          <w:sz w:val="16"/>
          <w:szCs w:val="16"/>
          <w:color w:val="auto"/>
        </w:rPr>
      </w:pPr>
    </w:p>
    <w:p>
      <w:pPr>
        <w:ind w:left="920" w:right="220" w:firstLine="421"/>
        <w:spacing w:after="0" w:line="332" w:lineRule="auto"/>
        <w:tabs>
          <w:tab w:leader="none" w:pos="1627" w:val="left"/>
        </w:tabs>
        <w:numPr>
          <w:ilvl w:val="2"/>
          <w:numId w:val="65"/>
        </w:numPr>
        <w:rPr>
          <w:rFonts w:ascii="Arial" w:cs="Arial" w:eastAsia="Arial" w:hAnsi="Arial"/>
          <w:sz w:val="16"/>
          <w:szCs w:val="16"/>
          <w:color w:val="auto"/>
        </w:rPr>
      </w:pPr>
      <w:r>
        <w:rPr>
          <w:rFonts w:ascii="Arial" w:cs="Arial" w:eastAsia="Arial" w:hAnsi="Arial"/>
          <w:sz w:val="16"/>
          <w:szCs w:val="16"/>
          <w:color w:val="auto"/>
        </w:rPr>
        <w:t>the minimum amount of the Commitment of any Assuming Lender, and the minimum amount of the increase of the Commitment of any Increasing Lender, as part of such Commitment Increase shall be $10,000,000 or a larger multiple of $5,000,000 in excess thereof;</w:t>
      </w:r>
    </w:p>
    <w:p>
      <w:pPr>
        <w:spacing w:after="0" w:line="4" w:lineRule="exact"/>
        <w:rPr>
          <w:rFonts w:ascii="Arial" w:cs="Arial" w:eastAsia="Arial" w:hAnsi="Arial"/>
          <w:sz w:val="16"/>
          <w:szCs w:val="16"/>
          <w:color w:val="auto"/>
        </w:rPr>
      </w:pPr>
    </w:p>
    <w:p>
      <w:pPr>
        <w:ind w:left="1620" w:hanging="279"/>
        <w:spacing w:after="0"/>
        <w:tabs>
          <w:tab w:leader="none" w:pos="1620" w:val="left"/>
        </w:tabs>
        <w:numPr>
          <w:ilvl w:val="2"/>
          <w:numId w:val="65"/>
        </w:numPr>
        <w:rPr>
          <w:rFonts w:ascii="Arial" w:cs="Arial" w:eastAsia="Arial" w:hAnsi="Arial"/>
          <w:sz w:val="16"/>
          <w:szCs w:val="16"/>
          <w:color w:val="auto"/>
        </w:rPr>
      </w:pPr>
      <w:r>
        <w:rPr>
          <w:rFonts w:ascii="Arial" w:cs="Arial" w:eastAsia="Arial" w:hAnsi="Arial"/>
          <w:sz w:val="16"/>
          <w:szCs w:val="16"/>
          <w:color w:val="auto"/>
        </w:rPr>
        <w:t>immediately after giving effect to such Commitment Increase, the total Commitments of all of the Lenders hereunder shall not exceed</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$300,000,000;</w:t>
      </w:r>
    </w:p>
    <w:p>
      <w:pPr>
        <w:spacing w:after="0" w:line="84" w:lineRule="exact"/>
        <w:rPr>
          <w:sz w:val="20"/>
          <w:szCs w:val="20"/>
          <w:color w:val="auto"/>
        </w:rPr>
      </w:pPr>
    </w:p>
    <w:p>
      <w:pPr>
        <w:ind w:left="920" w:right="460" w:firstLine="421"/>
        <w:spacing w:after="0" w:line="268" w:lineRule="auto"/>
        <w:tabs>
          <w:tab w:leader="none" w:pos="16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Assuming Lender shall be consented to by the Administrative Agent and the Issuing Bank (such consent not to be unreasonably withheld);</w:t>
      </w:r>
    </w:p>
    <w:p>
      <w:pPr>
        <w:spacing w:after="0" w:line="50" w:lineRule="exact"/>
        <w:rPr>
          <w:rFonts w:ascii="Arial" w:cs="Arial" w:eastAsia="Arial" w:hAnsi="Arial"/>
          <w:sz w:val="18"/>
          <w:szCs w:val="18"/>
          <w:color w:val="auto"/>
        </w:rPr>
      </w:pPr>
    </w:p>
    <w:p>
      <w:pPr>
        <w:ind w:left="920" w:right="480" w:firstLine="421"/>
        <w:spacing w:after="0" w:line="268" w:lineRule="auto"/>
        <w:tabs>
          <w:tab w:leader="none" w:pos="1627"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such Commitment Increase Date or shall result from the proposed Commitment Increase; and</w:t>
      </w:r>
    </w:p>
    <w:p>
      <w:pPr>
        <w:spacing w:after="0" w:line="50" w:lineRule="exact"/>
        <w:rPr>
          <w:rFonts w:ascii="Arial" w:cs="Arial" w:eastAsia="Arial" w:hAnsi="Arial"/>
          <w:sz w:val="18"/>
          <w:szCs w:val="18"/>
          <w:color w:val="auto"/>
        </w:rPr>
      </w:pPr>
    </w:p>
    <w:p>
      <w:pPr>
        <w:ind w:left="920" w:right="20" w:firstLine="421"/>
        <w:spacing w:after="0" w:line="256" w:lineRule="auto"/>
        <w:tabs>
          <w:tab w:leader="none" w:pos="16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1" w:name="page82"/>
    <w:bookmarkEnd w:id="81"/>
    <w:p>
      <w:pPr>
        <w:ind w:right="60" w:firstLine="443"/>
        <w:spacing w:after="0" w:line="259" w:lineRule="auto"/>
        <w:tabs>
          <w:tab w:leader="none" w:pos="69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Effectiveness of Commitment Increase by Borrower</w:t>
      </w:r>
      <w:r>
        <w:rPr>
          <w:rFonts w:ascii="Arial" w:cs="Arial" w:eastAsia="Arial" w:hAnsi="Arial"/>
          <w:sz w:val="18"/>
          <w:szCs w:val="18"/>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59" w:lineRule="exact"/>
        <w:rPr>
          <w:rFonts w:ascii="Arial" w:cs="Arial" w:eastAsia="Arial" w:hAnsi="Arial"/>
          <w:sz w:val="18"/>
          <w:szCs w:val="18"/>
          <w:color w:val="auto"/>
        </w:rPr>
      </w:pPr>
    </w:p>
    <w:p>
      <w:pPr>
        <w:ind w:left="460" w:right="20" w:firstLine="421"/>
        <w:spacing w:after="0" w:line="306" w:lineRule="auto"/>
        <w:tabs>
          <w:tab w:leader="none" w:pos="1128"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6"/>
          <w:szCs w:val="16"/>
          <w:u w:val="single" w:color="auto"/>
          <w:color w:val="auto"/>
        </w:rPr>
        <w:t>paragraph (i)</w:t>
      </w:r>
      <w:r>
        <w:rPr>
          <w:rFonts w:ascii="Arial" w:cs="Arial" w:eastAsia="Arial" w:hAnsi="Arial"/>
          <w:sz w:val="16"/>
          <w:szCs w:val="16"/>
          <w:color w:val="auto"/>
        </w:rPr>
        <w:t xml:space="preserve"> has been satisfied; and</w:t>
      </w:r>
    </w:p>
    <w:p>
      <w:pPr>
        <w:spacing w:after="0" w:line="25" w:lineRule="exact"/>
        <w:rPr>
          <w:rFonts w:ascii="Arial" w:cs="Arial" w:eastAsia="Arial" w:hAnsi="Arial"/>
          <w:sz w:val="16"/>
          <w:szCs w:val="16"/>
          <w:color w:val="auto"/>
        </w:rPr>
      </w:pPr>
    </w:p>
    <w:p>
      <w:pPr>
        <w:ind w:left="460" w:right="20" w:firstLine="421"/>
        <w:spacing w:after="0" w:line="294" w:lineRule="auto"/>
        <w:tabs>
          <w:tab w:leader="none" w:pos="1128" w:val="left"/>
        </w:tabs>
        <w:numPr>
          <w:ilvl w:val="1"/>
          <w:numId w:val="67"/>
        </w:numPr>
        <w:rPr>
          <w:rFonts w:ascii="Arial" w:cs="Arial" w:eastAsia="Arial" w:hAnsi="Arial"/>
          <w:sz w:val="16"/>
          <w:szCs w:val="16"/>
          <w:color w:val="auto"/>
        </w:rPr>
      </w:pPr>
      <w:r>
        <w:rPr>
          <w:rFonts w:ascii="Arial" w:cs="Arial" w:eastAsia="Arial" w:hAnsi="Arial"/>
          <w:sz w:val="16"/>
          <w:szCs w:val="16"/>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35" w:lineRule="exact"/>
        <w:rPr>
          <w:sz w:val="20"/>
          <w:szCs w:val="20"/>
          <w:color w:val="auto"/>
        </w:rPr>
      </w:pPr>
    </w:p>
    <w:p>
      <w:pPr>
        <w:ind w:right="1020"/>
        <w:spacing w:after="0" w:line="332" w:lineRule="auto"/>
        <w:rPr>
          <w:sz w:val="20"/>
          <w:szCs w:val="20"/>
          <w:color w:val="auto"/>
        </w:rPr>
      </w:pPr>
      <w:r>
        <w:rPr>
          <w:rFonts w:ascii="Arial" w:cs="Arial" w:eastAsia="Arial" w:hAnsi="Arial"/>
          <w:sz w:val="16"/>
          <w:szCs w:val="16"/>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4" w:lineRule="exact"/>
        <w:rPr>
          <w:sz w:val="20"/>
          <w:szCs w:val="20"/>
          <w:color w:val="auto"/>
        </w:rPr>
      </w:pPr>
    </w:p>
    <w:p>
      <w:pPr>
        <w:ind w:right="260" w:firstLine="443"/>
        <w:spacing w:after="0" w:line="305" w:lineRule="auto"/>
        <w:tabs>
          <w:tab w:leader="none" w:pos="745" w:val="left"/>
        </w:tabs>
        <w:numPr>
          <w:ilvl w:val="1"/>
          <w:numId w:val="68"/>
        </w:numPr>
        <w:rPr>
          <w:rFonts w:ascii="Arial" w:cs="Arial" w:eastAsia="Arial" w:hAnsi="Arial"/>
          <w:sz w:val="15"/>
          <w:szCs w:val="15"/>
          <w:color w:val="auto"/>
        </w:rPr>
      </w:pPr>
      <w:r>
        <w:rPr>
          <w:rFonts w:ascii="Arial" w:cs="Arial" w:eastAsia="Arial" w:hAnsi="Arial"/>
          <w:sz w:val="15"/>
          <w:szCs w:val="15"/>
          <w:u w:val="single" w:color="auto"/>
          <w:color w:val="auto"/>
        </w:rPr>
        <w:t>Recordation into Register</w:t>
      </w:r>
      <w:r>
        <w:rPr>
          <w:rFonts w:ascii="Arial" w:cs="Arial" w:eastAsia="Arial" w:hAnsi="Arial"/>
          <w:sz w:val="15"/>
          <w:szCs w:val="15"/>
          <w:color w:val="auto"/>
        </w:rPr>
        <w:t xml:space="preserve">. Upon its receipt of an agreement referred to in </w:t>
      </w:r>
      <w:r>
        <w:rPr>
          <w:rFonts w:ascii="Arial" w:cs="Arial" w:eastAsia="Arial" w:hAnsi="Arial"/>
          <w:sz w:val="15"/>
          <w:szCs w:val="15"/>
          <w:u w:val="single" w:color="auto"/>
          <w:color w:val="auto"/>
        </w:rPr>
        <w:t>clause (ii)(y)</w:t>
      </w:r>
      <w:r>
        <w:rPr>
          <w:rFonts w:ascii="Arial" w:cs="Arial" w:eastAsia="Arial" w:hAnsi="Arial"/>
          <w:sz w:val="15"/>
          <w:szCs w:val="15"/>
          <w:color w:val="auto"/>
        </w:rPr>
        <w:t xml:space="preserve"> above executed by an Assuming Lender or any Increasing Lender, together with the certificate referred to in </w:t>
      </w:r>
      <w:r>
        <w:rPr>
          <w:rFonts w:ascii="Arial" w:cs="Arial" w:eastAsia="Arial" w:hAnsi="Arial"/>
          <w:sz w:val="15"/>
          <w:szCs w:val="15"/>
          <w:u w:val="single" w:color="auto"/>
          <w:color w:val="auto"/>
        </w:rPr>
        <w:t>clause (ii)(x)</w:t>
      </w:r>
      <w:r>
        <w:rPr>
          <w:rFonts w:ascii="Arial" w:cs="Arial" w:eastAsia="Arial" w:hAnsi="Arial"/>
          <w:sz w:val="15"/>
          <w:szCs w:val="15"/>
          <w:color w:val="auto"/>
        </w:rPr>
        <w:t xml:space="preserve"> above, the Administrative Agent shall, if such agreement has been completed,</w:t>
      </w:r>
    </w:p>
    <w:p>
      <w:pPr>
        <w:ind w:left="260" w:hanging="256"/>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accept such agreement, (y) record the information contained therein in the Register and (z) give prompt notice thereof to the Borrower.</w:t>
      </w:r>
    </w:p>
    <w:p>
      <w:pPr>
        <w:spacing w:after="0" w:line="83" w:lineRule="exact"/>
        <w:rPr>
          <w:rFonts w:ascii="Arial" w:cs="Arial" w:eastAsia="Arial" w:hAnsi="Arial"/>
          <w:sz w:val="18"/>
          <w:szCs w:val="18"/>
          <w:color w:val="auto"/>
        </w:rPr>
      </w:pPr>
    </w:p>
    <w:p>
      <w:pPr>
        <w:ind w:right="60" w:firstLine="443"/>
        <w:spacing w:after="0" w:line="294" w:lineRule="auto"/>
        <w:tabs>
          <w:tab w:leader="none" w:pos="735"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Adjustments of Borrowings upon Effectiveness of Increase</w:t>
      </w:r>
      <w:r>
        <w:rPr>
          <w:rFonts w:ascii="Arial" w:cs="Arial" w:eastAsia="Arial" w:hAnsi="Arial"/>
          <w:sz w:val="16"/>
          <w:szCs w:val="16"/>
          <w:color w:val="auto"/>
        </w:rPr>
        <w:t xml:space="preserve">. On the Commitment Increase Date, the Borrower shall (A) prepay the outstanding Loans (if any) of the affected Class in full, (B) simultaneously borrow new Loans of such Class hereunder in an amount equal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w:t>
      </w:r>
    </w:p>
    <w:p>
      <w:pPr>
        <w:spacing w:after="0" w:line="102" w:lineRule="exact"/>
        <w:rPr>
          <w:sz w:val="20"/>
          <w:szCs w:val="20"/>
          <w:color w:val="auto"/>
        </w:rPr>
      </w:pPr>
    </w:p>
    <w:p>
      <w:pPr>
        <w:jc w:val="both"/>
        <w:ind w:left="5400"/>
        <w:spacing w:after="0"/>
        <w:tabs>
          <w:tab w:leader="none" w:pos="89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82" w:name="page83"/>
    <w:bookmarkEnd w:id="82"/>
    <w:p>
      <w:pPr>
        <w:ind w:left="460"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The Borrower hereby unconditionally promises to pay the Loans of each Class as follows: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the Administrative Agent for account of the Lenders of such Class the outstanding principal amount of the Syndicated Loans of such Class on the Final Maturity Date; and</w:t>
      </w:r>
    </w:p>
    <w:p>
      <w:pPr>
        <w:spacing w:after="0" w:line="50" w:lineRule="exact"/>
        <w:rPr>
          <w:rFonts w:ascii="Arial" w:cs="Arial" w:eastAsia="Arial" w:hAnsi="Arial"/>
          <w:sz w:val="18"/>
          <w:szCs w:val="18"/>
          <w:color w:val="auto"/>
        </w:rPr>
      </w:pPr>
    </w:p>
    <w:p>
      <w:pPr>
        <w:ind w:left="460" w:right="60" w:firstLine="443"/>
        <w:spacing w:after="0" w:line="256" w:lineRule="auto"/>
        <w:tabs>
          <w:tab w:leader="none" w:pos="115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to the Swingline Lender the then unpaid principal amount of each Swingline Loan of such Class denominated in Dollars, on the earlier of the Commitment Termination Date and the first date after such Swingline Loan is made that is the 15th or last day of a calendar month and is at least ten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Syndicated Borrowing of such Class is made, the Borrower shall repay all Swingline Loans of such Class then outstanding.</w:t>
      </w:r>
    </w:p>
    <w:p>
      <w:pPr>
        <w:spacing w:after="0" w:line="143"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In addition, on the Final Maturity Date, the Borrower shall deposit into the Letter of Credit Collateral Account Cash (denominated in the Currency of the Letter of Credit under which such LC Exposure arises) in an amount equal to 100%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spacing w:after="0" w:line="143" w:lineRule="exact"/>
        <w:rPr>
          <w:sz w:val="20"/>
          <w:szCs w:val="20"/>
          <w:color w:val="auto"/>
        </w:rPr>
      </w:pPr>
    </w:p>
    <w:p>
      <w:pPr>
        <w:ind w:right="120" w:firstLine="921"/>
        <w:spacing w:after="0" w:line="290" w:lineRule="auto"/>
        <w:tabs>
          <w:tab w:leader="none" w:pos="116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xml:space="preserve">. Prior to any repayment or prepayment of any Borrowings of any Class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prior to the scheduled date of such 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repayment of Borrowings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shall be applied ratably to the Loans included in such Borrowing.</w:t>
      </w:r>
    </w:p>
    <w:p>
      <w:pPr>
        <w:spacing w:after="0" w:line="118" w:lineRule="exact"/>
        <w:rPr>
          <w:rFonts w:ascii="Arial" w:cs="Arial" w:eastAsia="Arial" w:hAnsi="Arial"/>
          <w:sz w:val="16"/>
          <w:szCs w:val="16"/>
          <w:color w:val="auto"/>
        </w:rPr>
      </w:pPr>
    </w:p>
    <w:p>
      <w:pPr>
        <w:ind w:right="80" w:firstLine="921"/>
        <w:spacing w:after="0" w:line="259" w:lineRule="auto"/>
        <w:tabs>
          <w:tab w:leader="none" w:pos="115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Maintenance of Records by Lenders</w:t>
      </w:r>
      <w:r>
        <w:rPr>
          <w:rFonts w:ascii="Arial" w:cs="Arial" w:eastAsia="Arial" w:hAnsi="Arial"/>
          <w:sz w:val="18"/>
          <w:szCs w:val="18"/>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3" w:name="page84"/>
    <w:bookmarkEnd w:id="83"/>
    <w:p>
      <w:pPr>
        <w:ind w:left="-903" w:right="20" w:firstLine="921"/>
        <w:spacing w:after="0" w:line="298" w:lineRule="auto"/>
        <w:tabs>
          <w:tab w:leader="none" w:pos="259"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Maintenance of Records by the Administrative Agent</w:t>
      </w:r>
      <w:r>
        <w:rPr>
          <w:rFonts w:ascii="Arial" w:cs="Arial" w:eastAsia="Arial" w:hAnsi="Arial"/>
          <w:sz w:val="16"/>
          <w:szCs w:val="16"/>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112" w:lineRule="exact"/>
        <w:rPr>
          <w:rFonts w:ascii="Arial" w:cs="Arial" w:eastAsia="Arial" w:hAnsi="Arial"/>
          <w:sz w:val="16"/>
          <w:szCs w:val="16"/>
          <w:color w:val="auto"/>
        </w:rPr>
      </w:pPr>
    </w:p>
    <w:p>
      <w:pPr>
        <w:ind w:left="-903" w:right="40" w:firstLine="921"/>
        <w:spacing w:after="0" w:line="335" w:lineRule="auto"/>
        <w:tabs>
          <w:tab w:leader="none" w:pos="249"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Effect of Entries</w:t>
      </w:r>
      <w:r>
        <w:rPr>
          <w:rFonts w:ascii="Arial" w:cs="Arial" w:eastAsia="Arial" w:hAnsi="Arial"/>
          <w:sz w:val="15"/>
          <w:szCs w:val="15"/>
          <w:color w:val="auto"/>
        </w:rPr>
        <w:t xml:space="preserve">. The entries made in the records maintained pursuant to </w:t>
      </w:r>
      <w:r>
        <w:rPr>
          <w:rFonts w:ascii="Arial" w:cs="Arial" w:eastAsia="Arial" w:hAnsi="Arial"/>
          <w:sz w:val="15"/>
          <w:szCs w:val="15"/>
          <w:u w:val="single" w:color="auto"/>
          <w:color w:val="auto"/>
        </w:rPr>
        <w:t>paragraph (c)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(d)</w:t>
      </w:r>
      <w:r>
        <w:rPr>
          <w:rFonts w:ascii="Arial" w:cs="Arial" w:eastAsia="Arial" w:hAnsi="Arial"/>
          <w:sz w:val="15"/>
          <w:szCs w:val="15"/>
          <w:color w:val="auto"/>
        </w:rPr>
        <w:t xml:space="preserve"> of this Section shall be </w:t>
      </w:r>
      <w:r>
        <w:rPr>
          <w:rFonts w:ascii="Arial" w:cs="Arial" w:eastAsia="Arial" w:hAnsi="Arial"/>
          <w:sz w:val="15"/>
          <w:szCs w:val="15"/>
          <w:u w:val="single" w:color="auto"/>
          <w:color w:val="auto"/>
        </w:rPr>
        <w:t>prima facie</w:t>
      </w:r>
      <w:r>
        <w:rPr>
          <w:rFonts w:ascii="Arial" w:cs="Arial" w:eastAsia="Arial" w:hAnsi="Arial"/>
          <w:sz w:val="15"/>
          <w:szCs w:val="15"/>
          <w:color w:val="auto"/>
        </w:rPr>
        <w:t xml:space="preserve"> evidence, absent obvious error, of the existence and amounts of the obligations recorded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88" w:lineRule="exact"/>
        <w:rPr>
          <w:rFonts w:ascii="Arial" w:cs="Arial" w:eastAsia="Arial" w:hAnsi="Arial"/>
          <w:sz w:val="15"/>
          <w:szCs w:val="15"/>
          <w:color w:val="auto"/>
        </w:rPr>
      </w:pPr>
    </w:p>
    <w:p>
      <w:pPr>
        <w:ind w:left="-903" w:firstLine="921"/>
        <w:spacing w:after="0" w:line="294" w:lineRule="auto"/>
        <w:tabs>
          <w:tab w:leader="none" w:pos="23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Promissory Notes</w:t>
      </w:r>
      <w:r>
        <w:rPr>
          <w:rFonts w:ascii="Arial" w:cs="Arial" w:eastAsia="Arial" w:hAnsi="Arial"/>
          <w:sz w:val="16"/>
          <w:szCs w:val="16"/>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be represented by one or more promissory notes in such form payable to the payee named therein (or, if such promissory note is a registered note, to such payee and its registered assigns).</w:t>
      </w:r>
    </w:p>
    <w:p>
      <w:pPr>
        <w:spacing w:after="0" w:line="116" w:lineRule="exact"/>
        <w:rPr>
          <w:sz w:val="20"/>
          <w:szCs w:val="20"/>
          <w:color w:val="auto"/>
        </w:rPr>
      </w:pPr>
    </w:p>
    <w:p>
      <w:pPr>
        <w:ind w:left="17"/>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171" w:lineRule="exact"/>
        <w:rPr>
          <w:sz w:val="20"/>
          <w:szCs w:val="20"/>
          <w:color w:val="auto"/>
        </w:rPr>
      </w:pPr>
    </w:p>
    <w:p>
      <w:pPr>
        <w:ind w:left="-903" w:right="60" w:firstLine="921"/>
        <w:spacing w:after="0" w:line="268" w:lineRule="auto"/>
        <w:tabs>
          <w:tab w:leader="none" w:pos="249"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8"/>
          <w:szCs w:val="18"/>
          <w:u w:val="single" w:color="auto"/>
          <w:color w:val="auto"/>
        </w:rPr>
        <w:t>Section 2.15</w:t>
      </w:r>
      <w:r>
        <w:rPr>
          <w:rFonts w:ascii="Arial" w:cs="Arial" w:eastAsia="Arial" w:hAnsi="Arial"/>
          <w:sz w:val="18"/>
          <w:szCs w:val="18"/>
          <w:color w:val="auto"/>
        </w:rPr>
        <w:t>, subject to the requirements of this Section.</w:t>
      </w:r>
    </w:p>
    <w:p>
      <w:pPr>
        <w:spacing w:after="0" w:line="131" w:lineRule="exact"/>
        <w:rPr>
          <w:rFonts w:ascii="Arial" w:cs="Arial" w:eastAsia="Arial" w:hAnsi="Arial"/>
          <w:sz w:val="18"/>
          <w:szCs w:val="18"/>
          <w:color w:val="auto"/>
        </w:rPr>
      </w:pPr>
    </w:p>
    <w:p>
      <w:pPr>
        <w:ind w:left="257" w:hanging="239"/>
        <w:spacing w:after="0"/>
        <w:tabs>
          <w:tab w:leader="none" w:pos="25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Mandatory Prepayments due to Changes in Exchange Rates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3" w:right="100" w:firstLine="443"/>
        <w:spacing w:after="0" w:line="290" w:lineRule="auto"/>
        <w:tabs>
          <w:tab w:leader="none" w:pos="20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Determination of Amount Outstanding</w:t>
      </w:r>
      <w:r>
        <w:rPr>
          <w:rFonts w:ascii="Arial" w:cs="Arial" w:eastAsia="Arial" w:hAnsi="Arial"/>
          <w:sz w:val="16"/>
          <w:szCs w:val="16"/>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05"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84" w:name="page85"/>
    <w:bookmarkEnd w:id="84"/>
    <w:p>
      <w:pPr>
        <w:ind w:left="460" w:right="80" w:firstLine="443"/>
        <w:spacing w:after="0" w:line="291" w:lineRule="auto"/>
        <w:tabs>
          <w:tab w:leader="none" w:pos="115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Prepayment</w:t>
      </w:r>
      <w:r>
        <w:rPr>
          <w:rFonts w:ascii="Arial" w:cs="Arial" w:eastAsia="Arial" w:hAnsi="Arial"/>
          <w:sz w:val="16"/>
          <w:szCs w:val="16"/>
          <w:color w:val="auto"/>
        </w:rPr>
        <w:t xml:space="preserve">. If on the date of such determination the aggregate Revolving Multicurrency Credit Exposure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16"/>
          <w:szCs w:val="16"/>
          <w:u w:val="single" w:color="auto"/>
          <w:color w:val="auto"/>
        </w:rPr>
        <w:t>Section 2.05(k)</w:t>
      </w:r>
      <w:r>
        <w:rPr>
          <w:rFonts w:ascii="Arial" w:cs="Arial" w:eastAsia="Arial" w:hAnsi="Arial"/>
          <w:sz w:val="16"/>
          <w:szCs w:val="16"/>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Currency Valuation Notice</w:t>
      </w:r>
      <w:r>
        <w:rPr>
          <w:rFonts w:ascii="Arial" w:cs="Arial" w:eastAsia="Arial" w:hAnsi="Arial"/>
          <w:sz w:val="18"/>
          <w:szCs w:val="18"/>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43" w:lineRule="exact"/>
        <w:rPr>
          <w:sz w:val="20"/>
          <w:szCs w:val="20"/>
          <w:color w:val="auto"/>
        </w:rPr>
      </w:pPr>
    </w:p>
    <w:p>
      <w:pPr>
        <w:ind w:right="1000" w:firstLine="913"/>
        <w:spacing w:after="0" w:line="268" w:lineRule="auto"/>
        <w:rPr>
          <w:sz w:val="20"/>
          <w:szCs w:val="20"/>
          <w:color w:val="auto"/>
        </w:rPr>
      </w:pPr>
      <w:r>
        <w:rPr>
          <w:rFonts w:ascii="Arial" w:cs="Arial" w:eastAsia="Arial" w:hAnsi="Arial"/>
          <w:sz w:val="18"/>
          <w:szCs w:val="18"/>
          <w:color w:val="auto"/>
        </w:rPr>
        <w:t xml:space="preserve">Any prepayment pursuant to this paragraph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Swingline Multicurrency Loans outstanding,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Syndicated Multicurrency Loans outstanding and </w:t>
      </w:r>
      <w:r>
        <w:rPr>
          <w:rFonts w:ascii="Arial" w:cs="Arial" w:eastAsia="Arial" w:hAnsi="Arial"/>
          <w:sz w:val="18"/>
          <w:szCs w:val="18"/>
          <w:u w:val="single" w:color="auto"/>
          <w:color w:val="auto"/>
        </w:rPr>
        <w:t>third</w:t>
      </w:r>
      <w:r>
        <w:rPr>
          <w:rFonts w:ascii="Arial" w:cs="Arial" w:eastAsia="Arial" w:hAnsi="Arial"/>
          <w:sz w:val="18"/>
          <w:szCs w:val="18"/>
          <w:color w:val="auto"/>
        </w:rPr>
        <w:t>, as cover for Multicurrency LC Exposure.</w:t>
      </w:r>
    </w:p>
    <w:p>
      <w:pPr>
        <w:spacing w:after="0" w:line="132" w:lineRule="exact"/>
        <w:rPr>
          <w:sz w:val="20"/>
          <w:szCs w:val="20"/>
          <w:color w:val="auto"/>
        </w:rPr>
      </w:pPr>
    </w:p>
    <w:p>
      <w:pPr>
        <w:ind w:right="40" w:firstLine="921"/>
        <w:spacing w:after="0" w:line="287" w:lineRule="auto"/>
        <w:tabs>
          <w:tab w:leader="none" w:pos="1152"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Mandatory Prepayments due to Borrowing Base Deficiency</w:t>
      </w:r>
      <w:r>
        <w:rPr>
          <w:rFonts w:ascii="Arial" w:cs="Arial" w:eastAsia="Arial" w:hAnsi="Arial"/>
          <w:sz w:val="16"/>
          <w:szCs w:val="16"/>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or reduce Other Covered Indebtedness in such amounts as shall be necessary so that such Borrowing Base Deficiency is 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22" w:lineRule="exact"/>
        <w:rPr>
          <w:rFonts w:ascii="Arial" w:cs="Arial" w:eastAsia="Arial" w:hAnsi="Arial"/>
          <w:sz w:val="16"/>
          <w:szCs w:val="16"/>
          <w:color w:val="auto"/>
        </w:rPr>
      </w:pPr>
    </w:p>
    <w:p>
      <w:pPr>
        <w:ind w:right="520" w:firstLine="921"/>
        <w:spacing w:after="0" w:line="268" w:lineRule="auto"/>
        <w:tabs>
          <w:tab w:leader="none" w:pos="1161"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Mandatory Prepayments During Amortization Period</w:t>
      </w:r>
      <w:r>
        <w:rPr>
          <w:rFonts w:ascii="Arial" w:cs="Arial" w:eastAsia="Arial" w:hAnsi="Arial"/>
          <w:sz w:val="18"/>
          <w:szCs w:val="18"/>
          <w:color w:val="auto"/>
        </w:rPr>
        <w:t>. During the period commencing on the date immediately following the Commitment Termination Date and ending on the Final Maturity Date:</w:t>
      </w:r>
    </w:p>
    <w:p>
      <w:pPr>
        <w:spacing w:after="0" w:line="50" w:lineRule="exact"/>
        <w:rPr>
          <w:rFonts w:ascii="Arial" w:cs="Arial" w:eastAsia="Arial" w:hAnsi="Arial"/>
          <w:sz w:val="18"/>
          <w:szCs w:val="18"/>
          <w:color w:val="auto"/>
        </w:rPr>
      </w:pPr>
    </w:p>
    <w:p>
      <w:pPr>
        <w:ind w:left="460" w:right="120" w:firstLine="443"/>
        <w:spacing w:after="0" w:line="259" w:lineRule="auto"/>
        <w:tabs>
          <w:tab w:leader="none" w:pos="110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Asset Disposition</w:t>
      </w:r>
      <w:r>
        <w:rPr>
          <w:rFonts w:ascii="Arial" w:cs="Arial" w:eastAsia="Arial" w:hAnsi="Arial"/>
          <w:sz w:val="18"/>
          <w:szCs w:val="18"/>
          <w:color w:val="auto"/>
        </w:rPr>
        <w:t>. If the Borrower or any of its Subsidiaries (other than a Financing Subsidiary) Disposes of any property which results in the receipt by such Person of Net Cash Proceeds in excess of $2,000,000 in the aggregate since the Commitment Termination Date, the Borrower shall prepay an aggregate principal amount</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5" w:name="page86"/>
    <w:bookmarkEnd w:id="85"/>
    <w:p>
      <w:pPr>
        <w:ind w:left="460"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Loans equal to 100% of such Net Cash Proceeds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Loans to be prepaid are Eurocurrency Loans, the Borrower may defer such prepayment until the last day of the Interest Period applicable to such Loans,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Administrative Agent may direct the application of such deposits as set forth in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at any time and if the Administrative Agent does so, no amounts will be payable by the Borrower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107" w:lineRule="exact"/>
        <w:rPr>
          <w:sz w:val="20"/>
          <w:szCs w:val="20"/>
          <w:color w:val="auto"/>
        </w:rPr>
      </w:pPr>
    </w:p>
    <w:p>
      <w:pPr>
        <w:ind w:left="460" w:right="80" w:firstLine="443"/>
        <w:spacing w:after="0" w:line="256" w:lineRule="auto"/>
        <w:tabs>
          <w:tab w:leader="none" w:pos="115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Equity Issuance</w:t>
      </w:r>
      <w:r>
        <w:rPr>
          <w:rFonts w:ascii="Arial" w:cs="Arial" w:eastAsia="Arial" w:hAnsi="Arial"/>
          <w:sz w:val="18"/>
          <w:szCs w:val="18"/>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Loans equal to 75% of all Net Cash Proceeds received therefrom no later than the fifth Business Day following the receipt of such Net Cash Proceeds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160" w:firstLine="443"/>
        <w:spacing w:after="0" w:line="306" w:lineRule="auto"/>
        <w:tabs>
          <w:tab w:leader="none" w:pos="120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Upon the incurrence or issuance by the Borrower or any of its Subsidiaries (other than a Financing Subsidiary) of any Indebtedness,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1200" w:hanging="297"/>
        <w:spacing w:after="0"/>
        <w:tabs>
          <w:tab w:leader="none" w:pos="120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Extraordinary Receipt</w:t>
      </w:r>
      <w:r>
        <w:rPr>
          <w:rFonts w:ascii="Arial" w:cs="Arial" w:eastAsia="Arial" w:hAnsi="Arial"/>
          <w:sz w:val="16"/>
          <w:szCs w:val="16"/>
          <w:color w:val="auto"/>
        </w:rPr>
        <w:t>. Upon any Extraordinary Receipt (which, when taken with all other Extraordinary Receipts received after the</w:t>
      </w:r>
    </w:p>
    <w:p>
      <w:pPr>
        <w:spacing w:after="0" w:line="38" w:lineRule="exact"/>
        <w:rPr>
          <w:rFonts w:ascii="Arial" w:cs="Arial" w:eastAsia="Arial" w:hAnsi="Arial"/>
          <w:sz w:val="16"/>
          <w:szCs w:val="16"/>
          <w:color w:val="auto"/>
        </w:rPr>
      </w:pPr>
    </w:p>
    <w:p>
      <w:pPr>
        <w:jc w:val="both"/>
        <w:ind w:left="460" w:right="24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Commitment Termination Date, exceeds $5,000,000 in the aggregate) received by or paid to or for the account of the Borrower or any of its Subsidiaries (other than a Financing Subsidiary), and not otherwise included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Return of Capital</w:t>
      </w:r>
      <w:r>
        <w:rPr>
          <w:rFonts w:ascii="Arial" w:cs="Arial" w:eastAsia="Arial" w:hAnsi="Arial"/>
          <w:sz w:val="18"/>
          <w:szCs w:val="18"/>
          <w:color w:val="auto"/>
        </w:rPr>
        <w:t xml:space="preserve">. If any Obligor shall receive any Return of Capital, the Borrower shall prepay an aggregate principal amount of Loans equal to 90% of such Return of Capital (excluding amounts payable by the Borrower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no later than the fifth Business Day following the receipt of such Return of Capital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Notwithstanding the foregoing, Net Cash Proceeds required to be applied to the prepayment of the Loans pursuant to this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shall (A) be applied in accordance with the Guarantee and Security Agreement and (B) exclude the amount necessary for the Borrower to make all required distributions (which shall be no less than the amount estimated in good faith by Borrower under </w:t>
      </w:r>
      <w:r>
        <w:rPr>
          <w:rFonts w:ascii="Arial" w:cs="Arial" w:eastAsia="Arial" w:hAnsi="Arial"/>
          <w:sz w:val="16"/>
          <w:szCs w:val="16"/>
          <w:u w:val="single" w:color="auto"/>
          <w:color w:val="auto"/>
        </w:rPr>
        <w:t>Section 6.05(b)</w:t>
      </w:r>
      <w:r>
        <w:rPr>
          <w:rFonts w:ascii="Arial" w:cs="Arial" w:eastAsia="Arial" w:hAnsi="Arial"/>
          <w:sz w:val="16"/>
          <w:szCs w:val="16"/>
          <w:color w:val="auto"/>
        </w:rPr>
        <w:t xml:space="preserve"> herein) to maintain the status of a RIC under the Code and a “business development company” under the Investment Company Act for so long as the Borrower retains such status.</w:t>
      </w:r>
    </w:p>
    <w:p>
      <w:pPr>
        <w:spacing w:after="0" w:line="9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6" w:name="page87"/>
    <w:bookmarkEnd w:id="86"/>
    <w:p>
      <w:pPr>
        <w:ind w:left="-920" w:right="20" w:firstLine="921"/>
        <w:spacing w:after="0" w:line="304" w:lineRule="auto"/>
        <w:tabs>
          <w:tab w:leader="none" w:pos="232"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 Etc</w:t>
      </w:r>
      <w:r>
        <w:rPr>
          <w:rFonts w:ascii="Arial" w:cs="Arial" w:eastAsia="Arial" w:hAnsi="Arial"/>
          <w:sz w:val="15"/>
          <w:szCs w:val="15"/>
          <w:color w:val="auto"/>
        </w:rPr>
        <w:t xml:space="preserve">. The Borrower shall notify the Administrative Agent (and, in the case of prepayment of a Swingline Loan, the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5"/>
          <w:szCs w:val="15"/>
          <w:u w:val="single" w:color="auto"/>
          <w:color w:val="auto"/>
        </w:rPr>
        <w:t>Section 2.10(d)</w:t>
      </w:r>
      <w:r>
        <w:rPr>
          <w:rFonts w:ascii="Arial" w:cs="Arial" w:eastAsia="Arial" w:hAnsi="Arial"/>
          <w:sz w:val="15"/>
          <w:szCs w:val="15"/>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Arial" w:cs="Arial" w:eastAsia="Arial" w:hAnsi="Arial"/>
          <w:sz w:val="15"/>
          <w:szCs w:val="15"/>
          <w:u w:val="single" w:color="auto"/>
          <w:color w:val="auto"/>
        </w:rPr>
        <w:t>Section 2.10(d)</w:t>
      </w:r>
      <w:r>
        <w:rPr>
          <w:rFonts w:ascii="Arial" w:cs="Arial" w:eastAsia="Arial" w:hAnsi="Arial"/>
          <w:sz w:val="15"/>
          <w:szCs w:val="15"/>
          <w:color w:val="auto"/>
        </w:rPr>
        <w:t xml:space="preserve">), not later than 11:00 a.m., London time, four Business Days before the date of prepayment, (iii) in the case of prepayment of a Syndicated ABR Borrowing (other than in the case of a prepayment pursuant to </w:t>
      </w:r>
      <w:r>
        <w:rPr>
          <w:rFonts w:ascii="Arial" w:cs="Arial" w:eastAsia="Arial" w:hAnsi="Arial"/>
          <w:sz w:val="15"/>
          <w:szCs w:val="15"/>
          <w:u w:val="single" w:color="auto"/>
          <w:color w:val="auto"/>
        </w:rPr>
        <w:t>Section 2.10(d))</w:t>
      </w:r>
      <w:r>
        <w:rPr>
          <w:rFonts w:ascii="Arial" w:cs="Arial" w:eastAsia="Arial" w:hAnsi="Arial"/>
          <w:sz w:val="15"/>
          <w:szCs w:val="15"/>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Arial" w:cs="Arial" w:eastAsia="Arial" w:hAnsi="Arial"/>
          <w:sz w:val="15"/>
          <w:szCs w:val="15"/>
          <w:u w:val="single" w:color="auto"/>
          <w:color w:val="auto"/>
        </w:rPr>
        <w:t>Section 2.10(d)</w:t>
      </w:r>
      <w:r>
        <w:rPr>
          <w:rFonts w:ascii="Arial" w:cs="Arial" w:eastAsia="Arial" w:hAnsi="Arial"/>
          <w:sz w:val="15"/>
          <w:szCs w:val="15"/>
          <w:color w:val="auto"/>
        </w:rPr>
        <w:t xml:space="preserve">, not later than 11:00 a.m., Atlanta, Georgia time, one Business Day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(i) a notice of prepayment is given in connection with a conditional notice of termination of the Commitments of a Class as contemplated by </w:t>
      </w:r>
      <w:r>
        <w:rPr>
          <w:rFonts w:ascii="Arial" w:cs="Arial" w:eastAsia="Arial" w:hAnsi="Arial"/>
          <w:sz w:val="15"/>
          <w:szCs w:val="15"/>
          <w:u w:val="single" w:color="auto"/>
          <w:color w:val="auto"/>
        </w:rPr>
        <w:t>Section 2.08</w:t>
      </w:r>
      <w:r>
        <w:rPr>
          <w:rFonts w:ascii="Arial" w:cs="Arial" w:eastAsia="Arial" w:hAnsi="Arial"/>
          <w:sz w:val="15"/>
          <w:szCs w:val="15"/>
          <w:color w:val="auto"/>
        </w:rPr>
        <w:t xml:space="preserve">, then such notice of prepayment may be revoked if such notice of termination is revoked in accordance with </w:t>
      </w:r>
      <w:r>
        <w:rPr>
          <w:rFonts w:ascii="Arial" w:cs="Arial" w:eastAsia="Arial" w:hAnsi="Arial"/>
          <w:sz w:val="15"/>
          <w:szCs w:val="15"/>
          <w:u w:val="single" w:color="auto"/>
          <w:color w:val="auto"/>
        </w:rPr>
        <w:t>Section 2.08</w:t>
      </w:r>
      <w:r>
        <w:rPr>
          <w:rFonts w:ascii="Arial" w:cs="Arial" w:eastAsia="Arial" w:hAnsi="Arial"/>
          <w:sz w:val="15"/>
          <w:szCs w:val="15"/>
          <w:color w:val="auto"/>
        </w:rPr>
        <w:t xml:space="preserve"> and (ii) any notice given in connection with </w:t>
      </w:r>
      <w:r>
        <w:rPr>
          <w:rFonts w:ascii="Arial" w:cs="Arial" w:eastAsia="Arial" w:hAnsi="Arial"/>
          <w:sz w:val="15"/>
          <w:szCs w:val="15"/>
          <w:u w:val="single" w:color="auto"/>
          <w:color w:val="auto"/>
        </w:rPr>
        <w:t>Section 2.10(d)</w:t>
      </w:r>
      <w:r>
        <w:rPr>
          <w:rFonts w:ascii="Arial" w:cs="Arial" w:eastAsia="Arial" w:hAnsi="Arial"/>
          <w:sz w:val="15"/>
          <w:szCs w:val="15"/>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or in the case of a Swingline Loan, as provided in </w:t>
      </w:r>
      <w:r>
        <w:rPr>
          <w:rFonts w:ascii="Arial" w:cs="Arial" w:eastAsia="Arial" w:hAnsi="Arial"/>
          <w:sz w:val="15"/>
          <w:szCs w:val="15"/>
          <w:u w:val="single" w:color="auto"/>
          <w:color w:val="auto"/>
        </w:rPr>
        <w:t>Section 2.04</w:t>
      </w:r>
      <w:r>
        <w:rPr>
          <w:rFonts w:ascii="Arial" w:cs="Arial" w:eastAsia="Arial" w:hAnsi="Arial"/>
          <w:sz w:val="15"/>
          <w:szCs w:val="15"/>
          <w:color w:val="auto"/>
        </w:rPr>
        <w:t xml:space="preserve">, except as necessary to apply fully the required amount of a mandatory prepayment. Each prepayment of a Syndicated Borrowing of a Class shall be applied ratably to the Loans of such Class included in the prepaid Borrowing. Prepayments shall be accompanied by accrued interest to the extent required by </w:t>
      </w:r>
      <w:r>
        <w:rPr>
          <w:rFonts w:ascii="Arial" w:cs="Arial" w:eastAsia="Arial" w:hAnsi="Arial"/>
          <w:sz w:val="15"/>
          <w:szCs w:val="15"/>
          <w:u w:val="single" w:color="auto"/>
          <w:color w:val="auto"/>
        </w:rPr>
        <w:t>Section 2.12</w:t>
      </w:r>
      <w:r>
        <w:rPr>
          <w:rFonts w:ascii="Arial" w:cs="Arial" w:eastAsia="Arial" w:hAnsi="Arial"/>
          <w:sz w:val="15"/>
          <w:szCs w:val="15"/>
          <w:color w:val="auto"/>
        </w:rPr>
        <w:t xml:space="preserve"> and shall be made in the manner specified in </w:t>
      </w:r>
      <w:r>
        <w:rPr>
          <w:rFonts w:ascii="Arial" w:cs="Arial" w:eastAsia="Arial" w:hAnsi="Arial"/>
          <w:sz w:val="15"/>
          <w:szCs w:val="15"/>
          <w:u w:val="single" w:color="auto"/>
          <w:color w:val="auto"/>
        </w:rPr>
        <w:t>Section 2.09(b)</w:t>
      </w:r>
      <w:r>
        <w:rPr>
          <w:rFonts w:ascii="Arial" w:cs="Arial" w:eastAsia="Arial" w:hAnsi="Arial"/>
          <w:sz w:val="15"/>
          <w:szCs w:val="15"/>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71" w:lineRule="exact"/>
        <w:rPr>
          <w:sz w:val="20"/>
          <w:szCs w:val="20"/>
          <w:color w:val="auto"/>
        </w:rPr>
      </w:pPr>
    </w:p>
    <w:p>
      <w:pPr>
        <w:ind w:left="-920" w:right="40" w:firstLine="921"/>
        <w:spacing w:after="0" w:line="291" w:lineRule="auto"/>
        <w:tabs>
          <w:tab w:leader="none" w:pos="23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The Borrower agrees to pay to the Administrative Agent for account of each Lender a commitment fee, which shall accrue at a rate per annum equal to 0.50% on the average daily unused amount of the Dollar Commitment and Multicurrency Commitment, as applicable, of such Lender during the period from and including the date hereof to but excluding the earlier of the date such commitment terminates and the Commitment Termination Date. Accrued commitment fees shall be payable within one Business Day after each Quarterly Date and on the earlier of the date the Commitments of the respective Class terminate and the Commitment Termination Date, commencing on the first such date to occur after the date hereof. All commitment fees shall be computed on the basis of a year of 360 days and shall be payable for the actual number of days elapsed (including the first day but</w:t>
      </w:r>
    </w:p>
    <w:p>
      <w:pPr>
        <w:spacing w:after="0" w:line="107" w:lineRule="exact"/>
        <w:rPr>
          <w:sz w:val="20"/>
          <w:szCs w:val="20"/>
          <w:color w:val="auto"/>
        </w:rPr>
      </w:pPr>
    </w:p>
    <w:p>
      <w:pPr>
        <w:jc w:val="both"/>
        <w:ind w:left="4940"/>
        <w:spacing w:after="0"/>
        <w:tabs>
          <w:tab w:leader="none" w:pos="85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00"/>
          </w:cols>
          <w:pgMar w:left="1160" w:top="280" w:right="239" w:bottom="1440" w:gutter="0" w:footer="0" w:header="0"/>
        </w:sectPr>
      </w:pPr>
    </w:p>
    <w:bookmarkStart w:id="87" w:name="page88"/>
    <w:bookmarkEnd w:id="8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excluding the last day). For purposes of computing commitment fees,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40" w:lineRule="exact"/>
        <w:rPr>
          <w:sz w:val="20"/>
          <w:szCs w:val="20"/>
          <w:color w:val="auto"/>
        </w:rPr>
      </w:pPr>
    </w:p>
    <w:p>
      <w:pPr>
        <w:ind w:right="20" w:firstLine="921"/>
        <w:spacing w:after="0" w:line="284" w:lineRule="auto"/>
        <w:tabs>
          <w:tab w:leader="none" w:pos="1161"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with respect to the Letters of Credit shall be payable on the Termination Date and the Borrower shall pay any such fees that have accrued and that are unpaid on the Termination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31" w:lineRule="exact"/>
        <w:rPr>
          <w:rFonts w:ascii="Arial" w:cs="Arial" w:eastAsia="Arial" w:hAnsi="Arial"/>
          <w:sz w:val="16"/>
          <w:szCs w:val="16"/>
          <w:color w:val="auto"/>
        </w:rPr>
      </w:pPr>
    </w:p>
    <w:p>
      <w:pPr>
        <w:ind w:right="100" w:firstLine="921"/>
        <w:spacing w:after="0" w:line="268" w:lineRule="auto"/>
        <w:tabs>
          <w:tab w:leader="none" w:pos="115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Administrative Agent Fees</w:t>
      </w:r>
      <w:r>
        <w:rPr>
          <w:rFonts w:ascii="Arial" w:cs="Arial" w:eastAsia="Arial" w:hAnsi="Arial"/>
          <w:sz w:val="18"/>
          <w:szCs w:val="18"/>
          <w:color w:val="auto"/>
        </w:rPr>
        <w:t>. The Borrower agrees to pay to the Administrative Agent, for its own account, fees payable in the amounts and at the times separately agreed upon between the Borrower and the Administrative Agent.</w:t>
      </w:r>
    </w:p>
    <w:p>
      <w:pPr>
        <w:spacing w:after="0" w:line="131" w:lineRule="exact"/>
        <w:rPr>
          <w:rFonts w:ascii="Arial" w:cs="Arial" w:eastAsia="Arial" w:hAnsi="Arial"/>
          <w:sz w:val="18"/>
          <w:szCs w:val="18"/>
          <w:color w:val="auto"/>
        </w:rPr>
      </w:pPr>
    </w:p>
    <w:p>
      <w:pPr>
        <w:ind w:right="20" w:firstLine="921"/>
        <w:spacing w:after="0" w:line="298" w:lineRule="auto"/>
        <w:tabs>
          <w:tab w:leader="none" w:pos="1161"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Payment of Fees</w:t>
      </w:r>
      <w:r>
        <w:rPr>
          <w:rFonts w:ascii="Arial" w:cs="Arial" w:eastAsia="Arial" w:hAnsi="Arial"/>
          <w:sz w:val="16"/>
          <w:szCs w:val="16"/>
          <w:color w:val="auto"/>
        </w:rPr>
        <w:t>. All fees payable hereunder shall be paid on the dates due, in Dollars (or, at the election of the Borrower with respect to any fees payable to the Issuing Bank on account of Letters of Credit issued in any Foreign Currency, in such Foreign Currency) and immediately available funds, to the Administrative Agent (or to the Issuing Bank, in the case of fees payable to it) for distribution, in the case of commitment fees and participation fees, to the Lenders entitled thereto. Fees paid shall not be refundable under any circumstances absent obvious error.</w:t>
      </w:r>
    </w:p>
    <w:p>
      <w:pPr>
        <w:spacing w:after="0" w:line="9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8" w:name="page89"/>
    <w:bookmarkEnd w:id="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71" w:lineRule="exact"/>
        <w:rPr>
          <w:sz w:val="20"/>
          <w:szCs w:val="20"/>
          <w:color w:val="auto"/>
        </w:rPr>
      </w:pPr>
    </w:p>
    <w:p>
      <w:pPr>
        <w:ind w:right="260" w:firstLine="921"/>
        <w:spacing w:after="0" w:line="268" w:lineRule="auto"/>
        <w:tabs>
          <w:tab w:leader="none" w:pos="115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ABR Loans</w:t>
      </w:r>
      <w:r>
        <w:rPr>
          <w:rFonts w:ascii="Arial" w:cs="Arial" w:eastAsia="Arial" w:hAnsi="Arial"/>
          <w:sz w:val="18"/>
          <w:szCs w:val="18"/>
          <w:color w:val="auto"/>
        </w:rPr>
        <w:t xml:space="preserve">. The Loans constituting each ABR Borrowing (including each Swingline Loan) shall bear interest at a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31" w:lineRule="exact"/>
        <w:rPr>
          <w:rFonts w:ascii="Arial" w:cs="Arial" w:eastAsia="Arial" w:hAnsi="Arial"/>
          <w:sz w:val="18"/>
          <w:szCs w:val="18"/>
          <w:color w:val="auto"/>
        </w:rPr>
      </w:pPr>
    </w:p>
    <w:p>
      <w:pPr>
        <w:ind w:right="280" w:firstLine="921"/>
        <w:spacing w:after="0" w:line="268" w:lineRule="auto"/>
        <w:tabs>
          <w:tab w:leader="none" w:pos="116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The Loans constituting each Eurocurrency Borrowing shall bear interest at a rate per annum equal to the Adjusted LIBO Rate for the related Interest Period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31" w:lineRule="exact"/>
        <w:rPr>
          <w:rFonts w:ascii="Arial" w:cs="Arial" w:eastAsia="Arial" w:hAnsi="Arial"/>
          <w:sz w:val="18"/>
          <w:szCs w:val="18"/>
          <w:color w:val="auto"/>
        </w:rPr>
      </w:pPr>
    </w:p>
    <w:p>
      <w:pPr>
        <w:ind w:right="80" w:firstLine="921"/>
        <w:spacing w:after="0" w:line="294" w:lineRule="auto"/>
        <w:tabs>
          <w:tab w:leader="none" w:pos="1152"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Default Interest</w:t>
      </w:r>
      <w:r>
        <w:rPr>
          <w:rFonts w:ascii="Arial" w:cs="Arial" w:eastAsia="Arial" w:hAnsi="Arial"/>
          <w:sz w:val="16"/>
          <w:szCs w:val="16"/>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otherwise applicable to such Loan as provided above, (ii) in the case of any Letter of Credit, 2%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fee otherwise applicable to such Letter of Credit as provided in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in the case of any fee or other amount, 2%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applicable to ABR Loans as provided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w:t>
      </w:r>
    </w:p>
    <w:p>
      <w:pPr>
        <w:spacing w:after="0" w:line="115" w:lineRule="exact"/>
        <w:rPr>
          <w:rFonts w:ascii="Arial" w:cs="Arial" w:eastAsia="Arial" w:hAnsi="Arial"/>
          <w:sz w:val="16"/>
          <w:szCs w:val="16"/>
          <w:color w:val="auto"/>
        </w:rPr>
      </w:pPr>
    </w:p>
    <w:p>
      <w:pPr>
        <w:ind w:right="60" w:firstLine="921"/>
        <w:spacing w:after="0" w:line="291" w:lineRule="auto"/>
        <w:tabs>
          <w:tab w:leader="none" w:pos="1161"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Payment of Interest</w:t>
      </w:r>
      <w:r>
        <w:rPr>
          <w:rFonts w:ascii="Arial" w:cs="Arial" w:eastAsia="Arial" w:hAnsi="Arial"/>
          <w:sz w:val="16"/>
          <w:szCs w:val="16"/>
          <w:color w:val="auto"/>
        </w:rPr>
        <w:t xml:space="preserve">. Accrued interest on each Loan shall be payable in arrears on each Interest Payment Date for such Loan in the Currency in which such Loan is denominated and, in the case of Syndicated Loans, upon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shall be payable on demand, (ii) in the event of any repayment or prepayment of any Loan (other than a prepayment of a Syndicated ABR Loan prior to the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20" w:lineRule="exact"/>
        <w:rPr>
          <w:rFonts w:ascii="Arial" w:cs="Arial" w:eastAsia="Arial" w:hAnsi="Arial"/>
          <w:sz w:val="16"/>
          <w:szCs w:val="16"/>
          <w:color w:val="auto"/>
        </w:rPr>
      </w:pPr>
    </w:p>
    <w:p>
      <w:pPr>
        <w:ind w:right="200" w:firstLine="921"/>
        <w:spacing w:after="0" w:line="255" w:lineRule="auto"/>
        <w:tabs>
          <w:tab w:leader="none" w:pos="115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Computation</w:t>
      </w:r>
      <w:r>
        <w:rPr>
          <w:rFonts w:ascii="Arial" w:cs="Arial" w:eastAsia="Arial" w:hAnsi="Arial"/>
          <w:sz w:val="18"/>
          <w:szCs w:val="18"/>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Pounds Sterling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 If prior to the commencement of the Interest Period for any Eurocurrency Borrowing of a Class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Currency of such Borrowing herein called the “</w:t>
      </w:r>
      <w:r>
        <w:rPr>
          <w:rFonts w:ascii="Arial" w:cs="Arial" w:eastAsia="Arial" w:hAnsi="Arial"/>
          <w:sz w:val="18"/>
          <w:szCs w:val="18"/>
          <w:u w:val="single" w:color="auto"/>
          <w:color w:val="auto"/>
        </w:rPr>
        <w:t>Affected Currency</w:t>
      </w:r>
      <w:r>
        <w:rPr>
          <w:rFonts w:ascii="Arial" w:cs="Arial" w:eastAsia="Arial" w:hAnsi="Arial"/>
          <w:sz w:val="18"/>
          <w:szCs w:val="18"/>
          <w:color w:val="auto"/>
        </w:rPr>
        <w:t>”):</w:t>
      </w:r>
    </w:p>
    <w:p>
      <w:pPr>
        <w:spacing w:after="0" w:line="15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9" w:name="page90"/>
    <w:bookmarkEnd w:id="89"/>
    <w:p>
      <w:pPr>
        <w:ind w:right="100" w:firstLine="921"/>
        <w:spacing w:after="0" w:line="268" w:lineRule="auto"/>
        <w:tabs>
          <w:tab w:leader="none" w:pos="1152"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determines (which determination shall be conclusive absent manifest error) that adequate and reasonable means do not exist for ascertaining the Adjusted LIBO Rate for the Affected Currency for such Interest Period; or</w:t>
      </w:r>
    </w:p>
    <w:p>
      <w:pPr>
        <w:spacing w:after="0" w:line="131" w:lineRule="exact"/>
        <w:rPr>
          <w:rFonts w:ascii="Arial" w:cs="Arial" w:eastAsia="Arial" w:hAnsi="Arial"/>
          <w:sz w:val="18"/>
          <w:szCs w:val="18"/>
          <w:color w:val="auto"/>
        </w:rPr>
      </w:pPr>
    </w:p>
    <w:p>
      <w:pPr>
        <w:ind w:right="360" w:firstLine="921"/>
        <w:spacing w:after="0" w:line="259" w:lineRule="auto"/>
        <w:tabs>
          <w:tab w:leader="none" w:pos="116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of such Class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4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then the Administrative Agent shall give notice thereof to the Borrower and the affected Lenders by telephone or telecopy as promptly as practicable thereafter and, until the Administrative Agent notifies the Borrower and such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any Borrowing Request that requests a Eurocurrency Borrowing denominated in the Affected Currency shall be ineffective.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account of, or credit extended by, any Lender (except any such reserve requirement reflected in the Adjusted LIBO Rate) or the Issuing Bank; or</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Eurocurrency Loans made by such Lender or any Letter of Credit or participation therein;</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and the result of any of the foregoing shall be to increase the cost to such Lenders of making, converting to, continuing or maintaining any Eurocurrency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116" w:lineRule="exact"/>
        <w:rPr>
          <w:sz w:val="20"/>
          <w:szCs w:val="20"/>
          <w:color w:val="auto"/>
        </w:rPr>
      </w:pPr>
    </w:p>
    <w:p>
      <w:pPr>
        <w:ind w:right="20" w:firstLine="921"/>
        <w:spacing w:after="0" w:line="259" w:lineRule="auto"/>
        <w:tabs>
          <w:tab w:leader="none" w:pos="116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0" w:name="page91"/>
    <w:bookmarkEnd w:id="90"/>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by an amount deemed to be material by such Lender or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spacing w:after="0" w:line="120" w:lineRule="exact"/>
        <w:rPr>
          <w:sz w:val="20"/>
          <w:szCs w:val="20"/>
          <w:color w:val="auto"/>
        </w:rPr>
      </w:pPr>
    </w:p>
    <w:p>
      <w:pPr>
        <w:jc w:val="both"/>
        <w:ind w:right="60" w:firstLine="921"/>
        <w:spacing w:after="0" w:line="256" w:lineRule="auto"/>
        <w:tabs>
          <w:tab w:leader="none" w:pos="115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Certificates from Lenders</w:t>
      </w:r>
      <w:r>
        <w:rPr>
          <w:rFonts w:ascii="Arial" w:cs="Arial" w:eastAsia="Arial" w:hAnsi="Arial"/>
          <w:sz w:val="18"/>
          <w:szCs w:val="18"/>
          <w:color w:val="auto"/>
        </w:rPr>
        <w:t xml:space="preserve">. A certificate of a Lender or the Issuing Bank setting forth the amount or amounts, in Dollars, necessary to compensate such Lender or the Issuing Bank or its holding company, as the case may be,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shall be promptly delivered to the Borrower and shall be conclusive absent manifest error. The Borrower shall pay such Lender or the Issuing Bank, as the case may be, the amount shown as due on any such certificate within 10 days after receipt thereof.</w:t>
      </w:r>
    </w:p>
    <w:p>
      <w:pPr>
        <w:spacing w:after="0" w:line="143" w:lineRule="exact"/>
        <w:rPr>
          <w:rFonts w:ascii="Arial" w:cs="Arial" w:eastAsia="Arial" w:hAnsi="Arial"/>
          <w:sz w:val="18"/>
          <w:szCs w:val="18"/>
          <w:color w:val="auto"/>
        </w:rPr>
      </w:pPr>
    </w:p>
    <w:p>
      <w:pPr>
        <w:ind w:right="20" w:firstLine="921"/>
        <w:spacing w:after="0" w:line="291" w:lineRule="auto"/>
        <w:tabs>
          <w:tab w:leader="none" w:pos="1161"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six-month period referred to above shall be extended to include the period of retroactive effect thereof.</w:t>
      </w:r>
    </w:p>
    <w:p>
      <w:pPr>
        <w:spacing w:after="0" w:line="120"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and is revoked in accordance herewith), or (d) the assignment as a result of a request by the Borrower pursuant to</w:t>
      </w:r>
    </w:p>
    <w:p>
      <w:pPr>
        <w:spacing w:after="0" w:line="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of any Eurocurrency Loan other than on the last day of an Interest Period therefor, then, in any such event, the Borrower shall compensate each Lender for the loss, cost and reasonable expense attributable to such event. In the case of a Eurocurrency Loan, the loss to any Lender attributable to any such event shall be deemed to include an amount determined by such Lender to be equal to the excess, if any, of</w:t>
      </w:r>
    </w:p>
    <w:p>
      <w:pPr>
        <w:spacing w:after="0" w:line="28" w:lineRule="exact"/>
        <w:rPr>
          <w:sz w:val="20"/>
          <w:szCs w:val="20"/>
          <w:color w:val="auto"/>
        </w:rPr>
      </w:pPr>
    </w:p>
    <w:p>
      <w:pPr>
        <w:ind w:left="460" w:right="60" w:firstLine="443"/>
        <w:spacing w:after="0" w:line="259" w:lineRule="auto"/>
        <w:tabs>
          <w:tab w:leader="none" w:pos="11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1" w:name="page92"/>
    <w:bookmarkEnd w:id="91"/>
    <w:p>
      <w:pPr>
        <w:ind w:left="460"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18"/>
          <w:szCs w:val="18"/>
          <w:u w:val="single" w:color="auto"/>
          <w:color w:val="auto"/>
        </w:rPr>
        <w:t>over</w:t>
      </w:r>
    </w:p>
    <w:p>
      <w:pPr>
        <w:spacing w:after="0" w:line="51" w:lineRule="exact"/>
        <w:rPr>
          <w:sz w:val="20"/>
          <w:szCs w:val="20"/>
          <w:color w:val="auto"/>
        </w:rPr>
      </w:pPr>
    </w:p>
    <w:p>
      <w:pPr>
        <w:ind w:left="460" w:right="60" w:firstLine="443"/>
        <w:spacing w:after="0" w:line="259" w:lineRule="auto"/>
        <w:tabs>
          <w:tab w:leader="none" w:pos="115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302" w:lineRule="auto"/>
        <w:tabs>
          <w:tab w:leader="none" w:pos="1152" w:val="left"/>
        </w:tabs>
        <w:numPr>
          <w:ilvl w:val="1"/>
          <w:numId w:val="91"/>
        </w:numPr>
        <w:rPr>
          <w:rFonts w:ascii="Arial" w:cs="Arial" w:eastAsia="Arial" w:hAnsi="Arial"/>
          <w:sz w:val="15"/>
          <w:szCs w:val="15"/>
          <w:color w:val="auto"/>
        </w:rPr>
      </w:pPr>
      <w:r>
        <w:rPr>
          <w:rFonts w:ascii="Arial" w:cs="Arial" w:eastAsia="Arial" w:hAnsi="Arial"/>
          <w:sz w:val="15"/>
          <w:szCs w:val="15"/>
          <w:u w:val="single" w:color="auto"/>
          <w:color w:val="auto"/>
        </w:rPr>
        <w:t>Payments Free of Taxes</w:t>
      </w:r>
      <w:r>
        <w:rPr>
          <w:rFonts w:ascii="Arial" w:cs="Arial" w:eastAsia="Arial" w:hAnsi="Arial"/>
          <w:sz w:val="15"/>
          <w:szCs w:val="15"/>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the Borrower shall make such deductions and</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Borrower shall pay the full amount deducted to the relevant Governmental Authority in accordance with applicable law.</w:t>
      </w:r>
    </w:p>
    <w:p>
      <w:pPr>
        <w:spacing w:after="0" w:line="164" w:lineRule="exact"/>
        <w:rPr>
          <w:rFonts w:ascii="Arial" w:cs="Arial" w:eastAsia="Arial" w:hAnsi="Arial"/>
          <w:sz w:val="18"/>
          <w:szCs w:val="18"/>
          <w:color w:val="auto"/>
        </w:rPr>
      </w:pPr>
    </w:p>
    <w:p>
      <w:pPr>
        <w:ind w:right="620" w:firstLine="921"/>
        <w:spacing w:after="0" w:line="268" w:lineRule="auto"/>
        <w:tabs>
          <w:tab w:leader="none" w:pos="1161"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In addition, the Borrower shall pay any Other Taxes to the relevant Governmental Authority in accordance with applicable law.</w:t>
      </w:r>
    </w:p>
    <w:p>
      <w:pPr>
        <w:spacing w:after="0" w:line="131" w:lineRule="exact"/>
        <w:rPr>
          <w:rFonts w:ascii="Arial" w:cs="Arial" w:eastAsia="Arial" w:hAnsi="Arial"/>
          <w:sz w:val="18"/>
          <w:szCs w:val="18"/>
          <w:color w:val="auto"/>
        </w:rPr>
      </w:pPr>
    </w:p>
    <w:p>
      <w:pPr>
        <w:ind w:right="60" w:firstLine="921"/>
        <w:spacing w:after="0" w:line="289" w:lineRule="auto"/>
        <w:tabs>
          <w:tab w:leader="none" w:pos="1152"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each Lender and the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the Issuing Bank. A certificate as to the amount of such payment or liability delivered to the Borrower by a Lender or the Issuing Bank, or by the Administrative Agent on its own behalf or on behalf of a Lender or the Issuing Bank, shall be conclusive absent manifest error.</w:t>
      </w:r>
    </w:p>
    <w:p>
      <w:pPr>
        <w:spacing w:after="0" w:line="10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2" w:name="page93"/>
    <w:bookmarkEnd w:id="92"/>
    <w:p>
      <w:pPr>
        <w:ind w:left="-903" w:firstLine="921"/>
        <w:spacing w:after="0" w:line="288" w:lineRule="auto"/>
        <w:tabs>
          <w:tab w:leader="none" w:pos="259"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by the Lenders</w:t>
      </w:r>
      <w:r>
        <w:rPr>
          <w:rFonts w:ascii="Arial" w:cs="Arial" w:eastAsia="Arial" w:hAnsi="Arial"/>
          <w:sz w:val="16"/>
          <w:szCs w:val="16"/>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6"/>
          <w:szCs w:val="16"/>
          <w:u w:val="single" w:color="auto"/>
          <w:color w:val="auto"/>
        </w:rPr>
        <w:t>Section 9.04(f)</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6"/>
          <w:szCs w:val="16"/>
          <w:u w:val="single" w:color="auto"/>
          <w:color w:val="auto"/>
        </w:rPr>
        <w:t>paragraph (d)</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903" w:right="140" w:firstLine="921"/>
        <w:spacing w:after="0" w:line="306" w:lineRule="auto"/>
        <w:tabs>
          <w:tab w:leader="none" w:pos="249"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06" w:lineRule="exact"/>
        <w:rPr>
          <w:rFonts w:ascii="Arial" w:cs="Arial" w:eastAsia="Arial" w:hAnsi="Arial"/>
          <w:sz w:val="16"/>
          <w:szCs w:val="16"/>
          <w:color w:val="auto"/>
        </w:rPr>
      </w:pPr>
    </w:p>
    <w:p>
      <w:pPr>
        <w:ind w:left="-903" w:firstLine="921"/>
        <w:spacing w:after="0" w:line="287" w:lineRule="auto"/>
        <w:tabs>
          <w:tab w:leader="none" w:pos="23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Tax Documentation</w:t>
      </w:r>
      <w:r>
        <w:rPr>
          <w:rFonts w:ascii="Arial" w:cs="Arial" w:eastAsia="Arial" w:hAnsi="Arial"/>
          <w:sz w:val="16"/>
          <w:szCs w:val="16"/>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2.16(f)(ii)</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41" w:lineRule="exact"/>
        <w:rPr>
          <w:rFonts w:ascii="Arial" w:cs="Arial" w:eastAsia="Arial" w:hAnsi="Arial"/>
          <w:sz w:val="16"/>
          <w:szCs w:val="16"/>
          <w:color w:val="auto"/>
        </w:rPr>
      </w:pPr>
    </w:p>
    <w:p>
      <w:pPr>
        <w:ind w:left="257" w:hanging="257"/>
        <w:spacing w:after="0"/>
        <w:tabs>
          <w:tab w:leader="none" w:pos="2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90" w:lineRule="exact"/>
        <w:rPr>
          <w:rFonts w:ascii="Arial" w:cs="Arial" w:eastAsia="Arial" w:hAnsi="Arial"/>
          <w:sz w:val="18"/>
          <w:szCs w:val="18"/>
          <w:color w:val="auto"/>
        </w:rPr>
      </w:pPr>
    </w:p>
    <w:p>
      <w:pPr>
        <w:ind w:left="17" w:right="80" w:firstLine="421"/>
        <w:spacing w:after="0" w:line="255" w:lineRule="auto"/>
        <w:tabs>
          <w:tab w:leader="none" w:pos="725"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Lender that is a “United States person” (as defined under Section 7701(a)(30) of the Code) shall deliver to the Borrower and the Administrative Agent (and such additional copies as shall be reasonably requested by the recipient) on or prior to the date on which such Lender become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29"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93" w:name="page94"/>
    <w:bookmarkEnd w:id="93"/>
    <w:p>
      <w:pPr>
        <w:ind w:left="17" w:right="180" w:firstLine="421"/>
        <w:spacing w:after="0" w:line="256" w:lineRule="auto"/>
        <w:tabs>
          <w:tab w:leader="none" w:pos="715" w:val="left"/>
        </w:tabs>
        <w:numPr>
          <w:ilvl w:val="1"/>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62" w:lineRule="exact"/>
        <w:rPr>
          <w:rFonts w:ascii="Arial" w:cs="Arial" w:eastAsia="Arial" w:hAnsi="Arial"/>
          <w:sz w:val="18"/>
          <w:szCs w:val="18"/>
          <w:color w:val="auto"/>
        </w:rPr>
      </w:pPr>
    </w:p>
    <w:p>
      <w:pPr>
        <w:ind w:left="597" w:right="340" w:firstLine="389"/>
        <w:spacing w:after="0" w:line="268" w:lineRule="auto"/>
        <w:tabs>
          <w:tab w:leader="none" w:pos="1282" w:val="left"/>
        </w:tabs>
        <w:numPr>
          <w:ilvl w:val="2"/>
          <w:numId w:val="95"/>
        </w:numPr>
        <w:rPr>
          <w:rFonts w:ascii="Arial" w:cs="Arial" w:eastAsia="Arial" w:hAnsi="Arial"/>
          <w:sz w:val="18"/>
          <w:szCs w:val="18"/>
          <w:color w:val="auto"/>
        </w:rPr>
      </w:pPr>
      <w:r>
        <w:rPr>
          <w:rFonts w:ascii="Arial" w:cs="Arial" w:eastAsia="Arial" w:hAnsi="Arial"/>
          <w:sz w:val="18"/>
          <w:szCs w:val="18"/>
          <w:color w:val="auto"/>
        </w:rPr>
        <w:t>duly completed and executed copies of Internal Revenue Service Form W-8BEN or any successor form claiming eligibility for benefits of an income tax treaty to which the United States is a party,</w:t>
      </w:r>
    </w:p>
    <w:p>
      <w:pPr>
        <w:spacing w:after="0" w:line="50" w:lineRule="exact"/>
        <w:rPr>
          <w:rFonts w:ascii="Arial" w:cs="Arial" w:eastAsia="Arial" w:hAnsi="Arial"/>
          <w:sz w:val="18"/>
          <w:szCs w:val="18"/>
          <w:color w:val="auto"/>
        </w:rPr>
      </w:pPr>
    </w:p>
    <w:p>
      <w:pPr>
        <w:ind w:left="597" w:right="440" w:firstLine="389"/>
        <w:spacing w:after="0" w:line="332" w:lineRule="auto"/>
        <w:tabs>
          <w:tab w:leader="none" w:pos="1243" w:val="left"/>
        </w:tabs>
        <w:numPr>
          <w:ilvl w:val="2"/>
          <w:numId w:val="95"/>
        </w:numPr>
        <w:rPr>
          <w:rFonts w:ascii="Arial" w:cs="Arial" w:eastAsia="Arial" w:hAnsi="Arial"/>
          <w:sz w:val="16"/>
          <w:szCs w:val="16"/>
          <w:color w:val="auto"/>
        </w:rPr>
      </w:pPr>
      <w:r>
        <w:rPr>
          <w:rFonts w:ascii="Arial" w:cs="Arial" w:eastAsia="Arial" w:hAnsi="Arial"/>
          <w:sz w:val="16"/>
          <w:szCs w:val="16"/>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4" w:lineRule="exact"/>
        <w:rPr>
          <w:rFonts w:ascii="Arial" w:cs="Arial" w:eastAsia="Arial" w:hAnsi="Arial"/>
          <w:sz w:val="16"/>
          <w:szCs w:val="16"/>
          <w:color w:val="auto"/>
        </w:rPr>
      </w:pPr>
    </w:p>
    <w:p>
      <w:pPr>
        <w:ind w:left="597" w:right="80" w:firstLine="389"/>
        <w:spacing w:after="0" w:line="294" w:lineRule="auto"/>
        <w:tabs>
          <w:tab w:leader="none" w:pos="1243" w:val="left"/>
        </w:tabs>
        <w:numPr>
          <w:ilvl w:val="2"/>
          <w:numId w:val="95"/>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any successor form) certifying that the Foreign Lender is not a United States Person, or</w:t>
      </w:r>
    </w:p>
    <w:p>
      <w:pPr>
        <w:spacing w:after="0" w:line="34" w:lineRule="exact"/>
        <w:rPr>
          <w:rFonts w:ascii="Arial" w:cs="Arial" w:eastAsia="Arial" w:hAnsi="Arial"/>
          <w:sz w:val="16"/>
          <w:szCs w:val="16"/>
          <w:color w:val="auto"/>
        </w:rPr>
      </w:pPr>
    </w:p>
    <w:p>
      <w:pPr>
        <w:ind w:left="1217" w:hanging="231"/>
        <w:spacing w:after="0"/>
        <w:tabs>
          <w:tab w:leader="none" w:pos="1217" w:val="left"/>
        </w:tabs>
        <w:numPr>
          <w:ilvl w:val="2"/>
          <w:numId w:val="95"/>
        </w:numPr>
        <w:rPr>
          <w:rFonts w:ascii="Arial" w:cs="Arial" w:eastAsia="Arial" w:hAnsi="Arial"/>
          <w:sz w:val="16"/>
          <w:szCs w:val="16"/>
          <w:color w:val="auto"/>
        </w:rPr>
      </w:pPr>
      <w:r>
        <w:rPr>
          <w:rFonts w:ascii="Arial" w:cs="Arial" w:eastAsia="Arial" w:hAnsi="Arial"/>
          <w:sz w:val="16"/>
          <w:szCs w:val="16"/>
          <w:color w:val="auto"/>
        </w:rPr>
        <w:t>any other form including Internal Revenue Service Form W-8IMY as applicable prescribed by applicable law as a basis for</w:t>
      </w:r>
    </w:p>
    <w:p>
      <w:pPr>
        <w:spacing w:after="0" w:line="38" w:lineRule="exact"/>
        <w:rPr>
          <w:rFonts w:ascii="Arial" w:cs="Arial" w:eastAsia="Arial" w:hAnsi="Arial"/>
          <w:sz w:val="16"/>
          <w:szCs w:val="16"/>
          <w:color w:val="auto"/>
        </w:rPr>
      </w:pPr>
    </w:p>
    <w:p>
      <w:pPr>
        <w:ind w:left="597" w:right="40"/>
        <w:spacing w:after="0" w:line="323" w:lineRule="auto"/>
        <w:rPr>
          <w:rFonts w:ascii="Arial" w:cs="Arial" w:eastAsia="Arial" w:hAnsi="Arial"/>
          <w:sz w:val="16"/>
          <w:szCs w:val="16"/>
          <w:color w:val="auto"/>
        </w:rPr>
      </w:pPr>
      <w:r>
        <w:rPr>
          <w:rFonts w:ascii="Arial" w:cs="Arial" w:eastAsia="Arial" w:hAnsi="Arial"/>
          <w:sz w:val="16"/>
          <w:szCs w:val="16"/>
          <w:color w:val="auto"/>
        </w:rPr>
        <w:t>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1" w:lineRule="exact"/>
        <w:rPr>
          <w:rFonts w:ascii="Arial" w:cs="Arial" w:eastAsia="Arial" w:hAnsi="Arial"/>
          <w:sz w:val="16"/>
          <w:szCs w:val="16"/>
          <w:color w:val="auto"/>
        </w:rPr>
      </w:pPr>
    </w:p>
    <w:p>
      <w:pPr>
        <w:jc w:val="both"/>
        <w:ind w:left="-443" w:right="140" w:firstLine="443"/>
        <w:spacing w:after="0" w:line="298" w:lineRule="auto"/>
        <w:tabs>
          <w:tab w:leader="none" w:pos="303"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In addition, each Lender shall deliver such forms promptly upon the obsolescence, expiration or invalidity of any form previously delivered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99"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94" w:name="page95"/>
    <w:bookmarkEnd w:id="94"/>
    <w:p>
      <w:pPr>
        <w:ind w:left="-920" w:right="40" w:firstLine="921"/>
        <w:spacing w:after="0" w:line="312" w:lineRule="auto"/>
        <w:tabs>
          <w:tab w:leader="none" w:pos="241"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Documentation Required by FATCA</w:t>
      </w:r>
      <w:r>
        <w:rPr>
          <w:rFonts w:ascii="Arial" w:cs="Arial" w:eastAsia="Arial" w:hAnsi="Arial"/>
          <w:sz w:val="15"/>
          <w:szCs w:val="15"/>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Arial" w:cs="Arial" w:eastAsia="Arial" w:hAnsi="Arial"/>
          <w:sz w:val="15"/>
          <w:szCs w:val="15"/>
          <w:u w:val="single" w:color="auto"/>
          <w:color w:val="auto"/>
        </w:rPr>
        <w:t>Section 2.16(g)</w:t>
      </w:r>
      <w:r>
        <w:rPr>
          <w:rFonts w:ascii="Arial" w:cs="Arial" w:eastAsia="Arial" w:hAnsi="Arial"/>
          <w:sz w:val="15"/>
          <w:szCs w:val="15"/>
          <w:color w:val="auto"/>
        </w:rPr>
        <w:t>, “FATCA” shall include any amendments made to FATCA after the date of this Agreement.</w:t>
      </w:r>
    </w:p>
    <w:p>
      <w:pPr>
        <w:spacing w:after="0" w:line="105" w:lineRule="exact"/>
        <w:rPr>
          <w:rFonts w:ascii="Arial" w:cs="Arial" w:eastAsia="Arial" w:hAnsi="Arial"/>
          <w:sz w:val="15"/>
          <w:szCs w:val="15"/>
          <w:color w:val="auto"/>
        </w:rPr>
      </w:pPr>
    </w:p>
    <w:p>
      <w:pPr>
        <w:ind w:left="-920" w:firstLine="921"/>
        <w:spacing w:after="0" w:line="286" w:lineRule="auto"/>
        <w:tabs>
          <w:tab w:leader="none" w:pos="241"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in no event will the Administrative Agent, any Lender or an Issuing Bank be required to pay any amount to Borrower pursuant to this </w:t>
      </w:r>
      <w:r>
        <w:rPr>
          <w:rFonts w:ascii="Arial" w:cs="Arial" w:eastAsia="Arial" w:hAnsi="Arial"/>
          <w:sz w:val="16"/>
          <w:szCs w:val="16"/>
          <w:u w:val="single" w:color="auto"/>
          <w:color w:val="auto"/>
        </w:rPr>
        <w:t>clause (h)</w:t>
      </w:r>
      <w:r>
        <w:rPr>
          <w:rFonts w:ascii="Arial" w:cs="Arial" w:eastAsia="Arial" w:hAnsi="Arial"/>
          <w:sz w:val="16"/>
          <w:szCs w:val="16"/>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171" w:lineRule="exact"/>
        <w:rPr>
          <w:sz w:val="20"/>
          <w:szCs w:val="20"/>
          <w:color w:val="auto"/>
        </w:rPr>
      </w:pPr>
    </w:p>
    <w:p>
      <w:pPr>
        <w:ind w:left="-920" w:right="60" w:firstLine="921"/>
        <w:spacing w:after="0" w:line="294" w:lineRule="auto"/>
        <w:tabs>
          <w:tab w:leader="none" w:pos="232"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Payments by the Borrower</w:t>
      </w:r>
      <w:r>
        <w:rPr>
          <w:rFonts w:ascii="Arial" w:cs="Arial" w:eastAsia="Arial" w:hAnsi="Arial"/>
          <w:sz w:val="16"/>
          <w:szCs w:val="16"/>
          <w:color w:val="auto"/>
        </w:rPr>
        <w:t xml:space="preserve">. The Borrower shall make each payment required to be made by it hereunder (whether of principal, interest, fees or reimbursement of LC Disbursements, or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w:t>
      </w:r>
    </w:p>
    <w:p>
      <w:pPr>
        <w:spacing w:after="0" w:line="102" w:lineRule="exact"/>
        <w:rPr>
          <w:sz w:val="20"/>
          <w:szCs w:val="20"/>
          <w:color w:val="auto"/>
        </w:rPr>
      </w:pPr>
    </w:p>
    <w:p>
      <w:pPr>
        <w:jc w:val="both"/>
        <w:ind w:left="4940"/>
        <w:spacing w:after="0"/>
        <w:tabs>
          <w:tab w:leader="none" w:pos="85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00"/>
          </w:cols>
          <w:pgMar w:left="1160" w:top="280" w:right="239" w:bottom="1440" w:gutter="0" w:footer="0" w:header="0"/>
        </w:sectPr>
      </w:pPr>
    </w:p>
    <w:bookmarkStart w:id="95" w:name="page96"/>
    <w:bookmarkEnd w:id="95"/>
    <w:p>
      <w:pPr>
        <w:ind w:right="6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at the Administrative Agent’s Account, except as otherwise expressly provided in the relevant Loan Document and except payments to be made directly to the Issuing Bank or the Swingline Lender as expressly provided herein and payments pursuant to </w:t>
      </w:r>
      <w:r>
        <w:rPr>
          <w:rFonts w:ascii="Arial" w:cs="Arial" w:eastAsia="Arial" w:hAnsi="Arial"/>
          <w:sz w:val="15"/>
          <w:szCs w:val="15"/>
          <w:u w:val="single" w:color="auto"/>
          <w:color w:val="auto"/>
        </w:rPr>
        <w:t>Sections 2.14</w:t>
      </w:r>
      <w:r>
        <w:rPr>
          <w:rFonts w:ascii="Arial" w:cs="Arial" w:eastAsia="Arial" w:hAnsi="Arial"/>
          <w:sz w:val="15"/>
          <w:szCs w:val="15"/>
          <w:color w:val="auto"/>
        </w:rPr>
        <w:t xml:space="preserve">, </w:t>
      </w:r>
      <w:r>
        <w:rPr>
          <w:rFonts w:ascii="Arial" w:cs="Arial" w:eastAsia="Arial" w:hAnsi="Arial"/>
          <w:sz w:val="15"/>
          <w:szCs w:val="15"/>
          <w:u w:val="single" w:color="auto"/>
          <w:color w:val="auto"/>
        </w:rPr>
        <w:t>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9.03</w:t>
      </w:r>
      <w:r>
        <w:rPr>
          <w:rFonts w:ascii="Arial" w:cs="Arial" w:eastAsia="Arial" w:hAnsi="Arial"/>
          <w:sz w:val="15"/>
          <w:szCs w:val="15"/>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0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All amounts owing under this Agreement (including commitment fees, payments required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payments required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6"/>
          <w:szCs w:val="16"/>
          <w:u w:val="single" w:color="auto"/>
          <w:color w:val="auto"/>
        </w:rPr>
        <w:t>Section 2.15</w:t>
      </w:r>
      <w:r>
        <w:rPr>
          <w:rFonts w:ascii="Arial" w:cs="Arial" w:eastAsia="Arial" w:hAnsi="Arial"/>
          <w:sz w:val="16"/>
          <w:szCs w:val="16"/>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Notwithstanding the foregoing provisions of this Section, if, after the making of any Borrowing in any Foreign Currency, currency control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exchange regulations are imposed in the country which issues such currency with the result that the type of currency in which the Borrowing was made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Currency</w:t>
      </w:r>
      <w:r>
        <w:rPr>
          <w:rFonts w:ascii="Arial" w:cs="Arial" w:eastAsia="Arial" w:hAnsi="Arial"/>
          <w:sz w:val="16"/>
          <w:szCs w:val="16"/>
          <w:color w:val="auto"/>
        </w:rPr>
        <w:t>”) no longer exists or the Borrower is not able to make payment to the Administrative Agent for the account of the Lenders in such Original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Currency, then all payments to be made by the Borrower hereunder in such currency shall instead be made when due in Dollars in an amount equal to the 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Equivalent (as of the date of repayment) of such payment due, it being the intention of the parties hereto that the Borrower takes all risks of the imposition of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currency control or exchange regulations.</w:t>
      </w:r>
    </w:p>
    <w:p>
      <w:pPr>
        <w:spacing w:after="0" w:line="84" w:lineRule="exact"/>
        <w:rPr>
          <w:sz w:val="20"/>
          <w:szCs w:val="20"/>
          <w:color w:val="auto"/>
        </w:rPr>
      </w:pPr>
    </w:p>
    <w:p>
      <w:pPr>
        <w:ind w:right="80" w:firstLine="921"/>
        <w:spacing w:after="0" w:line="294" w:lineRule="auto"/>
        <w:tabs>
          <w:tab w:leader="none" w:pos="1161"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Application of Insufficient Payments</w:t>
      </w:r>
      <w:r>
        <w:rPr>
          <w:rFonts w:ascii="Arial" w:cs="Arial" w:eastAsia="Arial" w:hAnsi="Arial"/>
          <w:sz w:val="16"/>
          <w:szCs w:val="16"/>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0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6" w:name="page97"/>
    <w:bookmarkEnd w:id="96"/>
    <w:p>
      <w:pPr>
        <w:ind w:left="-921" w:right="20" w:firstLine="921"/>
        <w:spacing w:after="0" w:line="287" w:lineRule="auto"/>
        <w:tabs>
          <w:tab w:leader="none" w:pos="231"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 Rata Treatment</w:t>
      </w:r>
      <w:r>
        <w:rPr>
          <w:rFonts w:ascii="Arial" w:cs="Arial" w:eastAsia="Arial" w:hAnsi="Arial"/>
          <w:sz w:val="16"/>
          <w:szCs w:val="16"/>
          <w:color w:val="auto"/>
        </w:rPr>
        <w:t xml:space="preserve">. Except to the extent otherwise provided herein: (i) each Syndicated Borrowing of a Class shall be made from the Lenders of such Class, each payment of commitment fee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be made for account of the Lenders of the applicable Class, and each termination or reduction of the amount of the Commitments of a Class under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shall be applied to the respective Commitments of the Lenders of such Class, pro rata according to the amounts of their respective Commitments of such Class; (ii)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by the Borrower shall be made for account of the Lenders of such Class pro rata in accordance with the respective unpaid principal amounts of the Syndicated Loans of such Class held by them; and (iv) each payment of interest on Syndicated Loans of a Class by the Borrower shall be made for account of the Lenders of such Class pro rata in accordance with the amounts of interest on such Loans of such Class then due and payable to the respective Lenders.</w:t>
      </w:r>
    </w:p>
    <w:p>
      <w:pPr>
        <w:spacing w:after="0" w:line="122" w:lineRule="exact"/>
        <w:rPr>
          <w:rFonts w:ascii="Arial" w:cs="Arial" w:eastAsia="Arial" w:hAnsi="Arial"/>
          <w:sz w:val="16"/>
          <w:szCs w:val="16"/>
          <w:color w:val="auto"/>
        </w:rPr>
      </w:pPr>
    </w:p>
    <w:p>
      <w:pPr>
        <w:ind w:left="-921" w:right="20" w:firstLine="921"/>
        <w:spacing w:after="0" w:line="285" w:lineRule="auto"/>
        <w:tabs>
          <w:tab w:leader="none" w:pos="24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26" w:lineRule="exact"/>
        <w:rPr>
          <w:rFonts w:ascii="Arial" w:cs="Arial" w:eastAsia="Arial" w:hAnsi="Arial"/>
          <w:sz w:val="16"/>
          <w:szCs w:val="16"/>
          <w:color w:val="auto"/>
        </w:rPr>
      </w:pPr>
    </w:p>
    <w:p>
      <w:pPr>
        <w:ind w:left="-921" w:right="40" w:firstLine="921"/>
        <w:spacing w:after="0" w:line="259" w:lineRule="auto"/>
        <w:tabs>
          <w:tab w:leader="none" w:pos="23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Presumptions of Payment</w:t>
      </w:r>
      <w:r>
        <w:rPr>
          <w:rFonts w:ascii="Arial" w:cs="Arial" w:eastAsia="Arial" w:hAnsi="Arial"/>
          <w:sz w:val="18"/>
          <w:szCs w:val="18"/>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w:t>
      </w:r>
    </w:p>
    <w:p>
      <w:pPr>
        <w:spacing w:after="0" w:line="127" w:lineRule="exact"/>
        <w:rPr>
          <w:sz w:val="20"/>
          <w:szCs w:val="20"/>
          <w:color w:val="auto"/>
        </w:rPr>
      </w:pPr>
    </w:p>
    <w:p>
      <w:pPr>
        <w:jc w:val="both"/>
        <w:ind w:left="4939"/>
        <w:spacing w:after="0"/>
        <w:tabs>
          <w:tab w:leader="none" w:pos="8499"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499"/>
          </w:cols>
          <w:pgMar w:left="1161" w:top="280" w:right="239" w:bottom="1440" w:gutter="0" w:footer="0" w:header="0"/>
        </w:sectPr>
      </w:pPr>
    </w:p>
    <w:bookmarkStart w:id="97" w:name="page98"/>
    <w:bookmarkEnd w:id="9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Certain Deductions by the Administrative Agent</w:t>
      </w:r>
      <w:r>
        <w:rPr>
          <w:rFonts w:ascii="Arial" w:cs="Arial" w:eastAsia="Arial" w:hAnsi="Arial"/>
          <w:sz w:val="18"/>
          <w:szCs w:val="18"/>
          <w:color w:val="auto"/>
        </w:rPr>
        <w:t>. If any Lender shall fail to make any payment required to be made by it pursuant to</w:t>
      </w:r>
    </w:p>
    <w:p>
      <w:pPr>
        <w:spacing w:after="0" w:line="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2.17(e)</w:t>
      </w:r>
      <w:r>
        <w:rPr>
          <w:rFonts w:ascii="Arial" w:cs="Arial" w:eastAsia="Arial" w:hAnsi="Arial"/>
          <w:sz w:val="18"/>
          <w:szCs w:val="18"/>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71" w:lineRule="exact"/>
        <w:rPr>
          <w:sz w:val="20"/>
          <w:szCs w:val="20"/>
          <w:color w:val="auto"/>
        </w:rPr>
      </w:pPr>
    </w:p>
    <w:p>
      <w:pPr>
        <w:ind w:right="120" w:firstLine="921"/>
        <w:spacing w:after="0" w:line="290" w:lineRule="auto"/>
        <w:tabs>
          <w:tab w:leader="none" w:pos="1152"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18" w:lineRule="exact"/>
        <w:rPr>
          <w:rFonts w:ascii="Arial" w:cs="Arial" w:eastAsia="Arial" w:hAnsi="Arial"/>
          <w:sz w:val="16"/>
          <w:szCs w:val="16"/>
          <w:color w:val="auto"/>
        </w:rPr>
      </w:pPr>
    </w:p>
    <w:p>
      <w:pPr>
        <w:ind w:firstLine="921"/>
        <w:spacing w:after="0" w:line="286" w:lineRule="auto"/>
        <w:tabs>
          <w:tab w:leader="none" w:pos="1161"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if any Lender becomes a Defaulting Lender or is a Non-Consenting Lender (as provided in </w:t>
      </w:r>
      <w:r>
        <w:rPr>
          <w:rFonts w:ascii="Arial" w:cs="Arial" w:eastAsia="Arial" w:hAnsi="Arial"/>
          <w:sz w:val="16"/>
          <w:szCs w:val="16"/>
          <w:u w:val="single" w:color="auto"/>
          <w:color w:val="auto"/>
        </w:rPr>
        <w:t>Section 9.02(d)</w:t>
      </w:r>
      <w:r>
        <w:rPr>
          <w:rFonts w:ascii="Arial" w:cs="Arial" w:eastAsia="Arial" w:hAnsi="Arial"/>
          <w:sz w:val="16"/>
          <w:szCs w:val="16"/>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Commitment is being assigned,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8" w:name="page99"/>
    <w:bookmarkEnd w:id="98"/>
    <w:p>
      <w:pPr>
        <w:ind w:left="45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71" w:lineRule="exact"/>
        <w:rPr>
          <w:sz w:val="20"/>
          <w:szCs w:val="20"/>
          <w:color w:val="auto"/>
        </w:rPr>
      </w:pPr>
    </w:p>
    <w:p>
      <w:pPr>
        <w:ind w:left="-464" w:right="420" w:firstLine="921"/>
        <w:spacing w:after="0" w:line="332" w:lineRule="auto"/>
        <w:tabs>
          <w:tab w:leader="none" w:pos="687" w:val="left"/>
        </w:tabs>
        <w:numPr>
          <w:ilvl w:val="2"/>
          <w:numId w:val="102"/>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4" w:lineRule="exact"/>
        <w:rPr>
          <w:rFonts w:ascii="Arial" w:cs="Arial" w:eastAsia="Arial" w:hAnsi="Arial"/>
          <w:sz w:val="16"/>
          <w:szCs w:val="16"/>
          <w:color w:val="auto"/>
        </w:rPr>
      </w:pPr>
    </w:p>
    <w:p>
      <w:pPr>
        <w:ind w:left="-4" w:right="20" w:firstLine="443"/>
        <w:spacing w:after="0" w:line="282" w:lineRule="auto"/>
        <w:tabs>
          <w:tab w:leader="none" w:pos="643"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or received by Administrative Agent from a Defaulting Lender pursuant to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shall be applied at such time or times as may be determined by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Issuing Bank or Swingline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Issuing Bank’s Fronting Exposure with respect to such Defaulting Lender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Administrative Agent and Borrower, to be held in a deposit account and released pro rata in order to</w:t>
      </w:r>
    </w:p>
    <w:p>
      <w:pPr>
        <w:spacing w:after="0" w:line="5" w:lineRule="exact"/>
        <w:rPr>
          <w:rFonts w:ascii="Arial" w:cs="Arial" w:eastAsia="Arial" w:hAnsi="Arial"/>
          <w:sz w:val="16"/>
          <w:szCs w:val="16"/>
          <w:color w:val="auto"/>
        </w:rPr>
      </w:pPr>
    </w:p>
    <w:p>
      <w:pPr>
        <w:ind w:left="-4" w:firstLine="4"/>
        <w:spacing w:after="0" w:line="300" w:lineRule="auto"/>
        <w:tabs>
          <w:tab w:leader="none" w:pos="244" w:val="left"/>
        </w:tabs>
        <w:numPr>
          <w:ilvl w:val="0"/>
          <w:numId w:val="104"/>
        </w:numPr>
        <w:rPr>
          <w:rFonts w:ascii="Arial" w:cs="Arial" w:eastAsia="Arial" w:hAnsi="Arial"/>
          <w:sz w:val="15"/>
          <w:szCs w:val="15"/>
          <w:color w:val="auto"/>
        </w:rPr>
      </w:pPr>
      <w:r>
        <w:rPr>
          <w:rFonts w:ascii="Arial" w:cs="Arial" w:eastAsia="Arial" w:hAnsi="Arial"/>
          <w:sz w:val="15"/>
          <w:szCs w:val="15"/>
          <w:color w:val="auto"/>
        </w:rPr>
        <w:t xml:space="preserve">satisfy such Defaulting Lender’s potential future funding obligations with respect to Loans under this Agreement and (y) Cash Collateralize Issuing Bank’s future Fronting Exposure with respect to such Defaulting Lender with respect to future Letters of Credit issued under this Agreement, in the manner described in </w:t>
      </w:r>
      <w:r>
        <w:rPr>
          <w:rFonts w:ascii="Arial" w:cs="Arial" w:eastAsia="Arial" w:hAnsi="Arial"/>
          <w:sz w:val="15"/>
          <w:szCs w:val="15"/>
          <w:u w:val="single" w:color="auto"/>
          <w:color w:val="auto"/>
        </w:rPr>
        <w:t>Section 2.09(a)</w:t>
      </w:r>
      <w:r>
        <w:rPr>
          <w:rFonts w:ascii="Arial" w:cs="Arial" w:eastAsia="Arial" w:hAnsi="Arial"/>
          <w:sz w:val="15"/>
          <w:szCs w:val="15"/>
          <w:color w:val="auto"/>
        </w:rPr>
        <w:t xml:space="preserve">; </w:t>
      </w:r>
      <w:r>
        <w:rPr>
          <w:rFonts w:ascii="Arial" w:cs="Arial" w:eastAsia="Arial" w:hAnsi="Arial"/>
          <w:sz w:val="15"/>
          <w:szCs w:val="15"/>
          <w:i w:val="1"/>
          <w:iCs w:val="1"/>
          <w:color w:val="auto"/>
        </w:rPr>
        <w:t>sixth</w:t>
      </w:r>
      <w:r>
        <w:rPr>
          <w:rFonts w:ascii="Arial" w:cs="Arial" w:eastAsia="Arial" w:hAnsi="Arial"/>
          <w:sz w:val="15"/>
          <w:szCs w:val="15"/>
          <w:color w:val="auto"/>
        </w:rPr>
        <w:t xml:space="preserve">, to the payment of any amounts owing to the Lenders, Issuing Bank or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Arial" w:cs="Arial" w:eastAsia="Arial" w:hAnsi="Arial"/>
          <w:sz w:val="15"/>
          <w:szCs w:val="15"/>
          <w:i w:val="1"/>
          <w:iCs w:val="1"/>
          <w:color w:val="auto"/>
        </w:rPr>
        <w:t>seventh</w:t>
      </w:r>
      <w:r>
        <w:rPr>
          <w:rFonts w:ascii="Arial" w:cs="Arial" w:eastAsia="Arial" w:hAnsi="Arial"/>
          <w:sz w:val="15"/>
          <w:szCs w:val="15"/>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5"/>
          <w:szCs w:val="15"/>
          <w:i w:val="1"/>
          <w:iCs w:val="1"/>
          <w:color w:val="auto"/>
        </w:rPr>
        <w:t>eighth</w:t>
      </w:r>
      <w:r>
        <w:rPr>
          <w:rFonts w:ascii="Arial" w:cs="Arial" w:eastAsia="Arial" w:hAnsi="Arial"/>
          <w:sz w:val="15"/>
          <w:szCs w:val="15"/>
          <w:color w:val="auto"/>
        </w:rPr>
        <w:t xml:space="preserve">, to such Defaulting Lender or as otherwise directed by a court of competent jurisdiction;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w:t>
      </w:r>
    </w:p>
    <w:p>
      <w:pPr>
        <w:spacing w:after="0" w:line="3" w:lineRule="exact"/>
        <w:rPr>
          <w:rFonts w:ascii="Arial" w:cs="Arial" w:eastAsia="Arial" w:hAnsi="Arial"/>
          <w:sz w:val="15"/>
          <w:szCs w:val="15"/>
          <w:color w:val="auto"/>
        </w:rPr>
      </w:pPr>
    </w:p>
    <w:p>
      <w:pPr>
        <w:ind w:left="-4" w:right="100" w:firstLine="4"/>
        <w:spacing w:after="0" w:line="312" w:lineRule="auto"/>
        <w:tabs>
          <w:tab w:leader="none" w:pos="244" w:val="left"/>
        </w:tabs>
        <w:numPr>
          <w:ilvl w:val="0"/>
          <w:numId w:val="105"/>
        </w:numPr>
        <w:rPr>
          <w:rFonts w:ascii="Arial" w:cs="Arial" w:eastAsia="Arial" w:hAnsi="Arial"/>
          <w:sz w:val="15"/>
          <w:szCs w:val="15"/>
          <w:color w:val="auto"/>
        </w:rPr>
      </w:pPr>
      <w:r>
        <w:rPr>
          <w:rFonts w:ascii="Arial" w:cs="Arial" w:eastAsia="Arial" w:hAnsi="Arial"/>
          <w:sz w:val="15"/>
          <w:szCs w:val="15"/>
          <w:color w:val="auto"/>
        </w:rPr>
        <w:t xml:space="preserve">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w:t>
      </w:r>
    </w:p>
    <w:p>
      <w:pPr>
        <w:spacing w:after="0" w:line="93" w:lineRule="exact"/>
        <w:rPr>
          <w:sz w:val="20"/>
          <w:szCs w:val="20"/>
          <w:color w:val="auto"/>
        </w:rPr>
      </w:pPr>
    </w:p>
    <w:p>
      <w:pPr>
        <w:jc w:val="both"/>
        <w:ind w:left="5396"/>
        <w:spacing w:after="0"/>
        <w:tabs>
          <w:tab w:leader="none" w:pos="8955"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56"/>
          </w:cols>
          <w:pgMar w:left="704" w:top="280" w:right="239" w:bottom="1440" w:gutter="0" w:footer="0" w:header="0"/>
        </w:sectPr>
      </w:pPr>
    </w:p>
    <w:bookmarkStart w:id="99" w:name="page100"/>
    <w:bookmarkEnd w:id="99"/>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giving effect to </w:t>
      </w:r>
      <w:r>
        <w:rPr>
          <w:rFonts w:ascii="Arial" w:cs="Arial" w:eastAsia="Arial" w:hAnsi="Arial"/>
          <w:sz w:val="18"/>
          <w:szCs w:val="18"/>
          <w:u w:val="single" w:color="auto"/>
          <w:color w:val="auto"/>
        </w:rPr>
        <w:t>Section 2.19(a)(iii)</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2.19(a)(i)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59" w:lineRule="exact"/>
        <w:rPr>
          <w:sz w:val="20"/>
          <w:szCs w:val="20"/>
          <w:color w:val="auto"/>
        </w:rPr>
      </w:pPr>
    </w:p>
    <w:p>
      <w:pPr>
        <w:ind w:left="700" w:hanging="257"/>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21"/>
        <w:spacing w:after="0" w:line="255" w:lineRule="auto"/>
        <w:tabs>
          <w:tab w:leader="none" w:pos="1167" w:val="left"/>
        </w:tabs>
        <w:numPr>
          <w:ilvl w:val="2"/>
          <w:numId w:val="106"/>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pursuant to </w:t>
      </w:r>
      <w:r>
        <w:rPr>
          <w:rFonts w:ascii="Arial" w:cs="Arial" w:eastAsia="Arial" w:hAnsi="Arial"/>
          <w:sz w:val="18"/>
          <w:szCs w:val="18"/>
          <w:u w:val="single" w:color="auto"/>
          <w:color w:val="auto"/>
        </w:rPr>
        <w:t>Sections 2.11(a)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Defaulting Lender shall be entitled to receive fees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1160" w:hanging="279"/>
        <w:spacing w:after="0"/>
        <w:tabs>
          <w:tab w:leader="none" w:pos="1160" w:val="left"/>
        </w:tabs>
        <w:numPr>
          <w:ilvl w:val="2"/>
          <w:numId w:val="106"/>
        </w:numPr>
        <w:rPr>
          <w:rFonts w:ascii="Arial" w:cs="Arial" w:eastAsia="Arial" w:hAnsi="Arial"/>
          <w:sz w:val="16"/>
          <w:szCs w:val="16"/>
          <w:color w:val="auto"/>
        </w:rPr>
      </w:pPr>
      <w:r>
        <w:rPr>
          <w:rFonts w:ascii="Arial" w:cs="Arial" w:eastAsia="Arial" w:hAnsi="Arial"/>
          <w:sz w:val="16"/>
          <w:szCs w:val="16"/>
          <w:color w:val="auto"/>
        </w:rPr>
        <w:t xml:space="preserve">With respect to any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fees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Borrower shall</w:t>
      </w:r>
    </w:p>
    <w:p>
      <w:pPr>
        <w:spacing w:after="0" w:line="38" w:lineRule="exact"/>
        <w:rPr>
          <w:rFonts w:ascii="Arial" w:cs="Arial" w:eastAsia="Arial" w:hAnsi="Arial"/>
          <w:sz w:val="16"/>
          <w:szCs w:val="16"/>
          <w:color w:val="auto"/>
        </w:rPr>
      </w:pPr>
    </w:p>
    <w:p>
      <w:pPr>
        <w:ind w:left="460" w:firstLine="1"/>
        <w:spacing w:after="0" w:line="281" w:lineRule="auto"/>
        <w:tabs>
          <w:tab w:leader="none" w:pos="70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w:t>
      </w:r>
    </w:p>
    <w:p>
      <w:pPr>
        <w:spacing w:after="0" w:line="1" w:lineRule="exact"/>
        <w:rPr>
          <w:rFonts w:ascii="Arial" w:cs="Arial" w:eastAsia="Arial" w:hAnsi="Arial"/>
          <w:sz w:val="16"/>
          <w:szCs w:val="16"/>
          <w:color w:val="auto"/>
        </w:rPr>
      </w:pPr>
    </w:p>
    <w:p>
      <w:pPr>
        <w:ind w:left="460" w:right="220" w:firstLine="1"/>
        <w:spacing w:after="0" w:line="261" w:lineRule="auto"/>
        <w:tabs>
          <w:tab w:leader="none" w:pos="70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pay to Issuing Bank the amount of any such fee otherwise payable to such Defaulting Lender to the extent allocable to Issuing Bank’s Fronting Exposure to such Defaulting Lender, and (z) not be required to pay the remaining amount of any such fee.</w:t>
      </w:r>
    </w:p>
    <w:p>
      <w:pPr>
        <w:spacing w:after="0" w:line="57" w:lineRule="exact"/>
        <w:rPr>
          <w:sz w:val="20"/>
          <w:szCs w:val="20"/>
          <w:color w:val="auto"/>
        </w:rPr>
      </w:pPr>
    </w:p>
    <w:p>
      <w:pPr>
        <w:ind w:right="220" w:firstLine="443"/>
        <w:spacing w:after="0" w:line="302" w:lineRule="auto"/>
        <w:tabs>
          <w:tab w:leader="none" w:pos="745" w:val="left"/>
        </w:tabs>
        <w:numPr>
          <w:ilvl w:val="1"/>
          <w:numId w:val="107"/>
        </w:numPr>
        <w:rPr>
          <w:rFonts w:ascii="Arial" w:cs="Arial" w:eastAsia="Arial" w:hAnsi="Arial"/>
          <w:sz w:val="15"/>
          <w:szCs w:val="15"/>
          <w:color w:val="auto"/>
        </w:rPr>
      </w:pPr>
      <w:r>
        <w:rPr>
          <w:rFonts w:ascii="Arial" w:cs="Arial" w:eastAsia="Arial" w:hAnsi="Arial"/>
          <w:sz w:val="15"/>
          <w:szCs w:val="15"/>
          <w:u w:val="single" w:color="auto"/>
          <w:color w:val="auto"/>
        </w:rPr>
        <w:t>Reallocation of Participations to Reduce Fronting Exposure</w:t>
      </w:r>
      <w:r>
        <w:rPr>
          <w:rFonts w:ascii="Arial" w:cs="Arial" w:eastAsia="Arial" w:hAnsi="Arial"/>
          <w:sz w:val="15"/>
          <w:szCs w:val="15"/>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w:t>
      </w:r>
    </w:p>
    <w:p>
      <w:pPr>
        <w:ind w:left="260" w:hanging="256"/>
        <w:spacing w:after="0"/>
        <w:tabs>
          <w:tab w:leader="none" w:pos="2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such reallocation does not cause the aggregate Revolving Credit Exposure of any Non-Defaulting Lender to exceed such Non-Defaulting Lender’s</w:t>
      </w:r>
    </w:p>
    <w:p>
      <w:pPr>
        <w:spacing w:after="0" w:line="32" w:lineRule="exact"/>
        <w:rPr>
          <w:rFonts w:ascii="Arial" w:cs="Arial" w:eastAsia="Arial" w:hAnsi="Arial"/>
          <w:sz w:val="16"/>
          <w:szCs w:val="16"/>
          <w:color w:val="auto"/>
        </w:rPr>
      </w:pPr>
    </w:p>
    <w:p>
      <w:pPr>
        <w:ind w:right="180"/>
        <w:spacing w:after="0" w:line="255" w:lineRule="auto"/>
        <w:rPr>
          <w:rFonts w:ascii="Arial" w:cs="Arial" w:eastAsia="Arial" w:hAnsi="Arial"/>
          <w:sz w:val="16"/>
          <w:szCs w:val="16"/>
          <w:color w:val="auto"/>
        </w:rPr>
      </w:pPr>
      <w:r>
        <w:rPr>
          <w:rFonts w:ascii="Arial" w:cs="Arial" w:eastAsia="Arial" w:hAnsi="Arial"/>
          <w:sz w:val="18"/>
          <w:szCs w:val="18"/>
          <w:color w:val="auto"/>
        </w:rPr>
        <w:t>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31" w:lineRule="exact"/>
        <w:rPr>
          <w:sz w:val="20"/>
          <w:szCs w:val="20"/>
          <w:color w:val="auto"/>
        </w:rPr>
      </w:pPr>
    </w:p>
    <w:p>
      <w:pPr>
        <w:jc w:val="both"/>
        <w:ind w:left="5400"/>
        <w:spacing w:after="0"/>
        <w:tabs>
          <w:tab w:leader="none" w:pos="89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100" w:name="page101"/>
    <w:bookmarkEnd w:id="100"/>
    <w:p>
      <w:pPr>
        <w:ind w:left="452" w:right="40" w:firstLine="443"/>
        <w:spacing w:after="0" w:line="289" w:lineRule="auto"/>
        <w:tabs>
          <w:tab w:leader="none" w:pos="1187"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Collateral; Repayment of Swingline Loans</w:t>
      </w:r>
      <w:r>
        <w:rPr>
          <w:rFonts w:ascii="Arial" w:cs="Arial" w:eastAsia="Arial" w:hAnsi="Arial"/>
          <w:sz w:val="16"/>
          <w:szCs w:val="16"/>
          <w:color w:val="auto"/>
        </w:rPr>
        <w:t xml:space="preserve">. If the reallocation described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cannot, or can only partially, be effected, the Borrower shall not later than two (2) Business Days after demand by the Administrative Agent (at the direction of the Issuing Bank and/or the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the Issuing Bank’s Fronting Exposure in accordance with the procedures set forth in </w:t>
      </w:r>
      <w:r>
        <w:rPr>
          <w:rFonts w:ascii="Arial" w:cs="Arial" w:eastAsia="Arial" w:hAnsi="Arial"/>
          <w:sz w:val="16"/>
          <w:szCs w:val="16"/>
          <w:u w:val="single" w:color="auto"/>
          <w:color w:val="auto"/>
        </w:rPr>
        <w:t>Section 2.19(d)</w:t>
      </w:r>
      <w:r>
        <w:rPr>
          <w:rFonts w:ascii="Arial" w:cs="Arial" w:eastAsia="Arial" w:hAnsi="Arial"/>
          <w:sz w:val="16"/>
          <w:szCs w:val="16"/>
          <w:color w:val="auto"/>
        </w:rPr>
        <w:t xml:space="preserve"> or (z) make other arrangements reasonably satisfactory to the Administrative Agent, the Issuing Bank and the Swingline Lender in their sole discretion to protect them against the risk of non-payment by such Defaulting Lender.</w:t>
      </w:r>
    </w:p>
    <w:p>
      <w:pPr>
        <w:spacing w:after="0" w:line="118" w:lineRule="exact"/>
        <w:rPr>
          <w:sz w:val="20"/>
          <w:szCs w:val="20"/>
          <w:color w:val="auto"/>
        </w:rPr>
      </w:pPr>
    </w:p>
    <w:p>
      <w:pPr>
        <w:ind w:left="-8" w:right="120" w:firstLine="921"/>
        <w:spacing w:after="0" w:line="308" w:lineRule="auto"/>
        <w:tabs>
          <w:tab w:leader="none" w:pos="1153" w:val="left"/>
        </w:tabs>
        <w:numPr>
          <w:ilvl w:val="1"/>
          <w:numId w:val="110"/>
        </w:numPr>
        <w:rPr>
          <w:rFonts w:ascii="Arial" w:cs="Arial" w:eastAsia="Arial" w:hAnsi="Arial"/>
          <w:sz w:val="15"/>
          <w:szCs w:val="15"/>
          <w:color w:val="auto"/>
        </w:rPr>
      </w:pPr>
      <w:r>
        <w:rPr>
          <w:rFonts w:ascii="Arial" w:cs="Arial" w:eastAsia="Arial" w:hAnsi="Arial"/>
          <w:sz w:val="15"/>
          <w:szCs w:val="15"/>
          <w:u w:val="single" w:color="auto"/>
          <w:color w:val="auto"/>
        </w:rPr>
        <w:t>Defaulting Lender Cure</w:t>
      </w:r>
      <w:r>
        <w:rPr>
          <w:rFonts w:ascii="Arial" w:cs="Arial" w:eastAsia="Arial" w:hAnsi="Arial"/>
          <w:sz w:val="15"/>
          <w:szCs w:val="15"/>
          <w:color w:val="auto"/>
        </w:rPr>
        <w:t xml:space="preserve">. If the Borrower, the Administrative Agent, the Swingline Lender and the Issuing Bank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5"/>
          <w:szCs w:val="15"/>
          <w:u w:val="single" w:color="auto"/>
          <w:color w:val="auto"/>
        </w:rPr>
        <w:t>Section 2.19(a)(iii)</w:t>
      </w:r>
      <w:r>
        <w:rPr>
          <w:rFonts w:ascii="Arial" w:cs="Arial" w:eastAsia="Arial" w:hAnsi="Arial"/>
          <w:sz w:val="15"/>
          <w:szCs w:val="15"/>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09" w:lineRule="exact"/>
        <w:rPr>
          <w:rFonts w:ascii="Arial" w:cs="Arial" w:eastAsia="Arial" w:hAnsi="Arial"/>
          <w:sz w:val="15"/>
          <w:szCs w:val="15"/>
          <w:color w:val="auto"/>
        </w:rPr>
      </w:pPr>
    </w:p>
    <w:p>
      <w:pPr>
        <w:ind w:left="-8" w:right="80" w:firstLine="921"/>
        <w:spacing w:after="0" w:line="286" w:lineRule="auto"/>
        <w:tabs>
          <w:tab w:leader="none" w:pos="1144"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New Swingline Loans/Letters of Credit</w:t>
      </w:r>
      <w:r>
        <w:rPr>
          <w:rFonts w:ascii="Arial" w:cs="Arial" w:eastAsia="Arial" w:hAnsi="Arial"/>
          <w:sz w:val="16"/>
          <w:szCs w:val="16"/>
          <w:color w:val="auto"/>
        </w:rPr>
        <w:t xml:space="preserve">. So long as any Lender is a Defaulting Lender, (i) the Swingline Lender shall not be required to fund any Swingline Loans unless it is satisfied that the participations therein will be fully allocated among Non-Defaulting Lenders in a manner consistent with </w:t>
      </w:r>
      <w:r>
        <w:rPr>
          <w:rFonts w:ascii="Arial" w:cs="Arial" w:eastAsia="Arial" w:hAnsi="Arial"/>
          <w:sz w:val="16"/>
          <w:szCs w:val="16"/>
          <w:u w:val="single" w:color="auto"/>
          <w:color w:val="auto"/>
        </w:rPr>
        <w:t>clause (a)</w:t>
      </w:r>
    </w:p>
    <w:p>
      <w:pPr>
        <w:jc w:val="both"/>
        <w:ind w:left="-8" w:right="120" w:firstLine="8"/>
        <w:spacing w:after="0" w:line="295" w:lineRule="auto"/>
        <w:tabs>
          <w:tab w:leader="none" w:pos="299" w:val="left"/>
        </w:tabs>
        <w:numPr>
          <w:ilvl w:val="0"/>
          <w:numId w:val="111"/>
        </w:numPr>
        <w:rPr>
          <w:rFonts w:ascii="Arial" w:cs="Arial" w:eastAsia="Arial" w:hAnsi="Arial"/>
          <w:sz w:val="16"/>
          <w:szCs w:val="16"/>
          <w:u w:val="single" w:color="auto"/>
          <w:color w:val="auto"/>
        </w:rPr>
      </w:pPr>
      <w:r>
        <w:rPr>
          <w:rFonts w:ascii="Arial" w:cs="Arial" w:eastAsia="Arial" w:hAnsi="Arial"/>
          <w:sz w:val="16"/>
          <w:szCs w:val="16"/>
          <w:color w:val="auto"/>
        </w:rPr>
        <w:t xml:space="preserve">above and the Defaulting Lender shall not participate therein and (ii) the Issuing Bank shall not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16"/>
          <w:szCs w:val="16"/>
          <w:u w:val="single" w:color="auto"/>
          <w:color w:val="auto"/>
        </w:rPr>
        <w:t>clause (a)(iii)</w:t>
      </w:r>
      <w:r>
        <w:rPr>
          <w:rFonts w:ascii="Arial" w:cs="Arial" w:eastAsia="Arial" w:hAnsi="Arial"/>
          <w:sz w:val="16"/>
          <w:szCs w:val="16"/>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16"/>
          <w:szCs w:val="16"/>
          <w:u w:val="single" w:color="auto"/>
          <w:color w:val="auto"/>
        </w:rPr>
        <w:t>Section 2.19(d)</w:t>
      </w:r>
      <w:r>
        <w:rPr>
          <w:rFonts w:ascii="Arial" w:cs="Arial" w:eastAsia="Arial" w:hAnsi="Arial"/>
          <w:sz w:val="16"/>
          <w:szCs w:val="16"/>
          <w:color w:val="auto"/>
        </w:rPr>
        <w:t>.</w:t>
      </w:r>
    </w:p>
    <w:p>
      <w:pPr>
        <w:spacing w:after="0" w:line="102" w:lineRule="exact"/>
        <w:rPr>
          <w:sz w:val="20"/>
          <w:szCs w:val="20"/>
          <w:color w:val="auto"/>
        </w:rPr>
      </w:pPr>
    </w:p>
    <w:p>
      <w:pPr>
        <w:jc w:val="both"/>
        <w:ind w:left="5852"/>
        <w:spacing w:after="0"/>
        <w:tabs>
          <w:tab w:leader="none" w:pos="941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12"/>
          </w:cols>
          <w:pgMar w:left="248" w:top="280" w:right="239" w:bottom="1440" w:gutter="0" w:footer="0" w:header="0"/>
        </w:sectPr>
      </w:pPr>
    </w:p>
    <w:bookmarkStart w:id="101" w:name="page102"/>
    <w:bookmarkEnd w:id="101"/>
    <w:p>
      <w:pPr>
        <w:ind w:left="-903" w:right="40" w:firstLine="921"/>
        <w:spacing w:after="0" w:line="256" w:lineRule="auto"/>
        <w:tabs>
          <w:tab w:leader="none" w:pos="259"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Collateral</w:t>
      </w:r>
      <w:r>
        <w:rPr>
          <w:rFonts w:ascii="Arial" w:cs="Arial" w:eastAsia="Arial" w:hAnsi="Arial"/>
          <w:sz w:val="18"/>
          <w:szCs w:val="18"/>
          <w:color w:val="auto"/>
        </w:rPr>
        <w:t xml:space="preserve">. At any time that there shall exist a Defaulting Lender, promptly following the written request of Administrative Agent or Issuing Bank (with a copy to Administrative Agent) Borrower shall Cash Collateralize Issuing Bank’s Fronting Exposure with respect to such Defaulting Lender (determined after giving effect to </w:t>
      </w:r>
      <w:r>
        <w:rPr>
          <w:rFonts w:ascii="Arial" w:cs="Arial" w:eastAsia="Arial" w:hAnsi="Arial"/>
          <w:sz w:val="18"/>
          <w:szCs w:val="18"/>
          <w:u w:val="single" w:color="auto"/>
          <w:color w:val="auto"/>
        </w:rPr>
        <w:t>Section 2.19(a)(iii)</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62" w:lineRule="exact"/>
        <w:rPr>
          <w:rFonts w:ascii="Arial" w:cs="Arial" w:eastAsia="Arial" w:hAnsi="Arial"/>
          <w:sz w:val="18"/>
          <w:szCs w:val="18"/>
          <w:color w:val="auto"/>
        </w:rPr>
      </w:pPr>
    </w:p>
    <w:p>
      <w:pPr>
        <w:ind w:left="-443" w:right="40" w:firstLine="443"/>
        <w:spacing w:after="0" w:line="287" w:lineRule="auto"/>
        <w:tabs>
          <w:tab w:leader="none" w:pos="205"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Borrower, and to the extent provided by any Defaulting Lender, such Defaulting Lender, hereby grants to (and subjects to the control of) Administrative Agent, for the benefit of Issuing Bank,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If at any time Administrative Agent determines that Cash Collateral is subject to any right or claim of any Person other than Administrative Agent and Issuing Bank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41" w:lineRule="exact"/>
        <w:rPr>
          <w:rFonts w:ascii="Arial" w:cs="Arial" w:eastAsia="Arial" w:hAnsi="Arial"/>
          <w:sz w:val="16"/>
          <w:szCs w:val="16"/>
          <w:color w:val="auto"/>
        </w:rPr>
      </w:pPr>
    </w:p>
    <w:p>
      <w:pPr>
        <w:jc w:val="both"/>
        <w:ind w:left="-443" w:firstLine="443"/>
        <w:spacing w:after="0" w:line="256" w:lineRule="auto"/>
        <w:tabs>
          <w:tab w:leader="none" w:pos="254"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62" w:lineRule="exact"/>
        <w:rPr>
          <w:rFonts w:ascii="Arial" w:cs="Arial" w:eastAsia="Arial" w:hAnsi="Arial"/>
          <w:sz w:val="18"/>
          <w:szCs w:val="18"/>
          <w:color w:val="auto"/>
        </w:rPr>
      </w:pPr>
    </w:p>
    <w:p>
      <w:pPr>
        <w:ind w:left="-443" w:right="120" w:firstLine="443"/>
        <w:spacing w:after="0" w:line="291" w:lineRule="auto"/>
        <w:tabs>
          <w:tab w:leader="none" w:pos="303"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Termination of Requirement</w:t>
      </w:r>
      <w:r>
        <w:rPr>
          <w:rFonts w:ascii="Arial" w:cs="Arial" w:eastAsia="Arial" w:hAnsi="Arial"/>
          <w:sz w:val="16"/>
          <w:szCs w:val="16"/>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following (i) the elimination of the applicable Fronting Exposure (including by the termination of Defaulting Lender status of the applicable Lender) or (ii) the determination by Administrative Agent and Issuing Bank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other provisions of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the Person providing Cash Collateral and Issuing Bank may agree that Cash Collateral shall be held to support future anticipated Fronting Exposure;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that such Cash Collateral was provided by Borrower, such Cash Collateral shall remain subject to the security interest granted pursuant to the Loan Documents.</w:t>
      </w:r>
    </w:p>
    <w:p>
      <w:pPr>
        <w:spacing w:after="0" w:line="107"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90" w:lineRule="exact"/>
        <w:rPr>
          <w:sz w:val="20"/>
          <w:szCs w:val="20"/>
          <w:color w:val="auto"/>
        </w:rPr>
      </w:pPr>
    </w:p>
    <w:p>
      <w:pPr>
        <w:jc w:val="both"/>
        <w:ind w:right="100" w:firstLine="913"/>
        <w:spacing w:after="0" w:line="298"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13"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20"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171" w:lineRule="exact"/>
        <w:rPr>
          <w:sz w:val="20"/>
          <w:szCs w:val="20"/>
          <w:color w:val="auto"/>
        </w:rPr>
      </w:pPr>
    </w:p>
    <w:p>
      <w:pPr>
        <w:jc w:val="both"/>
        <w:ind w:right="160" w:firstLine="921"/>
        <w:spacing w:after="0" w:line="298" w:lineRule="auto"/>
        <w:tabs>
          <w:tab w:leader="none" w:pos="1152"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Borrower has heretofore delivered to the Lenders the audited consolidated balance sheet and statement of operations, changes in net assets and cash flows of the Borrower and its Subsidiaries as of and for the year ended December 31, 2011,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9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3" w:name="page104"/>
    <w:bookmarkEnd w:id="103"/>
    <w:p>
      <w:pPr>
        <w:ind w:firstLine="921"/>
        <w:spacing w:after="0" w:line="294" w:lineRule="auto"/>
        <w:tabs>
          <w:tab w:leader="none" w:pos="1161"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Material Adverse Change</w:t>
      </w:r>
      <w:r>
        <w:rPr>
          <w:rFonts w:ascii="Arial" w:cs="Arial" w:eastAsia="Arial" w:hAnsi="Arial"/>
          <w:sz w:val="16"/>
          <w:szCs w:val="16"/>
          <w:color w:val="auto"/>
        </w:rPr>
        <w:t>. Since the date of the most recent Applicable Financial Statements, there has not been any event, development or circumstance (herein, a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16"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43" w:lineRule="exact"/>
        <w:rPr>
          <w:sz w:val="20"/>
          <w:szCs w:val="20"/>
          <w:color w:val="auto"/>
        </w:rPr>
      </w:pPr>
    </w:p>
    <w:p>
      <w:pPr>
        <w:jc w:val="both"/>
        <w:ind w:right="80" w:firstLine="913"/>
        <w:spacing w:after="0" w:line="255"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43" w:lineRule="exact"/>
        <w:rPr>
          <w:sz w:val="20"/>
          <w:szCs w:val="20"/>
          <w:color w:val="auto"/>
        </w:rPr>
      </w:pPr>
    </w:p>
    <w:p>
      <w:pPr>
        <w:jc w:val="both"/>
        <w:ind w:right="140" w:firstLine="913"/>
        <w:spacing w:after="0" w:line="25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43"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ERISA</w:t>
      </w:r>
      <w:r>
        <w:rPr>
          <w:rFonts w:ascii="Arial" w:cs="Arial" w:eastAsia="Arial" w:hAnsi="Arial"/>
          <w:sz w:val="16"/>
          <w:szCs w:val="16"/>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85"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Disclosure</w:t>
      </w:r>
      <w:r>
        <w:rPr>
          <w:rFonts w:ascii="Arial" w:cs="Arial" w:eastAsia="Arial" w:hAnsi="Arial"/>
          <w:sz w:val="16"/>
          <w:szCs w:val="16"/>
          <w:color w:val="auto"/>
        </w:rPr>
        <w:t>. As of the date hereof,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date hereof,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4" w:name="page105"/>
    <w:bookmarkEnd w:id="10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Borrower represents only that such information was prepared in good faith based upon assumptions believed to be reasonable at the time.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Investment Company Act; Margin Regulations</w:t>
      </w:r>
      <w:r>
        <w:rPr>
          <w:rFonts w:ascii="Arial" w:cs="Arial" w:eastAsia="Arial" w:hAnsi="Arial"/>
          <w:sz w:val="18"/>
          <w:szCs w:val="18"/>
          <w:color w:val="auto"/>
        </w:rPr>
        <w:t>.</w:t>
      </w:r>
    </w:p>
    <w:p>
      <w:pPr>
        <w:spacing w:after="0" w:line="171" w:lineRule="exact"/>
        <w:rPr>
          <w:sz w:val="20"/>
          <w:szCs w:val="20"/>
          <w:color w:val="auto"/>
        </w:rPr>
      </w:pPr>
    </w:p>
    <w:p>
      <w:pPr>
        <w:ind w:right="120" w:firstLine="921"/>
        <w:spacing w:after="0" w:line="268" w:lineRule="auto"/>
        <w:tabs>
          <w:tab w:leader="none" w:pos="115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Status as Business Development Company</w:t>
      </w:r>
      <w:r>
        <w:rPr>
          <w:rFonts w:ascii="Arial" w:cs="Arial" w:eastAsia="Arial" w:hAnsi="Arial"/>
          <w:sz w:val="18"/>
          <w:szCs w:val="18"/>
          <w:color w:val="auto"/>
        </w:rPr>
        <w:t>. The Borrower has elected to be regulated as a “business development company” within the meaning of the Investment Company Act and qualifies as a RIC.</w:t>
      </w:r>
    </w:p>
    <w:p>
      <w:pPr>
        <w:spacing w:after="0" w:line="131" w:lineRule="exact"/>
        <w:rPr>
          <w:rFonts w:ascii="Arial" w:cs="Arial" w:eastAsia="Arial" w:hAnsi="Arial"/>
          <w:sz w:val="18"/>
          <w:szCs w:val="18"/>
          <w:color w:val="auto"/>
        </w:rPr>
      </w:pPr>
    </w:p>
    <w:p>
      <w:pPr>
        <w:ind w:right="220" w:firstLine="921"/>
        <w:spacing w:after="0" w:line="298" w:lineRule="auto"/>
        <w:tabs>
          <w:tab w:leader="none" w:pos="1161"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Compliance with Investment Company Act</w:t>
      </w:r>
      <w:r>
        <w:rPr>
          <w:rFonts w:ascii="Arial" w:cs="Arial" w:eastAsia="Arial" w:hAnsi="Arial"/>
          <w:sz w:val="16"/>
          <w:szCs w:val="16"/>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12" w:lineRule="exact"/>
        <w:rPr>
          <w:rFonts w:ascii="Arial" w:cs="Arial" w:eastAsia="Arial" w:hAnsi="Arial"/>
          <w:sz w:val="16"/>
          <w:szCs w:val="16"/>
          <w:color w:val="auto"/>
        </w:rPr>
      </w:pPr>
    </w:p>
    <w:p>
      <w:pPr>
        <w:ind w:right="500" w:firstLine="921"/>
        <w:spacing w:after="0" w:line="332" w:lineRule="auto"/>
        <w:tabs>
          <w:tab w:leader="none" w:pos="1152"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Investment Policies</w:t>
      </w:r>
      <w:r>
        <w:rPr>
          <w:rFonts w:ascii="Arial" w:cs="Arial" w:eastAsia="Arial" w:hAnsi="Arial"/>
          <w:sz w:val="16"/>
          <w:szCs w:val="16"/>
          <w:color w:val="auto"/>
        </w:rPr>
        <w:t>. The Borrower is in compliance in all respects with the Investment Policies (after giving effect to any Permitted Policy Amendments), except to the extent that the failure to so comply could not reasonably be expected to have a Material Adverse Effect.</w:t>
      </w:r>
    </w:p>
    <w:p>
      <w:pPr>
        <w:spacing w:after="0" w:line="85" w:lineRule="exact"/>
        <w:rPr>
          <w:rFonts w:ascii="Arial" w:cs="Arial" w:eastAsia="Arial" w:hAnsi="Arial"/>
          <w:sz w:val="16"/>
          <w:szCs w:val="16"/>
          <w:color w:val="auto"/>
        </w:rPr>
      </w:pPr>
    </w:p>
    <w:p>
      <w:pPr>
        <w:ind w:right="160" w:firstLine="921"/>
        <w:spacing w:after="0" w:line="259" w:lineRule="auto"/>
        <w:tabs>
          <w:tab w:leader="none" w:pos="116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Use of Credit</w:t>
      </w:r>
      <w:r>
        <w:rPr>
          <w:rFonts w:ascii="Arial" w:cs="Arial" w:eastAsia="Arial" w:hAnsi="Arial"/>
          <w:sz w:val="18"/>
          <w:szCs w:val="18"/>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Material Agreements and Liens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8" w:lineRule="auto"/>
        <w:tabs>
          <w:tab w:leader="none" w:pos="115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Material Agreements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is a complete and correct list, as of the date hereof,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on the date hereof, and the aggregate principal or face amount outstanding or that is, or may become, outstanding under each such arrangement is correctly described in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right="100" w:firstLine="921"/>
        <w:spacing w:after="0" w:line="306" w:lineRule="auto"/>
        <w:tabs>
          <w:tab w:leader="none" w:pos="1161"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is a complete and correct list, as of the date hereof, of each Lien securing Indebtedness of any Person outstanding on the date hereof covering any property of the Borrower or any of the Subsidiary Guarantors, and the aggregate Indebtedness secured (or that may be secured) by each such Lien and the property covered by each such Lien is correctly described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w:t>
      </w:r>
    </w:p>
    <w:p>
      <w:pPr>
        <w:spacing w:after="0" w:line="93" w:lineRule="exact"/>
        <w:rPr>
          <w:sz w:val="20"/>
          <w:szCs w:val="20"/>
          <w:color w:val="auto"/>
        </w:rPr>
      </w:pPr>
    </w:p>
    <w:p>
      <w:pPr>
        <w:ind w:left="5860"/>
        <w:spacing w:after="0"/>
        <w:tabs>
          <w:tab w:leader="none" w:pos="9420" w:val="left"/>
        </w:tabs>
        <w:rPr>
          <w:sz w:val="20"/>
          <w:szCs w:val="20"/>
          <w:color w:val="auto"/>
        </w:rPr>
      </w:pPr>
      <w:r>
        <w:rPr>
          <w:rFonts w:ascii="Arial" w:cs="Arial" w:eastAsia="Arial" w:hAnsi="Arial"/>
          <w:sz w:val="15"/>
          <w:szCs w:val="15"/>
          <w:color w:val="auto"/>
        </w:rPr>
        <w:t>67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5" w:name="page106"/>
    <w:bookmarkEnd w:id="10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3.12. </w:t>
      </w:r>
      <w:r>
        <w:rPr>
          <w:rFonts w:ascii="Arial" w:cs="Arial" w:eastAsia="Arial" w:hAnsi="Arial"/>
          <w:sz w:val="18"/>
          <w:szCs w:val="18"/>
          <w:u w:val="single" w:color="auto"/>
          <w:color w:val="auto"/>
        </w:rPr>
        <w:t>Subsidiaries and Investments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3.12(a)</w:t>
      </w:r>
      <w:r>
        <w:rPr>
          <w:rFonts w:ascii="Arial" w:cs="Arial" w:eastAsia="Arial" w:hAnsi="Arial"/>
          <w:sz w:val="18"/>
          <w:szCs w:val="18"/>
          <w:color w:val="auto"/>
        </w:rPr>
        <w:t xml:space="preserve"> is a list of the Borrower’s Subsidiaries as of the date hereof.</w:t>
      </w:r>
    </w:p>
    <w:p>
      <w:pPr>
        <w:spacing w:after="0" w:line="171" w:lineRule="exact"/>
        <w:rPr>
          <w:rFonts w:ascii="Arial" w:cs="Arial" w:eastAsia="Arial" w:hAnsi="Arial"/>
          <w:sz w:val="18"/>
          <w:szCs w:val="18"/>
          <w:color w:val="auto"/>
        </w:rPr>
      </w:pPr>
    </w:p>
    <w:p>
      <w:pPr>
        <w:ind w:right="180" w:firstLine="921"/>
        <w:spacing w:after="0" w:line="255" w:lineRule="auto"/>
        <w:tabs>
          <w:tab w:leader="none" w:pos="116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3.12(b)</w:t>
      </w:r>
      <w:r>
        <w:rPr>
          <w:rFonts w:ascii="Arial" w:cs="Arial" w:eastAsia="Arial" w:hAnsi="Arial"/>
          <w:sz w:val="18"/>
          <w:szCs w:val="18"/>
          <w:color w:val="auto"/>
        </w:rPr>
        <w:t xml:space="preserve"> is a complete and correct list, as of the date hereof, of all Investments (other than Investments of the types referred to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held by the Borrower or any of the Subsidiary Guarantors in any Person on the date hereof and, for each such Investment, (x) the identity of the Person or Persons holding such Investment and (y) the nature of such Investment. Except as disclosed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3.12</w:t>
      </w:r>
      <w:r>
        <w:rPr>
          <w:rFonts w:ascii="Arial" w:cs="Arial" w:eastAsia="Arial" w:hAnsi="Arial"/>
          <w:sz w:val="18"/>
          <w:szCs w:val="18"/>
          <w:color w:val="auto"/>
        </w:rPr>
        <w:t>, each of the Borrower and any of the Subsidiary Guarantors owns, free and clear of all Liens (other than Liens created pursuant to this Agreement or the Security Documents and Permitted Liens), all such Investments.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71" w:lineRule="exact"/>
        <w:rPr>
          <w:sz w:val="20"/>
          <w:szCs w:val="20"/>
          <w:color w:val="auto"/>
        </w:rPr>
      </w:pPr>
    </w:p>
    <w:p>
      <w:pPr>
        <w:ind w:right="260" w:firstLine="921"/>
        <w:spacing w:after="0" w:line="259" w:lineRule="auto"/>
        <w:tabs>
          <w:tab w:leader="none" w:pos="115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Title Generally</w:t>
      </w:r>
      <w:r>
        <w:rPr>
          <w:rFonts w:ascii="Arial" w:cs="Arial" w:eastAsia="Arial" w:hAnsi="Arial"/>
          <w:sz w:val="18"/>
          <w:szCs w:val="18"/>
          <w:color w:val="auto"/>
        </w:rPr>
        <w:t>. Each of the Borrower and the Subsidiary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40" w:lineRule="exact"/>
        <w:rPr>
          <w:rFonts w:ascii="Arial" w:cs="Arial" w:eastAsia="Arial" w:hAnsi="Arial"/>
          <w:sz w:val="18"/>
          <w:szCs w:val="18"/>
          <w:color w:val="auto"/>
        </w:rPr>
      </w:pPr>
    </w:p>
    <w:p>
      <w:pPr>
        <w:ind w:right="80" w:firstLine="921"/>
        <w:spacing w:after="0" w:line="256" w:lineRule="auto"/>
        <w:tabs>
          <w:tab w:leader="none" w:pos="116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43" w:lineRule="exact"/>
        <w:rPr>
          <w:sz w:val="20"/>
          <w:szCs w:val="20"/>
          <w:color w:val="auto"/>
        </w:rPr>
      </w:pPr>
    </w:p>
    <w:p>
      <w:pPr>
        <w:jc w:val="both"/>
        <w:ind w:right="220" w:firstLine="913"/>
        <w:spacing w:after="0" w:line="306"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Affiliate Agreements</w:t>
      </w:r>
      <w:r>
        <w:rPr>
          <w:rFonts w:ascii="Arial" w:cs="Arial" w:eastAsia="Arial" w:hAnsi="Arial"/>
          <w:sz w:val="16"/>
          <w:szCs w:val="16"/>
          <w:color w:val="auto"/>
        </w:rPr>
        <w:t>. As of the date hereof, the Borrower has heretofore delivered to the Administrative Agent true and complete copies of each of the Affiliate Agreements (including and schedules and exhibits thereto, and any amendments, supplements or waivers executed and delivered thereunder). As of the date of hereof, each of the Affiliate Agreements is in full force and effect.</w:t>
      </w:r>
    </w:p>
    <w:p>
      <w:pPr>
        <w:spacing w:after="0" w:line="107" w:lineRule="exact"/>
        <w:rPr>
          <w:sz w:val="20"/>
          <w:szCs w:val="20"/>
          <w:color w:val="auto"/>
        </w:rPr>
      </w:pPr>
    </w:p>
    <w:p>
      <w:pPr>
        <w:ind w:right="140" w:firstLine="913"/>
        <w:spacing w:after="0" w:line="254"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OFAC</w:t>
      </w:r>
      <w:r>
        <w:rPr>
          <w:rFonts w:ascii="Arial" w:cs="Arial" w:eastAsia="Arial" w:hAnsi="Arial"/>
          <w:sz w:val="18"/>
          <w:szCs w:val="18"/>
          <w:color w:val="auto"/>
        </w:rPr>
        <w:t>. Neither the Borrower nor any of its Subsidiaries (a)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(b) engages in any dealings or transactions prohibited by Section 2 of such executive order, or is otherwise associated with any such person in any manner violative of Section 2 of such executive order, or (c) is a person on the list of Specially Designated Nationals and Blocked Persons or subject to the limitations or prohibitions under any other U.S. Department of Treasury’s Office of Foreign Assets Control regulation or executive order.</w:t>
      </w:r>
    </w:p>
    <w:p>
      <w:pPr>
        <w:spacing w:after="0" w:line="144"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Patriot Act</w:t>
      </w:r>
      <w:r>
        <w:rPr>
          <w:rFonts w:ascii="Arial" w:cs="Arial" w:eastAsia="Arial" w:hAnsi="Arial"/>
          <w:sz w:val="18"/>
          <w:szCs w:val="18"/>
          <w:color w:val="auto"/>
        </w:rPr>
        <w:t>. Each of the Borrower and its Subsidiaries is in compliance with (a) the Trading with the Enemy Act, as amended, and each of the foreign assets control regulations of the United States Treasury Department (31 CFR, Subtitle B, Chapter V, as amended) and any other enabling legislation or executive order relating thereto, and (b) the</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6" w:name="page107"/>
    <w:bookmarkEnd w:id="106"/>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Uniting And Strengthening America By Providing Appropriate Tools Required To Intercept And Obstruct Terrorism (USA Patriot Act of 2001).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43"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CONDITIONS</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effectiveness of this Agreement and of the obligations of the Lenders to make Loans and of the Issuing Bank to issue Letters of Credit hereunder shall not become effective until completion of each of the following conditions precedent (unless a condition shall have been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40" w:lineRule="exact"/>
        <w:rPr>
          <w:sz w:val="20"/>
          <w:szCs w:val="20"/>
          <w:color w:val="auto"/>
        </w:rPr>
      </w:pPr>
    </w:p>
    <w:p>
      <w:pPr>
        <w:ind w:right="60" w:firstLine="921"/>
        <w:spacing w:after="0" w:line="268" w:lineRule="auto"/>
        <w:tabs>
          <w:tab w:leader="none" w:pos="1152"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Administrative Agent shall have received each of the following documents, each of which shall be satisfactory to the Administrative Agent (and to the extent specified below to each Lender) in form and substance:</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0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Executed Counterparts</w:t>
      </w:r>
      <w:r>
        <w:rPr>
          <w:rFonts w:ascii="Arial" w:cs="Arial" w:eastAsia="Arial" w:hAnsi="Arial"/>
          <w:sz w:val="18"/>
          <w:szCs w:val="18"/>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56"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Opinion of Counsel to the Borrower</w:t>
      </w:r>
      <w:r>
        <w:rPr>
          <w:rFonts w:ascii="Arial" w:cs="Arial" w:eastAsia="Arial" w:hAnsi="Arial"/>
          <w:sz w:val="18"/>
          <w:szCs w:val="18"/>
          <w:color w:val="auto"/>
        </w:rPr>
        <w:t>. A favorable written opinion (addressed to the Administrative Agent and the Lenders and dated the Effective Date) of Cleary Gottlieb Steen &amp; Hamilton LLP, New York counsel for the Borrower and the Subsidiary Guarantors, in form and substance reasonably acceptable to the Administrative Agent (and the Borrower hereby instructs such counsel to deliver such opinion to the Lenders and the Administrative Agent).</w:t>
      </w:r>
    </w:p>
    <w:p>
      <w:pPr>
        <w:spacing w:after="0" w:line="62" w:lineRule="exact"/>
        <w:rPr>
          <w:rFonts w:ascii="Arial" w:cs="Arial" w:eastAsia="Arial" w:hAnsi="Arial"/>
          <w:sz w:val="18"/>
          <w:szCs w:val="18"/>
          <w:color w:val="auto"/>
        </w:rPr>
      </w:pPr>
    </w:p>
    <w:p>
      <w:pPr>
        <w:ind w:left="460" w:right="180" w:firstLine="443"/>
        <w:spacing w:after="0" w:line="306" w:lineRule="auto"/>
        <w:tabs>
          <w:tab w:leader="none" w:pos="120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Corporate Documents</w:t>
      </w:r>
      <w:r>
        <w:rPr>
          <w:rFonts w:ascii="Arial" w:cs="Arial" w:eastAsia="Arial" w:hAnsi="Arial"/>
          <w:sz w:val="16"/>
          <w:szCs w:val="16"/>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25" w:lineRule="exact"/>
        <w:rPr>
          <w:rFonts w:ascii="Arial" w:cs="Arial" w:eastAsia="Arial" w:hAnsi="Arial"/>
          <w:sz w:val="16"/>
          <w:szCs w:val="16"/>
          <w:color w:val="auto"/>
        </w:rPr>
      </w:pPr>
    </w:p>
    <w:p>
      <w:pPr>
        <w:ind w:left="460" w:right="540" w:firstLine="443"/>
        <w:spacing w:after="0" w:line="332" w:lineRule="auto"/>
        <w:tabs>
          <w:tab w:leader="none" w:pos="119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7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7" w:name="page108"/>
    <w:bookmarkEnd w:id="107"/>
    <w:p>
      <w:pPr>
        <w:ind w:left="-443" w:right="120" w:firstLine="443"/>
        <w:spacing w:after="0" w:line="268" w:lineRule="auto"/>
        <w:tabs>
          <w:tab w:leader="none" w:pos="24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and Security Agreement</w:t>
      </w:r>
      <w:r>
        <w:rPr>
          <w:rFonts w:ascii="Arial" w:cs="Arial" w:eastAsia="Arial" w:hAnsi="Arial"/>
          <w:sz w:val="18"/>
          <w:szCs w:val="18"/>
          <w:color w:val="auto"/>
        </w:rPr>
        <w:t>. The Guarantee and Security Agreement, duly executed and delivered by each of the parties to the Guarantee and Security Agreement.</w:t>
      </w:r>
    </w:p>
    <w:p>
      <w:pPr>
        <w:spacing w:after="0" w:line="50" w:lineRule="exact"/>
        <w:rPr>
          <w:rFonts w:ascii="Arial" w:cs="Arial" w:eastAsia="Arial" w:hAnsi="Arial"/>
          <w:sz w:val="18"/>
          <w:szCs w:val="18"/>
          <w:color w:val="auto"/>
        </w:rPr>
      </w:pPr>
    </w:p>
    <w:p>
      <w:pPr>
        <w:ind w:left="-443" w:right="120" w:firstLine="443"/>
        <w:spacing w:after="0" w:line="268" w:lineRule="auto"/>
        <w:tabs>
          <w:tab w:leader="none" w:pos="293"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Control Agreement</w:t>
      </w:r>
      <w:r>
        <w:rPr>
          <w:rFonts w:ascii="Arial" w:cs="Arial" w:eastAsia="Arial" w:hAnsi="Arial"/>
          <w:sz w:val="18"/>
          <w:szCs w:val="18"/>
          <w:color w:val="auto"/>
        </w:rPr>
        <w:t>. A Collateral Account Control Agreement, duly executed and delivered by the Borrower, the Administrative Agent and The Bank of New York Mellon.</w:t>
      </w:r>
    </w:p>
    <w:p>
      <w:pPr>
        <w:spacing w:after="0" w:line="50" w:lineRule="exact"/>
        <w:rPr>
          <w:rFonts w:ascii="Arial" w:cs="Arial" w:eastAsia="Arial" w:hAnsi="Arial"/>
          <w:sz w:val="18"/>
          <w:szCs w:val="18"/>
          <w:color w:val="auto"/>
        </w:rPr>
      </w:pPr>
    </w:p>
    <w:p>
      <w:pPr>
        <w:ind w:left="337" w:hanging="337"/>
        <w:spacing w:after="0"/>
        <w:tabs>
          <w:tab w:leader="none" w:pos="337"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A Borrowing Base Certificate showing a calculation of the Borrowing Base as of July 31, 2012.</w:t>
      </w:r>
    </w:p>
    <w:p>
      <w:pPr>
        <w:spacing w:after="0" w:line="171" w:lineRule="exact"/>
        <w:rPr>
          <w:rFonts w:ascii="Arial" w:cs="Arial" w:eastAsia="Arial" w:hAnsi="Arial"/>
          <w:sz w:val="18"/>
          <w:szCs w:val="18"/>
          <w:color w:val="auto"/>
        </w:rPr>
      </w:pPr>
    </w:p>
    <w:p>
      <w:pPr>
        <w:ind w:left="-903" w:right="60" w:firstLine="921"/>
        <w:spacing w:after="0" w:line="288" w:lineRule="auto"/>
        <w:tabs>
          <w:tab w:leader="none" w:pos="259"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xml:space="preserve">. The Administrative Agent shall have received results of a recent lien search in each relevant jurisdiction with respect to the Borrower and the Subsidiary Guarantors, confirming that each financing statement in respect of the Liens in favor of the Collateral Agent created pursuant to the Security Documents is otherwise prior to all other financing statements or other interests reflected therein (other than any financing statement or interest in respect of liens permitted under Section 6.02 or liens to be discharged on or prior to the Effective Date pursuant to documentation satisfactory to the Administrative Agent and revealing no liens on any of the assets of the Borrower or the Subsidiary Guarantors except for liens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liens to be discharged on or prior to the Effective Date pursuant to documentation satisfactory to the Administrative Agent. All UCC financing statements and similar documents required to be filed in order to create in favor of the Administrative Agent, for the benefit of the Lenders, a first priority perfected security interest in the Collateral (to the extent that such a security interest may be perfected by a filing under the Uniform Commercial Code) shall have been properly filed in each jurisdiction required (or arrangements for such filings acceptable to the Administrative Agent shall have been made).</w:t>
      </w:r>
    </w:p>
    <w:p>
      <w:pPr>
        <w:spacing w:after="0" w:line="119" w:lineRule="exact"/>
        <w:rPr>
          <w:rFonts w:ascii="Arial" w:cs="Arial" w:eastAsia="Arial" w:hAnsi="Arial"/>
          <w:sz w:val="16"/>
          <w:szCs w:val="16"/>
          <w:color w:val="auto"/>
        </w:rPr>
      </w:pPr>
    </w:p>
    <w:p>
      <w:pPr>
        <w:ind w:left="-903" w:right="60" w:firstLine="921"/>
        <w:spacing w:after="0" w:line="294" w:lineRule="auto"/>
        <w:tabs>
          <w:tab w:leader="none" w:pos="249"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The Borrower shall have obtained and delivered to the Administrative Agent certified copies of all consents, approvals, authorizations, registrations, or filings required to be made or obtained by the Borrower and all Subsidiary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115" w:lineRule="exact"/>
        <w:rPr>
          <w:rFonts w:ascii="Arial" w:cs="Arial" w:eastAsia="Arial" w:hAnsi="Arial"/>
          <w:sz w:val="16"/>
          <w:szCs w:val="16"/>
          <w:color w:val="auto"/>
        </w:rPr>
      </w:pPr>
    </w:p>
    <w:p>
      <w:pPr>
        <w:ind w:left="-903" w:right="220" w:firstLine="921"/>
        <w:spacing w:after="0" w:line="268" w:lineRule="auto"/>
        <w:tabs>
          <w:tab w:leader="none" w:pos="259"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Borrower shall have paid in full to the Administrative Agent all fees and expenses related to this Agreement owing on the Effective Date.</w:t>
      </w:r>
    </w:p>
    <w:p>
      <w:pPr>
        <w:spacing w:after="0" w:line="131" w:lineRule="exact"/>
        <w:rPr>
          <w:rFonts w:ascii="Arial" w:cs="Arial" w:eastAsia="Arial" w:hAnsi="Arial"/>
          <w:sz w:val="18"/>
          <w:szCs w:val="18"/>
          <w:color w:val="auto"/>
        </w:rPr>
      </w:pPr>
    </w:p>
    <w:p>
      <w:pPr>
        <w:ind w:left="-903" w:right="80" w:firstLine="921"/>
        <w:spacing w:after="0" w:line="259" w:lineRule="auto"/>
        <w:tabs>
          <w:tab w:leader="none" w:pos="249"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The Administrative Agent and the Lenders shall have received, sufficiently in advance of the Effective Date, all documentation and other information required by bank regulatory authorities under applicable “know your customer” and anti-money laundering rules and regulations, including the USA PATRIOT Act (Title III of Pub. L. 107-56 (signed into law October 26, 2001)).</w:t>
      </w:r>
    </w:p>
    <w:p>
      <w:pPr>
        <w:spacing w:after="0" w:line="127"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108" w:name="page109"/>
    <w:bookmarkEnd w:id="108"/>
    <w:p>
      <w:pPr>
        <w:ind w:right="740" w:firstLine="921"/>
        <w:spacing w:after="0" w:line="268" w:lineRule="auto"/>
        <w:tabs>
          <w:tab w:leader="none" w:pos="113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Documents</w:t>
      </w:r>
      <w:r>
        <w:rPr>
          <w:rFonts w:ascii="Arial" w:cs="Arial" w:eastAsia="Arial" w:hAnsi="Arial"/>
          <w:sz w:val="18"/>
          <w:szCs w:val="18"/>
          <w:color w:val="auto"/>
        </w:rPr>
        <w:t>. The Administrative Agent shall have received such other documents as the Administrative Agent or any Lender may reasonably request in form and substance satisfactory to the Administrative Agent.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Each Credit Event</w:t>
      </w:r>
      <w:r>
        <w:rPr>
          <w:rFonts w:ascii="Arial" w:cs="Arial" w:eastAsia="Arial" w:hAnsi="Arial"/>
          <w:sz w:val="16"/>
          <w:szCs w:val="16"/>
          <w:color w:val="auto"/>
        </w:rPr>
        <w:t>. The obligation of each Lender to make any Loan, and of the Issuing Bank to issue, amend, renew or extend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is additionally subject to the satisfaction of the following conditions:</w:t>
      </w:r>
    </w:p>
    <w:p>
      <w:pPr>
        <w:spacing w:after="0" w:line="165" w:lineRule="exact"/>
        <w:rPr>
          <w:sz w:val="20"/>
          <w:szCs w:val="20"/>
          <w:color w:val="auto"/>
        </w:rPr>
      </w:pPr>
    </w:p>
    <w:p>
      <w:pPr>
        <w:ind w:right="120" w:firstLine="921"/>
        <w:spacing w:after="0" w:line="256" w:lineRule="auto"/>
        <w:tabs>
          <w:tab w:leader="none" w:pos="11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43" w:lineRule="exact"/>
        <w:rPr>
          <w:rFonts w:ascii="Arial" w:cs="Arial" w:eastAsia="Arial" w:hAnsi="Arial"/>
          <w:sz w:val="18"/>
          <w:szCs w:val="18"/>
          <w:color w:val="auto"/>
        </w:rPr>
      </w:pPr>
    </w:p>
    <w:p>
      <w:pPr>
        <w:ind w:right="380" w:firstLine="921"/>
        <w:spacing w:after="0" w:line="268" w:lineRule="auto"/>
        <w:tabs>
          <w:tab w:leader="none" w:pos="116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amendment, renewal or extension of such Letter of Credit, as applicable, no Default shall have occurred and be continuing; and</w:t>
      </w:r>
    </w:p>
    <w:p>
      <w:pPr>
        <w:spacing w:after="0" w:line="131" w:lineRule="exact"/>
        <w:rPr>
          <w:rFonts w:ascii="Arial" w:cs="Arial" w:eastAsia="Arial" w:hAnsi="Arial"/>
          <w:sz w:val="18"/>
          <w:szCs w:val="18"/>
          <w:color w:val="auto"/>
        </w:rPr>
      </w:pPr>
    </w:p>
    <w:p>
      <w:pPr>
        <w:ind w:firstLine="921"/>
        <w:spacing w:after="0" w:line="298" w:lineRule="auto"/>
        <w:tabs>
          <w:tab w:leader="none" w:pos="115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113"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171"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The Borrower will furnish to the Administrative Agent and each Lender:</w:t>
      </w:r>
    </w:p>
    <w:p>
      <w:pPr>
        <w:spacing w:after="0" w:line="18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9" w:name="page110"/>
    <w:bookmarkEnd w:id="109"/>
    <w:p>
      <w:pPr>
        <w:ind w:left="-8" w:right="20" w:firstLine="921"/>
        <w:spacing w:after="0" w:line="291" w:lineRule="auto"/>
        <w:tabs>
          <w:tab w:leader="none" w:pos="1144" w:val="left"/>
        </w:tabs>
        <w:numPr>
          <w:ilvl w:val="1"/>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within 90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may be fulfilled by providing to the Administrative Agent and the Lenders the report of the Borrower to the SEC on Form 10-K for the applicable fiscal year;</w:t>
      </w:r>
    </w:p>
    <w:p>
      <w:pPr>
        <w:spacing w:after="0" w:line="120" w:lineRule="exact"/>
        <w:rPr>
          <w:rFonts w:ascii="Arial" w:cs="Arial" w:eastAsia="Arial" w:hAnsi="Arial"/>
          <w:sz w:val="16"/>
          <w:szCs w:val="16"/>
          <w:color w:val="auto"/>
        </w:rPr>
      </w:pPr>
    </w:p>
    <w:p>
      <w:pPr>
        <w:ind w:left="-8" w:right="80" w:firstLine="921"/>
        <w:spacing w:after="0" w:line="312" w:lineRule="auto"/>
        <w:tabs>
          <w:tab w:leader="none" w:pos="1154" w:val="left"/>
        </w:tabs>
        <w:numPr>
          <w:ilvl w:val="1"/>
          <w:numId w:val="125"/>
        </w:numPr>
        <w:rPr>
          <w:rFonts w:ascii="Arial" w:cs="Arial" w:eastAsia="Arial" w:hAnsi="Arial"/>
          <w:sz w:val="15"/>
          <w:szCs w:val="15"/>
          <w:color w:val="auto"/>
        </w:rPr>
      </w:pPr>
      <w:r>
        <w:rPr>
          <w:rFonts w:ascii="Arial" w:cs="Arial" w:eastAsia="Arial" w:hAnsi="Arial"/>
          <w:sz w:val="15"/>
          <w:szCs w:val="15"/>
          <w:color w:val="auto"/>
        </w:rPr>
        <w:t xml:space="preserve">within 45 days after the end of each of the first three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requirements set forth in this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may be fulfilled by providing to the Lenders the report of the Borrower to the SEC on Form 10-Q for the applicable quarterly period;</w:t>
      </w:r>
    </w:p>
    <w:p>
      <w:pPr>
        <w:spacing w:after="0" w:line="105" w:lineRule="exact"/>
        <w:rPr>
          <w:rFonts w:ascii="Arial" w:cs="Arial" w:eastAsia="Arial" w:hAnsi="Arial"/>
          <w:sz w:val="15"/>
          <w:szCs w:val="15"/>
          <w:color w:val="auto"/>
        </w:rPr>
      </w:pPr>
    </w:p>
    <w:p>
      <w:pPr>
        <w:ind w:left="1152" w:hanging="239"/>
        <w:spacing w:after="0"/>
        <w:tabs>
          <w:tab w:leader="none" w:pos="115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concurrently with any delivery of financial statements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 certificate of a Financial Officer of the Borrower</w:t>
      </w:r>
    </w:p>
    <w:p>
      <w:pPr>
        <w:spacing w:after="0" w:line="38" w:lineRule="exact"/>
        <w:rPr>
          <w:rFonts w:ascii="Arial" w:cs="Arial" w:eastAsia="Arial" w:hAnsi="Arial"/>
          <w:sz w:val="16"/>
          <w:szCs w:val="16"/>
          <w:color w:val="auto"/>
        </w:rPr>
      </w:pPr>
    </w:p>
    <w:p>
      <w:pPr>
        <w:ind w:left="-8" w:right="20" w:firstLine="8"/>
        <w:spacing w:after="0" w:line="292" w:lineRule="auto"/>
        <w:tabs>
          <w:tab w:leader="none" w:pos="20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6.07</w:t>
      </w:r>
      <w:r>
        <w:rPr>
          <w:rFonts w:ascii="Arial" w:cs="Arial" w:eastAsia="Arial" w:hAnsi="Arial"/>
          <w:sz w:val="16"/>
          <w:szCs w:val="16"/>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16" w:lineRule="exact"/>
        <w:rPr>
          <w:rFonts w:ascii="Arial" w:cs="Arial" w:eastAsia="Arial" w:hAnsi="Arial"/>
          <w:sz w:val="16"/>
          <w:szCs w:val="16"/>
          <w:color w:val="auto"/>
        </w:rPr>
      </w:pPr>
    </w:p>
    <w:p>
      <w:pPr>
        <w:ind w:left="-8" w:right="500" w:firstLine="921"/>
        <w:spacing w:after="0" w:line="332" w:lineRule="auto"/>
        <w:tabs>
          <w:tab w:leader="none" w:pos="115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85" w:lineRule="exact"/>
        <w:rPr>
          <w:rFonts w:ascii="Arial" w:cs="Arial" w:eastAsia="Arial" w:hAnsi="Arial"/>
          <w:sz w:val="16"/>
          <w:szCs w:val="16"/>
          <w:color w:val="auto"/>
        </w:rPr>
      </w:pPr>
    </w:p>
    <w:p>
      <w:pPr>
        <w:ind w:left="-8" w:right="160" w:firstLine="921"/>
        <w:spacing w:after="0" w:line="298" w:lineRule="auto"/>
        <w:tabs>
          <w:tab w:leader="none" w:pos="114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promptly but no later than five Business Days after the Borrower shall at any time have knowledge that there is a Borrowing Base Deficiency, a Borrowing Base Certificate as at the date the Borrower has knowledge of such Borrowing Base Deficiency indicating the amount of the Borrowing Base Deficiency as at the date the Borrower obtained knowledge of such deficiency and the amount of the Borrowing Base Deficiency as of the date not earlier than one Business Day prior to the date the Borrowing Base Certificate is delivered pursuant to this paragraph;</w:t>
      </w:r>
    </w:p>
    <w:p>
      <w:pPr>
        <w:spacing w:after="0" w:line="99" w:lineRule="exact"/>
        <w:rPr>
          <w:sz w:val="20"/>
          <w:szCs w:val="20"/>
          <w:color w:val="auto"/>
        </w:rPr>
      </w:pPr>
    </w:p>
    <w:p>
      <w:pPr>
        <w:jc w:val="both"/>
        <w:ind w:left="5852"/>
        <w:spacing w:after="0"/>
        <w:tabs>
          <w:tab w:leader="none" w:pos="941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12"/>
          </w:cols>
          <w:pgMar w:left="248" w:top="280" w:right="239" w:bottom="1440" w:gutter="0" w:footer="0" w:header="0"/>
        </w:sectPr>
      </w:pPr>
    </w:p>
    <w:bookmarkStart w:id="110" w:name="page111"/>
    <w:bookmarkEnd w:id="110"/>
    <w:p>
      <w:pPr>
        <w:ind w:right="40" w:firstLine="921"/>
        <w:spacing w:after="0" w:line="259" w:lineRule="auto"/>
        <w:tabs>
          <w:tab w:leader="none" w:pos="11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40" w:lineRule="exact"/>
        <w:rPr>
          <w:rFonts w:ascii="Arial" w:cs="Arial" w:eastAsia="Arial" w:hAnsi="Arial"/>
          <w:sz w:val="18"/>
          <w:szCs w:val="18"/>
          <w:color w:val="auto"/>
        </w:rPr>
      </w:pPr>
    </w:p>
    <w:p>
      <w:pPr>
        <w:jc w:val="both"/>
        <w:ind w:right="380" w:firstLine="921"/>
        <w:spacing w:after="0" w:line="259" w:lineRule="auto"/>
        <w:tabs>
          <w:tab w:leader="none" w:pos="116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40" w:lineRule="exact"/>
        <w:rPr>
          <w:rFonts w:ascii="Arial" w:cs="Arial" w:eastAsia="Arial" w:hAnsi="Arial"/>
          <w:sz w:val="18"/>
          <w:szCs w:val="18"/>
          <w:color w:val="auto"/>
        </w:rPr>
      </w:pPr>
    </w:p>
    <w:p>
      <w:pPr>
        <w:ind w:firstLine="921"/>
        <w:spacing w:after="0" w:line="259" w:lineRule="auto"/>
        <w:tabs>
          <w:tab w:leader="none" w:pos="116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40" w:lineRule="exact"/>
        <w:rPr>
          <w:rFonts w:ascii="Arial" w:cs="Arial" w:eastAsia="Arial" w:hAnsi="Arial"/>
          <w:sz w:val="18"/>
          <w:szCs w:val="18"/>
          <w:color w:val="auto"/>
        </w:rPr>
      </w:pPr>
    </w:p>
    <w:p>
      <w:pPr>
        <w:ind w:right="160" w:firstLine="921"/>
        <w:spacing w:after="0" w:line="289" w:lineRule="auto"/>
        <w:tabs>
          <w:tab w:leader="none" w:pos="112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Borrower and each Lender acknowledge that certain of the Lenders may be Public Lenders and, if documents or notices required to be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otherwise are being distributed through IntraLinks/IntraAgency, SyndTrak or another relevant website or other information platform (the “</w:t>
      </w:r>
      <w:r>
        <w:rPr>
          <w:rFonts w:ascii="Arial" w:cs="Arial" w:eastAsia="Arial" w:hAnsi="Arial"/>
          <w:sz w:val="16"/>
          <w:szCs w:val="16"/>
          <w:u w:val="single" w:color="auto"/>
          <w:color w:val="auto"/>
        </w:rPr>
        <w:t>Platform</w:t>
      </w:r>
      <w:r>
        <w:rPr>
          <w:rFonts w:ascii="Arial" w:cs="Arial" w:eastAsia="Arial" w:hAnsi="Arial"/>
          <w:sz w:val="16"/>
          <w:szCs w:val="16"/>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this Agreement).</w:t>
      </w:r>
    </w:p>
    <w:p>
      <w:pPr>
        <w:spacing w:after="0" w:line="118" w:lineRule="exact"/>
        <w:rPr>
          <w:rFonts w:ascii="Arial" w:cs="Arial" w:eastAsia="Arial" w:hAnsi="Arial"/>
          <w:sz w:val="16"/>
          <w:szCs w:val="16"/>
          <w:color w:val="auto"/>
        </w:rPr>
      </w:pPr>
    </w:p>
    <w:p>
      <w:pPr>
        <w:ind w:right="20" w:firstLine="921"/>
        <w:spacing w:after="0" w:line="306" w:lineRule="auto"/>
        <w:tabs>
          <w:tab w:leader="none" w:pos="112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the requirements to deliver documents set forth in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will be fulfilled by filing by the Borrower of the applicable documents for public availability on the SEC’s Electronic Data Gathering and Retrieval system;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notify the Administrative Agent (by telecopier or electronic mail) of the posting of any such documents.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and each Lender prompt written notice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65" w:lineRule="exact"/>
        <w:rPr>
          <w:sz w:val="20"/>
          <w:szCs w:val="20"/>
          <w:color w:val="auto"/>
        </w:rPr>
      </w:pPr>
    </w:p>
    <w:p>
      <w:pPr>
        <w:ind w:left="1160" w:hanging="239"/>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71" w:lineRule="exact"/>
        <w:rPr>
          <w:rFonts w:ascii="Arial" w:cs="Arial" w:eastAsia="Arial" w:hAnsi="Arial"/>
          <w:sz w:val="18"/>
          <w:szCs w:val="18"/>
          <w:color w:val="auto"/>
        </w:rPr>
      </w:pPr>
    </w:p>
    <w:p>
      <w:pPr>
        <w:ind w:right="440" w:firstLine="921"/>
        <w:spacing w:after="0" w:line="332" w:lineRule="auto"/>
        <w:tabs>
          <w:tab w:leader="none" w:pos="116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7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1" w:name="page112"/>
    <w:bookmarkEnd w:id="111"/>
    <w:p>
      <w:pPr>
        <w:ind w:right="340" w:firstLine="921"/>
        <w:spacing w:after="0" w:line="268" w:lineRule="auto"/>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occurrence of any ERISA Event that, alone or together with any other ERISA Events that have occurred, could reasonably be expected to result in liability of the Borrower and its Subsidiaries in an aggregate amount exceeding $5,000,000;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85"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43"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16"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Maintenance of Properties; Insurance</w:t>
      </w:r>
      <w:r>
        <w:rPr>
          <w:rFonts w:ascii="Arial" w:cs="Arial" w:eastAsia="Arial" w:hAnsi="Arial"/>
          <w:sz w:val="16"/>
          <w:szCs w:val="16"/>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99" w:lineRule="exact"/>
        <w:rPr>
          <w:sz w:val="20"/>
          <w:szCs w:val="20"/>
          <w:color w:val="auto"/>
        </w:rPr>
      </w:pPr>
    </w:p>
    <w:p>
      <w:pPr>
        <w:ind w:left="5860"/>
        <w:spacing w:after="0"/>
        <w:tabs>
          <w:tab w:leader="none" w:pos="9420"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2" w:name="page113"/>
    <w:bookmarkEnd w:id="112"/>
    <w:p>
      <w:pPr>
        <w:ind w:right="6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5.06. </w:t>
      </w:r>
      <w:r>
        <w:rPr>
          <w:rFonts w:ascii="Arial" w:cs="Arial" w:eastAsia="Arial" w:hAnsi="Arial"/>
          <w:sz w:val="16"/>
          <w:szCs w:val="16"/>
          <w:u w:val="single" w:color="auto"/>
          <w:color w:val="auto"/>
        </w:rPr>
        <w:t>Books and Records; Inspection and Audit Rights</w:t>
      </w:r>
      <w:r>
        <w:rPr>
          <w:rFonts w:ascii="Arial" w:cs="Arial" w:eastAsia="Arial" w:hAnsi="Arial"/>
          <w:sz w:val="16"/>
          <w:szCs w:val="16"/>
          <w:color w:val="auto"/>
        </w:rPr>
        <w:t xml:space="preserve">. The Borrower will, and will cause each of its Subsidiaries to, keep books of record and account in accordance with GAAP. 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 flaw, rule, regulation or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such Obligor shall be entitled to have its representatives and advisors present during any inspection of its books and records.</w:t>
      </w:r>
    </w:p>
    <w:p>
      <w:pPr>
        <w:spacing w:after="0" w:line="118"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Certain Obligations Respecting Subsidiaries; Further Assurances</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94" w:lineRule="auto"/>
        <w:tabs>
          <w:tab w:leader="none" w:pos="1152"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Subsidiary Guarantors</w:t>
      </w:r>
      <w:r>
        <w:rPr>
          <w:rFonts w:ascii="Arial" w:cs="Arial" w:eastAsia="Arial" w:hAnsi="Arial"/>
          <w:sz w:val="16"/>
          <w:szCs w:val="16"/>
          <w:color w:val="auto"/>
        </w:rPr>
        <w:t xml:space="preserve">.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upon the Effective Date or as the Administrative Agent shall have requested.</w:t>
      </w:r>
    </w:p>
    <w:p>
      <w:pPr>
        <w:spacing w:after="0" w:line="115" w:lineRule="exact"/>
        <w:rPr>
          <w:rFonts w:ascii="Arial" w:cs="Arial" w:eastAsia="Arial" w:hAnsi="Arial"/>
          <w:sz w:val="16"/>
          <w:szCs w:val="16"/>
          <w:color w:val="auto"/>
        </w:rPr>
      </w:pPr>
    </w:p>
    <w:p>
      <w:pPr>
        <w:ind w:right="60" w:firstLine="921"/>
        <w:spacing w:after="0" w:line="268" w:lineRule="auto"/>
        <w:tabs>
          <w:tab w:leader="none" w:pos="116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Ownership of Subsidiaries</w:t>
      </w:r>
      <w:r>
        <w:rPr>
          <w:rFonts w:ascii="Arial" w:cs="Arial" w:eastAsia="Arial" w:hAnsi="Arial"/>
          <w:sz w:val="18"/>
          <w:szCs w:val="18"/>
          <w:color w:val="auto"/>
        </w:rPr>
        <w:t>. The Borrower will, and will cause each of its Subsidiaries to, take such action from time to time as shall be necessary to ensure that each of its Subsidiaries is a wholly owned Subsidiary.</w:t>
      </w:r>
    </w:p>
    <w:p>
      <w:pPr>
        <w:spacing w:after="0" w:line="131" w:lineRule="exact"/>
        <w:rPr>
          <w:rFonts w:ascii="Arial" w:cs="Arial" w:eastAsia="Arial" w:hAnsi="Arial"/>
          <w:sz w:val="18"/>
          <w:szCs w:val="18"/>
          <w:color w:val="auto"/>
        </w:rPr>
      </w:pPr>
    </w:p>
    <w:p>
      <w:pPr>
        <w:ind w:right="500" w:firstLine="921"/>
        <w:spacing w:after="0" w:line="294" w:lineRule="auto"/>
        <w:tabs>
          <w:tab w:leader="none" w:pos="1152"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w:t>
      </w:r>
    </w:p>
    <w:p>
      <w:pPr>
        <w:spacing w:after="0" w:line="10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3" w:name="page114"/>
    <w:bookmarkEnd w:id="11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thereof that is a party to any Hedging Agreement entered into with the Borrower) and the holders of any Secured Longer-Term Indebtedness or Secured Shorter-Term Indebtedness, perfected security interests and Liens in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security interest or Lien shall be subject to the relevant requirements of the Security Documents, (ii) in the case of any Portfolio Investment consisting of a Bank Loan (as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28"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Borrower will use the proceeds of the Loans only for general corporate purposes of the Borrower in the ordinary course of business,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Administrative Agent nor any Lender shall have any responsibility as to the use of any of such proceeds. No part of the proceeds of any Loan will be used in violation of applicable law or, directly or indirectly, for the purpose, whether immediate, incidental or ultimate, of buying or carrying any Margin Stock. Margin Stock shall be purchased by the Obligors only with the proceeds of Indebtedness not directly or indirectly secured by Margin Stock, or with the proceeds of equity capital of the Borrower.</w:t>
      </w:r>
    </w:p>
    <w:p>
      <w:pPr>
        <w:spacing w:after="0" w:line="147" w:lineRule="exact"/>
        <w:rPr>
          <w:sz w:val="20"/>
          <w:szCs w:val="20"/>
          <w:color w:val="auto"/>
        </w:rPr>
      </w:pPr>
    </w:p>
    <w:p>
      <w:pPr>
        <w:ind w:right="940" w:firstLine="913"/>
        <w:spacing w:after="0" w:line="268"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Status of RIC and BDC</w:t>
      </w:r>
      <w:r>
        <w:rPr>
          <w:rFonts w:ascii="Arial" w:cs="Arial" w:eastAsia="Arial" w:hAnsi="Arial"/>
          <w:sz w:val="18"/>
          <w:szCs w:val="18"/>
          <w:color w:val="auto"/>
        </w:rPr>
        <w:t>. The Borrower shall at all times maintain its status as a RIC under the Code, and as a “business development company” under the Investment Company Act.</w:t>
      </w:r>
    </w:p>
    <w:p>
      <w:pPr>
        <w:spacing w:after="0" w:line="132"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Investment Policies</w:t>
      </w:r>
      <w:r>
        <w:rPr>
          <w:rFonts w:ascii="Arial" w:cs="Arial" w:eastAsia="Arial" w:hAnsi="Arial"/>
          <w:sz w:val="18"/>
          <w:szCs w:val="18"/>
          <w:color w:val="auto"/>
        </w:rPr>
        <w:t>. The Borrower shall at all times be in compliance in all material respects with its Investment Policies (after giving effect to any Permitted Policy Amendments).</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5.12. </w:t>
      </w:r>
      <w:r>
        <w:rPr>
          <w:rFonts w:ascii="Arial" w:cs="Arial" w:eastAsia="Arial" w:hAnsi="Arial"/>
          <w:sz w:val="18"/>
          <w:szCs w:val="18"/>
          <w:u w:val="single" w:color="auto"/>
          <w:color w:val="auto"/>
        </w:rPr>
        <w:t>Portfolio Valuation and Diversification Etc</w:t>
      </w:r>
      <w:r>
        <w:rPr>
          <w:rFonts w:ascii="Arial" w:cs="Arial" w:eastAsia="Arial" w:hAnsi="Arial"/>
          <w:sz w:val="18"/>
          <w:szCs w:val="18"/>
          <w:color w:val="auto"/>
        </w:rPr>
        <w:t>.</w:t>
      </w:r>
    </w:p>
    <w:p>
      <w:pPr>
        <w:spacing w:after="0" w:line="171" w:lineRule="exact"/>
        <w:rPr>
          <w:sz w:val="20"/>
          <w:szCs w:val="20"/>
          <w:color w:val="auto"/>
        </w:rPr>
      </w:pPr>
    </w:p>
    <w:p>
      <w:pPr>
        <w:ind w:left="-900" w:right="20" w:firstLine="921"/>
        <w:spacing w:after="0" w:line="255" w:lineRule="auto"/>
        <w:tabs>
          <w:tab w:leader="none" w:pos="252"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Industry Classification Groups</w:t>
      </w:r>
      <w:r>
        <w:rPr>
          <w:rFonts w:ascii="Arial" w:cs="Arial" w:eastAsia="Arial" w:hAnsi="Arial"/>
          <w:sz w:val="18"/>
          <w:szCs w:val="18"/>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42" w:lineRule="exact"/>
        <w:rPr>
          <w:rFonts w:ascii="Arial" w:cs="Arial" w:eastAsia="Arial" w:hAnsi="Arial"/>
          <w:sz w:val="18"/>
          <w:szCs w:val="18"/>
          <w:color w:val="auto"/>
        </w:rPr>
      </w:pPr>
    </w:p>
    <w:p>
      <w:pPr>
        <w:ind w:left="260" w:hanging="239"/>
        <w:spacing w:after="0"/>
        <w:tabs>
          <w:tab w:leader="none" w:pos="260"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Portfolio Valuation Etc</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right="40" w:firstLine="443"/>
        <w:spacing w:after="0" w:line="298" w:lineRule="auto"/>
        <w:tabs>
          <w:tab w:leader="none" w:pos="208"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Settlement Date Basis</w:t>
      </w:r>
      <w:r>
        <w:rPr>
          <w:rFonts w:ascii="Arial" w:cs="Arial" w:eastAsia="Arial" w:hAnsi="Arial"/>
          <w:sz w:val="16"/>
          <w:szCs w:val="16"/>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investment shall be included as a Portfolio Investment to the extent it has not been paid for in full.</w:t>
      </w:r>
    </w:p>
    <w:p>
      <w:pPr>
        <w:spacing w:after="0" w:line="31" w:lineRule="exact"/>
        <w:rPr>
          <w:rFonts w:ascii="Arial" w:cs="Arial" w:eastAsia="Arial" w:hAnsi="Arial"/>
          <w:sz w:val="16"/>
          <w:szCs w:val="16"/>
          <w:color w:val="auto"/>
        </w:rPr>
      </w:pPr>
    </w:p>
    <w:p>
      <w:pPr>
        <w:ind w:left="260" w:hanging="257"/>
        <w:spacing w:after="0"/>
        <w:tabs>
          <w:tab w:leader="none" w:pos="26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Determination of Values</w:t>
      </w:r>
      <w:r>
        <w:rPr>
          <w:rFonts w:ascii="Arial" w:cs="Arial" w:eastAsia="Arial" w:hAnsi="Arial"/>
          <w:sz w:val="16"/>
          <w:szCs w:val="16"/>
          <w:color w:val="auto"/>
        </w:rPr>
        <w:t>. The Borrower will conduct reviews of the value to be assigned to each of its Portfolio Investments as follows:</w:t>
      </w:r>
    </w:p>
    <w:p>
      <w:pPr>
        <w:spacing w:after="0" w:line="113" w:lineRule="exact"/>
        <w:rPr>
          <w:rFonts w:ascii="Arial" w:cs="Arial" w:eastAsia="Arial" w:hAnsi="Arial"/>
          <w:sz w:val="16"/>
          <w:szCs w:val="16"/>
          <w:color w:val="auto"/>
        </w:rPr>
      </w:pPr>
    </w:p>
    <w:p>
      <w:pPr>
        <w:ind w:left="20" w:right="40" w:firstLine="421"/>
        <w:spacing w:after="0" w:line="306" w:lineRule="auto"/>
        <w:tabs>
          <w:tab w:leader="none" w:pos="727" w:val="left"/>
        </w:tabs>
        <w:numPr>
          <w:ilvl w:val="2"/>
          <w:numId w:val="132"/>
        </w:numPr>
        <w:rPr>
          <w:rFonts w:ascii="Arial" w:cs="Arial" w:eastAsia="Arial" w:hAnsi="Arial"/>
          <w:sz w:val="16"/>
          <w:szCs w:val="16"/>
          <w:color w:val="auto"/>
        </w:rPr>
      </w:pPr>
      <w:r>
        <w:rPr>
          <w:rFonts w:ascii="Arial" w:cs="Arial" w:eastAsia="Arial" w:hAnsi="Arial"/>
          <w:sz w:val="16"/>
          <w:szCs w:val="16"/>
          <w:u w:val="single" w:color="auto"/>
          <w:color w:val="auto"/>
        </w:rPr>
        <w:t>Quoted Investments - External Review</w:t>
      </w:r>
      <w:r>
        <w:rPr>
          <w:rFonts w:ascii="Arial" w:cs="Arial" w:eastAsia="Arial" w:hAnsi="Arial"/>
          <w:sz w:val="16"/>
          <w:szCs w:val="16"/>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25" w:lineRule="exact"/>
        <w:rPr>
          <w:rFonts w:ascii="Arial" w:cs="Arial" w:eastAsia="Arial" w:hAnsi="Arial"/>
          <w:sz w:val="16"/>
          <w:szCs w:val="16"/>
          <w:color w:val="auto"/>
        </w:rPr>
      </w:pPr>
    </w:p>
    <w:p>
      <w:pPr>
        <w:ind w:left="600" w:right="360" w:firstLine="389"/>
        <w:spacing w:after="0" w:line="268" w:lineRule="auto"/>
        <w:tabs>
          <w:tab w:leader="none" w:pos="1285" w:val="left"/>
        </w:tabs>
        <w:numPr>
          <w:ilvl w:val="3"/>
          <w:numId w:val="132"/>
        </w:numPr>
        <w:rPr>
          <w:rFonts w:ascii="Arial" w:cs="Arial" w:eastAsia="Arial" w:hAnsi="Arial"/>
          <w:sz w:val="18"/>
          <w:szCs w:val="18"/>
          <w:color w:val="auto"/>
        </w:rPr>
      </w:pPr>
      <w:r>
        <w:rPr>
          <w:rFonts w:ascii="Arial" w:cs="Arial" w:eastAsia="Arial" w:hAnsi="Arial"/>
          <w:sz w:val="18"/>
          <w:szCs w:val="18"/>
          <w:color w:val="auto"/>
        </w:rPr>
        <w:t>in the case of public and 144A securities, the average of the bid prices as determined by two Approved Dealers selected by the Borrower,</w:t>
      </w:r>
    </w:p>
    <w:p>
      <w:pPr>
        <w:spacing w:after="0" w:line="50" w:lineRule="exact"/>
        <w:rPr>
          <w:rFonts w:ascii="Arial" w:cs="Arial" w:eastAsia="Arial" w:hAnsi="Arial"/>
          <w:sz w:val="18"/>
          <w:szCs w:val="18"/>
          <w:color w:val="auto"/>
        </w:rPr>
      </w:pPr>
    </w:p>
    <w:p>
      <w:pPr>
        <w:ind w:left="1240" w:hanging="251"/>
        <w:spacing w:after="0"/>
        <w:tabs>
          <w:tab w:leader="none" w:pos="1240" w:val="left"/>
        </w:tabs>
        <w:numPr>
          <w:ilvl w:val="3"/>
          <w:numId w:val="132"/>
        </w:numPr>
        <w:rPr>
          <w:rFonts w:ascii="Arial" w:cs="Arial" w:eastAsia="Arial" w:hAnsi="Arial"/>
          <w:sz w:val="18"/>
          <w:szCs w:val="18"/>
          <w:color w:val="auto"/>
        </w:rPr>
      </w:pPr>
      <w:r>
        <w:rPr>
          <w:rFonts w:ascii="Arial" w:cs="Arial" w:eastAsia="Arial" w:hAnsi="Arial"/>
          <w:sz w:val="18"/>
          <w:szCs w:val="18"/>
          <w:color w:val="auto"/>
        </w:rPr>
        <w:t>in the case of bank loans, the bid price as determined by one Approved Dealer selected by the Borrower,</w:t>
      </w:r>
    </w:p>
    <w:p>
      <w:pPr>
        <w:spacing w:after="0" w:line="90" w:lineRule="exact"/>
        <w:rPr>
          <w:rFonts w:ascii="Arial" w:cs="Arial" w:eastAsia="Arial" w:hAnsi="Arial"/>
          <w:sz w:val="18"/>
          <w:szCs w:val="18"/>
          <w:color w:val="auto"/>
        </w:rPr>
      </w:pPr>
    </w:p>
    <w:p>
      <w:pPr>
        <w:ind w:left="600" w:right="100" w:firstLine="389"/>
        <w:spacing w:after="0" w:line="268" w:lineRule="auto"/>
        <w:tabs>
          <w:tab w:leader="none" w:pos="1246" w:val="left"/>
        </w:tabs>
        <w:numPr>
          <w:ilvl w:val="3"/>
          <w:numId w:val="132"/>
        </w:numPr>
        <w:rPr>
          <w:rFonts w:ascii="Arial" w:cs="Arial" w:eastAsia="Arial" w:hAnsi="Arial"/>
          <w:sz w:val="18"/>
          <w:szCs w:val="18"/>
          <w:color w:val="auto"/>
        </w:rPr>
      </w:pPr>
      <w:r>
        <w:rPr>
          <w:rFonts w:ascii="Arial" w:cs="Arial" w:eastAsia="Arial" w:hAnsi="Arial"/>
          <w:sz w:val="18"/>
          <w:szCs w:val="18"/>
          <w:color w:val="auto"/>
        </w:rPr>
        <w:t>in the case of any Portfolio Investment traded on an exchange, the closing price for such Portfolio Investment most recently posted on such exchange, and</w:t>
      </w:r>
    </w:p>
    <w:p>
      <w:pPr>
        <w:spacing w:after="0" w:line="50" w:lineRule="exact"/>
        <w:rPr>
          <w:rFonts w:ascii="Arial" w:cs="Arial" w:eastAsia="Arial" w:hAnsi="Arial"/>
          <w:sz w:val="18"/>
          <w:szCs w:val="18"/>
          <w:color w:val="auto"/>
        </w:rPr>
      </w:pPr>
    </w:p>
    <w:p>
      <w:pPr>
        <w:ind w:left="1220" w:hanging="231"/>
        <w:spacing w:after="0"/>
        <w:tabs>
          <w:tab w:leader="none" w:pos="1220" w:val="left"/>
        </w:tabs>
        <w:numPr>
          <w:ilvl w:val="3"/>
          <w:numId w:val="132"/>
        </w:numPr>
        <w:rPr>
          <w:rFonts w:ascii="Arial" w:cs="Arial" w:eastAsia="Arial" w:hAnsi="Arial"/>
          <w:sz w:val="16"/>
          <w:szCs w:val="16"/>
          <w:color w:val="auto"/>
        </w:rPr>
      </w:pPr>
      <w:r>
        <w:rPr>
          <w:rFonts w:ascii="Arial" w:cs="Arial" w:eastAsia="Arial" w:hAnsi="Arial"/>
          <w:sz w:val="16"/>
          <w:szCs w:val="16"/>
          <w:color w:val="auto"/>
        </w:rPr>
        <w:t>in the case of any other Portfolio Investment, the fair market value thereof as determined by an Approved Pricing Service; and</w:t>
      </w:r>
    </w:p>
    <w:p>
      <w:pPr>
        <w:spacing w:after="0" w:line="113" w:lineRule="exact"/>
        <w:rPr>
          <w:rFonts w:ascii="Arial" w:cs="Arial" w:eastAsia="Arial" w:hAnsi="Arial"/>
          <w:sz w:val="16"/>
          <w:szCs w:val="16"/>
          <w:color w:val="auto"/>
        </w:rPr>
      </w:pPr>
    </w:p>
    <w:p>
      <w:pPr>
        <w:ind w:left="20" w:right="120" w:firstLine="421"/>
        <w:spacing w:after="0" w:line="259" w:lineRule="auto"/>
        <w:tabs>
          <w:tab w:leader="none" w:pos="718" w:val="left"/>
        </w:tabs>
        <w:numPr>
          <w:ilvl w:val="2"/>
          <w:numId w:val="132"/>
        </w:numPr>
        <w:rPr>
          <w:rFonts w:ascii="Arial" w:cs="Arial" w:eastAsia="Arial" w:hAnsi="Arial"/>
          <w:sz w:val="18"/>
          <w:szCs w:val="18"/>
          <w:color w:val="auto"/>
        </w:rPr>
      </w:pPr>
      <w:r>
        <w:rPr>
          <w:rFonts w:ascii="Arial" w:cs="Arial" w:eastAsia="Arial" w:hAnsi="Arial"/>
          <w:sz w:val="18"/>
          <w:szCs w:val="18"/>
          <w:u w:val="single" w:color="auto"/>
          <w:color w:val="auto"/>
        </w:rPr>
        <w:t>Unquoted Investments - External Review</w:t>
      </w:r>
      <w:r>
        <w:rPr>
          <w:rFonts w:ascii="Arial" w:cs="Arial" w:eastAsia="Arial" w:hAnsi="Arial"/>
          <w:sz w:val="18"/>
          <w:szCs w:val="18"/>
          <w:color w:val="auto"/>
        </w:rPr>
        <w:t xml:space="preserve">. With respect to Portfolio Investments for which market quotations are not readily available, the Borrower shall request an Approved Third-Party Appraiser to assist the Board of Directors of the Borrower in determining the fair market value of such Portfolio Investments, as at the last day of each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27" w:lineRule="exact"/>
        <w:rPr>
          <w:sz w:val="20"/>
          <w:szCs w:val="20"/>
          <w:color w:val="auto"/>
        </w:rPr>
      </w:pPr>
    </w:p>
    <w:p>
      <w:pPr>
        <w:jc w:val="both"/>
        <w:ind w:left="4960"/>
        <w:spacing w:after="0"/>
        <w:tabs>
          <w:tab w:leader="none" w:pos="85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20"/>
          </w:cols>
          <w:pgMar w:left="1140" w:top="280" w:right="239" w:bottom="1440" w:gutter="0" w:footer="0" w:header="0"/>
        </w:sectPr>
      </w:pPr>
    </w:p>
    <w:bookmarkStart w:id="115" w:name="page116"/>
    <w:bookmarkEnd w:id="115"/>
    <w:p>
      <w:pPr>
        <w:ind w:left="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 the Value of any such Portfolio Investment (i.e., a Portfolio Investment for which market quotations are not readily</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available) acquired during a fiscal quarter shall be deemed to be equal to the cost of such Portfolio Investment until such time as the fair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market value of such Portfolio Investment is determined in accordance with the foregoing provisions of this </w:t>
      </w:r>
      <w:r>
        <w:rPr>
          <w:rFonts w:ascii="Arial" w:cs="Arial" w:eastAsia="Arial" w:hAnsi="Arial"/>
          <w:sz w:val="16"/>
          <w:szCs w:val="16"/>
          <w:u w:val="single" w:color="auto"/>
          <w:color w:val="auto"/>
        </w:rPr>
        <w:t>sub-clause (B)</w:t>
      </w:r>
      <w:r>
        <w:rPr>
          <w:rFonts w:ascii="Arial" w:cs="Arial" w:eastAsia="Arial" w:hAnsi="Arial"/>
          <w:sz w:val="16"/>
          <w:szCs w:val="16"/>
          <w:color w:val="auto"/>
        </w:rPr>
        <w:t xml:space="preserve"> as at the last day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 such fiscal quarter; and</w:t>
      </w:r>
    </w:p>
    <w:p>
      <w:pPr>
        <w:spacing w:after="0" w:line="84" w:lineRule="exact"/>
        <w:rPr>
          <w:sz w:val="20"/>
          <w:szCs w:val="20"/>
          <w:color w:val="auto"/>
        </w:rPr>
      </w:pPr>
    </w:p>
    <w:p>
      <w:pPr>
        <w:ind w:left="300" w:right="20" w:firstLine="389"/>
        <w:spacing w:after="0" w:line="290" w:lineRule="auto"/>
        <w:tabs>
          <w:tab w:leader="none" w:pos="94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notwithstanding the foregoing, the Board of Directors of the Borrower may, without the assistance of an Approved Third-Party Appraiser, determine the fair market value of such unquoted Portfolio Investments so long as the aggregate Value thereof so determined does not at any time exceed 10% of the aggregate Borrowing Base, except that the fair market value of any Portfolio Investment that has been determined without the assistance of an Approved Third-Party Appraiser as at the last day of any fiscal quarter shall be deemed to be zero as at the last day of the immediately succeeding fiscal quarter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w:t>
      </w:r>
    </w:p>
    <w:p>
      <w:pPr>
        <w:spacing w:after="0" w:line="37" w:lineRule="exact"/>
        <w:rPr>
          <w:rFonts w:ascii="Arial" w:cs="Arial" w:eastAsia="Arial" w:hAnsi="Arial"/>
          <w:sz w:val="16"/>
          <w:szCs w:val="16"/>
          <w:color w:val="auto"/>
        </w:rPr>
      </w:pPr>
    </w:p>
    <w:p>
      <w:pPr>
        <w:ind w:left="-280" w:right="60" w:firstLine="421"/>
        <w:spacing w:after="0" w:line="288" w:lineRule="auto"/>
        <w:tabs>
          <w:tab w:leader="none" w:pos="418"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Internal Review</w:t>
      </w:r>
      <w:r>
        <w:rPr>
          <w:rFonts w:ascii="Arial" w:cs="Arial" w:eastAsia="Arial" w:hAnsi="Arial"/>
          <w:sz w:val="16"/>
          <w:szCs w:val="16"/>
          <w:color w:val="auto"/>
        </w:rPr>
        <w:t xml:space="preserve">. The Borrower shall conduct internal reviews of all Portfolio Investments at least once each calendar week which shall take into account any events of which the Borrower has knowledge that adversely affect the value of the Portfolio Investments. If the value of any Portfolio Investment as most recently determined by the Borrower pursuant to this </w:t>
      </w:r>
      <w:r>
        <w:rPr>
          <w:rFonts w:ascii="Arial" w:cs="Arial" w:eastAsia="Arial" w:hAnsi="Arial"/>
          <w:sz w:val="16"/>
          <w:szCs w:val="16"/>
          <w:u w:val="single" w:color="auto"/>
          <w:color w:val="auto"/>
        </w:rPr>
        <w:t>Section 5.12(b)(ii)(C)</w:t>
      </w:r>
      <w:r>
        <w:rPr>
          <w:rFonts w:ascii="Arial" w:cs="Arial" w:eastAsia="Arial" w:hAnsi="Arial"/>
          <w:sz w:val="16"/>
          <w:szCs w:val="16"/>
          <w:color w:val="auto"/>
        </w:rPr>
        <w:t xml:space="preserve"> is lower than the value of such Portfolio Investment as most recently determined pursuant to </w:t>
      </w:r>
      <w:r>
        <w:rPr>
          <w:rFonts w:ascii="Arial" w:cs="Arial" w:eastAsia="Arial" w:hAnsi="Arial"/>
          <w:sz w:val="16"/>
          <w:szCs w:val="16"/>
          <w:u w:val="single" w:color="auto"/>
          <w:color w:val="auto"/>
        </w:rPr>
        <w:t>Section 5.12(b)(ii)(A)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such lower value shall be deemed to be the “Value” of such Portfolio Investment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38" w:lineRule="exact"/>
        <w:rPr>
          <w:rFonts w:ascii="Arial" w:cs="Arial" w:eastAsia="Arial" w:hAnsi="Arial"/>
          <w:sz w:val="16"/>
          <w:szCs w:val="16"/>
          <w:color w:val="auto"/>
        </w:rPr>
      </w:pPr>
    </w:p>
    <w:p>
      <w:pPr>
        <w:ind w:left="-280" w:right="160" w:firstLine="421"/>
        <w:spacing w:after="0" w:line="370" w:lineRule="auto"/>
        <w:tabs>
          <w:tab w:leader="none" w:pos="427" w:val="left"/>
        </w:tabs>
        <w:numPr>
          <w:ilvl w:val="0"/>
          <w:numId w:val="134"/>
        </w:numPr>
        <w:rPr>
          <w:rFonts w:ascii="Arial" w:cs="Arial" w:eastAsia="Arial" w:hAnsi="Arial"/>
          <w:sz w:val="15"/>
          <w:szCs w:val="15"/>
          <w:color w:val="auto"/>
        </w:rPr>
      </w:pPr>
      <w:r>
        <w:rPr>
          <w:rFonts w:ascii="Arial" w:cs="Arial" w:eastAsia="Arial" w:hAnsi="Arial"/>
          <w:sz w:val="15"/>
          <w:szCs w:val="15"/>
          <w:u w:val="single" w:color="auto"/>
          <w:color w:val="auto"/>
        </w:rPr>
        <w:t>Failure to Determine Values</w:t>
      </w:r>
      <w:r>
        <w:rPr>
          <w:rFonts w:ascii="Arial" w:cs="Arial" w:eastAsia="Arial" w:hAnsi="Arial"/>
          <w:sz w:val="15"/>
          <w:szCs w:val="15"/>
          <w:color w:val="auto"/>
        </w:rPr>
        <w:t xml:space="preserve">. If the Borrower shall fail to determine the value of any Portfolio Investment as at any date pursuant to the requirements of the foregoing </w:t>
      </w:r>
      <w:r>
        <w:rPr>
          <w:rFonts w:ascii="Arial" w:cs="Arial" w:eastAsia="Arial" w:hAnsi="Arial"/>
          <w:sz w:val="15"/>
          <w:szCs w:val="15"/>
          <w:u w:val="single" w:color="auto"/>
          <w:color w:val="auto"/>
        </w:rPr>
        <w:t>sub-clauses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(C)</w:t>
      </w:r>
      <w:r>
        <w:rPr>
          <w:rFonts w:ascii="Arial" w:cs="Arial" w:eastAsia="Arial" w:hAnsi="Arial"/>
          <w:sz w:val="15"/>
          <w:szCs w:val="15"/>
          <w:color w:val="auto"/>
        </w:rPr>
        <w:t>, then the “Value” of such Portfolio Investment as at such date shall be deemed to be zero.</w:t>
      </w:r>
    </w:p>
    <w:p>
      <w:pPr>
        <w:spacing w:after="0" w:line="49" w:lineRule="exact"/>
        <w:rPr>
          <w:sz w:val="20"/>
          <w:szCs w:val="20"/>
          <w:color w:val="auto"/>
        </w:rPr>
      </w:pPr>
    </w:p>
    <w:p>
      <w:pPr>
        <w:jc w:val="both"/>
        <w:ind w:left="4660"/>
        <w:spacing w:after="0"/>
        <w:tabs>
          <w:tab w:leader="none" w:pos="822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80" w:right="239" w:bottom="1440" w:gutter="0" w:footer="0" w:header="0"/>
        </w:sectPr>
      </w:pPr>
    </w:p>
    <w:bookmarkStart w:id="116" w:name="page117"/>
    <w:bookmarkEnd w:id="116"/>
    <w:p>
      <w:pPr>
        <w:ind w:left="400" w:hanging="259"/>
        <w:spacing w:after="0"/>
        <w:tabs>
          <w:tab w:leader="none" w:pos="4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Testing of Values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00" w:right="40" w:firstLine="389"/>
        <w:spacing w:after="0" w:line="254" w:lineRule="auto"/>
        <w:tabs>
          <w:tab w:leader="none" w:pos="94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For the second calendar month immediately following the end of each fiscal quarter (the last such fiscal quarter is referred to herein as, the “</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If there is a difference between the Borrower’s valuation and the Approved Third-Party Appraiser’s valuation of any Unquoted Investment, the Value of such Unquoted Investment for Borrowing Base purposes shall be established as set forth in </w:t>
      </w:r>
      <w:r>
        <w:rPr>
          <w:rFonts w:ascii="Arial" w:cs="Arial" w:eastAsia="Arial" w:hAnsi="Arial"/>
          <w:sz w:val="18"/>
          <w:szCs w:val="18"/>
          <w:u w:val="single" w:color="auto"/>
          <w:color w:val="auto"/>
        </w:rPr>
        <w:t>sub-clause (F)</w:t>
      </w:r>
      <w:r>
        <w:rPr>
          <w:rFonts w:ascii="Arial" w:cs="Arial" w:eastAsia="Arial" w:hAnsi="Arial"/>
          <w:sz w:val="18"/>
          <w:szCs w:val="18"/>
          <w:color w:val="auto"/>
        </w:rPr>
        <w:t xml:space="preserve"> below.</w:t>
      </w:r>
    </w:p>
    <w:p>
      <w:pPr>
        <w:spacing w:after="0" w:line="63" w:lineRule="exact"/>
        <w:rPr>
          <w:rFonts w:ascii="Arial" w:cs="Arial" w:eastAsia="Arial" w:hAnsi="Arial"/>
          <w:sz w:val="18"/>
          <w:szCs w:val="18"/>
          <w:color w:val="auto"/>
        </w:rPr>
      </w:pPr>
    </w:p>
    <w:p>
      <w:pPr>
        <w:ind w:left="300" w:right="40" w:firstLine="389"/>
        <w:spacing w:after="0" w:line="286" w:lineRule="auto"/>
        <w:tabs>
          <w:tab w:leader="none" w:pos="946" w:val="left"/>
        </w:tabs>
        <w:numPr>
          <w:ilvl w:val="1"/>
          <w:numId w:val="135"/>
        </w:numPr>
        <w:rPr>
          <w:rFonts w:ascii="Arial" w:cs="Arial" w:eastAsia="Arial" w:hAnsi="Arial"/>
          <w:sz w:val="16"/>
          <w:szCs w:val="16"/>
          <w:color w:val="auto"/>
        </w:rPr>
      </w:pPr>
      <w:r>
        <w:rPr>
          <w:rFonts w:ascii="Arial" w:cs="Arial" w:eastAsia="Arial" w:hAnsi="Arial"/>
          <w:sz w:val="16"/>
          <w:szCs w:val="16"/>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6"/>
          <w:szCs w:val="16"/>
          <w:u w:val="single" w:color="auto"/>
          <w:color w:val="auto"/>
        </w:rPr>
        <w:t>Administrative Agent Appraisal Testing Month</w:t>
      </w:r>
      <w:r>
        <w:rPr>
          <w:rFonts w:ascii="Arial" w:cs="Arial" w:eastAsia="Arial" w:hAnsi="Arial"/>
          <w:sz w:val="16"/>
          <w:szCs w:val="16"/>
          <w:color w:val="auto"/>
        </w:rPr>
        <w:t>”) and would be reflected in the Borrowing Base Certificate for such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Approved Third-Party Appraiser delivers such valuation at least seven (7) Business Days before the 20</w:t>
      </w:r>
      <w:r>
        <w:rPr>
          <w:rFonts w:ascii="Arial" w:cs="Arial" w:eastAsia="Arial" w:hAnsi="Arial"/>
          <w:sz w:val="10"/>
          <w:szCs w:val="10"/>
          <w:color w:val="auto"/>
        </w:rPr>
        <w:t>th</w:t>
      </w:r>
      <w:r>
        <w:rPr>
          <w:rFonts w:ascii="Arial" w:cs="Arial" w:eastAsia="Arial" w:hAnsi="Arial"/>
          <w:sz w:val="16"/>
          <w:szCs w:val="16"/>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w:t>
      </w:r>
      <w:r>
        <w:rPr>
          <w:rFonts w:ascii="Arial" w:cs="Arial" w:eastAsia="Arial" w:hAnsi="Arial"/>
          <w:sz w:val="16"/>
          <w:szCs w:val="16"/>
          <w:u w:val="single" w:color="auto"/>
          <w:color w:val="auto"/>
        </w:rPr>
        <w:t>clauses (E)(x)</w:t>
      </w:r>
      <w:r>
        <w:rPr>
          <w:rFonts w:ascii="Arial" w:cs="Arial" w:eastAsia="Arial" w:hAnsi="Arial"/>
          <w:sz w:val="16"/>
          <w:szCs w:val="16"/>
          <w:color w:val="auto"/>
        </w:rPr>
        <w:t xml:space="preserve"> during the month of February with the anticipation of receiving the valuations from the applicable Approved Third-Party Appraiser(s) on or after February 28, 2013 and (B)(xx) if such valuations were received before the 7</w:t>
      </w:r>
      <w:r>
        <w:rPr>
          <w:rFonts w:ascii="Arial" w:cs="Arial" w:eastAsia="Arial" w:hAnsi="Arial"/>
          <w:sz w:val="10"/>
          <w:szCs w:val="10"/>
          <w:color w:val="auto"/>
        </w:rPr>
        <w:t>th</w:t>
      </w:r>
      <w:r>
        <w:rPr>
          <w:rFonts w:ascii="Arial" w:cs="Arial" w:eastAsia="Arial" w:hAnsi="Arial"/>
          <w:sz w:val="16"/>
          <w:szCs w:val="16"/>
          <w:color w:val="auto"/>
        </w:rPr>
        <w:t xml:space="preserve">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43" w:lineRule="exact"/>
        <w:rPr>
          <w:sz w:val="20"/>
          <w:szCs w:val="20"/>
          <w:color w:val="auto"/>
        </w:rPr>
      </w:pPr>
    </w:p>
    <w:p>
      <w:pPr>
        <w:ind w:left="300" w:right="320"/>
        <w:spacing w:after="0" w:line="268" w:lineRule="auto"/>
        <w:rPr>
          <w:sz w:val="20"/>
          <w:szCs w:val="20"/>
          <w:color w:val="auto"/>
        </w:rPr>
      </w:pPr>
      <w:r>
        <w:rPr>
          <w:rFonts w:ascii="Arial" w:cs="Arial" w:eastAsia="Arial" w:hAnsi="Arial"/>
          <w:sz w:val="18"/>
          <w:szCs w:val="18"/>
          <w:color w:val="auto"/>
        </w:rPr>
        <w:t xml:space="preserve">For the avoidance of doubt, all calculations of value pursuant to this </w:t>
      </w:r>
      <w:r>
        <w:rPr>
          <w:rFonts w:ascii="Arial" w:cs="Arial" w:eastAsia="Arial" w:hAnsi="Arial"/>
          <w:sz w:val="18"/>
          <w:szCs w:val="18"/>
          <w:u w:val="single" w:color="auto"/>
          <w:color w:val="auto"/>
        </w:rPr>
        <w:t>Section 5.12(b)(ii)(E)</w:t>
      </w:r>
      <w:r>
        <w:rPr>
          <w:rFonts w:ascii="Arial" w:cs="Arial" w:eastAsia="Arial" w:hAnsi="Arial"/>
          <w:sz w:val="18"/>
          <w:szCs w:val="18"/>
          <w:color w:val="auto"/>
        </w:rPr>
        <w:t xml:space="preserve"> shall be determined without application of the Advance Rates.</w:t>
      </w:r>
    </w:p>
    <w:p>
      <w:pPr>
        <w:spacing w:after="0" w:line="51" w:lineRule="exact"/>
        <w:rPr>
          <w:sz w:val="20"/>
          <w:szCs w:val="20"/>
          <w:color w:val="auto"/>
        </w:rPr>
      </w:pPr>
    </w:p>
    <w:p>
      <w:pPr>
        <w:ind w:left="-280" w:right="120" w:firstLine="421"/>
        <w:spacing w:after="0" w:line="259" w:lineRule="auto"/>
        <w:tabs>
          <w:tab w:leader="none" w:pos="39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Valuation Dispute Resolution</w:t>
      </w:r>
      <w:r>
        <w:rPr>
          <w:rFonts w:ascii="Arial" w:cs="Arial" w:eastAsia="Arial" w:hAnsi="Arial"/>
          <w:sz w:val="18"/>
          <w:szCs w:val="18"/>
          <w:color w:val="auto"/>
        </w:rPr>
        <w:t>. Notwithstanding the foregoing, the Administrative Agent shall at any time have the right to request any Unquoted Investment be independently valued by an Approved Third-Party Appraiser selected by the Administrative Agent. There shall be no limit on the number of</w:t>
      </w:r>
    </w:p>
    <w:p>
      <w:pPr>
        <w:spacing w:after="0" w:line="127" w:lineRule="exact"/>
        <w:rPr>
          <w:sz w:val="20"/>
          <w:szCs w:val="20"/>
          <w:color w:val="auto"/>
        </w:rPr>
      </w:pPr>
    </w:p>
    <w:p>
      <w:pPr>
        <w:jc w:val="both"/>
        <w:ind w:left="4660"/>
        <w:spacing w:after="0"/>
        <w:tabs>
          <w:tab w:leader="none" w:pos="822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80" w:right="239" w:bottom="1440" w:gutter="0" w:footer="0" w:header="0"/>
        </w:sectPr>
      </w:pPr>
    </w:p>
    <w:bookmarkStart w:id="117" w:name="page118"/>
    <w:bookmarkEnd w:id="117"/>
    <w:p>
      <w:pPr>
        <w:ind w:left="920" w:right="18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appraisals requested by the Administrative Agent and the costs of any such valuation shall be at the expense of the Borrower. If the difference between the Borrower’s valuation pursuant to </w:t>
      </w:r>
      <w:r>
        <w:rPr>
          <w:rFonts w:ascii="Arial" w:cs="Arial" w:eastAsia="Arial" w:hAnsi="Arial"/>
          <w:sz w:val="15"/>
          <w:szCs w:val="15"/>
          <w:u w:val="single" w:color="auto"/>
          <w:color w:val="auto"/>
        </w:rPr>
        <w:t>Section 5.12(b)(ii)(B)</w:t>
      </w:r>
      <w:r>
        <w:rPr>
          <w:rFonts w:ascii="Arial" w:cs="Arial" w:eastAsia="Arial" w:hAnsi="Arial"/>
          <w:sz w:val="15"/>
          <w:szCs w:val="15"/>
          <w:color w:val="auto"/>
        </w:rPr>
        <w:t xml:space="preserve"> and the valuation of any Approved Third-Party Appraiser selected by the Administrative Agent pursuant to </w:t>
      </w:r>
      <w:r>
        <w:rPr>
          <w:rFonts w:ascii="Arial" w:cs="Arial" w:eastAsia="Arial" w:hAnsi="Arial"/>
          <w:sz w:val="15"/>
          <w:szCs w:val="15"/>
          <w:u w:val="single" w:color="auto"/>
          <w:color w:val="auto"/>
        </w:rPr>
        <w:t>Section 5.12(b)(ii)(E)</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(F)</w:t>
      </w:r>
      <w:r>
        <w:rPr>
          <w:rFonts w:ascii="Arial" w:cs="Arial" w:eastAsia="Arial" w:hAnsi="Arial"/>
          <w:sz w:val="15"/>
          <w:szCs w:val="15"/>
          <w:color w:val="auto"/>
        </w:rPr>
        <w:t xml:space="preserve"> is (1) less than 5% of the value thereof, then the Borrower’s valuation shall be used,</w:t>
      </w:r>
    </w:p>
    <w:p>
      <w:pPr>
        <w:spacing w:after="0" w:line="1" w:lineRule="exact"/>
        <w:rPr>
          <w:sz w:val="20"/>
          <w:szCs w:val="20"/>
          <w:color w:val="auto"/>
        </w:rPr>
      </w:pPr>
    </w:p>
    <w:p>
      <w:pPr>
        <w:ind w:left="920" w:right="100" w:firstLine="1"/>
        <w:spacing w:after="0" w:line="253" w:lineRule="auto"/>
        <w:tabs>
          <w:tab w:leader="none" w:pos="116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45" w:lineRule="exact"/>
        <w:rPr>
          <w:sz w:val="20"/>
          <w:szCs w:val="20"/>
          <w:color w:val="auto"/>
        </w:rPr>
      </w:pPr>
    </w:p>
    <w:p>
      <w:pPr>
        <w:jc w:val="both"/>
        <w:ind w:right="20" w:firstLine="921"/>
        <w:spacing w:after="0" w:line="259" w:lineRule="auto"/>
        <w:tabs>
          <w:tab w:leader="none" w:pos="115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RIC Diversification Requirements</w:t>
      </w:r>
      <w:r>
        <w:rPr>
          <w:rFonts w:ascii="Arial" w:cs="Arial" w:eastAsia="Arial" w:hAnsi="Arial"/>
          <w:sz w:val="18"/>
          <w:szCs w:val="18"/>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40" w:lineRule="exact"/>
        <w:rPr>
          <w:sz w:val="20"/>
          <w:szCs w:val="20"/>
          <w:color w:val="auto"/>
        </w:rPr>
      </w:pPr>
    </w:p>
    <w:p>
      <w:pPr>
        <w:jc w:val="both"/>
        <w:ind w:right="500" w:firstLine="913"/>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Calculation of Borrowing Base</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or the last paragraph of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40" w:lineRule="exact"/>
        <w:rPr>
          <w:sz w:val="20"/>
          <w:szCs w:val="20"/>
          <w:color w:val="auto"/>
        </w:rPr>
      </w:pPr>
    </w:p>
    <w:p>
      <w:pPr>
        <w:ind w:right="60" w:firstLine="921"/>
        <w:spacing w:after="0" w:line="255" w:lineRule="auto"/>
        <w:tabs>
          <w:tab w:leader="none" w:pos="11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in a consolidated group of corporations or other entities (collectively, a “</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in accordance with GAAP, that exceeds 10% of Shareholders’ Equity of the Borrower (which, for purposes of this calculation shall exclude the aggregate amount of investments in, and advances to, Financing Subsidiaries) shall be 50% of the Advance Rate otherwise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Portfolio Investments in a single Consolidated Group designated by the Borrower to the Administrative Agent such 10% figure shall be increased to 12.5%;</w:t>
      </w:r>
    </w:p>
    <w:p>
      <w:pPr>
        <w:spacing w:after="0" w:line="142" w:lineRule="exact"/>
        <w:rPr>
          <w:rFonts w:ascii="Arial" w:cs="Arial" w:eastAsia="Arial" w:hAnsi="Arial"/>
          <w:sz w:val="18"/>
          <w:szCs w:val="18"/>
          <w:color w:val="auto"/>
        </w:rPr>
      </w:pPr>
    </w:p>
    <w:p>
      <w:pPr>
        <w:ind w:right="120" w:firstLine="921"/>
        <w:spacing w:after="0" w:line="259" w:lineRule="auto"/>
        <w:tabs>
          <w:tab w:leader="none" w:pos="116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of all issuers in a Consolidated Group exceeding 20% of Shareholders’ Equity of the Borrower (which, for purposes of this calculation shall exclude the aggregate amount of investments in, and advances to, Financing Subsidiaries) shall be 0%;</w:t>
      </w:r>
    </w:p>
    <w:p>
      <w:pPr>
        <w:spacing w:after="0" w:line="140" w:lineRule="exact"/>
        <w:rPr>
          <w:rFonts w:ascii="Arial" w:cs="Arial" w:eastAsia="Arial" w:hAnsi="Arial"/>
          <w:sz w:val="18"/>
          <w:szCs w:val="18"/>
          <w:color w:val="auto"/>
        </w:rPr>
      </w:pPr>
    </w:p>
    <w:p>
      <w:pPr>
        <w:ind w:right="60" w:firstLine="921"/>
        <w:spacing w:after="0" w:line="294" w:lineRule="auto"/>
        <w:tabs>
          <w:tab w:leader="none" w:pos="11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the Advance Rate applicable to that portion of the aggregate Value of the Portfolio Investments in any single Industry Classification Group that exceeds 20% of Shareholders’ Equity of the Borrower (which for purposes of this calculation shall exclude the aggregate amount of investments in, and advances to, Financing Subsidiaries) shall be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Portfolio Investments in a single Industry Classification Group from time to time designated by the Borrower to the Administrative Agent such 20% figure shall be increased to 30% and, accordingly, only to the extent that the Value for such single Industry Classification Group exceeds 30% of the Shareholders’ Equity shall the Advance Rate applicable to such excess Value be 0%;</w:t>
      </w:r>
    </w:p>
    <w:p>
      <w:pPr>
        <w:spacing w:after="0" w:line="10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8" w:name="page119"/>
    <w:bookmarkEnd w:id="118"/>
    <w:p>
      <w:pPr>
        <w:ind w:right="180" w:firstLine="921"/>
        <w:spacing w:after="0" w:line="306" w:lineRule="auto"/>
        <w:tabs>
          <w:tab w:leader="none" w:pos="1162" w:val="left"/>
        </w:tabs>
        <w:numPr>
          <w:ilvl w:val="0"/>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06" w:lineRule="exact"/>
        <w:rPr>
          <w:rFonts w:ascii="Arial" w:cs="Arial" w:eastAsia="Arial" w:hAnsi="Arial"/>
          <w:sz w:val="16"/>
          <w:szCs w:val="16"/>
          <w:color w:val="auto"/>
        </w:rPr>
      </w:pPr>
    </w:p>
    <w:p>
      <w:pPr>
        <w:ind w:right="600" w:firstLine="921"/>
        <w:spacing w:after="0" w:line="268" w:lineRule="auto"/>
        <w:tabs>
          <w:tab w:leader="none" w:pos="11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31" w:lineRule="exact"/>
        <w:rPr>
          <w:rFonts w:ascii="Arial" w:cs="Arial" w:eastAsia="Arial" w:hAnsi="Arial"/>
          <w:sz w:val="18"/>
          <w:szCs w:val="18"/>
          <w:color w:val="auto"/>
        </w:rPr>
      </w:pPr>
    </w:p>
    <w:p>
      <w:pPr>
        <w:ind w:right="40" w:firstLine="921"/>
        <w:spacing w:after="0" w:line="268" w:lineRule="auto"/>
        <w:tabs>
          <w:tab w:leader="none" w:pos="113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Equity Interests shall not exceed 10% (it being understood that in no event shall Equity Interests of Financing Subsidiaries be included in the Borrowing Base);</w:t>
      </w:r>
    </w:p>
    <w:p>
      <w:pPr>
        <w:spacing w:after="0" w:line="131" w:lineRule="exact"/>
        <w:rPr>
          <w:rFonts w:ascii="Arial" w:cs="Arial" w:eastAsia="Arial" w:hAnsi="Arial"/>
          <w:sz w:val="18"/>
          <w:szCs w:val="18"/>
          <w:color w:val="auto"/>
        </w:rPr>
      </w:pPr>
    </w:p>
    <w:p>
      <w:pPr>
        <w:jc w:val="both"/>
        <w:ind w:right="100" w:firstLine="921"/>
        <w:spacing w:after="0" w:line="259" w:lineRule="auto"/>
        <w:tabs>
          <w:tab w:leader="none" w:pos="11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 and</w:t>
      </w:r>
    </w:p>
    <w:p>
      <w:pPr>
        <w:spacing w:after="0" w:line="140" w:lineRule="exact"/>
        <w:rPr>
          <w:rFonts w:ascii="Arial" w:cs="Arial" w:eastAsia="Arial" w:hAnsi="Arial"/>
          <w:sz w:val="18"/>
          <w:szCs w:val="18"/>
          <w:color w:val="auto"/>
        </w:rPr>
      </w:pPr>
    </w:p>
    <w:p>
      <w:pPr>
        <w:ind w:right="460" w:firstLine="921"/>
        <w:spacing w:after="0" w:line="259" w:lineRule="auto"/>
        <w:tabs>
          <w:tab w:leader="none" w:pos="11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following meanings:</w:t>
      </w:r>
    </w:p>
    <w:p>
      <w:pPr>
        <w:spacing w:after="0" w:line="171"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means, as to any Portfolio Investment and subject to adjustment as provided in </w:t>
      </w: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the following percentages with respect to such Portfolio Investment: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2"/>
              </w:rPr>
              <w:t>Portfolio Investment</w:t>
            </w:r>
          </w:p>
        </w:tc>
        <w:tc>
          <w:tcPr>
            <w:tcW w:w="2120" w:type="dxa"/>
            <w:vAlign w:val="bottom"/>
          </w:tcPr>
          <w:p>
            <w:pPr>
              <w:spacing w:after="0"/>
              <w:rPr>
                <w:sz w:val="14"/>
                <w:szCs w:val="14"/>
                <w:color w:val="auto"/>
              </w:rPr>
            </w:pPr>
          </w:p>
        </w:tc>
        <w:tc>
          <w:tcPr>
            <w:tcW w:w="1820" w:type="dxa"/>
            <w:vAlign w:val="bottom"/>
            <w:gridSpan w:val="3"/>
          </w:tcPr>
          <w:p>
            <w:pPr>
              <w:jc w:val="right"/>
              <w:ind w:right="480"/>
              <w:spacing w:after="0"/>
              <w:rPr>
                <w:sz w:val="20"/>
                <w:szCs w:val="20"/>
                <w:color w:val="auto"/>
              </w:rPr>
            </w:pPr>
            <w:r>
              <w:rPr>
                <w:rFonts w:ascii="Arial" w:cs="Arial" w:eastAsia="Arial" w:hAnsi="Arial"/>
                <w:sz w:val="14"/>
                <w:szCs w:val="14"/>
                <w:color w:val="auto"/>
              </w:rPr>
              <w:t>Quoted</w:t>
            </w:r>
          </w:p>
        </w:tc>
        <w:tc>
          <w:tcPr>
            <w:tcW w:w="2440" w:type="dxa"/>
            <w:vAlign w:val="bottom"/>
            <w:gridSpan w:val="4"/>
          </w:tcPr>
          <w:p>
            <w:pPr>
              <w:ind w:left="340"/>
              <w:spacing w:after="0"/>
              <w:rPr>
                <w:sz w:val="20"/>
                <w:szCs w:val="20"/>
                <w:color w:val="auto"/>
              </w:rPr>
            </w:pPr>
            <w:r>
              <w:rPr>
                <w:rFonts w:ascii="Arial" w:cs="Arial" w:eastAsia="Arial" w:hAnsi="Arial"/>
                <w:sz w:val="14"/>
                <w:szCs w:val="14"/>
                <w:color w:val="auto"/>
              </w:rPr>
              <w:t>Unquoted</w:t>
            </w:r>
          </w:p>
        </w:tc>
        <w:tc>
          <w:tcPr>
            <w:tcW w:w="0" w:type="dxa"/>
            <w:vAlign w:val="bottom"/>
          </w:tcPr>
          <w:p>
            <w:pPr>
              <w:spacing w:after="0"/>
              <w:rPr>
                <w:sz w:val="1"/>
                <w:szCs w:val="1"/>
                <w:color w:val="auto"/>
              </w:rPr>
            </w:pPr>
          </w:p>
        </w:tc>
      </w:tr>
      <w:tr>
        <w:trPr>
          <w:trHeight w:val="20"/>
        </w:trPr>
        <w:tc>
          <w:tcPr>
            <w:tcW w:w="57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Cash, Cash Equivalents and Short-Term U.S. Government Securities</w:t>
            </w:r>
          </w:p>
        </w:tc>
        <w:tc>
          <w:tcPr>
            <w:tcW w:w="9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3"/>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100%</w:t>
            </w:r>
          </w:p>
        </w:tc>
        <w:tc>
          <w:tcPr>
            <w:tcW w:w="3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Long-Term U.S. Government Securities</w:t>
            </w: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rPr>
              <w:t>95%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Performing First Lien Bank Loans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Performing Unitranche Loans</w:t>
            </w: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rPr>
              <w:t>70%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Performing Second Lien Bank Loans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Performing Cash Pay Secured High Yield Securities</w:t>
            </w: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rPr>
              <w:t>65%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Performing Cash Pay Mezzanine Investments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Performing Cash Pay Unsecured High Yield Securities</w:t>
            </w: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rPr>
              <w:t>50%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Non-Performing First Lien Bank Loans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780" w:type="dxa"/>
            <w:vAlign w:val="bottom"/>
            <w:gridSpan w:val="3"/>
          </w:tcPr>
          <w:p>
            <w:pPr>
              <w:ind w:left="4480"/>
              <w:spacing w:after="0"/>
              <w:rPr>
                <w:sz w:val="20"/>
                <w:szCs w:val="20"/>
                <w:color w:val="auto"/>
              </w:rPr>
            </w:pPr>
            <w:r>
              <w:rPr>
                <w:rFonts w:ascii="Arial" w:cs="Arial" w:eastAsia="Arial" w:hAnsi="Arial"/>
                <w:sz w:val="18"/>
                <w:szCs w:val="18"/>
                <w:color w:val="auto"/>
              </w:rPr>
              <w:t>81</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3"/>
          </w:tcPr>
          <w:p>
            <w:pPr>
              <w:ind w:left="120"/>
              <w:spacing w:after="0"/>
              <w:rPr>
                <w:sz w:val="20"/>
                <w:szCs w:val="20"/>
                <w:color w:val="auto"/>
              </w:rPr>
            </w:pPr>
            <w:r>
              <w:rPr>
                <w:rFonts w:ascii="Arial" w:cs="Arial" w:eastAsia="Arial" w:hAnsi="Arial"/>
                <w:sz w:val="18"/>
                <w:szCs w:val="18"/>
                <w:i w:val="1"/>
                <w:iCs w:val="1"/>
                <w:color w:val="auto"/>
                <w:w w:val="87"/>
              </w:rPr>
              <w:t>Revolving Credit Agreement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9" w:name="page120"/>
    <w:bookmarkEnd w:id="1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Performing Non-Cash Pay Mezzanine Investments</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Performing Non-Cash Pay Secured High Yield Securities</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Second Lien Bank Loans</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Performing Common Equity (and zero cost or penny warrants with performing debt)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Performing Non-Cash Pay Unsecured High Yield Securities</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Non-Performing Cash Pay Mezzanine Investments</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High Yield Securities</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Non-Performing Common Equity</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Obligations and Finance Leases</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54"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Loans</w:t>
      </w:r>
      <w:r>
        <w:rPr>
          <w:rFonts w:ascii="Arial" w:cs="Arial" w:eastAsia="Arial" w:hAnsi="Arial"/>
          <w:sz w:val="18"/>
          <w:szCs w:val="18"/>
          <w:color w:val="auto"/>
        </w:rPr>
        <w:t>” means debt obligations (including term loans,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w:t>
      </w:r>
    </w:p>
    <w:p>
      <w:pPr>
        <w:spacing w:after="0" w:line="140" w:lineRule="exact"/>
        <w:rPr>
          <w:sz w:val="20"/>
          <w:szCs w:val="20"/>
          <w:color w:val="auto"/>
        </w:rPr>
      </w:pPr>
    </w:p>
    <w:p>
      <w:pPr>
        <w:ind w:right="5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Lease</w:t>
      </w:r>
      <w:r>
        <w:rPr>
          <w:rFonts w:ascii="Arial" w:cs="Arial" w:eastAsia="Arial" w:hAnsi="Arial"/>
          <w:sz w:val="18"/>
          <w:szCs w:val="18"/>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32" w:lineRule="exact"/>
        <w:rPr>
          <w:sz w:val="20"/>
          <w:szCs w:val="20"/>
          <w:color w:val="auto"/>
        </w:rPr>
      </w:pPr>
    </w:p>
    <w:p>
      <w:pPr>
        <w:jc w:val="both"/>
        <w:ind w:right="18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First Lien Bank Loan</w:t>
      </w:r>
      <w:r>
        <w:rPr>
          <w:rFonts w:ascii="Arial" w:cs="Arial" w:eastAsia="Arial" w:hAnsi="Arial"/>
          <w:sz w:val="15"/>
          <w:szCs w:val="15"/>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6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Yield Securities</w:t>
      </w:r>
      <w:r>
        <w:rPr>
          <w:rFonts w:ascii="Arial" w:cs="Arial" w:eastAsia="Arial" w:hAnsi="Arial"/>
          <w:sz w:val="18"/>
          <w:szCs w:val="18"/>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40" w:lineRule="exact"/>
        <w:rPr>
          <w:sz w:val="20"/>
          <w:szCs w:val="20"/>
          <w:color w:val="auto"/>
        </w:rPr>
      </w:pPr>
    </w:p>
    <w:p>
      <w:pPr>
        <w:ind w:right="10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U.S. Government Securities</w:t>
      </w:r>
      <w:r>
        <w:rPr>
          <w:rFonts w:ascii="Arial" w:cs="Arial" w:eastAsia="Arial" w:hAnsi="Arial"/>
          <w:sz w:val="18"/>
          <w:szCs w:val="18"/>
          <w:color w:val="auto"/>
        </w:rPr>
        <w:t>” means U.S. Government Securities maturing more than one year from the applicable date of determination.</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8"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Mezzanine Investments</w:t>
      </w:r>
      <w:r>
        <w:rPr>
          <w:rFonts w:ascii="Arial" w:cs="Arial" w:eastAsia="Arial" w:hAnsi="Arial"/>
          <w:sz w:val="18"/>
          <w:szCs w:val="18"/>
          <w:color w:val="auto"/>
        </w:rPr>
        <w:t>” means debt Securities (including convertible debt Securities (other than the “in-the-money” equity component</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44"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Common Equity</w:t>
      </w:r>
      <w:r>
        <w:rPr>
          <w:rFonts w:ascii="Arial" w:cs="Arial" w:eastAsia="Arial" w:hAnsi="Arial"/>
          <w:sz w:val="18"/>
          <w:szCs w:val="18"/>
          <w:color w:val="auto"/>
        </w:rPr>
        <w:t>” means Capital Stock (other than Preferred Stock) and warrants of an issuer having any debt outstanding that is non-Performing.</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First Lien Bank Loans</w:t>
      </w:r>
      <w:r>
        <w:rPr>
          <w:rFonts w:ascii="Arial" w:cs="Arial" w:eastAsia="Arial" w:hAnsi="Arial"/>
          <w:sz w:val="18"/>
          <w:szCs w:val="18"/>
          <w:color w:val="auto"/>
        </w:rPr>
        <w:t>” means First Lien Bank Loans other than Performing First Lien Bank Loans.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High Yield Securities</w:t>
      </w:r>
      <w:r>
        <w:rPr>
          <w:rFonts w:ascii="Arial" w:cs="Arial" w:eastAsia="Arial" w:hAnsi="Arial"/>
          <w:sz w:val="18"/>
          <w:szCs w:val="18"/>
          <w:color w:val="auto"/>
        </w:rPr>
        <w:t>” means High Yield Securities other than Performing High Yield Securities.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Mezzanine Investments</w:t>
      </w:r>
      <w:r>
        <w:rPr>
          <w:rFonts w:ascii="Arial" w:cs="Arial" w:eastAsia="Arial" w:hAnsi="Arial"/>
          <w:sz w:val="18"/>
          <w:szCs w:val="18"/>
          <w:color w:val="auto"/>
        </w:rPr>
        <w:t>” means Mezzanine Investments other than Performing Mezzanine Investments.</w:t>
      </w:r>
    </w:p>
    <w:p>
      <w:pPr>
        <w:spacing w:after="0" w:line="17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Portfolio Investment</w:t>
      </w:r>
      <w:r>
        <w:rPr>
          <w:rFonts w:ascii="Arial" w:cs="Arial" w:eastAsia="Arial" w:hAnsi="Arial"/>
          <w:sz w:val="18"/>
          <w:szCs w:val="18"/>
          <w:color w:val="auto"/>
        </w:rPr>
        <w:t>” means Portfolio Investments for which the issuer is in default of any payment obligations of principal or interest in respect thereof after the expiration of any applicable grace period.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Second Lien Bank Loans</w:t>
      </w:r>
      <w:r>
        <w:rPr>
          <w:rFonts w:ascii="Arial" w:cs="Arial" w:eastAsia="Arial" w:hAnsi="Arial"/>
          <w:sz w:val="18"/>
          <w:szCs w:val="18"/>
          <w:color w:val="auto"/>
        </w:rPr>
        <w:t>” means Second Lien Bank Loans other than Performing Second Lien Bank Loans.</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w:t>
      </w:r>
      <w:r>
        <w:rPr>
          <w:rFonts w:ascii="Arial" w:cs="Arial" w:eastAsia="Arial" w:hAnsi="Arial"/>
          <w:sz w:val="18"/>
          <w:szCs w:val="18"/>
          <w:color w:val="auto"/>
        </w:rPr>
        <w:t>”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4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High Yield Securities</w:t>
      </w:r>
      <w:r>
        <w:rPr>
          <w:rFonts w:ascii="Arial" w:cs="Arial" w:eastAsia="Arial" w:hAnsi="Arial"/>
          <w:sz w:val="18"/>
          <w:szCs w:val="18"/>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Mezzanine Investments</w:t>
      </w:r>
      <w:r>
        <w:rPr>
          <w:rFonts w:ascii="Arial" w:cs="Arial" w:eastAsia="Arial" w:hAnsi="Arial"/>
          <w:sz w:val="18"/>
          <w:szCs w:val="18"/>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Common Equity</w:t>
      </w:r>
      <w:r>
        <w:rPr>
          <w:rFonts w:ascii="Arial" w:cs="Arial" w:eastAsia="Arial" w:hAnsi="Arial"/>
          <w:sz w:val="16"/>
          <w:szCs w:val="16"/>
          <w:color w:val="auto"/>
        </w:rPr>
        <w:t>” means Capital Stock (other than Preferred Stock) and warrants of an issuer all of whose outstanding debt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Performing.</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First Lien Bank Loans</w:t>
      </w:r>
      <w:r>
        <w:rPr>
          <w:rFonts w:ascii="Arial" w:cs="Arial" w:eastAsia="Arial" w:hAnsi="Arial"/>
          <w:sz w:val="18"/>
          <w:szCs w:val="18"/>
          <w:color w:val="auto"/>
        </w:rPr>
        <w:t>” means First Lien Bank Loans which are Performing.</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1" w:name="page122"/>
    <w:bookmarkEnd w:id="121"/>
    <w:p>
      <w:pPr>
        <w:ind w:left="920" w:right="140"/>
        <w:spacing w:after="0" w:line="3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Performing Non-Cash Pay High Yield Securities</w:t>
      </w:r>
      <w:r>
        <w:rPr>
          <w:rFonts w:ascii="Arial" w:cs="Arial" w:eastAsia="Arial" w:hAnsi="Arial"/>
          <w:sz w:val="16"/>
          <w:szCs w:val="16"/>
          <w:color w:val="auto"/>
        </w:rPr>
        <w:t>” means Performing High Yield Securities other than Performing Cash Pay High Yield Securities. “</w:t>
      </w:r>
      <w:r>
        <w:rPr>
          <w:rFonts w:ascii="Arial" w:cs="Arial" w:eastAsia="Arial" w:hAnsi="Arial"/>
          <w:sz w:val="16"/>
          <w:szCs w:val="16"/>
          <w:u w:val="single" w:color="auto"/>
          <w:color w:val="auto"/>
        </w:rPr>
        <w:t>Performing Non-Cash Pay Mezzanine Investments</w:t>
      </w:r>
      <w:r>
        <w:rPr>
          <w:rFonts w:ascii="Arial" w:cs="Arial" w:eastAsia="Arial" w:hAnsi="Arial"/>
          <w:sz w:val="16"/>
          <w:szCs w:val="16"/>
          <w:color w:val="auto"/>
        </w:rPr>
        <w:t>” means Performing Mezzanine Investments other than Performing Cash Pay Mezzanine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Second Lien Bank Loans</w:t>
      </w:r>
      <w:r>
        <w:rPr>
          <w:rFonts w:ascii="Arial" w:cs="Arial" w:eastAsia="Arial" w:hAnsi="Arial"/>
          <w:sz w:val="18"/>
          <w:szCs w:val="18"/>
          <w:color w:val="auto"/>
        </w:rPr>
        <w:t>” means Second Lien Bank Loans which are Performing.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as applied to the Capital Stock of any Person, means Capital Stock of such Person of any class or classes (however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designated) that ranks prior, as to the payment of dividends or as to the distribution of assets upon any voluntary or involuntary liquidation, dissolution or winding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of such Person, to any shares (or other interests) of other Capital Stock of such Person, and shall include, without limitation, cumulative preferred,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cumulative preferred, participating preferred and convertible preferred Capital Stock.</w:t>
      </w:r>
    </w:p>
    <w:p>
      <w:pPr>
        <w:spacing w:after="0" w:line="16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Bank Loan</w:t>
      </w:r>
      <w:r>
        <w:rPr>
          <w:rFonts w:ascii="Arial" w:cs="Arial" w:eastAsia="Arial" w:hAnsi="Arial"/>
          <w:sz w:val="18"/>
          <w:szCs w:val="18"/>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32" w:lineRule="exact"/>
        <w:rPr>
          <w:sz w:val="20"/>
          <w:szCs w:val="20"/>
          <w:color w:val="auto"/>
        </w:rPr>
      </w:pPr>
    </w:p>
    <w:p>
      <w:pPr>
        <w:ind w:right="2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Short-Term U.S. Government Securities</w:t>
      </w:r>
      <w:r>
        <w:rPr>
          <w:rFonts w:ascii="Arial" w:cs="Arial" w:eastAsia="Arial" w:hAnsi="Arial"/>
          <w:sz w:val="16"/>
          <w:szCs w:val="16"/>
          <w:color w:val="auto"/>
        </w:rPr>
        <w:t>” means U.S. Government Securities maturing within one year of the applicable date of determination.</w:t>
      </w:r>
    </w:p>
    <w:p>
      <w:pPr>
        <w:spacing w:after="0" w:line="194" w:lineRule="exact"/>
        <w:rPr>
          <w:sz w:val="20"/>
          <w:szCs w:val="20"/>
          <w:color w:val="auto"/>
        </w:rPr>
      </w:pPr>
    </w:p>
    <w:p>
      <w:pPr>
        <w:ind w:right="3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Unitranche Loan</w:t>
      </w:r>
      <w:r>
        <w:rPr>
          <w:rFonts w:ascii="Arial" w:cs="Arial" w:eastAsia="Arial" w:hAnsi="Arial"/>
          <w:sz w:val="18"/>
          <w:szCs w:val="18"/>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2" w:name="page123"/>
    <w:bookmarkEnd w:id="12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Portfolio Investment, the lower of:</w:t>
      </w:r>
    </w:p>
    <w:p>
      <w:pPr>
        <w:spacing w:after="0" w:line="90" w:lineRule="exact"/>
        <w:rPr>
          <w:sz w:val="20"/>
          <w:szCs w:val="20"/>
          <w:color w:val="auto"/>
        </w:rPr>
      </w:pPr>
    </w:p>
    <w:p>
      <w:pPr>
        <w:ind w:left="1120" w:hanging="217"/>
        <w:spacing w:after="0"/>
        <w:tabs>
          <w:tab w:leader="none" w:pos="11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most recent internal market value as determined pursuant to </w:t>
      </w:r>
      <w:r>
        <w:rPr>
          <w:rFonts w:ascii="Arial" w:cs="Arial" w:eastAsia="Arial" w:hAnsi="Arial"/>
          <w:sz w:val="18"/>
          <w:szCs w:val="18"/>
          <w:u w:val="single" w:color="auto"/>
          <w:color w:val="auto"/>
        </w:rPr>
        <w:t>Section 5.12(b)(ii)(C)</w:t>
      </w:r>
      <w:r>
        <w:rPr>
          <w:rFonts w:ascii="Arial" w:cs="Arial" w:eastAsia="Arial" w:hAnsi="Arial"/>
          <w:sz w:val="18"/>
          <w:szCs w:val="18"/>
          <w:color w:val="auto"/>
        </w:rPr>
        <w:t xml:space="preserv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most recent external market value as determined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17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4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Subject to the last sentence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the Borrower will not, nor will it permit any of the Subsidiary Guarantors to, create, incur, assume or permit to exist any Indebtedness, except:</w:t>
      </w:r>
    </w:p>
    <w:p>
      <w:pPr>
        <w:spacing w:after="0" w:line="132" w:lineRule="exact"/>
        <w:rPr>
          <w:sz w:val="20"/>
          <w:szCs w:val="20"/>
          <w:color w:val="auto"/>
        </w:rPr>
      </w:pPr>
    </w:p>
    <w:p>
      <w:pPr>
        <w:ind w:left="1160" w:hanging="239"/>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Indebtedness created hereunder;</w:t>
      </w:r>
    </w:p>
    <w:p>
      <w:pPr>
        <w:spacing w:after="0" w:line="171" w:lineRule="exact"/>
        <w:rPr>
          <w:rFonts w:ascii="Arial" w:cs="Arial" w:eastAsia="Arial" w:hAnsi="Arial"/>
          <w:sz w:val="18"/>
          <w:szCs w:val="18"/>
          <w:color w:val="auto"/>
        </w:rPr>
      </w:pPr>
    </w:p>
    <w:p>
      <w:pPr>
        <w:ind w:right="220" w:firstLine="921"/>
        <w:spacing w:after="0" w:line="323" w:lineRule="auto"/>
        <w:tabs>
          <w:tab w:leader="none" w:pos="1162" w:val="left"/>
        </w:tabs>
        <w:numPr>
          <w:ilvl w:val="0"/>
          <w:numId w:val="142"/>
        </w:numPr>
        <w:rPr>
          <w:rFonts w:ascii="Arial" w:cs="Arial" w:eastAsia="Arial" w:hAnsi="Arial"/>
          <w:sz w:val="15"/>
          <w:szCs w:val="15"/>
          <w:color w:val="auto"/>
        </w:rPr>
      </w:pPr>
      <w:r>
        <w:rPr>
          <w:rFonts w:ascii="Arial" w:cs="Arial" w:eastAsia="Arial" w:hAnsi="Arial"/>
          <w:sz w:val="15"/>
          <w:szCs w:val="15"/>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Arial" w:cs="Arial" w:eastAsia="Arial" w:hAnsi="Arial"/>
          <w:sz w:val="15"/>
          <w:szCs w:val="15"/>
          <w:u w:val="single" w:color="auto"/>
          <w:color w:val="auto"/>
        </w:rPr>
        <w:t>Section 6.07(b)</w:t>
      </w:r>
      <w:r>
        <w:rPr>
          <w:rFonts w:ascii="Arial" w:cs="Arial" w:eastAsia="Arial" w:hAnsi="Arial"/>
          <w:sz w:val="15"/>
          <w:szCs w:val="15"/>
          <w:color w:val="auto"/>
        </w:rPr>
        <w:t>, and (iii) prior to and immediately after giving effect to the incurrence of any Secured Longer-Term Indebtedness, the Covered Debt Amount does not or would not exceed the Borrowing Base then in effect;</w:t>
      </w:r>
    </w:p>
    <w:p>
      <w:pPr>
        <w:spacing w:after="0" w:line="97" w:lineRule="exact"/>
        <w:rPr>
          <w:rFonts w:ascii="Arial" w:cs="Arial" w:eastAsia="Arial" w:hAnsi="Arial"/>
          <w:sz w:val="15"/>
          <w:szCs w:val="15"/>
          <w:color w:val="auto"/>
        </w:rPr>
      </w:pPr>
    </w:p>
    <w:p>
      <w:pPr>
        <w:ind w:left="1160" w:hanging="239"/>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 Permitted Indebtedness;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Guarantees of Indebtedness otherwise permitted hereunder;</w:t>
      </w:r>
    </w:p>
    <w:p>
      <w:pPr>
        <w:spacing w:after="0" w:line="171" w:lineRule="exact"/>
        <w:rPr>
          <w:rFonts w:ascii="Arial" w:cs="Arial" w:eastAsia="Arial" w:hAnsi="Arial"/>
          <w:sz w:val="18"/>
          <w:szCs w:val="18"/>
          <w:color w:val="auto"/>
        </w:rPr>
      </w:pPr>
    </w:p>
    <w:p>
      <w:pPr>
        <w:ind w:right="640" w:firstLine="921"/>
        <w:spacing w:after="0" w:line="268" w:lineRule="auto"/>
        <w:tabs>
          <w:tab w:leader="none" w:pos="11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Indebtedness of any Obligor owing to any other Obligor or, if such Indebtedness is subject to subordination terms and conditions that are satisfactory to the Administrative Agent, any other Subsidiary of the Borrower;</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Indebtedness of Financing Subsidiaries;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repurchase obligations arising in the ordinary course of business with respect to U.S. Government Securities;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obligations payable to clearing agencies, brokers or dealers in connection with the purchase or sale of securities in the ordinary course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5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3" w:name="page124"/>
    <w:bookmarkEnd w:id="123"/>
    <w:p>
      <w:pPr>
        <w:ind w:right="540" w:firstLine="921"/>
        <w:spacing w:after="0" w:line="305" w:lineRule="auto"/>
        <w:tabs>
          <w:tab w:leader="none" w:pos="1123" w:val="left"/>
        </w:tabs>
        <w:numPr>
          <w:ilvl w:val="1"/>
          <w:numId w:val="14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Shorter-Term Indebtedness and Unsecured Shorter-Term Indebtedness so long as (i) no Default exists at the time of the incurrence thereof, (ii) the aggregate amount (determined at the time of the incurrence of such Indebtedness) of such Indebtedness does not exceed the greater of</w:t>
      </w:r>
    </w:p>
    <w:p>
      <w:pPr>
        <w:ind w:right="180" w:firstLine="8"/>
        <w:spacing w:after="0" w:line="302" w:lineRule="auto"/>
        <w:tabs>
          <w:tab w:leader="none" w:pos="28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$20,000,000 and (B) 5% of Shareholders’ Equity, (iii) the aggregate amount of such Indebtedness, taken together with other then-outstanding Indebtedness, does not exceed the amount required to comply with the provisions of </w:t>
      </w:r>
      <w:r>
        <w:rPr>
          <w:rFonts w:ascii="Arial" w:cs="Arial" w:eastAsia="Arial" w:hAnsi="Arial"/>
          <w:sz w:val="16"/>
          <w:szCs w:val="16"/>
          <w:u w:val="single" w:color="auto"/>
          <w:color w:val="auto"/>
        </w:rPr>
        <w:t>Sections 6.07(b)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and (iv) prior to and immediately after giving effect to the incurrence of any such Indebtedness, the Covered Debt Amount does not or would not exceed the Borrowing Base then in effect;</w:t>
      </w:r>
    </w:p>
    <w:p>
      <w:pPr>
        <w:spacing w:after="0" w:line="109" w:lineRule="exact"/>
        <w:rPr>
          <w:rFonts w:ascii="Arial" w:cs="Arial" w:eastAsia="Arial" w:hAnsi="Arial"/>
          <w:sz w:val="16"/>
          <w:szCs w:val="16"/>
          <w:color w:val="auto"/>
        </w:rPr>
      </w:pPr>
    </w:p>
    <w:p>
      <w:pPr>
        <w:ind w:left="1140" w:hanging="219"/>
        <w:spacing w:after="0"/>
        <w:tabs>
          <w:tab w:leader="none" w:pos="11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obligations (including Guarantees) in respect of Standard Securitization Undertakings;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Permitted SBIC Guarantees;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Indebtedness under any Capital Call Facility not to exceed $300,000,000 in the aggregate; and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other Indebtedness not to exceed $2,000,000 at any time.</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40" w:lineRule="exact"/>
        <w:rPr>
          <w:sz w:val="20"/>
          <w:szCs w:val="20"/>
          <w:color w:val="auto"/>
        </w:rPr>
      </w:pPr>
    </w:p>
    <w:p>
      <w:pPr>
        <w:ind w:right="200" w:firstLine="921"/>
        <w:spacing w:after="0" w:line="335" w:lineRule="auto"/>
        <w:tabs>
          <w:tab w:leader="none" w:pos="1152" w:val="left"/>
        </w:tabs>
        <w:numPr>
          <w:ilvl w:val="0"/>
          <w:numId w:val="145"/>
        </w:numPr>
        <w:rPr>
          <w:rFonts w:ascii="Arial" w:cs="Arial" w:eastAsia="Arial" w:hAnsi="Arial"/>
          <w:sz w:val="15"/>
          <w:szCs w:val="15"/>
          <w:color w:val="auto"/>
        </w:rPr>
      </w:pPr>
      <w:r>
        <w:rPr>
          <w:rFonts w:ascii="Arial" w:cs="Arial" w:eastAsia="Arial" w:hAnsi="Arial"/>
          <w:sz w:val="15"/>
          <w:szCs w:val="15"/>
          <w:color w:val="auto"/>
        </w:rPr>
        <w:t xml:space="preserve">any Lien on any property or asset of the Borrower existing on the date hereof and set forth in </w:t>
      </w:r>
      <w:r>
        <w:rPr>
          <w:rFonts w:ascii="Arial" w:cs="Arial" w:eastAsia="Arial" w:hAnsi="Arial"/>
          <w:sz w:val="15"/>
          <w:szCs w:val="15"/>
          <w:u w:val="single" w:color="auto"/>
          <w:color w:val="auto"/>
        </w:rPr>
        <w:t>Part B</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3.11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no such Lien shall extend to any other property or asset of the Borrower or any of the Subsidiary Guarantors, and (ii) any such Lien shall secure only those obligations which it secures on the date hereof and extensions, renewals and replacements thereof that do not increase the outstanding principal amount thereof;</w:t>
      </w:r>
    </w:p>
    <w:p>
      <w:pPr>
        <w:spacing w:after="0" w:line="88" w:lineRule="exact"/>
        <w:rPr>
          <w:rFonts w:ascii="Arial" w:cs="Arial" w:eastAsia="Arial" w:hAnsi="Arial"/>
          <w:sz w:val="15"/>
          <w:szCs w:val="15"/>
          <w:color w:val="auto"/>
        </w:rPr>
      </w:pPr>
    </w:p>
    <w:p>
      <w:pPr>
        <w:ind w:right="120" w:firstLine="921"/>
        <w:spacing w:after="0" w:line="268" w:lineRule="auto"/>
        <w:tabs>
          <w:tab w:leader="none" w:pos="116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Liens created pursuant to this Agreement (including </w:t>
      </w:r>
      <w:r>
        <w:rPr>
          <w:rFonts w:ascii="Arial" w:cs="Arial" w:eastAsia="Arial" w:hAnsi="Arial"/>
          <w:sz w:val="18"/>
          <w:szCs w:val="18"/>
          <w:u w:val="single" w:color="auto"/>
          <w:color w:val="auto"/>
        </w:rPr>
        <w:t>Section 2.19</w:t>
      </w:r>
      <w:r>
        <w:rPr>
          <w:rFonts w:ascii="Arial" w:cs="Arial" w:eastAsia="Arial" w:hAnsi="Arial"/>
          <w:sz w:val="18"/>
          <w:szCs w:val="18"/>
          <w:color w:val="auto"/>
        </w:rPr>
        <w:t>) or any of the Security Documents (including Liens in favor of the Designated Indebtedness Holders (as defined in the Guarantee and Security Agreement));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Liens on the assets of a Financing Subsidiary securing obligations of such Financing Subsidiary;</w:t>
      </w:r>
    </w:p>
    <w:p>
      <w:pPr>
        <w:spacing w:after="0" w:line="171"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Liens on Special Equity Interests included in the Portfolio Investments of the Borrower but only to the extent securing obligations in the manner provided in the definition of “</w:t>
      </w:r>
      <w:r>
        <w:rPr>
          <w:rFonts w:ascii="Arial" w:cs="Arial" w:eastAsia="Arial" w:hAnsi="Arial"/>
          <w:sz w:val="18"/>
          <w:szCs w:val="18"/>
          <w:u w:val="single" w:color="auto"/>
          <w:color w:val="auto"/>
        </w:rPr>
        <w:t>Special Equity Interests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40" w:firstLine="921"/>
        <w:spacing w:after="0" w:line="255" w:lineRule="auto"/>
        <w:tabs>
          <w:tab w:leader="none" w:pos="11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in an aggregate principal amount not exceeding $10,000,000 at any one time outstanding (which may cover Portfolio Investments, but only to the extent released from the Lien in favor of the Collateral Agent pursuant to Section 10.03 of the Guarantee and Security Agreement), so long as at the time of incurrence of such Indebtedness or other obligations, the aggregate amount of Indebtedness permitted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does not exceed the lesser of (i) the Borrowing Base and (ii) the amount required to comply with the provisions of </w:t>
      </w:r>
      <w:r>
        <w:rPr>
          <w:rFonts w:ascii="Arial" w:cs="Arial" w:eastAsia="Arial" w:hAnsi="Arial"/>
          <w:sz w:val="18"/>
          <w:szCs w:val="18"/>
          <w:u w:val="single" w:color="auto"/>
          <w:color w:val="auto"/>
        </w:rPr>
        <w:t>Section 6.07(b)</w:t>
      </w:r>
      <w:r>
        <w:rPr>
          <w:rFonts w:ascii="Arial" w:cs="Arial" w:eastAsia="Arial" w:hAnsi="Arial"/>
          <w:sz w:val="18"/>
          <w:szCs w:val="18"/>
          <w:color w:val="auto"/>
        </w:rPr>
        <w:t>;</w:t>
      </w:r>
    </w:p>
    <w:p>
      <w:pPr>
        <w:spacing w:after="0" w:line="12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4" w:name="page125"/>
    <w:bookmarkEnd w:id="124"/>
    <w:p>
      <w:pPr>
        <w:ind w:left="1140" w:hanging="219"/>
        <w:spacing w:after="0"/>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Liens;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Liens on Equity Interests in any SBIC Subsidiary created in favor of the SBA;</w:t>
      </w:r>
    </w:p>
    <w:p>
      <w:pPr>
        <w:spacing w:after="0" w:line="171" w:lineRule="exact"/>
        <w:rPr>
          <w:rFonts w:ascii="Arial" w:cs="Arial" w:eastAsia="Arial" w:hAnsi="Arial"/>
          <w:sz w:val="18"/>
          <w:szCs w:val="18"/>
          <w:color w:val="auto"/>
        </w:rPr>
      </w:pPr>
    </w:p>
    <w:p>
      <w:pPr>
        <w:ind w:right="600" w:firstLine="921"/>
        <w:spacing w:after="0" w:line="332" w:lineRule="auto"/>
        <w:tabs>
          <w:tab w:leader="none" w:pos="116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Liens created pursuant to any Capital Call Facility permitted hereunder; provided that such Liens do not constitute Liens on any Portfolio Investments, Cash or other property, in each case that constitute Collateral hereunder or are included in the Borrowing Base hereunder;</w:t>
      </w:r>
    </w:p>
    <w:p>
      <w:pPr>
        <w:spacing w:after="0" w:line="85" w:lineRule="exact"/>
        <w:rPr>
          <w:rFonts w:ascii="Arial" w:cs="Arial" w:eastAsia="Arial" w:hAnsi="Arial"/>
          <w:sz w:val="16"/>
          <w:szCs w:val="16"/>
          <w:color w:val="auto"/>
        </w:rPr>
      </w:pPr>
    </w:p>
    <w:p>
      <w:pPr>
        <w:ind w:left="1140" w:hanging="219"/>
        <w:spacing w:after="0"/>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Liens securing repurchase obligations arising in the ordinary course of business with respect to U.S. Government Securities.</w:t>
      </w:r>
    </w:p>
    <w:p>
      <w:pPr>
        <w:spacing w:after="0" w:line="171" w:lineRule="exact"/>
        <w:rPr>
          <w:sz w:val="20"/>
          <w:szCs w:val="20"/>
          <w:color w:val="auto"/>
        </w:rPr>
      </w:pPr>
    </w:p>
    <w:p>
      <w:pPr>
        <w:ind w:right="120" w:firstLine="913"/>
        <w:spacing w:after="0" w:line="301"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u w:val="single" w:color="auto"/>
          <w:color w:val="auto"/>
        </w:rPr>
        <w:t>Fundamental Changes</w:t>
      </w:r>
      <w:r>
        <w:rPr>
          <w:rFonts w:ascii="Arial" w:cs="Arial" w:eastAsia="Arial" w:hAnsi="Arial"/>
          <w:sz w:val="15"/>
          <w:szCs w:val="15"/>
          <w:color w:val="auto"/>
        </w:rPr>
        <w:t xml:space="preserve">.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5"/>
          <w:szCs w:val="15"/>
          <w:u w:val="single" w:color="auto"/>
          <w:color w:val="auto"/>
        </w:rPr>
        <w:t>clauses</w:t>
      </w:r>
    </w:p>
    <w:p>
      <w:pPr>
        <w:spacing w:after="0" w:line="4" w:lineRule="exact"/>
        <w:rPr>
          <w:sz w:val="20"/>
          <w:szCs w:val="20"/>
          <w:color w:val="auto"/>
        </w:rPr>
      </w:pPr>
    </w:p>
    <w:p>
      <w:pPr>
        <w:ind w:left="260" w:hanging="252"/>
        <w:spacing w:after="0"/>
        <w:tabs>
          <w:tab w:leader="none" w:pos="260" w:val="left"/>
        </w:tabs>
        <w:numPr>
          <w:ilvl w:val="0"/>
          <w:numId w:val="147"/>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below, Portfolio Investments.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foregoing provisions of this Section:</w:t>
      </w:r>
    </w:p>
    <w:p>
      <w:pPr>
        <w:spacing w:after="0" w:line="171" w:lineRule="exact"/>
        <w:rPr>
          <w:sz w:val="20"/>
          <w:szCs w:val="20"/>
          <w:color w:val="auto"/>
        </w:rPr>
      </w:pPr>
    </w:p>
    <w:p>
      <w:pPr>
        <w:ind w:right="40" w:firstLine="921"/>
        <w:spacing w:after="0" w:line="259" w:lineRule="auto"/>
        <w:tabs>
          <w:tab w:leader="none" w:pos="11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any Subsidiary Guarantor of the Borrower may be merged or consolidated with or into the Borrower or any 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transaction shall be between a Subsidiary Guarantor and a wholly owned Subsidiary Guarantor, the wholly owned Subsidiary Guarantor shall be the continuing or surviving corporation;</w:t>
      </w:r>
    </w:p>
    <w:p>
      <w:pPr>
        <w:spacing w:after="0" w:line="140"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Subsidiary Guarantor of the Borrower may sell, lease, transfer or otherwise dispose of any or all of its assets (upon voluntary liquidation or otherwise) to the Borrower or any wholly owned Subsidiary Guarantor of the Borrower;</w:t>
      </w:r>
    </w:p>
    <w:p>
      <w:pPr>
        <w:spacing w:after="0" w:line="131" w:lineRule="exact"/>
        <w:rPr>
          <w:rFonts w:ascii="Arial" w:cs="Arial" w:eastAsia="Arial" w:hAnsi="Arial"/>
          <w:sz w:val="18"/>
          <w:szCs w:val="18"/>
          <w:color w:val="auto"/>
        </w:rPr>
      </w:pPr>
    </w:p>
    <w:p>
      <w:pPr>
        <w:ind w:right="480" w:firstLine="921"/>
        <w:spacing w:after="0" w:line="268" w:lineRule="auto"/>
        <w:tabs>
          <w:tab w:leader="none" w:pos="11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capital stock of any Subsidiary of the Borrower may be sold, transferred or otherwise disposed of to the Borrower or any wholly owned Subsidiary Guarantor of the Borrower;</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5" w:name="page126"/>
    <w:bookmarkEnd w:id="125"/>
    <w:p>
      <w:pPr>
        <w:ind w:right="120" w:firstLine="921"/>
        <w:spacing w:after="0" w:line="259" w:lineRule="auto"/>
        <w:tabs>
          <w:tab w:leader="none" w:pos="1162"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the Covered Debt Amount does not exceed the Borrowing Base;</w:t>
      </w:r>
    </w:p>
    <w:p>
      <w:pPr>
        <w:spacing w:after="0" w:line="140" w:lineRule="exact"/>
        <w:rPr>
          <w:rFonts w:ascii="Arial" w:cs="Arial" w:eastAsia="Arial" w:hAnsi="Arial"/>
          <w:sz w:val="18"/>
          <w:szCs w:val="18"/>
          <w:color w:val="auto"/>
        </w:rPr>
      </w:pPr>
    </w:p>
    <w:p>
      <w:pPr>
        <w:ind w:right="100" w:firstLine="921"/>
        <w:spacing w:after="0" w:line="294" w:lineRule="auto"/>
        <w:tabs>
          <w:tab w:leader="none" w:pos="115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15" w:lineRule="exact"/>
        <w:rPr>
          <w:rFonts w:ascii="Arial" w:cs="Arial" w:eastAsia="Arial" w:hAnsi="Arial"/>
          <w:sz w:val="16"/>
          <w:szCs w:val="16"/>
          <w:color w:val="auto"/>
        </w:rPr>
      </w:pPr>
    </w:p>
    <w:p>
      <w:pPr>
        <w:ind w:right="60" w:firstLine="921"/>
        <w:spacing w:after="0" w:line="268" w:lineRule="auto"/>
        <w:tabs>
          <w:tab w:leader="none" w:pos="113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may merge or consolidate with any other Person so long as (i) the Borrower is the continuing or surviving entity in such transaction and (ii) at the time thereof and after giving effect thereto, no Default shall have occurred or be continuing; and</w:t>
      </w:r>
    </w:p>
    <w:p>
      <w:pPr>
        <w:spacing w:after="0" w:line="131"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Investments</w:t>
      </w:r>
      <w:r>
        <w:rPr>
          <w:rFonts w:ascii="Arial" w:cs="Arial" w:eastAsia="Arial" w:hAnsi="Arial"/>
          <w:sz w:val="16"/>
          <w:szCs w:val="16"/>
          <w:color w:val="auto"/>
        </w:rPr>
        <w:t>. The Borrower will not, nor will it permit any of the Subsidiary Guarantors to, acquire, make or enter into, or hold,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Investments except:</w:t>
      </w:r>
    </w:p>
    <w:p>
      <w:pPr>
        <w:spacing w:after="0" w:line="165" w:lineRule="exact"/>
        <w:rPr>
          <w:sz w:val="20"/>
          <w:szCs w:val="20"/>
          <w:color w:val="auto"/>
        </w:rPr>
      </w:pPr>
    </w:p>
    <w:p>
      <w:pPr>
        <w:ind w:left="1160" w:hanging="239"/>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operating deposit accounts with banks;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Investments by the Borrower and the Subsidiary Guarantors in the Borrower and the Subsidiary Guarantors;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Hedging Agreements entered into in the ordinary course of the Borrower’s financial planning and not for speculative purposes;</w:t>
      </w:r>
    </w:p>
    <w:p>
      <w:pPr>
        <w:spacing w:after="0" w:line="171" w:lineRule="exact"/>
        <w:rPr>
          <w:rFonts w:ascii="Arial" w:cs="Arial" w:eastAsia="Arial" w:hAnsi="Arial"/>
          <w:sz w:val="18"/>
          <w:szCs w:val="18"/>
          <w:color w:val="auto"/>
        </w:rPr>
      </w:pPr>
    </w:p>
    <w:p>
      <w:pPr>
        <w:ind w:right="60" w:firstLine="921"/>
        <w:spacing w:after="0" w:line="268" w:lineRule="auto"/>
        <w:tabs>
          <w:tab w:leader="none" w:pos="116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31" w:lineRule="exact"/>
        <w:rPr>
          <w:rFonts w:ascii="Arial" w:cs="Arial" w:eastAsia="Arial" w:hAnsi="Arial"/>
          <w:sz w:val="18"/>
          <w:szCs w:val="18"/>
          <w:color w:val="auto"/>
        </w:rPr>
      </w:pPr>
    </w:p>
    <w:p>
      <w:pPr>
        <w:ind w:right="400" w:firstLine="921"/>
        <w:spacing w:after="0" w:line="306" w:lineRule="auto"/>
        <w:tabs>
          <w:tab w:leader="none" w:pos="115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that occur after the Commitment Termination Date and (y) all Investments under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below that occur after the Commitment Termination Date, shall not exceed $10,000,000 in the aggregate;</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additional Investments up to but not exceeding $15,000,000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sum of (x) all Investments under this </w:t>
      </w:r>
      <w:r>
        <w:rPr>
          <w:rFonts w:ascii="Arial" w:cs="Arial" w:eastAsia="Arial" w:hAnsi="Arial"/>
          <w:sz w:val="16"/>
          <w:szCs w:val="16"/>
          <w:u w:val="single" w:color="auto"/>
          <w:color w:val="auto"/>
        </w:rPr>
        <w:t>clause</w:t>
      </w:r>
    </w:p>
    <w:p>
      <w:pPr>
        <w:spacing w:after="0" w:line="38" w:lineRule="exact"/>
        <w:rPr>
          <w:rFonts w:ascii="Arial" w:cs="Arial" w:eastAsia="Arial" w:hAnsi="Arial"/>
          <w:sz w:val="16"/>
          <w:szCs w:val="16"/>
          <w:color w:val="auto"/>
        </w:rPr>
      </w:pPr>
    </w:p>
    <w:p>
      <w:pPr>
        <w:ind w:right="40" w:firstLine="8"/>
        <w:spacing w:after="0" w:line="261" w:lineRule="auto"/>
        <w:tabs>
          <w:tab w:leader="none" w:pos="219" w:val="left"/>
        </w:tabs>
        <w:numPr>
          <w:ilvl w:val="0"/>
          <w:numId w:val="151"/>
        </w:numPr>
        <w:rPr>
          <w:rFonts w:ascii="Arial" w:cs="Arial" w:eastAsia="Arial" w:hAnsi="Arial"/>
          <w:sz w:val="18"/>
          <w:szCs w:val="18"/>
          <w:u w:val="single" w:color="auto"/>
          <w:color w:val="auto"/>
        </w:rPr>
      </w:pPr>
      <w:r>
        <w:rPr>
          <w:rFonts w:ascii="Arial" w:cs="Arial" w:eastAsia="Arial" w:hAnsi="Arial"/>
          <w:sz w:val="18"/>
          <w:szCs w:val="18"/>
          <w:color w:val="auto"/>
        </w:rPr>
        <w:t xml:space="preserve">that occur after the Commitment Termination Date and (y) all Investments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that occur after the Commitment Termination Date, shall not exceed $10,000,000 in the aggregate;</w:t>
      </w:r>
    </w:p>
    <w:p>
      <w:pPr>
        <w:spacing w:after="0" w:line="124"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6" w:name="page127"/>
    <w:bookmarkEnd w:id="126"/>
    <w:p>
      <w:pPr>
        <w:ind w:left="1160" w:hanging="239"/>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in Cash and Cash Equivalents;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Investments described on </w:t>
      </w:r>
      <w:r>
        <w:rPr>
          <w:rFonts w:ascii="Arial" w:cs="Arial" w:eastAsia="Arial" w:hAnsi="Arial"/>
          <w:sz w:val="18"/>
          <w:szCs w:val="18"/>
          <w:u w:val="single" w:color="auto"/>
          <w:color w:val="auto"/>
        </w:rPr>
        <w:t>Schedule 3.12(b)</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Investments by a Financing Subsidiary; and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Investments in the form of Guarantees permitted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amount of dividends, distributions or other payments received in cash in respect of such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44"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nor will it permit any of the Subsidiary Guarantors to, declare or make, or agree to pay or make, directly or indirectly, any Restricted Payment, except that the Borrower may declare and pay:</w:t>
      </w:r>
    </w:p>
    <w:p>
      <w:pPr>
        <w:spacing w:after="0" w:line="132" w:lineRule="exact"/>
        <w:rPr>
          <w:sz w:val="20"/>
          <w:szCs w:val="20"/>
          <w:color w:val="auto"/>
        </w:rPr>
      </w:pPr>
    </w:p>
    <w:p>
      <w:pPr>
        <w:ind w:left="1160" w:hanging="239"/>
        <w:spacing w:after="0"/>
        <w:tabs>
          <w:tab w:leader="none" w:pos="11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dividends with respect to the capital stock of the Borrower payable solely in additional shares of the Borrower’s common stock;</w:t>
      </w:r>
    </w:p>
    <w:p>
      <w:pPr>
        <w:spacing w:after="0" w:line="171" w:lineRule="exact"/>
        <w:rPr>
          <w:rFonts w:ascii="Arial" w:cs="Arial" w:eastAsia="Arial" w:hAnsi="Arial"/>
          <w:sz w:val="18"/>
          <w:szCs w:val="18"/>
          <w:color w:val="auto"/>
        </w:rPr>
      </w:pPr>
    </w:p>
    <w:p>
      <w:pPr>
        <w:jc w:val="both"/>
        <w:ind w:right="60" w:firstLine="921"/>
        <w:spacing w:after="0" w:line="259" w:lineRule="auto"/>
        <w:tabs>
          <w:tab w:leader="none" w:pos="116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40" w:lineRule="exact"/>
        <w:rPr>
          <w:rFonts w:ascii="Arial" w:cs="Arial" w:eastAsia="Arial" w:hAnsi="Arial"/>
          <w:sz w:val="18"/>
          <w:szCs w:val="18"/>
          <w:color w:val="auto"/>
        </w:rPr>
      </w:pPr>
    </w:p>
    <w:p>
      <w:pPr>
        <w:jc w:val="both"/>
        <w:ind w:right="280" w:firstLine="921"/>
        <w:spacing w:after="0" w:line="357" w:lineRule="auto"/>
        <w:tabs>
          <w:tab w:leader="none" w:pos="1152" w:val="left"/>
        </w:tabs>
        <w:numPr>
          <w:ilvl w:val="1"/>
          <w:numId w:val="153"/>
        </w:numPr>
        <w:rPr>
          <w:rFonts w:ascii="Arial" w:cs="Arial" w:eastAsia="Arial" w:hAnsi="Arial"/>
          <w:sz w:val="15"/>
          <w:szCs w:val="15"/>
          <w:color w:val="auto"/>
        </w:rPr>
      </w:pPr>
      <w:r>
        <w:rPr>
          <w:rFonts w:ascii="Arial" w:cs="Arial" w:eastAsia="Arial" w:hAnsi="Arial"/>
          <w:sz w:val="15"/>
          <w:szCs w:val="15"/>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so long as on the date of such Restricted Payment and after giving effect thereto:</w:t>
      </w:r>
    </w:p>
    <w:p>
      <w:pPr>
        <w:ind w:left="1120" w:hanging="217"/>
        <w:spacing w:after="0"/>
        <w:tabs>
          <w:tab w:leader="none" w:pos="11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result therefrom; and</w:t>
      </w:r>
    </w:p>
    <w:p>
      <w:pPr>
        <w:spacing w:after="0" w:line="90" w:lineRule="exact"/>
        <w:rPr>
          <w:rFonts w:ascii="Arial" w:cs="Arial" w:eastAsia="Arial" w:hAnsi="Arial"/>
          <w:sz w:val="18"/>
          <w:szCs w:val="18"/>
          <w:color w:val="auto"/>
        </w:rPr>
      </w:pPr>
    </w:p>
    <w:p>
      <w:pPr>
        <w:ind w:left="460" w:right="40" w:firstLine="443"/>
        <w:spacing w:after="0" w:line="256" w:lineRule="auto"/>
        <w:tabs>
          <w:tab w:leader="none" w:pos="115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aggregate amount of Restricted Payments made during any taxable year of the Borrower after the date hereof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exceed the difference of (x) an amount equal to 10% of the taxable income of the Borrower for such taxable year determined under section 852(b)(2) of the Code, but without regard to </w:t>
      </w:r>
      <w:r>
        <w:rPr>
          <w:rFonts w:ascii="Arial" w:cs="Arial" w:eastAsia="Arial" w:hAnsi="Arial"/>
          <w:sz w:val="18"/>
          <w:szCs w:val="18"/>
          <w:u w:val="single" w:color="auto"/>
          <w:color w:val="auto"/>
        </w:rPr>
        <w:t>subparagraphs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the amount, if any, by which dividends and distributions made during such taxable year pursuant to the foregoing </w:t>
      </w:r>
      <w:r>
        <w:rPr>
          <w:rFonts w:ascii="Arial" w:cs="Arial" w:eastAsia="Arial" w:hAnsi="Arial"/>
          <w:sz w:val="18"/>
          <w:szCs w:val="18"/>
          <w:u w:val="single" w:color="auto"/>
          <w:color w:val="auto"/>
        </w:rPr>
        <w:t>clause (b)</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7" w:name="page128"/>
    <w:bookmarkEnd w:id="127"/>
    <w:p>
      <w:pPr>
        <w:ind w:left="46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(whether in respect of such taxable year or the previous taxable year) based upon the Borrower’s estimate of taxable income exceeded the actual amounts specified in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such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for such taxable year.</w:t>
      </w:r>
    </w:p>
    <w:p>
      <w:pPr>
        <w:spacing w:after="0" w:line="132" w:lineRule="exact"/>
        <w:rPr>
          <w:sz w:val="20"/>
          <w:szCs w:val="20"/>
          <w:color w:val="auto"/>
        </w:rPr>
      </w:pPr>
    </w:p>
    <w:p>
      <w:pPr>
        <w:ind w:right="220" w:firstLine="921"/>
        <w:spacing w:after="0" w:line="302" w:lineRule="auto"/>
        <w:tabs>
          <w:tab w:leader="none" w:pos="1162" w:val="left"/>
        </w:tabs>
        <w:numPr>
          <w:ilvl w:val="1"/>
          <w:numId w:val="155"/>
        </w:numPr>
        <w:rPr>
          <w:rFonts w:ascii="Arial" w:cs="Arial" w:eastAsia="Arial" w:hAnsi="Arial"/>
          <w:sz w:val="15"/>
          <w:szCs w:val="15"/>
          <w:color w:val="auto"/>
        </w:rPr>
      </w:pPr>
      <w:r>
        <w:rPr>
          <w:rFonts w:ascii="Arial" w:cs="Arial" w:eastAsia="Arial" w:hAnsi="Arial"/>
          <w:sz w:val="15"/>
          <w:szCs w:val="15"/>
          <w:color w:val="auto"/>
        </w:rPr>
        <w:t xml:space="preserve">other Restricted Payments so long as (i) on the date of such other Restricted Payment and after giving effect thereto (x) the Covered Debt Amount does not exceed 90% of the Borrowing Base and (y) no Default shall have occurred and be continuing or would result therefrom and (ii) on the date of such other Restricted Payment the Borrower delivers to the Administrative Agent and each Lender a Borrowing Base Certificate as at such date demonstrating compliance with </w:t>
      </w:r>
      <w:r>
        <w:rPr>
          <w:rFonts w:ascii="Arial" w:cs="Arial" w:eastAsia="Arial" w:hAnsi="Arial"/>
          <w:sz w:val="15"/>
          <w:szCs w:val="15"/>
          <w:u w:val="single" w:color="auto"/>
          <w:color w:val="auto"/>
        </w:rPr>
        <w:t>subclause (x)</w:t>
      </w:r>
      <w:r>
        <w:rPr>
          <w:rFonts w:ascii="Arial" w:cs="Arial" w:eastAsia="Arial" w:hAnsi="Arial"/>
          <w:sz w:val="15"/>
          <w:szCs w:val="15"/>
          <w:color w:val="auto"/>
        </w:rPr>
        <w:t xml:space="preserve"> after giving effect to such Restricted Payment. For purposes of preparing such Borrowing Base Certificate, (A) the fair market value of Portfolio Investments for which market quotations are readily available shall be the most recent quotation available for such Portfolio Investment and</w:t>
      </w:r>
    </w:p>
    <w:p>
      <w:pPr>
        <w:spacing w:after="0" w:line="1" w:lineRule="exact"/>
        <w:rPr>
          <w:rFonts w:ascii="Arial" w:cs="Arial" w:eastAsia="Arial" w:hAnsi="Arial"/>
          <w:sz w:val="15"/>
          <w:szCs w:val="15"/>
          <w:color w:val="auto"/>
        </w:rPr>
      </w:pPr>
    </w:p>
    <w:p>
      <w:pPr>
        <w:ind w:right="180" w:firstLine="8"/>
        <w:spacing w:after="0" w:line="254" w:lineRule="auto"/>
        <w:tabs>
          <w:tab w:leader="none" w:pos="2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fair market value of Portfolio Investments for which market quotations are not readily available shall be the Value set forth in the Borrowing Base Certificate most recently delivered by the Borrower to the Administrative Agent and the Lenders pursuant to </w:t>
      </w:r>
      <w:r>
        <w:rPr>
          <w:rFonts w:ascii="Arial" w:cs="Arial" w:eastAsia="Arial" w:hAnsi="Arial"/>
          <w:sz w:val="18"/>
          <w:szCs w:val="18"/>
          <w:u w:val="single" w:color="auto"/>
          <w:color w:val="auto"/>
        </w:rPr>
        <w:t>Section 5.01(d)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reduce the Value of any Portfolio Investment referred to in this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to the extent necessary to take into account any events of which the Borrower has knowledge that adversely affect the value of such Portfolio Investment.</w:t>
      </w:r>
    </w:p>
    <w:p>
      <w:pPr>
        <w:spacing w:after="0" w:line="144"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Nothing herein shall be deemed to prohibit the payment of Restricted Payments by any Subsidiary of the Borrower to the Borrower or to any other Subsidiary Guarantor.</w:t>
      </w:r>
    </w:p>
    <w:p>
      <w:pPr>
        <w:spacing w:after="0" w:line="132"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Certain Restrictions on Subsidiaries</w:t>
      </w:r>
      <w:r>
        <w:rPr>
          <w:rFonts w:ascii="Arial" w:cs="Arial" w:eastAsia="Arial" w:hAnsi="Arial"/>
          <w:sz w:val="16"/>
          <w:szCs w:val="16"/>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Certain Financial Covenants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6" w:lineRule="auto"/>
        <w:tabs>
          <w:tab w:leader="none" w:pos="1152"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Minimum Shareholders’ Equity</w:t>
      </w:r>
      <w:r>
        <w:rPr>
          <w:rFonts w:ascii="Arial" w:cs="Arial" w:eastAsia="Arial" w:hAnsi="Arial"/>
          <w:sz w:val="18"/>
          <w:szCs w:val="18"/>
          <w:color w:val="auto"/>
        </w:rPr>
        <w:t xml:space="preserve">. The Borrower will not permit Shareholders’ Equity at the last day of any fiscal quarter of the Borrower to be less than $205,000,000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25% of the net proceeds of the sale of Equity Interests by the Borrower and its Subsidiaries after the Effective Date (including, without limitation, any drawings on the capital commitments of its equity holders) (other than proceeds of sales of Equity Interests by and among the Borrower and its Subsidiaries).</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8" w:name="page129"/>
    <w:bookmarkEnd w:id="128"/>
    <w:p>
      <w:pPr>
        <w:ind w:right="40" w:firstLine="921"/>
        <w:spacing w:after="0" w:line="268" w:lineRule="auto"/>
        <w:tabs>
          <w:tab w:leader="none" w:pos="1161"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 Coverage Ratio</w:t>
      </w:r>
      <w:r>
        <w:rPr>
          <w:rFonts w:ascii="Arial" w:cs="Arial" w:eastAsia="Arial" w:hAnsi="Arial"/>
          <w:sz w:val="18"/>
          <w:szCs w:val="18"/>
          <w:color w:val="auto"/>
        </w:rPr>
        <w:t>. The Borrower will not permit the Asset Coverage Ratio at the last day of any fiscal quarter of the Borrower to be less than 2.00 to 1 at any time.</w:t>
      </w:r>
    </w:p>
    <w:p>
      <w:pPr>
        <w:spacing w:after="0" w:line="131" w:lineRule="exact"/>
        <w:rPr>
          <w:rFonts w:ascii="Arial" w:cs="Arial" w:eastAsia="Arial" w:hAnsi="Arial"/>
          <w:sz w:val="18"/>
          <w:szCs w:val="18"/>
          <w:color w:val="auto"/>
        </w:rPr>
      </w:pPr>
    </w:p>
    <w:p>
      <w:pPr>
        <w:ind w:firstLine="921"/>
        <w:spacing w:after="0" w:line="255" w:lineRule="auto"/>
        <w:tabs>
          <w:tab w:leader="none" w:pos="115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Liquidity Test</w:t>
      </w:r>
      <w:r>
        <w:rPr>
          <w:rFonts w:ascii="Arial" w:cs="Arial" w:eastAsia="Arial" w:hAnsi="Arial"/>
          <w:sz w:val="18"/>
          <w:szCs w:val="18"/>
          <w:color w:val="auto"/>
        </w:rPr>
        <w:t xml:space="preserve">. The Borrower will not permit (a) the sum of (i) the aggregate Value of the Portfolio Investments that are Cash (excluding Cash Collateral for outstanding Letters of Credit) or that can be converted to Cash in fewer than 10 Business Days without more than a 5% change in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amount of Relevant Available Funds that can be converted to Cash in fewer than 10 Business Days, to be less than (b) 15% of the Covered Debt Amount, for more than 30 consecutive Business Days during any period when the Adjusted Covered Debt Balance is greater than 85% of the Adjusted Borrowing Base.</w:t>
      </w:r>
    </w:p>
    <w:p>
      <w:pPr>
        <w:spacing w:after="0" w:line="142" w:lineRule="exact"/>
        <w:rPr>
          <w:rFonts w:ascii="Arial" w:cs="Arial" w:eastAsia="Arial" w:hAnsi="Arial"/>
          <w:sz w:val="18"/>
          <w:szCs w:val="18"/>
          <w:color w:val="auto"/>
        </w:rPr>
      </w:pPr>
    </w:p>
    <w:p>
      <w:pPr>
        <w:ind w:right="100" w:firstLine="921"/>
        <w:spacing w:after="0" w:line="332" w:lineRule="auto"/>
        <w:tabs>
          <w:tab w:leader="none" w:pos="116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Debt to Total Assets Ratio</w:t>
      </w:r>
      <w:r>
        <w:rPr>
          <w:rFonts w:ascii="Arial" w:cs="Arial" w:eastAsia="Arial" w:hAnsi="Arial"/>
          <w:sz w:val="16"/>
          <w:szCs w:val="16"/>
          <w:color w:val="auto"/>
        </w:rPr>
        <w:t>. Prior to the Commitment Termination Date, the Borrower will not permit the Secured Debt Amount at the last day of any fiscal quarter of the Borrower to exceed 40% of the value of all assets, determined on an unconsolidated basis, in accordance with GAAP.</w:t>
      </w:r>
    </w:p>
    <w:p>
      <w:pPr>
        <w:spacing w:after="0" w:line="85"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(d) the transactions provided in the Affiliate Agreements, (e) transactions described on </w:t>
      </w:r>
      <w:r>
        <w:rPr>
          <w:rFonts w:ascii="Arial" w:cs="Arial" w:eastAsia="Arial" w:hAnsi="Arial"/>
          <w:sz w:val="16"/>
          <w:szCs w:val="16"/>
          <w:u w:val="single" w:color="auto"/>
          <w:color w:val="auto"/>
        </w:rPr>
        <w:t>Schedule 6.08</w:t>
      </w:r>
      <w:r>
        <w:rPr>
          <w:rFonts w:ascii="Arial" w:cs="Arial" w:eastAsia="Arial" w:hAnsi="Arial"/>
          <w:sz w:val="16"/>
          <w:szCs w:val="16"/>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not less favorable to the Obligors than could be obtained at the time on an arm’s-length basis from unrelated third parties.</w:t>
      </w:r>
    </w:p>
    <w:p>
      <w:pPr>
        <w:spacing w:after="0" w:line="118"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40" w:lineRule="exact"/>
        <w:rPr>
          <w:sz w:val="20"/>
          <w:szCs w:val="20"/>
          <w:color w:val="auto"/>
        </w:rPr>
      </w:pPr>
    </w:p>
    <w:p>
      <w:pPr>
        <w:ind w:right="320" w:firstLine="913"/>
        <w:spacing w:after="0" w:line="294"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No Further Negative Pledge</w:t>
      </w:r>
      <w:r>
        <w:rPr>
          <w:rFonts w:ascii="Arial" w:cs="Arial" w:eastAsia="Arial" w:hAnsi="Arial"/>
          <w:sz w:val="16"/>
          <w:szCs w:val="16"/>
          <w:color w:val="auto"/>
        </w:rPr>
        <w:t xml:space="preserve">. The Borrower will not, and will not permit any of the Subsidiary Guarantors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6"/>
          <w:szCs w:val="16"/>
          <w:u w:val="single" w:color="auto"/>
          <w:color w:val="auto"/>
        </w:rPr>
        <w:t>Section 6.01(b) or (i)</w:t>
      </w:r>
      <w:r>
        <w:rPr>
          <w:rFonts w:ascii="Arial" w:cs="Arial" w:eastAsia="Arial" w:hAnsi="Arial"/>
          <w:sz w:val="16"/>
          <w:szCs w:val="16"/>
          <w:color w:val="auto"/>
        </w:rPr>
        <w:t xml:space="preserve">; (b) covenants in documents creating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(including covenants with respect to the</w:t>
      </w:r>
    </w:p>
    <w:p>
      <w:pPr>
        <w:spacing w:after="0" w:line="10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9" w:name="page130"/>
    <w:bookmarkEnd w:id="129"/>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Modifications of Longer-Term Indebtedness Documents</w:t>
      </w:r>
      <w:r>
        <w:rPr>
          <w:rFonts w:ascii="Arial" w:cs="Arial" w:eastAsia="Arial" w:hAnsi="Arial"/>
          <w:sz w:val="16"/>
          <w:szCs w:val="16"/>
          <w:color w:val="auto"/>
        </w:rPr>
        <w:t>. The Borrower will not consent to any modification, supplement or waiver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right="40" w:firstLine="921"/>
        <w:spacing w:after="0" w:line="288" w:lineRule="auto"/>
        <w:tabs>
          <w:tab w:leader="none" w:pos="115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Agreement, unless (i) in the case of Secured Longer 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19" w:lineRule="exact"/>
        <w:rPr>
          <w:rFonts w:ascii="Arial" w:cs="Arial" w:eastAsia="Arial" w:hAnsi="Arial"/>
          <w:sz w:val="16"/>
          <w:szCs w:val="16"/>
          <w:color w:val="auto"/>
        </w:rPr>
      </w:pPr>
    </w:p>
    <w:p>
      <w:pPr>
        <w:ind w:right="240" w:firstLine="921"/>
        <w:spacing w:after="0" w:line="259" w:lineRule="auto"/>
        <w:tabs>
          <w:tab w:leader="none" w:pos="116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4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Payments of Longer-Term Indebtedness</w:t>
      </w:r>
      <w:r>
        <w:rPr>
          <w:rFonts w:ascii="Arial" w:cs="Arial" w:eastAsia="Arial" w:hAnsi="Arial"/>
          <w:sz w:val="16"/>
          <w:szCs w:val="16"/>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or Unsecured Longer-Term Indebtedness (other than the refinancing of Secured Longer-Term Indebtedness or Unsecured Longer-Term Indebtedness with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except for (a) regularly scheduled payments, prepayments or redemptions of principal and interest in respect thereof required pursuant to the instruments evidencing such Indebtedness, (it being understood that none of: (w) the conversion features under convertible notes; (x) the triggering and/or settlement thereof; or (y) any cash payment made in respect thereof, shall constitute a “regularly scheduled payment, prepayment or</w:t>
      </w:r>
    </w:p>
    <w:p>
      <w:pPr>
        <w:spacing w:after="0" w:line="10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30" w:name="page131"/>
    <w:bookmarkEnd w:id="130"/>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redemption of principal and interest” within the meaning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 so long as no Default shall exist or be continuing, any payment that, if treated as a Restricted Payment for purposes of </w:t>
      </w:r>
      <w:r>
        <w:rPr>
          <w:rFonts w:ascii="Arial" w:cs="Arial" w:eastAsia="Arial" w:hAnsi="Arial"/>
          <w:sz w:val="16"/>
          <w:szCs w:val="16"/>
          <w:u w:val="single" w:color="auto"/>
          <w:color w:val="auto"/>
        </w:rPr>
        <w:t>Section 6.05(d)</w:t>
      </w:r>
      <w:r>
        <w:rPr>
          <w:rFonts w:ascii="Arial" w:cs="Arial" w:eastAsia="Arial" w:hAnsi="Arial"/>
          <w:sz w:val="16"/>
          <w:szCs w:val="16"/>
          <w:color w:val="auto"/>
        </w:rPr>
        <w:t xml:space="preserve">, would be permitted to be made pursuant to the provisions set forth in </w:t>
      </w:r>
      <w:r>
        <w:rPr>
          <w:rFonts w:ascii="Arial" w:cs="Arial" w:eastAsia="Arial" w:hAnsi="Arial"/>
          <w:sz w:val="16"/>
          <w:szCs w:val="16"/>
          <w:u w:val="single" w:color="auto"/>
          <w:color w:val="auto"/>
        </w:rPr>
        <w:t>Section 6.05(d)</w:t>
      </w:r>
      <w:r>
        <w:rPr>
          <w:rFonts w:ascii="Arial" w:cs="Arial" w:eastAsia="Arial" w:hAnsi="Arial"/>
          <w:sz w:val="16"/>
          <w:szCs w:val="16"/>
          <w:color w:val="auto"/>
        </w:rPr>
        <w:t xml:space="preserve">; and (c) 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and (ii) no Default shall exist or be continuing.</w:t>
      </w:r>
    </w:p>
    <w:p>
      <w:pPr>
        <w:spacing w:after="0" w:line="113"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Accounting Changes</w:t>
      </w:r>
      <w:r>
        <w:rPr>
          <w:rFonts w:ascii="Arial" w:cs="Arial" w:eastAsia="Arial" w:hAnsi="Arial"/>
          <w:sz w:val="16"/>
          <w:szCs w:val="16"/>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85"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SBIC Guarantee</w:t>
      </w:r>
      <w:r>
        <w:rPr>
          <w:rFonts w:ascii="Arial" w:cs="Arial" w:eastAsia="Arial" w:hAnsi="Arial"/>
          <w:sz w:val="18"/>
          <w:szCs w:val="18"/>
          <w:color w:val="auto"/>
        </w:rPr>
        <w:t>. The Borrower will not, nor will it permit any of its Subsidiaries to, cause or permit the occurrence of any event or condition that would result in any recourse to any Obligor under any Permitted SBIC Guarantee.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171" w:lineRule="exact"/>
        <w:rPr>
          <w:sz w:val="20"/>
          <w:szCs w:val="20"/>
          <w:color w:val="auto"/>
        </w:rPr>
      </w:pPr>
    </w:p>
    <w:p>
      <w:pPr>
        <w:ind w:right="120" w:firstLine="921"/>
        <w:spacing w:after="0" w:line="306" w:lineRule="auto"/>
        <w:tabs>
          <w:tab w:leader="none" w:pos="115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on the Commitment Termination Date;</w:t>
      </w:r>
    </w:p>
    <w:p>
      <w:pPr>
        <w:spacing w:after="0" w:line="106" w:lineRule="exact"/>
        <w:rPr>
          <w:rFonts w:ascii="Arial" w:cs="Arial" w:eastAsia="Arial" w:hAnsi="Arial"/>
          <w:sz w:val="16"/>
          <w:szCs w:val="16"/>
          <w:color w:val="auto"/>
        </w:rPr>
      </w:pPr>
    </w:p>
    <w:p>
      <w:pPr>
        <w:ind w:right="200" w:firstLine="921"/>
        <w:spacing w:after="0" w:line="259" w:lineRule="auto"/>
        <w:tabs>
          <w:tab w:leader="none" w:pos="116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the Borrower shall fail to pay any interest on any Loan or any fee or any other amount (other than an amount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40" w:lineRule="exact"/>
        <w:rPr>
          <w:rFonts w:ascii="Arial" w:cs="Arial" w:eastAsia="Arial" w:hAnsi="Arial"/>
          <w:sz w:val="18"/>
          <w:szCs w:val="18"/>
          <w:color w:val="auto"/>
        </w:rPr>
      </w:pPr>
    </w:p>
    <w:p>
      <w:pPr>
        <w:ind w:right="60" w:firstLine="921"/>
        <w:spacing w:after="0" w:line="256" w:lineRule="auto"/>
        <w:tabs>
          <w:tab w:leader="none" w:pos="11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43" w:lineRule="exact"/>
        <w:rPr>
          <w:rFonts w:ascii="Arial" w:cs="Arial" w:eastAsia="Arial" w:hAnsi="Arial"/>
          <w:sz w:val="18"/>
          <w:szCs w:val="18"/>
          <w:color w:val="auto"/>
        </w:rPr>
      </w:pPr>
    </w:p>
    <w:p>
      <w:pPr>
        <w:ind w:right="20" w:firstLine="921"/>
        <w:spacing w:after="0" w:line="298" w:lineRule="auto"/>
        <w:tabs>
          <w:tab w:leader="none" w:pos="116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the Borrower shall fail to observe or perform any covenant, condition or agreement contained in (i)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(with respect to the Borrower’s existence) or </w:t>
      </w:r>
      <w:r>
        <w:rPr>
          <w:rFonts w:ascii="Arial" w:cs="Arial" w:eastAsia="Arial" w:hAnsi="Arial"/>
          <w:sz w:val="16"/>
          <w:szCs w:val="16"/>
          <w:u w:val="single" w:color="auto"/>
          <w:color w:val="auto"/>
        </w:rPr>
        <w:t>Sections 5.08(a)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any Obligor shall default in the performance of any of its obligations contained in Sections 3 and 7 of the Guarantee and Security Agreement or (ii) </w:t>
      </w:r>
      <w:r>
        <w:rPr>
          <w:rFonts w:ascii="Arial" w:cs="Arial" w:eastAsia="Arial" w:hAnsi="Arial"/>
          <w:sz w:val="16"/>
          <w:szCs w:val="16"/>
          <w:u w:val="single" w:color="auto"/>
          <w:color w:val="auto"/>
        </w:rPr>
        <w:t>Sections 5.01(e)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and such failure shall continue unremedied for a period of five or more days after notice thereof by the Administrative Agent (given at the request of any Lender) to the Borrower;</w:t>
      </w:r>
    </w:p>
    <w:p>
      <w:pPr>
        <w:spacing w:after="0" w:line="9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31" w:name="page132"/>
    <w:bookmarkEnd w:id="131"/>
    <w:p>
      <w:pPr>
        <w:ind w:left="-921" w:right="20" w:firstLine="921"/>
        <w:spacing w:after="0" w:line="294" w:lineRule="auto"/>
        <w:tabs>
          <w:tab w:leader="none" w:pos="231" w:val="left"/>
        </w:tabs>
        <w:numPr>
          <w:ilvl w:val="0"/>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6"/>
          <w:szCs w:val="16"/>
          <w:u w:val="single" w:color="auto"/>
          <w:color w:val="auto"/>
        </w:rPr>
        <w:t>Section 5.01(e)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15" w:lineRule="exact"/>
        <w:rPr>
          <w:rFonts w:ascii="Arial" w:cs="Arial" w:eastAsia="Arial" w:hAnsi="Arial"/>
          <w:sz w:val="16"/>
          <w:szCs w:val="16"/>
          <w:color w:val="auto"/>
        </w:rPr>
      </w:pPr>
    </w:p>
    <w:p>
      <w:pPr>
        <w:ind w:left="-921" w:right="100" w:firstLine="921"/>
        <w:spacing w:after="0" w:line="306" w:lineRule="auto"/>
        <w:tabs>
          <w:tab w:leader="none" w:pos="21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w:t>
      </w:r>
      <w:r>
        <w:rPr>
          <w:rFonts w:ascii="Arial" w:cs="Arial" w:eastAsia="Arial" w:hAnsi="Arial"/>
          <w:sz w:val="16"/>
          <w:szCs w:val="16"/>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06" w:lineRule="exact"/>
        <w:rPr>
          <w:rFonts w:ascii="Arial" w:cs="Arial" w:eastAsia="Arial" w:hAnsi="Arial"/>
          <w:sz w:val="16"/>
          <w:szCs w:val="16"/>
          <w:color w:val="auto"/>
        </w:rPr>
      </w:pPr>
    </w:p>
    <w:p>
      <w:pPr>
        <w:ind w:left="-921" w:right="260" w:firstLine="921"/>
        <w:spacing w:after="0" w:line="332" w:lineRule="auto"/>
        <w:tabs>
          <w:tab w:leader="none" w:pos="24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85" w:lineRule="exact"/>
        <w:rPr>
          <w:rFonts w:ascii="Arial" w:cs="Arial" w:eastAsia="Arial" w:hAnsi="Arial"/>
          <w:sz w:val="16"/>
          <w:szCs w:val="16"/>
          <w:color w:val="auto"/>
        </w:rPr>
      </w:pPr>
    </w:p>
    <w:p>
      <w:pPr>
        <w:ind w:left="-921" w:firstLine="921"/>
        <w:spacing w:after="0" w:line="291" w:lineRule="auto"/>
        <w:tabs>
          <w:tab w:leader="none" w:pos="24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20" w:lineRule="exact"/>
        <w:rPr>
          <w:rFonts w:ascii="Arial" w:cs="Arial" w:eastAsia="Arial" w:hAnsi="Arial"/>
          <w:sz w:val="16"/>
          <w:szCs w:val="16"/>
          <w:color w:val="auto"/>
        </w:rPr>
      </w:pPr>
    </w:p>
    <w:p>
      <w:pPr>
        <w:ind w:left="-921" w:right="20" w:firstLine="921"/>
        <w:spacing w:after="0" w:line="254" w:lineRule="auto"/>
        <w:tabs>
          <w:tab w:leader="none" w:pos="20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44" w:lineRule="exact"/>
        <w:rPr>
          <w:rFonts w:ascii="Arial" w:cs="Arial" w:eastAsia="Arial" w:hAnsi="Arial"/>
          <w:sz w:val="18"/>
          <w:szCs w:val="18"/>
          <w:color w:val="auto"/>
        </w:rPr>
      </w:pPr>
    </w:p>
    <w:p>
      <w:pPr>
        <w:ind w:left="-921" w:right="320" w:firstLine="921"/>
        <w:spacing w:after="0" w:line="268" w:lineRule="auto"/>
        <w:tabs>
          <w:tab w:leader="none" w:pos="20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Borrower or any of its Subsidiaries (other than Immaterial Subsidiaries) shall (i) voluntarily commence any proceeding or file any petition seeking liquidation, reorganization or other relief under any Federal, state or foreign bankruptcy,</w:t>
      </w:r>
    </w:p>
    <w:p>
      <w:pPr>
        <w:spacing w:after="0" w:line="118" w:lineRule="exact"/>
        <w:rPr>
          <w:sz w:val="20"/>
          <w:szCs w:val="20"/>
          <w:color w:val="auto"/>
        </w:rPr>
      </w:pPr>
    </w:p>
    <w:p>
      <w:pPr>
        <w:jc w:val="both"/>
        <w:ind w:left="4939"/>
        <w:spacing w:after="0"/>
        <w:tabs>
          <w:tab w:leader="none" w:pos="8499"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499"/>
          </w:cols>
          <w:pgMar w:left="1161" w:top="280" w:right="239" w:bottom="1440" w:gutter="0" w:footer="0" w:header="0"/>
        </w:sectPr>
      </w:pPr>
    </w:p>
    <w:bookmarkStart w:id="132" w:name="page133"/>
    <w:bookmarkEnd w:id="13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insolvency, receivership or similar law now or hereafter in effect, (ii) consent to the institution of, or fail to contest in a timely and appropriate manner, any proceeding or petition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43" w:lineRule="exact"/>
        <w:rPr>
          <w:sz w:val="20"/>
          <w:szCs w:val="20"/>
          <w:color w:val="auto"/>
        </w:rPr>
      </w:pPr>
    </w:p>
    <w:p>
      <w:pPr>
        <w:ind w:right="60" w:firstLine="921"/>
        <w:spacing w:after="0" w:line="268" w:lineRule="auto"/>
        <w:tabs>
          <w:tab w:leader="none" w:pos="116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Borrower or any of its Subsidiaries (other than Immaterial Subsidiaries) shall become unable, admit in writing its inability or fail generally to pay its debts as they become due;</w:t>
      </w:r>
    </w:p>
    <w:p>
      <w:pPr>
        <w:spacing w:after="0" w:line="131" w:lineRule="exact"/>
        <w:rPr>
          <w:rFonts w:ascii="Arial" w:cs="Arial" w:eastAsia="Arial" w:hAnsi="Arial"/>
          <w:sz w:val="18"/>
          <w:szCs w:val="18"/>
          <w:color w:val="auto"/>
        </w:rPr>
      </w:pPr>
    </w:p>
    <w:p>
      <w:pPr>
        <w:ind w:right="60" w:firstLine="921"/>
        <w:spacing w:after="0" w:line="256" w:lineRule="auto"/>
        <w:tabs>
          <w:tab w:leader="none" w:pos="112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$10,000,000 shall be rendered against the Borrower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43" w:lineRule="exact"/>
        <w:rPr>
          <w:rFonts w:ascii="Arial" w:cs="Arial" w:eastAsia="Arial" w:hAnsi="Arial"/>
          <w:sz w:val="18"/>
          <w:szCs w:val="18"/>
          <w:color w:val="auto"/>
        </w:rPr>
      </w:pPr>
    </w:p>
    <w:p>
      <w:pPr>
        <w:ind w:right="260" w:firstLine="921"/>
        <w:spacing w:after="0" w:line="268" w:lineRule="auto"/>
        <w:tabs>
          <w:tab w:leader="none" w:pos="121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Borrower shall cease to be managed by the External Manager or an Affiliate thereof;</w:t>
      </w:r>
    </w:p>
    <w:p>
      <w:pPr>
        <w:spacing w:after="0" w:line="171" w:lineRule="exact"/>
        <w:rPr>
          <w:rFonts w:ascii="Arial" w:cs="Arial" w:eastAsia="Arial" w:hAnsi="Arial"/>
          <w:sz w:val="18"/>
          <w:szCs w:val="18"/>
          <w:color w:val="auto"/>
        </w:rPr>
      </w:pPr>
    </w:p>
    <w:p>
      <w:pPr>
        <w:ind w:right="160" w:firstLine="921"/>
        <w:spacing w:after="0" w:line="298" w:lineRule="auto"/>
        <w:tabs>
          <w:tab w:leader="none" w:pos="116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prior to the Final Maturity Date, both of the principals of the External Manager (who initially will be Alan Waxman and Joshua Easterly) fail to remain actively involved in the investment activities of the Borrower and the other investment vehicles managed by TPG Capital,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12" w:lineRule="exact"/>
        <w:rPr>
          <w:rFonts w:ascii="Arial" w:cs="Arial" w:eastAsia="Arial" w:hAnsi="Arial"/>
          <w:sz w:val="16"/>
          <w:szCs w:val="16"/>
          <w:color w:val="auto"/>
        </w:rPr>
      </w:pPr>
    </w:p>
    <w:p>
      <w:pPr>
        <w:ind w:right="80" w:firstLine="921"/>
        <w:spacing w:after="0" w:line="294" w:lineRule="auto"/>
        <w:tabs>
          <w:tab w:leader="none" w:pos="116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15" w:lineRule="exact"/>
        <w:rPr>
          <w:rFonts w:ascii="Arial" w:cs="Arial" w:eastAsia="Arial" w:hAnsi="Arial"/>
          <w:sz w:val="16"/>
          <w:szCs w:val="16"/>
          <w:color w:val="auto"/>
        </w:rPr>
      </w:pPr>
    </w:p>
    <w:p>
      <w:pPr>
        <w:ind w:right="80" w:firstLine="921"/>
        <w:spacing w:after="0" w:line="268" w:lineRule="auto"/>
        <w:tabs>
          <w:tab w:leader="none" w:pos="113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33" w:name="page134"/>
    <w:bookmarkEnd w:id="133"/>
    <w:p>
      <w:pPr>
        <w:ind w:right="140" w:firstLine="921"/>
        <w:spacing w:after="0" w:line="259" w:lineRule="auto"/>
        <w:tabs>
          <w:tab w:leader="none" w:pos="1142"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Obligors shall at any time, without the consent of the Required Lenders fail to comply with the covenant contained in </w:t>
      </w:r>
      <w:r>
        <w:rPr>
          <w:rFonts w:ascii="Arial" w:cs="Arial" w:eastAsia="Arial" w:hAnsi="Arial"/>
          <w:sz w:val="18"/>
          <w:szCs w:val="18"/>
          <w:u w:val="single" w:color="auto"/>
          <w:color w:val="auto"/>
        </w:rPr>
        <w:t>Section 5.11</w:t>
      </w:r>
      <w:r>
        <w:rPr>
          <w:rFonts w:ascii="Arial" w:cs="Arial" w:eastAsia="Arial" w:hAnsi="Arial"/>
          <w:sz w:val="18"/>
          <w:szCs w:val="18"/>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40" w:lineRule="exact"/>
        <w:rPr>
          <w:rFonts w:ascii="Arial" w:cs="Arial" w:eastAsia="Arial" w:hAnsi="Arial"/>
          <w:sz w:val="18"/>
          <w:szCs w:val="18"/>
          <w:color w:val="auto"/>
        </w:rPr>
      </w:pPr>
    </w:p>
    <w:p>
      <w:pPr>
        <w:ind w:right="360" w:firstLine="921"/>
        <w:spacing w:after="0" w:line="268" w:lineRule="auto"/>
        <w:tabs>
          <w:tab w:leader="none" w:pos="112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Borrower or any of its Subsidiaries shall cause or permit the occurrence of any condition or event that would result in any recourse to any Obligor under any Permitted SBIC Guarantee;</w:t>
      </w:r>
    </w:p>
    <w:p>
      <w:pPr>
        <w:spacing w:after="0" w:line="132"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 xml:space="preserve">then, and in every such event (other than an event with respect to the Borrower described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(j)</w:t>
      </w:r>
      <w:r>
        <w:rPr>
          <w:rFonts w:ascii="Arial" w:cs="Arial" w:eastAsia="Arial" w:hAnsi="Arial"/>
          <w:sz w:val="15"/>
          <w:szCs w:val="15"/>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5"/>
          <w:szCs w:val="15"/>
          <w:u w:val="single" w:color="auto"/>
          <w:color w:val="auto"/>
        </w:rPr>
        <w:t>clause</w:t>
      </w:r>
    </w:p>
    <w:p>
      <w:pPr>
        <w:spacing w:after="0" w:line="5" w:lineRule="exact"/>
        <w:rPr>
          <w:sz w:val="20"/>
          <w:szCs w:val="20"/>
          <w:color w:val="auto"/>
        </w:rPr>
      </w:pPr>
    </w:p>
    <w:p>
      <w:pPr>
        <w:ind w:right="20" w:firstLine="8"/>
        <w:spacing w:after="0" w:line="255" w:lineRule="auto"/>
        <w:tabs>
          <w:tab w:leader="none" w:pos="210" w:val="left"/>
        </w:tabs>
        <w:numPr>
          <w:ilvl w:val="0"/>
          <w:numId w:val="164"/>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44"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this Article.</w:t>
      </w:r>
    </w:p>
    <w:p>
      <w:pPr>
        <w:spacing w:after="0" w:line="120"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w:t>
      </w:r>
    </w:p>
    <w:p>
      <w:pPr>
        <w:spacing w:after="0" w:line="93"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34" w:name="page135"/>
    <w:bookmarkEnd w:id="134"/>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Lender’s CAM Percentage in the Designated Obligations under each of the Loans and (b) simultaneously with the deemed exchange of interests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171" w:lineRule="exact"/>
        <w:rPr>
          <w:sz w:val="20"/>
          <w:szCs w:val="20"/>
          <w:color w:val="auto"/>
        </w:rPr>
      </w:pPr>
    </w:p>
    <w:p>
      <w:pPr>
        <w:jc w:val="both"/>
        <w:ind w:firstLine="913"/>
        <w:spacing w:after="0" w:line="303"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u w:val="single" w:color="auto"/>
          <w:color w:val="auto"/>
        </w:rPr>
        <w:t>Appointment of the Administrative Agent</w:t>
      </w:r>
      <w:r>
        <w:rPr>
          <w:rFonts w:ascii="Arial" w:cs="Arial" w:eastAsia="Arial" w:hAnsi="Arial"/>
          <w:sz w:val="15"/>
          <w:szCs w:val="15"/>
          <w:color w:val="auto"/>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Each of the Lenders and the Issuing Bank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4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Capacity as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43"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Limitation of Duties; Exculpation</w:t>
      </w:r>
      <w:r>
        <w:rPr>
          <w:rFonts w:ascii="Arial" w:cs="Arial" w:eastAsia="Arial" w:hAnsi="Arial"/>
          <w:sz w:val="16"/>
          <w:szCs w:val="16"/>
          <w:color w:val="auto"/>
        </w:rPr>
        <w:t>. The Administrative Agent shall not have any duties or obligations except those expressly set forth herein and in the other Loan Documents. Without limiting the generality of the foregoing, (a) the Administrative Agent</w:t>
      </w:r>
    </w:p>
    <w:p>
      <w:pPr>
        <w:spacing w:after="0" w:line="7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35" w:name="page136"/>
    <w:bookmarkEnd w:id="135"/>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w:t>
      </w:r>
    </w:p>
    <w:p>
      <w:pPr>
        <w:spacing w:after="0" w:line="5" w:lineRule="exact"/>
        <w:rPr>
          <w:sz w:val="20"/>
          <w:szCs w:val="20"/>
          <w:color w:val="auto"/>
        </w:rPr>
      </w:pPr>
    </w:p>
    <w:p>
      <w:pPr>
        <w:ind w:right="300" w:firstLine="8"/>
        <w:spacing w:after="0" w:line="295" w:lineRule="auto"/>
        <w:tabs>
          <w:tab w:leader="none" w:pos="25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or therein, other than to confirm receipt of items expressly required to be delivered to the Administrative Agent.</w:t>
      </w:r>
    </w:p>
    <w:p>
      <w:pPr>
        <w:spacing w:after="0" w:line="11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Reliance</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0"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Sub-Agents</w:t>
      </w:r>
      <w:r>
        <w:rPr>
          <w:rFonts w:ascii="Arial" w:cs="Arial" w:eastAsia="Arial" w:hAnsi="Arial"/>
          <w:sz w:val="16"/>
          <w:szCs w:val="16"/>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fraud, gross negligence or willful misconduct in the selection of such sub-agents.</w:t>
      </w:r>
    </w:p>
    <w:p>
      <w:pPr>
        <w:spacing w:after="0" w:line="10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36" w:name="page137"/>
    <w:bookmarkEnd w:id="136"/>
    <w:p>
      <w:pPr>
        <w:ind w:right="8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8.06. </w:t>
      </w:r>
      <w:r>
        <w:rPr>
          <w:rFonts w:ascii="Arial" w:cs="Arial" w:eastAsia="Arial" w:hAnsi="Arial"/>
          <w:sz w:val="16"/>
          <w:szCs w:val="16"/>
          <w:u w:val="single" w:color="auto"/>
          <w:color w:val="auto"/>
        </w:rPr>
        <w:t>Resignation; Successor Administrative Agent</w:t>
      </w:r>
      <w:r>
        <w:rPr>
          <w:rFonts w:ascii="Arial" w:cs="Arial" w:eastAsia="Arial" w:hAnsi="Arial"/>
          <w:sz w:val="16"/>
          <w:szCs w:val="16"/>
          <w:color w:val="auto"/>
        </w:rPr>
        <w:t xml:space="preserve">. The Administrative Agent may resign at any 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its benefit in respect of any actions taken or omitted to be taken by it while it was acting as Administrative Agent.</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Any resignation by SunTrust as Administrative Agent pursuant to this Section shall also constitute its resignation as Issuing Bank and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20"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Reliance by Lenders</w:t>
      </w:r>
      <w:r>
        <w:rPr>
          <w:rFonts w:ascii="Arial" w:cs="Arial" w:eastAsia="Arial" w:hAnsi="Arial"/>
          <w:sz w:val="16"/>
          <w:szCs w:val="16"/>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0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37" w:name="page138"/>
    <w:bookmarkEnd w:id="137"/>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40" w:lineRule="exact"/>
        <w:rPr>
          <w:sz w:val="20"/>
          <w:szCs w:val="20"/>
          <w:color w:val="auto"/>
        </w:rPr>
      </w:pPr>
    </w:p>
    <w:p>
      <w:pPr>
        <w:ind w:right="180" w:firstLine="913"/>
        <w:spacing w:after="0" w:line="289"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Modifications to Loan Documents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 Electronic Communications</w:t>
      </w:r>
      <w:r>
        <w:rPr>
          <w:rFonts w:ascii="Arial" w:cs="Arial" w:eastAsia="Arial" w:hAnsi="Arial"/>
          <w:sz w:val="18"/>
          <w:szCs w:val="18"/>
          <w:color w:val="auto"/>
        </w:rPr>
        <w:t>.</w:t>
      </w:r>
    </w:p>
    <w:p>
      <w:pPr>
        <w:spacing w:after="0" w:line="171" w:lineRule="exact"/>
        <w:rPr>
          <w:sz w:val="20"/>
          <w:szCs w:val="20"/>
          <w:color w:val="auto"/>
        </w:rPr>
      </w:pPr>
    </w:p>
    <w:p>
      <w:pPr>
        <w:ind w:right="140" w:firstLine="921"/>
        <w:spacing w:after="0" w:line="259" w:lineRule="auto"/>
        <w:tabs>
          <w:tab w:leader="none" w:pos="1152"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to the Borrower, to it at: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888 Seventh Avenue, 4</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Josh Easterly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Number: (415) 486-5901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(415) 486-5908</w:t>
      </w:r>
    </w:p>
    <w:p>
      <w:pPr>
        <w:spacing w:after="0" w:line="151"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38" w:name="page139"/>
    <w:bookmarkEnd w:id="13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if to the Administrative Agent or Swingline Lender, to it at: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3333 Peachtree Road, 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Doug Kennedy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Number: (404) 739-7390</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Agency Services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Number: (404) 658-4906</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(iii) if to the Issuing Bank, to it at: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Number: (404) 658-4906</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(iv) if to any other Lender, to it at its address (or telecopy number) set forth in its Administrative Questionnaire.</w:t>
      </w:r>
    </w:p>
    <w:p>
      <w:pPr>
        <w:spacing w:after="0" w:line="171"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43" w:lineRule="exact"/>
        <w:rPr>
          <w:sz w:val="20"/>
          <w:szCs w:val="20"/>
          <w:color w:val="auto"/>
        </w:rPr>
      </w:pPr>
    </w:p>
    <w:p>
      <w:pPr>
        <w:ind w:right="40" w:firstLine="921"/>
        <w:spacing w:after="0" w:line="291" w:lineRule="auto"/>
        <w:tabs>
          <w:tab w:leader="none" w:pos="1161"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Issuing Bank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07"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39" w:name="page140"/>
    <w:bookmarkEnd w:id="139"/>
    <w:p>
      <w:pPr>
        <w:ind w:right="80" w:firstLine="921"/>
        <w:spacing w:after="0" w:line="291" w:lineRule="auto"/>
        <w:tabs>
          <w:tab w:leader="none" w:pos="1123" w:val="left"/>
        </w:tabs>
        <w:numPr>
          <w:ilvl w:val="0"/>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120"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20" w:lineRule="exact"/>
        <w:rPr>
          <w:sz w:val="20"/>
          <w:szCs w:val="20"/>
          <w:color w:val="auto"/>
        </w:rPr>
      </w:pPr>
    </w:p>
    <w:p>
      <w:pPr>
        <w:ind w:right="60" w:firstLine="921"/>
        <w:spacing w:after="0" w:line="289" w:lineRule="auto"/>
        <w:tabs>
          <w:tab w:leader="none" w:pos="1152"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Private Side Information Contacts</w:t>
      </w:r>
      <w:r>
        <w:rPr>
          <w:rFonts w:ascii="Arial" w:cs="Arial" w:eastAsia="Arial" w:hAnsi="Arial"/>
          <w:sz w:val="16"/>
          <w:szCs w:val="16"/>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18" w:lineRule="exact"/>
        <w:rPr>
          <w:rFonts w:ascii="Arial" w:cs="Arial" w:eastAsia="Arial" w:hAnsi="Arial"/>
          <w:sz w:val="16"/>
          <w:szCs w:val="16"/>
          <w:color w:val="auto"/>
        </w:rPr>
      </w:pPr>
    </w:p>
    <w:p>
      <w:pPr>
        <w:ind w:right="180" w:firstLine="921"/>
        <w:spacing w:after="0" w:line="255" w:lineRule="auto"/>
        <w:tabs>
          <w:tab w:leader="none" w:pos="1161"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Documents to be Delivered under Sections 5.01 and 5.12(a)</w:t>
      </w:r>
      <w:r>
        <w:rPr>
          <w:rFonts w:ascii="Arial" w:cs="Arial" w:eastAsia="Arial" w:hAnsi="Arial"/>
          <w:sz w:val="18"/>
          <w:szCs w:val="18"/>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5.12(a)</w:t>
      </w:r>
      <w:r>
        <w:rPr>
          <w:rFonts w:ascii="Arial" w:cs="Arial" w:eastAsia="Arial" w:hAnsi="Arial"/>
          <w:sz w:val="18"/>
          <w:szCs w:val="18"/>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no responsibility to maintain access to Intralinks™ or an equivalent website.</w:t>
      </w:r>
    </w:p>
    <w:p>
      <w:pPr>
        <w:spacing w:after="0" w:line="129"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40" w:name="page141"/>
    <w:bookmarkEnd w:id="140"/>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171" w:lineRule="exact"/>
        <w:rPr>
          <w:sz w:val="20"/>
          <w:szCs w:val="20"/>
          <w:color w:val="auto"/>
        </w:rPr>
      </w:pPr>
    </w:p>
    <w:p>
      <w:pPr>
        <w:ind w:left="-903" w:firstLine="921"/>
        <w:spacing w:after="0" w:line="288" w:lineRule="auto"/>
        <w:tabs>
          <w:tab w:leader="none" w:pos="249"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No Deemed Waivers Remedies Cumulative</w:t>
      </w:r>
      <w:r>
        <w:rPr>
          <w:rFonts w:ascii="Arial" w:cs="Arial" w:eastAsia="Arial" w:hAnsi="Arial"/>
          <w:sz w:val="16"/>
          <w:szCs w:val="16"/>
          <w:color w:val="auto"/>
        </w:rPr>
        <w:t xml:space="preserve">. No failure or delay by the Administrative Agent the Issuing Bank, the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the Swingline Lender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the Swingline Lender, any Lender or the Issuing Bank may have had notice or knowledge of such Default at the time.</w:t>
      </w:r>
    </w:p>
    <w:p>
      <w:pPr>
        <w:spacing w:after="0" w:line="119" w:lineRule="exact"/>
        <w:rPr>
          <w:rFonts w:ascii="Arial" w:cs="Arial" w:eastAsia="Arial" w:hAnsi="Arial"/>
          <w:sz w:val="16"/>
          <w:szCs w:val="16"/>
          <w:color w:val="auto"/>
        </w:rPr>
      </w:pPr>
    </w:p>
    <w:p>
      <w:pPr>
        <w:ind w:left="-903" w:right="100" w:firstLine="921"/>
        <w:spacing w:after="0" w:line="259" w:lineRule="auto"/>
        <w:tabs>
          <w:tab w:leader="none" w:pos="259"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Amendments to this Agreement</w:t>
      </w:r>
      <w:r>
        <w:rPr>
          <w:rFonts w:ascii="Arial" w:cs="Arial" w:eastAsia="Arial" w:hAnsi="Arial"/>
          <w:sz w:val="18"/>
          <w:szCs w:val="18"/>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59" w:lineRule="exact"/>
        <w:rPr>
          <w:rFonts w:ascii="Arial" w:cs="Arial" w:eastAsia="Arial" w:hAnsi="Arial"/>
          <w:sz w:val="18"/>
          <w:szCs w:val="18"/>
          <w:color w:val="auto"/>
        </w:rPr>
      </w:pPr>
    </w:p>
    <w:p>
      <w:pPr>
        <w:ind w:left="217" w:hanging="217"/>
        <w:spacing w:after="0"/>
        <w:tabs>
          <w:tab w:leader="none" w:pos="21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written consent of such Lender,</w:t>
      </w:r>
    </w:p>
    <w:p>
      <w:pPr>
        <w:spacing w:after="0" w:line="90" w:lineRule="exact"/>
        <w:rPr>
          <w:rFonts w:ascii="Arial" w:cs="Arial" w:eastAsia="Arial" w:hAnsi="Arial"/>
          <w:sz w:val="18"/>
          <w:szCs w:val="18"/>
          <w:color w:val="auto"/>
        </w:rPr>
      </w:pPr>
    </w:p>
    <w:p>
      <w:pPr>
        <w:ind w:left="-443" w:right="20" w:firstLine="443"/>
        <w:spacing w:after="0" w:line="268" w:lineRule="auto"/>
        <w:tabs>
          <w:tab w:leader="none" w:pos="25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reduce the principal amount of any Loan or LC Disbursement or reduce the rate of interest thereon, or reduce any fees payable hereunder, without the written consent of each Lender affected thereby,</w:t>
      </w:r>
    </w:p>
    <w:p>
      <w:pPr>
        <w:spacing w:after="0" w:line="50" w:lineRule="exact"/>
        <w:rPr>
          <w:rFonts w:ascii="Arial" w:cs="Arial" w:eastAsia="Arial" w:hAnsi="Arial"/>
          <w:sz w:val="18"/>
          <w:szCs w:val="18"/>
          <w:color w:val="auto"/>
        </w:rPr>
      </w:pPr>
    </w:p>
    <w:p>
      <w:pPr>
        <w:ind w:left="-443" w:right="220" w:firstLine="443"/>
        <w:spacing w:after="0" w:line="259" w:lineRule="auto"/>
        <w:tabs>
          <w:tab w:leader="none" w:pos="30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59" w:lineRule="exact"/>
        <w:rPr>
          <w:rFonts w:ascii="Arial" w:cs="Arial" w:eastAsia="Arial" w:hAnsi="Arial"/>
          <w:sz w:val="18"/>
          <w:szCs w:val="18"/>
          <w:color w:val="auto"/>
        </w:rPr>
      </w:pPr>
    </w:p>
    <w:p>
      <w:pPr>
        <w:ind w:left="-443" w:right="200" w:firstLine="443"/>
        <w:spacing w:after="0" w:line="268" w:lineRule="auto"/>
        <w:tabs>
          <w:tab w:leader="none" w:pos="29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a manner that would alter the pro rata sharing of payments required thereby without the written consent of each Lender affected thereby, or</w:t>
      </w:r>
    </w:p>
    <w:p>
      <w:pPr>
        <w:spacing w:after="0" w:line="50" w:lineRule="exact"/>
        <w:rPr>
          <w:rFonts w:ascii="Arial" w:cs="Arial" w:eastAsia="Arial" w:hAnsi="Arial"/>
          <w:sz w:val="18"/>
          <w:szCs w:val="18"/>
          <w:color w:val="auto"/>
        </w:rPr>
      </w:pPr>
    </w:p>
    <w:p>
      <w:pPr>
        <w:ind w:left="-443" w:right="40" w:firstLine="443"/>
        <w:spacing w:after="0" w:line="259" w:lineRule="auto"/>
        <w:tabs>
          <w:tab w:leader="none" w:pos="24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27" w:lineRule="exact"/>
        <w:rPr>
          <w:sz w:val="20"/>
          <w:szCs w:val="20"/>
          <w:color w:val="auto"/>
        </w:rPr>
      </w:pPr>
    </w:p>
    <w:p>
      <w:pPr>
        <w:jc w:val="both"/>
        <w:ind w:left="4917"/>
        <w:spacing w:after="0"/>
        <w:tabs>
          <w:tab w:leader="none" w:pos="8517"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141" w:name="page142"/>
    <w:bookmarkEnd w:id="141"/>
    <w:p>
      <w:pPr>
        <w:ind w:right="360"/>
        <w:spacing w:after="0" w:line="28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6"/>
          <w:szCs w:val="16"/>
          <w:color w:val="auto"/>
        </w:rPr>
        <w:t xml:space="preserve"> further that (x)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and</w:t>
      </w:r>
    </w:p>
    <w:p>
      <w:pPr>
        <w:ind w:right="80" w:firstLine="8"/>
        <w:spacing w:after="0" w:line="281" w:lineRule="auto"/>
        <w:tabs>
          <w:tab w:leader="none" w:pos="24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Arial" w:cs="Arial" w:eastAsia="Arial" w:hAnsi="Arial"/>
          <w:sz w:val="16"/>
          <w:szCs w:val="16"/>
          <w:u w:val="single" w:color="auto"/>
          <w:color w:val="auto"/>
        </w:rPr>
        <w:t>Section 5.12(b)(ii)</w:t>
      </w:r>
    </w:p>
    <w:p>
      <w:pPr>
        <w:spacing w:after="0" w:line="1" w:lineRule="exact"/>
        <w:rPr>
          <w:rFonts w:ascii="Arial" w:cs="Arial" w:eastAsia="Arial" w:hAnsi="Arial"/>
          <w:sz w:val="16"/>
          <w:szCs w:val="16"/>
          <w:color w:val="auto"/>
        </w:rPr>
      </w:pPr>
    </w:p>
    <w:p>
      <w:pPr>
        <w:ind w:right="32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but including changes to the provisions of </w:t>
      </w:r>
      <w:r>
        <w:rPr>
          <w:rFonts w:ascii="Arial" w:cs="Arial" w:eastAsia="Arial" w:hAnsi="Arial"/>
          <w:sz w:val="16"/>
          <w:szCs w:val="16"/>
          <w:u w:val="single" w:color="auto"/>
          <w:color w:val="auto"/>
        </w:rPr>
        <w:t>Section 5.12(c)(ii)</w:t>
      </w:r>
      <w:r>
        <w:rPr>
          <w:rFonts w:ascii="Arial" w:cs="Arial" w:eastAsia="Arial" w:hAnsi="Arial"/>
          <w:sz w:val="16"/>
          <w:szCs w:val="16"/>
          <w:color w:val="auto"/>
        </w:rPr>
        <w:t xml:space="preserve"> and the definitions set forth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any release of any material portion of the Collateral other than for fair value or as otherwise permitted hereunder or under the other Loan Documents.</w:t>
      </w:r>
    </w:p>
    <w:p>
      <w:pPr>
        <w:spacing w:after="0" w:line="93"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w:t>
      </w:r>
    </w:p>
    <w:p>
      <w:pPr>
        <w:spacing w:after="0" w:line="107" w:lineRule="exact"/>
        <w:rPr>
          <w:sz w:val="20"/>
          <w:szCs w:val="20"/>
          <w:color w:val="auto"/>
        </w:rPr>
      </w:pPr>
    </w:p>
    <w:p>
      <w:pPr>
        <w:ind w:right="20" w:firstLine="921"/>
        <w:spacing w:after="0" w:line="286" w:lineRule="auto"/>
        <w:tabs>
          <w:tab w:leader="none" w:pos="1152"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Amendments to Security Documents</w:t>
      </w:r>
      <w:r>
        <w:rPr>
          <w:rFonts w:ascii="Arial" w:cs="Arial" w:eastAsia="Arial" w:hAnsi="Arial"/>
          <w:sz w:val="16"/>
          <w:szCs w:val="16"/>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6"/>
          <w:szCs w:val="16"/>
          <w:u w:val="single" w:color="auto"/>
          <w:color w:val="auto"/>
        </w:rPr>
        <w:t>Section 2.08(e)</w:t>
      </w:r>
      <w:r>
        <w:rPr>
          <w:rFonts w:ascii="Arial" w:cs="Arial" w:eastAsia="Arial" w:hAnsi="Arial"/>
          <w:sz w:val="16"/>
          <w:szCs w:val="16"/>
          <w:color w:val="auto"/>
        </w:rPr>
        <w:t xml:space="preserve"> to an amount not greater than $300,000,000) except pursuant to an agreement or agreements in writing entered into by the Borrower, and by the Collateral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to release any Lien covering property (and to release any such guarantor) that is the subject of either a disposition of property permitted hereunder or a disposition to which the Required Lenders have consented.</w:t>
      </w:r>
    </w:p>
    <w:p>
      <w:pPr>
        <w:spacing w:after="0" w:line="124" w:lineRule="exact"/>
        <w:rPr>
          <w:rFonts w:ascii="Arial" w:cs="Arial" w:eastAsia="Arial" w:hAnsi="Arial"/>
          <w:sz w:val="16"/>
          <w:szCs w:val="16"/>
          <w:color w:val="auto"/>
        </w:rPr>
      </w:pPr>
    </w:p>
    <w:p>
      <w:pPr>
        <w:ind w:right="20" w:firstLine="921"/>
        <w:spacing w:after="0" w:line="256" w:lineRule="auto"/>
        <w:tabs>
          <w:tab w:leader="none" w:pos="116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Replacement of Non-Consenting Lender</w:t>
      </w:r>
      <w:r>
        <w:rPr>
          <w:rFonts w:ascii="Arial" w:cs="Arial" w:eastAsia="Arial" w:hAnsi="Arial"/>
          <w:sz w:val="18"/>
          <w:szCs w:val="18"/>
          <w:color w:val="auto"/>
        </w:rPr>
        <w:t xml:space="preserve">. If, in connection with any proposed change, waiver, discharge or termination to any of the provisions of this Agreement as contemplated by this </w:t>
      </w:r>
      <w:r>
        <w:rPr>
          <w:rFonts w:ascii="Arial" w:cs="Arial" w:eastAsia="Arial" w:hAnsi="Arial"/>
          <w:sz w:val="18"/>
          <w:szCs w:val="18"/>
          <w:u w:val="single" w:color="auto"/>
          <w:color w:val="auto"/>
        </w:rPr>
        <w:t>Section 9.02</w:t>
      </w:r>
      <w:r>
        <w:rPr>
          <w:rFonts w:ascii="Arial" w:cs="Arial" w:eastAsia="Arial" w:hAnsi="Arial"/>
          <w:sz w:val="18"/>
          <w:szCs w:val="18"/>
          <w:color w:val="auto"/>
        </w:rPr>
        <w:t>,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w:t>
      </w:r>
    </w:p>
    <w:p>
      <w:pPr>
        <w:spacing w:after="0" w:line="130"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42" w:name="page143"/>
    <w:bookmarkEnd w:id="142"/>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its sole cost and expense, to replace each such Non-Consenting Lender or Lenders with one or more replacement Lenders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so long as at the time of such replacement, each such replacement Lender consents to the proposed change, waiver, discharge or termination.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6" w:lineRule="auto"/>
        <w:tabs>
          <w:tab w:leader="none" w:pos="1152"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(iii) all documented out-of-pocket expenses incurred by the Administrative Agent, the Issuing Bank, the Swingline Lender or any Lender, including the reasonable and documented fees, charges and disbursements of one outside counsel for the Administrative Agent, the Issuing Bank and the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20" w:lineRule="exact"/>
        <w:rPr>
          <w:rFonts w:ascii="Arial" w:cs="Arial" w:eastAsia="Arial" w:hAnsi="Arial"/>
          <w:sz w:val="16"/>
          <w:szCs w:val="16"/>
          <w:color w:val="auto"/>
        </w:rPr>
      </w:pPr>
    </w:p>
    <w:p>
      <w:pPr>
        <w:ind w:right="60" w:firstLine="921"/>
        <w:spacing w:after="0" w:line="287" w:lineRule="auto"/>
        <w:tabs>
          <w:tab w:leader="none" w:pos="1161"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the Issuing Bank, the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w:t>
      </w:r>
    </w:p>
    <w:p>
      <w:pPr>
        <w:spacing w:after="0" w:line="109"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43" w:name="page144"/>
    <w:bookmarkEnd w:id="143"/>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Taxes or Other Taxes which shall only be indemnified by the Borrower to the extent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willful misconduct or gross negligence of such Indemnitee. Notwithstanding the foregoing, it is understood and agreed that indemnification for Taxes is subject to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27"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shall not be deemed to impair or affect the Obligations of the Borrower under the preceding provisions of this subsection.</w:t>
      </w:r>
    </w:p>
    <w:p>
      <w:pPr>
        <w:spacing w:after="0" w:line="140" w:lineRule="exact"/>
        <w:rPr>
          <w:sz w:val="20"/>
          <w:szCs w:val="20"/>
          <w:color w:val="auto"/>
        </w:rPr>
      </w:pPr>
    </w:p>
    <w:p>
      <w:pPr>
        <w:ind w:right="80" w:firstLine="921"/>
        <w:spacing w:after="0" w:line="294" w:lineRule="auto"/>
        <w:tabs>
          <w:tab w:leader="none" w:pos="1152"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fails to pay any amount required to be paid by it to the Administrative Agent, the Issuing Bank or the Swingline Lender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115" w:lineRule="exact"/>
        <w:rPr>
          <w:rFonts w:ascii="Arial" w:cs="Arial" w:eastAsia="Arial" w:hAnsi="Arial"/>
          <w:sz w:val="16"/>
          <w:szCs w:val="16"/>
          <w:color w:val="auto"/>
        </w:rPr>
      </w:pPr>
    </w:p>
    <w:p>
      <w:pPr>
        <w:ind w:right="100" w:firstLine="921"/>
        <w:spacing w:after="0" w:line="290" w:lineRule="auto"/>
        <w:tabs>
          <w:tab w:leader="none" w:pos="1161"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05"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44" w:name="page145"/>
    <w:bookmarkEnd w:id="144"/>
    <w:p>
      <w:pPr>
        <w:ind w:left="-3" w:right="3020" w:firstLine="21"/>
        <w:spacing w:after="0" w:line="438" w:lineRule="auto"/>
        <w:tabs>
          <w:tab w:leader="none" w:pos="25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w:t>
      </w:r>
      <w:r>
        <w:rPr>
          <w:rFonts w:ascii="Arial" w:cs="Arial" w:eastAsia="Arial" w:hAnsi="Arial"/>
          <w:sz w:val="18"/>
          <w:szCs w:val="18"/>
          <w:color w:val="auto"/>
        </w:rPr>
        <w:t xml:space="preserve">. All amounts due under this Section shall be payable promptly after written demand therefor. 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 w:lineRule="exact"/>
        <w:rPr>
          <w:sz w:val="20"/>
          <w:szCs w:val="20"/>
          <w:color w:val="auto"/>
        </w:rPr>
      </w:pPr>
    </w:p>
    <w:p>
      <w:pPr>
        <w:ind w:left="-903" w:right="20" w:firstLine="921"/>
        <w:spacing w:after="0" w:line="289" w:lineRule="auto"/>
        <w:tabs>
          <w:tab w:leader="none" w:pos="249"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Assignments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118" w:lineRule="exact"/>
        <w:rPr>
          <w:rFonts w:ascii="Arial" w:cs="Arial" w:eastAsia="Arial" w:hAnsi="Arial"/>
          <w:sz w:val="16"/>
          <w:szCs w:val="16"/>
          <w:color w:val="auto"/>
        </w:rPr>
      </w:pPr>
    </w:p>
    <w:p>
      <w:pPr>
        <w:ind w:left="257" w:hanging="239"/>
        <w:spacing w:after="0"/>
        <w:tabs>
          <w:tab w:leader="none" w:pos="257"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3" w:right="100" w:firstLine="443"/>
        <w:spacing w:after="0" w:line="306" w:lineRule="auto"/>
        <w:tabs>
          <w:tab w:leader="none" w:pos="205"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Assignments Generally</w:t>
      </w:r>
      <w:r>
        <w:rPr>
          <w:rFonts w:ascii="Arial" w:cs="Arial" w:eastAsia="Arial" w:hAnsi="Arial"/>
          <w:sz w:val="16"/>
          <w:szCs w:val="16"/>
          <w:color w:val="auto"/>
        </w:rPr>
        <w:t xml:space="preserve">. Subject to the conditions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any Lender may assign to one or more assignees (other than natural persons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25" w:lineRule="exact"/>
        <w:rPr>
          <w:rFonts w:ascii="Arial" w:cs="Arial" w:eastAsia="Arial" w:hAnsi="Arial"/>
          <w:sz w:val="16"/>
          <w:szCs w:val="16"/>
          <w:color w:val="auto"/>
        </w:rPr>
      </w:pPr>
    </w:p>
    <w:p>
      <w:pPr>
        <w:jc w:val="both"/>
        <w:ind w:left="17" w:right="180" w:firstLine="421"/>
        <w:spacing w:after="0" w:line="256" w:lineRule="auto"/>
        <w:tabs>
          <w:tab w:leader="none" w:pos="725" w:val="left"/>
        </w:tabs>
        <w:numPr>
          <w:ilvl w:val="2"/>
          <w:numId w:val="179"/>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62" w:lineRule="exact"/>
        <w:rPr>
          <w:rFonts w:ascii="Arial" w:cs="Arial" w:eastAsia="Arial" w:hAnsi="Arial"/>
          <w:sz w:val="18"/>
          <w:szCs w:val="18"/>
          <w:color w:val="auto"/>
        </w:rPr>
      </w:pPr>
    </w:p>
    <w:p>
      <w:pPr>
        <w:ind w:left="17" w:right="40" w:firstLine="421"/>
        <w:spacing w:after="0" w:line="268" w:lineRule="auto"/>
        <w:tabs>
          <w:tab w:leader="none" w:pos="715" w:val="left"/>
        </w:tabs>
        <w:numPr>
          <w:ilvl w:val="2"/>
          <w:numId w:val="179"/>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or Issuing Bank shall be required for an assignment by a Lender to an Affiliate of such Lender.</w:t>
      </w:r>
    </w:p>
    <w:p>
      <w:pPr>
        <w:spacing w:after="0" w:line="50" w:lineRule="exact"/>
        <w:rPr>
          <w:rFonts w:ascii="Arial" w:cs="Arial" w:eastAsia="Arial" w:hAnsi="Arial"/>
          <w:sz w:val="18"/>
          <w:szCs w:val="18"/>
          <w:color w:val="auto"/>
        </w:rPr>
      </w:pPr>
    </w:p>
    <w:p>
      <w:pPr>
        <w:ind w:left="257" w:hanging="257"/>
        <w:spacing w:after="0"/>
        <w:tabs>
          <w:tab w:leader="none" w:pos="257"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Certain Conditions to Assignments</w:t>
      </w:r>
      <w:r>
        <w:rPr>
          <w:rFonts w:ascii="Arial" w:cs="Arial" w:eastAsia="Arial" w:hAnsi="Arial"/>
          <w:sz w:val="18"/>
          <w:szCs w:val="18"/>
          <w:color w:val="auto"/>
        </w:rPr>
        <w:t>. Assignments shall be subject to the following additional conditions:</w:t>
      </w:r>
    </w:p>
    <w:p>
      <w:pPr>
        <w:spacing w:after="0" w:line="90" w:lineRule="exact"/>
        <w:rPr>
          <w:rFonts w:ascii="Arial" w:cs="Arial" w:eastAsia="Arial" w:hAnsi="Arial"/>
          <w:sz w:val="18"/>
          <w:szCs w:val="18"/>
          <w:color w:val="auto"/>
        </w:rPr>
      </w:pPr>
    </w:p>
    <w:p>
      <w:pPr>
        <w:ind w:left="17" w:right="60" w:firstLine="421"/>
        <w:spacing w:after="0" w:line="252" w:lineRule="auto"/>
        <w:tabs>
          <w:tab w:leader="none" w:pos="725" w:val="left"/>
        </w:tabs>
        <w:numPr>
          <w:ilvl w:val="2"/>
          <w:numId w:val="179"/>
        </w:numPr>
        <w:rPr>
          <w:rFonts w:ascii="Arial" w:cs="Arial" w:eastAsia="Arial" w:hAnsi="Arial"/>
          <w:sz w:val="18"/>
          <w:szCs w:val="18"/>
          <w:color w:val="auto"/>
        </w:rPr>
      </w:pPr>
      <w:r>
        <w:rPr>
          <w:rFonts w:ascii="Arial" w:cs="Arial" w:eastAsia="Arial" w:hAnsi="Arial"/>
          <w:sz w:val="18"/>
          <w:szCs w:val="18"/>
          <w:color w:val="auto"/>
        </w:rPr>
        <w:t>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w:t>
      </w:r>
    </w:p>
    <w:p>
      <w:pPr>
        <w:spacing w:after="0" w:line="1" w:lineRule="exact"/>
        <w:rPr>
          <w:rFonts w:ascii="Arial" w:cs="Arial" w:eastAsia="Arial" w:hAnsi="Arial"/>
          <w:sz w:val="18"/>
          <w:szCs w:val="18"/>
          <w:color w:val="auto"/>
        </w:rPr>
      </w:pPr>
    </w:p>
    <w:p>
      <w:pPr>
        <w:ind w:left="17" w:right="2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Agent) shall not be less than U.S. $5,000,000 unless each of the Borrower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Borrower shall be required if an Event of Default has occurred and is continuing;</w:t>
      </w:r>
    </w:p>
    <w:p>
      <w:pPr>
        <w:spacing w:after="0" w:line="124" w:lineRule="exact"/>
        <w:rPr>
          <w:sz w:val="20"/>
          <w:szCs w:val="20"/>
          <w:color w:val="auto"/>
        </w:rPr>
      </w:pPr>
    </w:p>
    <w:p>
      <w:pPr>
        <w:jc w:val="both"/>
        <w:ind w:left="4917"/>
        <w:spacing w:after="0"/>
        <w:tabs>
          <w:tab w:leader="none" w:pos="8517"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145" w:name="page146"/>
    <w:bookmarkEnd w:id="145"/>
    <w:p>
      <w:pPr>
        <w:ind w:left="17" w:right="20" w:firstLine="421"/>
        <w:spacing w:after="0" w:line="332" w:lineRule="auto"/>
        <w:tabs>
          <w:tab w:leader="none" w:pos="715" w:val="left"/>
        </w:tabs>
        <w:numPr>
          <w:ilvl w:val="1"/>
          <w:numId w:val="1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4" w:lineRule="exact"/>
        <w:rPr>
          <w:rFonts w:ascii="Arial" w:cs="Arial" w:eastAsia="Arial" w:hAnsi="Arial"/>
          <w:sz w:val="16"/>
          <w:szCs w:val="16"/>
          <w:color w:val="auto"/>
        </w:rPr>
      </w:pPr>
    </w:p>
    <w:p>
      <w:pPr>
        <w:ind w:left="17" w:right="240" w:firstLine="421"/>
        <w:spacing w:after="0" w:line="306" w:lineRule="auto"/>
        <w:tabs>
          <w:tab w:leader="none" w:pos="715" w:val="left"/>
        </w:tabs>
        <w:numPr>
          <w:ilvl w:val="1"/>
          <w:numId w:val="180"/>
        </w:numPr>
        <w:rPr>
          <w:rFonts w:ascii="Arial" w:cs="Arial" w:eastAsia="Arial" w:hAnsi="Arial"/>
          <w:sz w:val="16"/>
          <w:szCs w:val="16"/>
          <w:color w:val="auto"/>
        </w:rPr>
      </w:pPr>
      <w:r>
        <w:rPr>
          <w:rFonts w:ascii="Arial" w:cs="Arial" w:eastAsia="Arial" w:hAnsi="Arial"/>
          <w:sz w:val="16"/>
          <w:szCs w:val="16"/>
          <w:color w:val="auto"/>
        </w:rPr>
        <w:t xml:space="preserve">the parties to each assignment shall execute and deliver to the Administrative Agent an Assignment and Assumption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together with a processing and recordation fee of U.S. $3,500 (which fee shall not be payable in connection with an assignment to a Lender or to an Affiliate of a Lender), for which the Borrower and the Guarantors shall not be obligated; and</w:t>
      </w:r>
    </w:p>
    <w:p>
      <w:pPr>
        <w:spacing w:after="0" w:line="25" w:lineRule="exact"/>
        <w:rPr>
          <w:rFonts w:ascii="Arial" w:cs="Arial" w:eastAsia="Arial" w:hAnsi="Arial"/>
          <w:sz w:val="16"/>
          <w:szCs w:val="16"/>
          <w:color w:val="auto"/>
        </w:rPr>
      </w:pPr>
    </w:p>
    <w:p>
      <w:pPr>
        <w:ind w:left="17" w:right="620" w:firstLine="421"/>
        <w:spacing w:after="0" w:line="268" w:lineRule="auto"/>
        <w:tabs>
          <w:tab w:leader="none" w:pos="72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assignee, if it shall not already be a Lender of the applicable Class, shall deliver to the Administrative Agent an Administrative Questionnaire.</w:t>
      </w:r>
    </w:p>
    <w:p>
      <w:pPr>
        <w:spacing w:after="0" w:line="50" w:lineRule="exact"/>
        <w:rPr>
          <w:rFonts w:ascii="Arial" w:cs="Arial" w:eastAsia="Arial" w:hAnsi="Arial"/>
          <w:sz w:val="18"/>
          <w:szCs w:val="18"/>
          <w:color w:val="auto"/>
        </w:rPr>
      </w:pPr>
    </w:p>
    <w:p>
      <w:pPr>
        <w:ind w:left="-443" w:right="80" w:firstLine="443"/>
        <w:spacing w:after="0" w:line="285" w:lineRule="auto"/>
        <w:tabs>
          <w:tab w:leader="none" w:pos="303"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Effectiveness of Assignments</w:t>
      </w:r>
      <w:r>
        <w:rPr>
          <w:rFonts w:ascii="Arial" w:cs="Arial" w:eastAsia="Arial" w:hAnsi="Arial"/>
          <w:sz w:val="16"/>
          <w:szCs w:val="16"/>
          <w:color w:val="auto"/>
        </w:rPr>
        <w:t xml:space="preserve">. Subject to acceptance and recording thereof pursuant to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6"/>
          <w:szCs w:val="16"/>
          <w:u w:val="single" w:color="auto"/>
          <w:color w:val="auto"/>
        </w:rPr>
        <w:t>Section 9.04(b)(ii)</w:t>
      </w:r>
      <w:r>
        <w:rPr>
          <w:rFonts w:ascii="Arial" w:cs="Arial" w:eastAsia="Arial" w:hAnsi="Arial"/>
          <w:sz w:val="16"/>
          <w:szCs w:val="16"/>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Issuing Bank, Swingline Lender and each Lender hereunder (and interest accrued thereon), and (y) acquire (and fund as appropriate) its full Applicable Percentage of all Loans and participations in Letters of</w:t>
      </w:r>
    </w:p>
    <w:p>
      <w:pPr>
        <w:spacing w:after="0" w:line="110" w:lineRule="exact"/>
        <w:rPr>
          <w:sz w:val="20"/>
          <w:szCs w:val="20"/>
          <w:color w:val="auto"/>
        </w:rPr>
      </w:pPr>
    </w:p>
    <w:p>
      <w:pPr>
        <w:jc w:val="both"/>
        <w:ind w:left="4917"/>
        <w:spacing w:after="0"/>
        <w:tabs>
          <w:tab w:leader="none" w:pos="8517"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146" w:name="page147"/>
    <w:bookmarkEnd w:id="146"/>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40" w:lineRule="exact"/>
        <w:rPr>
          <w:sz w:val="20"/>
          <w:szCs w:val="20"/>
          <w:color w:val="auto"/>
        </w:rPr>
      </w:pPr>
    </w:p>
    <w:p>
      <w:pPr>
        <w:ind w:left="-460" w:right="20" w:firstLine="921"/>
        <w:spacing w:after="0" w:line="290" w:lineRule="auto"/>
        <w:tabs>
          <w:tab w:leader="none" w:pos="692"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Maintenance of Registers by Administrative Agent</w:t>
      </w:r>
      <w:r>
        <w:rPr>
          <w:rFonts w:ascii="Arial" w:cs="Arial" w:eastAsia="Arial" w:hAnsi="Arial"/>
          <w:sz w:val="16"/>
          <w:szCs w:val="16"/>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6"/>
          <w:szCs w:val="16"/>
          <w:u w:val="single" w:color="auto"/>
          <w:color w:val="auto"/>
        </w:rPr>
        <w:t>Registers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Registers shall be conclusive absent manifest error, and the 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118" w:lineRule="exact"/>
        <w:rPr>
          <w:rFonts w:ascii="Arial" w:cs="Arial" w:eastAsia="Arial" w:hAnsi="Arial"/>
          <w:sz w:val="16"/>
          <w:szCs w:val="16"/>
          <w:color w:val="auto"/>
        </w:rPr>
      </w:pPr>
    </w:p>
    <w:p>
      <w:pPr>
        <w:ind w:left="-460" w:right="200" w:firstLine="921"/>
        <w:spacing w:after="0" w:line="294" w:lineRule="auto"/>
        <w:tabs>
          <w:tab w:leader="none" w:pos="701"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Acceptance of Assignments by Administrative Agent</w:t>
      </w:r>
      <w:r>
        <w:rPr>
          <w:rFonts w:ascii="Arial" w:cs="Arial" w:eastAsia="Arial" w:hAnsi="Arial"/>
          <w:sz w:val="16"/>
          <w:szCs w:val="16"/>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any written consent to such assignment required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15" w:lineRule="exact"/>
        <w:rPr>
          <w:rFonts w:ascii="Arial" w:cs="Arial" w:eastAsia="Arial" w:hAnsi="Arial"/>
          <w:sz w:val="16"/>
          <w:szCs w:val="16"/>
          <w:color w:val="auto"/>
        </w:rPr>
      </w:pPr>
    </w:p>
    <w:p>
      <w:pPr>
        <w:ind w:left="-460" w:right="40" w:firstLine="921"/>
        <w:spacing w:after="0" w:line="286" w:lineRule="auto"/>
        <w:tabs>
          <w:tab w:leader="none" w:pos="692"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Special Purposes Vehicles</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14" w:lineRule="exact"/>
        <w:rPr>
          <w:sz w:val="20"/>
          <w:szCs w:val="20"/>
          <w:color w:val="auto"/>
        </w:rPr>
      </w:pPr>
    </w:p>
    <w:p>
      <w:pPr>
        <w:jc w:val="both"/>
        <w:ind w:left="5360"/>
        <w:spacing w:after="0"/>
        <w:tabs>
          <w:tab w:leader="none" w:pos="89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147" w:name="page148"/>
    <w:bookmarkEnd w:id="147"/>
    <w:p>
      <w:pPr>
        <w:ind w:right="2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6"/>
          <w:szCs w:val="16"/>
          <w:u w:val="single" w:color="auto"/>
          <w:color w:val="auto"/>
        </w:rPr>
        <w:t>paragraph (1)</w:t>
      </w:r>
      <w:r>
        <w:rPr>
          <w:rFonts w:ascii="Arial" w:cs="Arial" w:eastAsia="Arial" w:hAnsi="Arial"/>
          <w:sz w:val="16"/>
          <w:szCs w:val="16"/>
          <w:color w:val="auto"/>
        </w:rPr>
        <w:t xml:space="preserve"> below, and (ii) disclose on a confidential basis (in the same manner described in </w:t>
      </w:r>
      <w:r>
        <w:rPr>
          <w:rFonts w:ascii="Arial" w:cs="Arial" w:eastAsia="Arial" w:hAnsi="Arial"/>
          <w:sz w:val="16"/>
          <w:szCs w:val="16"/>
          <w:u w:val="single" w:color="auto"/>
          <w:color w:val="auto"/>
        </w:rPr>
        <w:t>Section 9.13(b)</w:t>
      </w:r>
      <w:r>
        <w:rPr>
          <w:rFonts w:ascii="Arial" w:cs="Arial" w:eastAsia="Arial" w:hAnsi="Arial"/>
          <w:sz w:val="16"/>
          <w:szCs w:val="16"/>
          <w:color w:val="auto"/>
        </w:rPr>
        <w:t>) any non-public information relating to its Loans to any rating agency, commercial paper dealer or provider of a surety, guarantee or credit or liquidity enhancement to such SPC.</w:t>
      </w:r>
    </w:p>
    <w:p>
      <w:pPr>
        <w:spacing w:after="0" w:line="121" w:lineRule="exact"/>
        <w:rPr>
          <w:sz w:val="20"/>
          <w:szCs w:val="20"/>
          <w:color w:val="auto"/>
        </w:rPr>
      </w:pPr>
    </w:p>
    <w:p>
      <w:pPr>
        <w:ind w:right="40" w:firstLine="921"/>
        <w:spacing w:after="0" w:line="285" w:lineRule="auto"/>
        <w:tabs>
          <w:tab w:leader="none" w:pos="1132"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with the consent of the Borrower (such consent not to be unreasonably withheld or delayed),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not be entitled to receive any greater payment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with respect to any participation, than its participating Lenders would have been entitled to</w:t>
      </w:r>
    </w:p>
    <w:p>
      <w:pPr>
        <w:spacing w:after="0" w:line="113"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48" w:name="page149"/>
    <w:bookmarkEnd w:id="148"/>
    <w:p>
      <w:pPr>
        <w:ind w:right="1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receive, except to the extent such entitlement to receive a greater payment results from a Change in Law that occurs after the Participant acquired the applicable participation;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 Participant shall be entitled to the benefits of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unless the Borrower is notified of the participation granted to such Participant and such Participant shall have complied with the requirements of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as if such Participant is a Lender. To the extent permitted by law, each Participant also shall be entitled to the benefits of </w:t>
      </w:r>
      <w:r>
        <w:rPr>
          <w:rFonts w:ascii="Arial" w:cs="Arial" w:eastAsia="Arial" w:hAnsi="Arial"/>
          <w:sz w:val="15"/>
          <w:szCs w:val="15"/>
          <w:u w:val="single" w:color="auto"/>
          <w:color w:val="auto"/>
        </w:rPr>
        <w:t>Section 9.08</w:t>
      </w:r>
      <w:r>
        <w:rPr>
          <w:rFonts w:ascii="Arial" w:cs="Arial" w:eastAsia="Arial" w:hAnsi="Arial"/>
          <w:sz w:val="15"/>
          <w:szCs w:val="15"/>
          <w:color w:val="auto"/>
        </w:rPr>
        <w:t xml:space="preserve"> as though it were a Lender; provided such Participant agrees to be subject to</w:t>
      </w:r>
    </w:p>
    <w:p>
      <w:pPr>
        <w:spacing w:after="0" w:line="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0" w:lineRule="exact"/>
        <w:rPr>
          <w:sz w:val="20"/>
          <w:szCs w:val="20"/>
          <w:color w:val="auto"/>
        </w:rPr>
      </w:pPr>
    </w:p>
    <w:p>
      <w:pPr>
        <w:ind w:right="20" w:firstLine="921"/>
        <w:spacing w:after="0" w:line="283" w:lineRule="auto"/>
        <w:tabs>
          <w:tab w:leader="none" w:pos="1161"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Limitations on Rights of Participants</w:t>
      </w:r>
      <w:r>
        <w:rPr>
          <w:rFonts w:ascii="Arial" w:cs="Arial" w:eastAsia="Arial" w:hAnsi="Arial"/>
          <w:sz w:val="16"/>
          <w:szCs w:val="16"/>
          <w:color w:val="auto"/>
        </w:rPr>
        <w:t xml:space="preserve">. A Participant shall not be entitled to receive any greater payment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 notified of the participation sold to such Participant and such Participant agrees, for the benefit of the Borrower, to comply with </w:t>
      </w:r>
      <w:r>
        <w:rPr>
          <w:rFonts w:ascii="Arial" w:cs="Arial" w:eastAsia="Arial" w:hAnsi="Arial"/>
          <w:sz w:val="16"/>
          <w:szCs w:val="16"/>
          <w:u w:val="single" w:color="auto"/>
          <w:color w:val="auto"/>
        </w:rPr>
        <w:t>paragraphs (e)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though it were a Lender and in the case of a Participant claiming exemption for portfolio interest under</w:t>
      </w:r>
    </w:p>
    <w:p>
      <w:pPr>
        <w:spacing w:after="0" w:line="2" w:lineRule="exact"/>
        <w:rPr>
          <w:rFonts w:ascii="Arial" w:cs="Arial" w:eastAsia="Arial" w:hAnsi="Arial"/>
          <w:sz w:val="16"/>
          <w:szCs w:val="16"/>
          <w:color w:val="auto"/>
        </w:rPr>
      </w:pPr>
    </w:p>
    <w:p>
      <w:pPr>
        <w:ind w:right="140"/>
        <w:spacing w:after="0" w:line="323" w:lineRule="auto"/>
        <w:rPr>
          <w:rFonts w:ascii="Arial" w:cs="Arial" w:eastAsia="Arial" w:hAnsi="Arial"/>
          <w:sz w:val="16"/>
          <w:szCs w:val="16"/>
          <w:color w:val="auto"/>
        </w:rPr>
      </w:pPr>
      <w:r>
        <w:rPr>
          <w:rFonts w:ascii="Arial" w:cs="Arial" w:eastAsia="Arial" w:hAnsi="Arial"/>
          <w:sz w:val="16"/>
          <w:szCs w:val="16"/>
          <w:color w:val="auto"/>
        </w:rPr>
        <w:t>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92" w:lineRule="exact"/>
        <w:rPr>
          <w:rFonts w:ascii="Arial" w:cs="Arial" w:eastAsia="Arial" w:hAnsi="Arial"/>
          <w:sz w:val="16"/>
          <w:szCs w:val="16"/>
          <w:color w:val="auto"/>
        </w:rPr>
      </w:pPr>
    </w:p>
    <w:p>
      <w:pPr>
        <w:ind w:right="60" w:firstLine="921"/>
        <w:spacing w:after="0" w:line="298" w:lineRule="auto"/>
        <w:tabs>
          <w:tab w:leader="none" w:pos="1161"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assignee for such Lender as a party hereto.</w:t>
      </w:r>
    </w:p>
    <w:p>
      <w:pPr>
        <w:spacing w:after="0" w:line="112" w:lineRule="exact"/>
        <w:rPr>
          <w:rFonts w:ascii="Arial" w:cs="Arial" w:eastAsia="Arial" w:hAnsi="Arial"/>
          <w:sz w:val="16"/>
          <w:szCs w:val="16"/>
          <w:color w:val="auto"/>
        </w:rPr>
      </w:pPr>
    </w:p>
    <w:p>
      <w:pPr>
        <w:ind w:right="140" w:firstLine="921"/>
        <w:spacing w:after="0" w:line="332" w:lineRule="auto"/>
        <w:tabs>
          <w:tab w:leader="none" w:pos="1122"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No Assignments to the Borrower or Affiliates</w:t>
      </w:r>
      <w:r>
        <w:rPr>
          <w:rFonts w:ascii="Arial" w:cs="Arial" w:eastAsia="Arial" w:hAnsi="Arial"/>
          <w:sz w:val="16"/>
          <w:szCs w:val="16"/>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72" w:lineRule="exact"/>
        <w:rPr>
          <w:sz w:val="20"/>
          <w:szCs w:val="20"/>
          <w:color w:val="auto"/>
        </w:rPr>
      </w:pPr>
    </w:p>
    <w:p>
      <w:pPr>
        <w:jc w:val="both"/>
        <w:ind w:left="5840"/>
        <w:spacing w:after="0"/>
        <w:tabs>
          <w:tab w:leader="none" w:pos="94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49" w:name="page150"/>
    <w:bookmarkEnd w:id="149"/>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9" w:lineRule="auto"/>
        <w:tabs>
          <w:tab w:leader="none" w:pos="1152"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18" w:lineRule="exact"/>
        <w:rPr>
          <w:rFonts w:ascii="Arial" w:cs="Arial" w:eastAsia="Arial" w:hAnsi="Arial"/>
          <w:sz w:val="16"/>
          <w:szCs w:val="16"/>
          <w:color w:val="auto"/>
        </w:rPr>
      </w:pPr>
    </w:p>
    <w:p>
      <w:pPr>
        <w:ind w:right="60" w:firstLine="921"/>
        <w:spacing w:after="0" w:line="294" w:lineRule="auto"/>
        <w:tabs>
          <w:tab w:leader="none" w:pos="1161"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Electronic Execution of Assignments</w:t>
      </w:r>
      <w:r>
        <w:rPr>
          <w:rFonts w:ascii="Arial" w:cs="Arial" w:eastAsia="Arial" w:hAnsi="Arial"/>
          <w:sz w:val="16"/>
          <w:szCs w:val="16"/>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6"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93"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50" w:name="page151"/>
    <w:bookmarkEnd w:id="150"/>
    <w:p>
      <w:pPr>
        <w:ind w:right="8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6"/>
          <w:szCs w:val="16"/>
          <w:u w:val="single" w:color="auto"/>
          <w:color w:val="auto"/>
        </w:rPr>
        <w:t>Sections 2.17(d)</w:t>
      </w:r>
      <w:r>
        <w:rPr>
          <w:rFonts w:ascii="Arial" w:cs="Arial" w:eastAsia="Arial" w:hAnsi="Arial"/>
          <w:sz w:val="16"/>
          <w:szCs w:val="16"/>
          <w:color w:val="auto"/>
        </w:rPr>
        <w:t xml:space="preserve"> and, pending such payment, shall be segregated by such Defaulting Lender from its other funds and deemed held in trust for the benefit of Administrative Agent, the Issuing Bank,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 of the State of New York.</w:t>
      </w:r>
    </w:p>
    <w:p>
      <w:pPr>
        <w:spacing w:after="0" w:line="171" w:lineRule="exact"/>
        <w:rPr>
          <w:rFonts w:ascii="Arial" w:cs="Arial" w:eastAsia="Arial" w:hAnsi="Arial"/>
          <w:sz w:val="18"/>
          <w:szCs w:val="18"/>
          <w:color w:val="auto"/>
        </w:rPr>
      </w:pPr>
    </w:p>
    <w:p>
      <w:pPr>
        <w:ind w:right="60" w:firstLine="921"/>
        <w:spacing w:after="0" w:line="289" w:lineRule="auto"/>
        <w:tabs>
          <w:tab w:leader="none" w:pos="1161"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spacing w:after="0" w:line="118" w:lineRule="exact"/>
        <w:rPr>
          <w:rFonts w:ascii="Arial" w:cs="Arial" w:eastAsia="Arial" w:hAnsi="Arial"/>
          <w:sz w:val="16"/>
          <w:szCs w:val="16"/>
          <w:color w:val="auto"/>
        </w:rPr>
      </w:pPr>
    </w:p>
    <w:p>
      <w:pPr>
        <w:jc w:val="both"/>
        <w:ind w:right="380" w:firstLine="921"/>
        <w:spacing w:after="0" w:line="298" w:lineRule="auto"/>
        <w:tabs>
          <w:tab w:leader="none" w:pos="1152"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Waiver of Venue</w:t>
      </w:r>
      <w:r>
        <w:rPr>
          <w:rFonts w:ascii="Arial" w:cs="Arial" w:eastAsia="Arial" w:hAnsi="Arial"/>
          <w:sz w:val="16"/>
          <w:szCs w:val="16"/>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99"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51" w:name="page152"/>
    <w:bookmarkEnd w:id="151"/>
    <w:p>
      <w:pPr>
        <w:ind w:right="60" w:firstLine="921"/>
        <w:spacing w:after="0" w:line="256" w:lineRule="auto"/>
        <w:tabs>
          <w:tab w:leader="none" w:pos="1161"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of Process</w:t>
      </w:r>
      <w:r>
        <w:rPr>
          <w:rFonts w:ascii="Arial" w:cs="Arial" w:eastAsia="Arial" w:hAnsi="Arial"/>
          <w:sz w:val="18"/>
          <w:szCs w:val="18"/>
          <w:color w:val="auto"/>
        </w:rPr>
        <w:t xml:space="preserve">. Each party to this Agreement (i) irrevocably consents to service of process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and (ii) agrees that service as provided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43"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4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This is an international loan transaction in which the specification of Dollars or any Foreign Currency, as the case may be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and payment in New York City or the country of the Specified Currency, as the case may be (the “</w:t>
      </w:r>
      <w:r>
        <w:rPr>
          <w:rFonts w:ascii="Arial" w:cs="Arial" w:eastAsia="Arial" w:hAnsi="Arial"/>
          <w:sz w:val="16"/>
          <w:szCs w:val="16"/>
          <w:u w:val="single" w:color="auto"/>
          <w:color w:val="auto"/>
        </w:rPr>
        <w:t>Specified Place</w:t>
      </w:r>
      <w:r>
        <w:rPr>
          <w:rFonts w:ascii="Arial" w:cs="Arial" w:eastAsia="Arial" w:hAnsi="Arial"/>
          <w:sz w:val="16"/>
          <w:szCs w:val="16"/>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6"/>
          <w:szCs w:val="16"/>
          <w:u w:val="single" w:color="auto"/>
          <w:color w:val="auto"/>
        </w:rPr>
        <w:t>Second Currency</w:t>
      </w:r>
      <w:r>
        <w:rPr>
          <w:rFonts w:ascii="Arial" w:cs="Arial" w:eastAsia="Arial" w:hAnsi="Arial"/>
          <w:sz w:val="16"/>
          <w:szCs w:val="16"/>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6"/>
          <w:szCs w:val="16"/>
          <w:u w:val="single" w:color="auto"/>
          <w:color w:val="auto"/>
        </w:rPr>
        <w:t>Entitled Person</w:t>
      </w:r>
      <w:r>
        <w:rPr>
          <w:rFonts w:ascii="Arial" w:cs="Arial" w:eastAsia="Arial" w:hAnsi="Arial"/>
          <w:sz w:val="16"/>
          <w:szCs w:val="16"/>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10"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152" w:name="page153"/>
    <w:bookmarkEnd w:id="152"/>
    <w:p>
      <w:pPr>
        <w:ind w:right="1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Treatment of Certain Information; No Fiduciary Duty; Confidentiality</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4" w:lineRule="auto"/>
        <w:tabs>
          <w:tab w:leader="none" w:pos="1152"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Treatment of Certain Information</w:t>
      </w:r>
      <w:r>
        <w:rPr>
          <w:rFonts w:ascii="Arial" w:cs="Arial" w:eastAsia="Arial" w:hAnsi="Arial"/>
          <w:sz w:val="16"/>
          <w:szCs w:val="16"/>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w:t>
      </w:r>
    </w:p>
    <w:p>
      <w:pPr>
        <w:spacing w:after="0" w:line="113"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53" w:name="page154"/>
    <w:bookmarkEnd w:id="153"/>
    <w:p>
      <w:pPr>
        <w:ind w:right="1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62" w:lineRule="exact"/>
        <w:rPr>
          <w:sz w:val="20"/>
          <w:szCs w:val="20"/>
          <w:color w:val="auto"/>
        </w:rPr>
      </w:pPr>
    </w:p>
    <w:p>
      <w:pPr>
        <w:ind w:right="20" w:firstLine="921"/>
        <w:spacing w:after="0" w:line="285" w:lineRule="auto"/>
        <w:tabs>
          <w:tab w:leader="none" w:pos="1161"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Lenders, the Swingline Lender and the Issuing Bank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128"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 by the Borrower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Borrower that pursuant to the requirements of the USA PATRIOT Act (Title</w:t>
      </w:r>
    </w:p>
    <w:p>
      <w:pPr>
        <w:spacing w:after="0" w:line="38" w:lineRule="exact"/>
        <w:rPr>
          <w:sz w:val="20"/>
          <w:szCs w:val="20"/>
          <w:color w:val="auto"/>
        </w:rPr>
      </w:pPr>
    </w:p>
    <w:p>
      <w:pPr>
        <w:ind w:right="160" w:firstLine="8"/>
        <w:spacing w:after="0" w:line="255" w:lineRule="auto"/>
        <w:tabs>
          <w:tab w:leader="none" w:pos="21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of Pub. L. 107-56 (signed into law October 26, 2001)), it is required to obtain, verify and record information that identifies the Borrower and each other Obligor, which information includes the name and address of the Borrower and each other Obligor and other information that will allow such Lender to identify the Borrower and each other Obligor in accordance with said Act.</w:t>
      </w:r>
    </w:p>
    <w:p>
      <w:pPr>
        <w:spacing w:after="0" w:line="131"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54" w:name="page155"/>
    <w:bookmarkEnd w:id="154"/>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55" w:name="page156"/>
    <w:bookmarkEnd w:id="15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 as Administrative Agent, Swingline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Issuing Bank and a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700"/>
          </w:cols>
          <w:pgMar w:left="1440" w:top="280" w:right="759" w:bottom="1440" w:gutter="0" w:footer="0" w:header="0"/>
        </w:sectPr>
      </w:pPr>
    </w:p>
    <w:bookmarkStart w:id="156" w:name="page157"/>
    <w:bookmarkEnd w:id="15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80"/>
          </w:cols>
          <w:pgMar w:left="1440" w:top="280" w:right="1379" w:bottom="1440" w:gutter="0" w:footer="0" w:header="0"/>
        </w:sectPr>
      </w:pPr>
    </w:p>
    <w:bookmarkStart w:id="157" w:name="page158"/>
    <w:bookmarkEnd w:id="157"/>
    <w:p>
      <w:pPr>
        <w:jc w:val="right"/>
        <w:ind w:right="20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1.01(a)</w:t>
      </w:r>
      <w:r>
        <w:rPr>
          <w:rFonts w:ascii="Arial" w:cs="Arial" w:eastAsia="Arial" w:hAnsi="Arial"/>
          <w:sz w:val="18"/>
          <w:szCs w:val="18"/>
          <w:color w:val="auto"/>
        </w:rPr>
        <w:t xml:space="preserve"> – </w:t>
      </w:r>
      <w:r>
        <w:rPr>
          <w:rFonts w:ascii="Arial" w:cs="Arial" w:eastAsia="Arial" w:hAnsi="Arial"/>
          <w:sz w:val="18"/>
          <w:szCs w:val="18"/>
          <w:u w:val="single" w:color="auto"/>
          <w:color w:val="auto"/>
        </w:rPr>
        <w:t>Approved Dealers and Approved Pricing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Approved Dealers</w:t>
      </w:r>
    </w:p>
    <w:p>
      <w:pPr>
        <w:spacing w:after="0" w:line="90" w:lineRule="exact"/>
        <w:rPr>
          <w:sz w:val="20"/>
          <w:szCs w:val="20"/>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Interactive Data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Markit Group Limited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Bank of America Merrill Lynch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Gleacher and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Deutsche Bank Group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Goldman Sachs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Knight Capital Group,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Barclays Capital,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Jefferies &amp; Company, Inc.</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Approved Pricing Services</w:t>
      </w:r>
    </w:p>
    <w:p>
      <w:pPr>
        <w:spacing w:after="0" w:line="90" w:lineRule="exact"/>
        <w:rPr>
          <w:sz w:val="20"/>
          <w:szCs w:val="20"/>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Markit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International Data 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LoanEx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Bloomberg</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10219"/>
          </w:cols>
          <w:pgMar w:left="240" w:top="280" w:right="1440"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Schedule 1.01(c) – Industry Classification Group List</w:t>
            </w:r>
          </w:p>
        </w:tc>
      </w:tr>
      <w:tr>
        <w:trPr>
          <w:trHeight w:val="431"/>
        </w:trPr>
        <w:tc>
          <w:tcPr>
            <w:tcW w:w="3820" w:type="dxa"/>
            <w:vAlign w:val="bottom"/>
          </w:tcPr>
          <w:p>
            <w:pPr>
              <w:spacing w:after="0"/>
              <w:rPr>
                <w:sz w:val="20"/>
                <w:szCs w:val="20"/>
                <w:color w:val="auto"/>
              </w:rPr>
            </w:pPr>
            <w:r>
              <w:rPr>
                <w:rFonts w:ascii="Arial" w:cs="Arial" w:eastAsia="Arial" w:hAnsi="Arial"/>
                <w:sz w:val="18"/>
                <w:szCs w:val="18"/>
                <w:color w:val="auto"/>
              </w:rPr>
              <w:t>Energy Equipment &amp; Services</w:t>
            </w:r>
          </w:p>
        </w:tc>
        <w:tc>
          <w:tcPr>
            <w:tcW w:w="1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Food Products</w:t>
            </w:r>
          </w:p>
        </w:tc>
        <w:tc>
          <w:tcPr>
            <w:tcW w:w="1380" w:type="dxa"/>
            <w:vAlign w:val="bottom"/>
          </w:tcPr>
          <w:p>
            <w:pPr>
              <w:spacing w:after="0"/>
              <w:rPr>
                <w:sz w:val="24"/>
                <w:szCs w:val="24"/>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Oil, Gas &amp; Consumable Fuels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Tobacco</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Chemicals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Household Products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Construction Materials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Personal Products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Containers &amp; Packaging</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Health Care Equipment &amp; Supplies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Metals &amp; Mining</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Health Care Providers &amp;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Paper &amp; Forest Products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Health Care Technology</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Aerospace &amp; Defense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Biotechnology</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Building Products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Pharmaceuticals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Construction &amp; Engineering</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Life Sciences Tools &amp;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Electrical Equipment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Commercial Banks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Industrial Conglomerates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Thrifts &amp; Mortgage Finance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Machinery</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Diversified Financial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Trading Companies &amp; Distributors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Consumer Finance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Commercial Services &amp; Supplies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Capital Markets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Insurance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Air Freight &amp; Logistics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w w:val="94"/>
              </w:rPr>
              <w:t>Real Estate Investment Trusts (REITs)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Airlines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w w:val="87"/>
              </w:rPr>
              <w:t>Real Estate Management &amp; Development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Marine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Internet Software &amp;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Road &amp; Rail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IT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Transportation Infrastructure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Communications Equipment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Auto Components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Computers &amp; Peripherals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Automobiles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w w:val="99"/>
              </w:rPr>
              <w:t>Electronic Equipment, Instruments &amp;</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Household Durables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Components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Leisure Equipment &amp; Products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Office Electronics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Textiles, Apparel &amp; Luxury Goods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Semiconductors &amp; Semiconductor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Hotels, Restaurants &amp; Leisure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Equipment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Diversified Consumer Services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w w:val="90"/>
              </w:rPr>
              <w:t>Diversified Telecommunication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Media</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w w:val="95"/>
              </w:rPr>
              <w:t>Wireless Telecommunication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Distributors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Electric Utilities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Internet &amp; Catalog Retail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Gas Utilities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Multiline Retail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Multi-Utilities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Specialty Retail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Water Utilities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Food &amp; Staples Retailing</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w w:val="90"/>
              </w:rPr>
              <w:t>Independent Power Producers &amp; Energy</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Beverages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80" w:type="dxa"/>
            <w:vAlign w:val="bottom"/>
            <w:gridSpan w:val="2"/>
          </w:tcPr>
          <w:p>
            <w:pPr>
              <w:ind w:left="860"/>
              <w:spacing w:after="0"/>
              <w:rPr>
                <w:sz w:val="20"/>
                <w:szCs w:val="20"/>
                <w:color w:val="auto"/>
              </w:rPr>
            </w:pPr>
            <w:r>
              <w:rPr>
                <w:rFonts w:ascii="Arial" w:cs="Arial" w:eastAsia="Arial" w:hAnsi="Arial"/>
                <w:sz w:val="18"/>
                <w:szCs w:val="18"/>
                <w:color w:val="auto"/>
              </w:rPr>
              <w:t>Traders</w:t>
            </w:r>
          </w:p>
        </w:tc>
      </w:tr>
      <w:tr>
        <w:trPr>
          <w:trHeight w:val="378"/>
        </w:trPr>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gridSpan w:val="2"/>
          </w:tcPr>
          <w:p>
            <w:pPr>
              <w:ind w:left="120"/>
              <w:spacing w:after="0"/>
              <w:rPr>
                <w:sz w:val="20"/>
                <w:szCs w:val="20"/>
                <w:color w:val="auto"/>
              </w:rPr>
            </w:pPr>
            <w:r>
              <w:rPr>
                <w:rFonts w:ascii="Arial" w:cs="Arial" w:eastAsia="Arial" w:hAnsi="Arial"/>
                <w:sz w:val="18"/>
                <w:szCs w:val="18"/>
                <w:color w:val="auto"/>
              </w:rPr>
              <w:t>Schedule 2</w:t>
            </w:r>
          </w:p>
        </w:tc>
      </w:tr>
    </w:tbl>
    <w:p>
      <w:pPr>
        <w:ind w:left="12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9" w:name="page160"/>
    <w:bookmarkEnd w:id="159"/>
    <w:p>
      <w:pPr>
        <w:jc w:val="center"/>
        <w:ind w:right="-1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3.11</w:t>
      </w:r>
      <w:r>
        <w:rPr>
          <w:rFonts w:ascii="Arial" w:cs="Arial" w:eastAsia="Arial" w:hAnsi="Arial"/>
          <w:sz w:val="18"/>
          <w:szCs w:val="18"/>
          <w:color w:val="auto"/>
        </w:rPr>
        <w:t xml:space="preserve"> – </w:t>
      </w:r>
      <w:r>
        <w:rPr>
          <w:rFonts w:ascii="Arial" w:cs="Arial" w:eastAsia="Arial" w:hAnsi="Arial"/>
          <w:sz w:val="18"/>
          <w:szCs w:val="18"/>
          <w:u w:val="single" w:color="auto"/>
          <w:color w:val="auto"/>
        </w:rPr>
        <w:t>Material Agreements and Liens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A: Material Agreements</w:t>
      </w:r>
    </w:p>
    <w:p>
      <w:pPr>
        <w:spacing w:after="0" w:line="90" w:lineRule="exact"/>
        <w:rPr>
          <w:sz w:val="20"/>
          <w:szCs w:val="20"/>
          <w:color w:val="auto"/>
        </w:rPr>
      </w:pPr>
    </w:p>
    <w:p>
      <w:pPr>
        <w:jc w:val="both"/>
        <w:ind w:left="900" w:right="60" w:hanging="446"/>
        <w:spacing w:after="0" w:line="259"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Amended and Restated Revolving Credit Agreement dated as of December 22, 2011 by and among TPG Specialty Lending, Inc., as borrower, the lenders party thereto from time to time, and Deutsche Bank Trust Company Americas, as administrative agent, with a principal amount of up to $250,000,000.</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Revolving Credit and Security Agreement dated as of May 4, 2012, by and among TPG TSL SPV, LLC, as borrower, the lenders party thereto from time to time, Natixis, New York Branch, as facility agent, and The Bank of New York Mellon Trust Company, N.A., as collateral agent, with a principal amount of up to $100,000,000.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B: Liens</w:t>
      </w:r>
    </w:p>
    <w:p>
      <w:pPr>
        <w:spacing w:after="0" w:line="90" w:lineRule="exact"/>
        <w:rPr>
          <w:sz w:val="20"/>
          <w:szCs w:val="20"/>
          <w:color w:val="auto"/>
        </w:rPr>
      </w:pPr>
    </w:p>
    <w:p>
      <w:pPr>
        <w:ind w:left="900" w:right="520" w:hanging="446"/>
        <w:spacing w:after="0" w:line="268"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loan to TPG Specialty Lending, Inc., with a principal amount of up to $250,000,000, described in Part A is secured by the rights of TPG Specialty Lending, Inc. in capital commitments of its investors and all proceeds thereof.</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Schedule 3</w:t>
      </w:r>
    </w:p>
    <w:p>
      <w:pPr>
        <w:sectPr>
          <w:pgSz w:w="11900" w:h="16838" w:orient="portrait"/>
          <w:cols w:equalWidth="0" w:num="1">
            <w:col w:w="11300"/>
          </w:cols>
          <w:pgMar w:left="240" w:top="280" w:right="359" w:bottom="1440" w:gutter="0" w:footer="0" w:header="0"/>
        </w:sectPr>
      </w:pPr>
    </w:p>
    <w:bookmarkStart w:id="160" w:name="page161"/>
    <w:bookmarkEnd w:id="160"/>
    <w:p>
      <w:pPr>
        <w:jc w:val="right"/>
        <w:ind w:right="33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3.12(a)</w:t>
      </w:r>
      <w:r>
        <w:rPr>
          <w:rFonts w:ascii="Arial" w:cs="Arial" w:eastAsia="Arial" w:hAnsi="Arial"/>
          <w:sz w:val="18"/>
          <w:szCs w:val="18"/>
          <w:color w:val="auto"/>
        </w:rPr>
        <w:t xml:space="preserve"> – </w:t>
      </w:r>
      <w:r>
        <w:rPr>
          <w:rFonts w:ascii="Arial" w:cs="Arial" w:eastAsia="Arial" w:hAnsi="Arial"/>
          <w:sz w:val="18"/>
          <w:szCs w:val="18"/>
          <w:u w:val="single" w:color="auto"/>
          <w:color w:val="auto"/>
        </w:rPr>
        <w:t>Subsidiaries</w:t>
      </w:r>
    </w:p>
    <w:p>
      <w:pPr>
        <w:spacing w:after="0" w:line="90" w:lineRule="exact"/>
        <w:rPr>
          <w:sz w:val="20"/>
          <w:szCs w:val="20"/>
          <w:color w:val="auto"/>
        </w:rPr>
      </w:pPr>
    </w:p>
    <w:p>
      <w:pPr>
        <w:ind w:left="446" w:hanging="446"/>
        <w:spacing w:after="0"/>
        <w:tabs>
          <w:tab w:leader="none" w:pos="44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158" w:lineRule="exact"/>
        <w:rPr>
          <w:sz w:val="20"/>
          <w:szCs w:val="20"/>
          <w:color w:val="auto"/>
        </w:rPr>
      </w:pPr>
    </w:p>
    <w:p>
      <w:pPr>
        <w:ind w:left="4866"/>
        <w:spacing w:after="0"/>
        <w:rPr>
          <w:sz w:val="20"/>
          <w:szCs w:val="20"/>
          <w:color w:val="auto"/>
        </w:rPr>
      </w:pPr>
      <w:r>
        <w:rPr>
          <w:rFonts w:ascii="Arial" w:cs="Arial" w:eastAsia="Arial" w:hAnsi="Arial"/>
          <w:sz w:val="18"/>
          <w:szCs w:val="18"/>
          <w:color w:val="auto"/>
        </w:rPr>
        <w:t>Schedule 4</w:t>
      </w:r>
    </w:p>
    <w:p>
      <w:pPr>
        <w:sectPr>
          <w:pgSz w:w="11900" w:h="16838" w:orient="portrait"/>
          <w:cols w:equalWidth="0" w:num="1">
            <w:col w:w="9765"/>
          </w:cols>
          <w:pgMar w:left="694" w:top="280" w:right="1440" w:bottom="1440" w:gutter="0" w:footer="0" w:header="0"/>
        </w:sectPr>
      </w:pPr>
    </w:p>
    <w:bookmarkStart w:id="161" w:name="page162"/>
    <w:bookmarkEnd w:id="161"/>
    <w:p>
      <w:pPr>
        <w:jc w:val="right"/>
        <w:ind w:right="33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3.12(b)</w:t>
      </w:r>
      <w:r>
        <w:rPr>
          <w:rFonts w:ascii="Arial" w:cs="Arial" w:eastAsia="Arial" w:hAnsi="Arial"/>
          <w:sz w:val="18"/>
          <w:szCs w:val="18"/>
          <w:color w:val="auto"/>
        </w:rPr>
        <w:t xml:space="preserve"> – </w:t>
      </w:r>
      <w:r>
        <w:rPr>
          <w:rFonts w:ascii="Arial" w:cs="Arial" w:eastAsia="Arial" w:hAnsi="Arial"/>
          <w:sz w:val="18"/>
          <w:szCs w:val="18"/>
          <w:u w:val="single" w:color="auto"/>
          <w:color w:val="auto"/>
        </w:rPr>
        <w:t>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Schedule 5</w:t>
      </w:r>
    </w:p>
    <w:p>
      <w:pPr>
        <w:sectPr>
          <w:pgSz w:w="11900" w:h="16838" w:orient="portrait"/>
          <w:cols w:equalWidth="0" w:num="1">
            <w:col w:w="10219"/>
          </w:cols>
          <w:pgMar w:left="240" w:top="280" w:right="1440" w:bottom="1440" w:gutter="0" w:footer="0" w:header="0"/>
        </w:sectPr>
      </w:pPr>
    </w:p>
    <w:bookmarkStart w:id="162" w:name="page163"/>
    <w:bookmarkEnd w:id="162"/>
    <w:p>
      <w:pPr>
        <w:jc w:val="right"/>
        <w:ind w:right="29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6.08</w:t>
      </w:r>
      <w:r>
        <w:rPr>
          <w:rFonts w:ascii="Arial" w:cs="Arial" w:eastAsia="Arial" w:hAnsi="Arial"/>
          <w:sz w:val="18"/>
          <w:szCs w:val="18"/>
          <w:color w:val="auto"/>
        </w:rPr>
        <w:t>—</w:t>
      </w:r>
      <w:r>
        <w:rPr>
          <w:rFonts w:ascii="Arial" w:cs="Arial" w:eastAsia="Arial" w:hAnsi="Arial"/>
          <w:sz w:val="18"/>
          <w:szCs w:val="18"/>
          <w:u w:val="single" w:color="auto"/>
          <w:color w:val="auto"/>
        </w:rPr>
        <w:t>Transactions with Affiliates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Schedule 6</w:t>
      </w:r>
    </w:p>
    <w:p>
      <w:pPr>
        <w:sectPr>
          <w:pgSz w:w="11900" w:h="16838" w:orient="portrait"/>
          <w:cols w:equalWidth="0" w:num="1">
            <w:col w:w="10219"/>
          </w:cols>
          <w:pgMar w:left="240" w:top="280"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177"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w:t>
      </w:r>
      <w:r>
        <w:rPr>
          <w:rFonts w:ascii="Arial" w:cs="Arial" w:eastAsia="Arial" w:hAnsi="Arial"/>
          <w:sz w:val="16"/>
          <w:szCs w:val="16"/>
          <w:i w:val="1"/>
          <w:iCs w:val="1"/>
          <w:color w:val="auto"/>
        </w:rPr>
        <w:t>Insert name of Assignor</w:t>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receipt of a copy of which is hereby acknowledged by the Assignee. The Standard Terms and Conditions set forth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attached hereto are hereby agreed to and incorporated herein by reference and made a part of this Assignment and Assumption as if set forth herein in full.</w:t>
      </w:r>
    </w:p>
    <w:p>
      <w:pPr>
        <w:spacing w:after="0" w:line="116" w:lineRule="exact"/>
        <w:rPr>
          <w:sz w:val="20"/>
          <w:szCs w:val="20"/>
          <w:color w:val="auto"/>
        </w:rPr>
      </w:pPr>
    </w:p>
    <w:p>
      <w:pPr>
        <w:ind w:right="40" w:firstLine="913"/>
        <w:spacing w:after="0" w:line="301" w:lineRule="auto"/>
        <w:rPr>
          <w:sz w:val="20"/>
          <w:szCs w:val="20"/>
          <w:color w:val="auto"/>
        </w:rPr>
      </w:pPr>
      <w:r>
        <w:rPr>
          <w:rFonts w:ascii="Arial" w:cs="Arial" w:eastAsia="Arial" w:hAnsi="Arial"/>
          <w:sz w:val="15"/>
          <w:szCs w:val="15"/>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claims at law or in equity related to the rights and obligations sold and assigned pursuant to </w:t>
      </w:r>
      <w:r>
        <w:rPr>
          <w:rFonts w:ascii="Arial" w:cs="Arial" w:eastAsia="Arial" w:hAnsi="Arial"/>
          <w:sz w:val="15"/>
          <w:szCs w:val="15"/>
          <w:u w:val="single" w:color="auto"/>
          <w:color w:val="auto"/>
        </w:rPr>
        <w:t>clause</w:t>
      </w:r>
    </w:p>
    <w:p>
      <w:pPr>
        <w:spacing w:after="0" w:line="4" w:lineRule="exact"/>
        <w:rPr>
          <w:sz w:val="20"/>
          <w:szCs w:val="20"/>
          <w:color w:val="auto"/>
        </w:rPr>
      </w:pPr>
    </w:p>
    <w:p>
      <w:pPr>
        <w:jc w:val="both"/>
        <w:ind w:right="40" w:firstLine="8"/>
        <w:spacing w:after="0" w:line="255" w:lineRule="auto"/>
        <w:tabs>
          <w:tab w:leader="none" w:pos="210" w:val="left"/>
        </w:tabs>
        <w:numPr>
          <w:ilvl w:val="0"/>
          <w:numId w:val="196"/>
        </w:numPr>
        <w:rPr>
          <w:rFonts w:ascii="Arial" w:cs="Arial" w:eastAsia="Arial" w:hAnsi="Arial"/>
          <w:sz w:val="18"/>
          <w:szCs w:val="18"/>
          <w:u w:val="single" w:color="auto"/>
          <w:color w:val="auto"/>
        </w:rPr>
      </w:pPr>
      <w:r>
        <w:rPr>
          <w:rFonts w:ascii="Arial" w:cs="Arial" w:eastAsia="Arial" w:hAnsi="Arial"/>
          <w:sz w:val="18"/>
          <w:szCs w:val="18"/>
          <w:color w:val="auto"/>
        </w:rPr>
        <w:t xml:space="preserve">above (the rights and obligations sold and assigned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185" w:lineRule="exact"/>
        <w:rPr>
          <w:sz w:val="20"/>
          <w:szCs w:val="20"/>
          <w:color w:val="auto"/>
        </w:rPr>
      </w:pPr>
    </w:p>
    <w:p>
      <w:pPr>
        <w:ind w:left="260" w:hanging="252"/>
        <w:spacing w:after="0"/>
        <w:tabs>
          <w:tab w:leader="none" w:pos="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Assignor:</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-211455</wp:posOffset>
            </wp:positionV>
            <wp:extent cx="32588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10795</wp:posOffset>
            </wp:positionV>
            <wp:extent cx="32588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 is an Affiliate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11"/>
          <w:szCs w:val="11"/>
          <w:color w:val="auto"/>
        </w:rPr>
        <w:t>1</w:t>
      </w:r>
      <w:r>
        <w:rPr>
          <w:rFonts w:ascii="Arial" w:cs="Arial" w:eastAsia="Arial" w:hAnsi="Arial"/>
          <w:sz w:val="18"/>
          <w:szCs w:val="18"/>
          <w:color w:val="auto"/>
        </w:rPr>
        <w:t>]</w:t>
      </w:r>
    </w:p>
    <w:p>
      <w:pPr>
        <w:spacing w:after="0" w:line="117" w:lineRule="exact"/>
        <w:rPr>
          <w:sz w:val="20"/>
          <w:szCs w:val="20"/>
          <w:color w:val="auto"/>
        </w:rPr>
      </w:pPr>
    </w:p>
    <w:p>
      <w:pPr>
        <w:ind w:left="260" w:hanging="252"/>
        <w:spacing w:after="0"/>
        <w:tabs>
          <w:tab w:leader="none" w:pos="2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Borrower:  TPG Specialty Lending, Inc.</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Administrative Agent: SunTrust Bank,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8865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88"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22"/>
          <w:szCs w:val="22"/>
          <w:color w:val="auto"/>
          <w:vertAlign w:val="superscript"/>
        </w:rPr>
      </w:pPr>
      <w:r>
        <w:rPr>
          <w:rFonts w:ascii="Arial" w:cs="Arial" w:eastAsia="Arial" w:hAnsi="Arial"/>
          <w:sz w:val="18"/>
          <w:szCs w:val="18"/>
          <w:color w:val="auto"/>
        </w:rPr>
        <w:t>Select as applicable.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64" w:name="page165"/>
    <w:bookmarkEnd w:id="164"/>
    <w:p>
      <w:pPr>
        <w:ind w:left="360" w:right="280" w:hanging="352"/>
        <w:spacing w:after="0" w:line="268" w:lineRule="auto"/>
        <w:tabs>
          <w:tab w:leader="none" w:pos="3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 The $200,000,000 Senior Secured Revolving Credit Agreement dated as of August 23, 2012, among TPG Specialty Lending, Inc., the Lenders parties thereto and SunTrust Bank, as Administrative Agent</w:t>
      </w:r>
    </w:p>
    <w:p>
      <w:pPr>
        <w:spacing w:after="0" w:line="77" w:lineRule="exact"/>
        <w:rPr>
          <w:rFonts w:ascii="Arial" w:cs="Arial" w:eastAsia="Arial" w:hAnsi="Arial"/>
          <w:sz w:val="18"/>
          <w:szCs w:val="18"/>
          <w:color w:val="auto"/>
        </w:rPr>
      </w:pPr>
    </w:p>
    <w:p>
      <w:pPr>
        <w:ind w:left="360" w:hanging="352"/>
        <w:spacing w:after="0"/>
        <w:tabs>
          <w:tab w:leader="none" w:pos="3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w w:val="87"/>
              </w:rPr>
              <w:t>Aggregate Amount of</w:t>
            </w:r>
          </w:p>
        </w:tc>
        <w:tc>
          <w:tcPr>
            <w:tcW w:w="960" w:type="dxa"/>
            <w:vAlign w:val="bottom"/>
          </w:tcPr>
          <w:p>
            <w:pPr>
              <w:spacing w:after="0"/>
              <w:rPr>
                <w:sz w:val="14"/>
                <w:szCs w:val="14"/>
                <w:color w:val="auto"/>
              </w:rPr>
            </w:pPr>
          </w:p>
        </w:tc>
        <w:tc>
          <w:tcPr>
            <w:tcW w:w="2020" w:type="dxa"/>
            <w:vAlign w:val="bottom"/>
            <w:gridSpan w:val="2"/>
          </w:tcPr>
          <w:p>
            <w:pPr>
              <w:jc w:val="center"/>
              <w:ind w:right="960"/>
              <w:spacing w:after="0"/>
              <w:rPr>
                <w:sz w:val="20"/>
                <w:szCs w:val="20"/>
                <w:color w:val="auto"/>
              </w:rPr>
            </w:pPr>
            <w:r>
              <w:rPr>
                <w:rFonts w:ascii="Arial" w:cs="Arial" w:eastAsia="Arial" w:hAnsi="Arial"/>
                <w:sz w:val="14"/>
                <w:szCs w:val="14"/>
                <w:color w:val="auto"/>
                <w:w w:val="90"/>
              </w:rPr>
              <w:t>Amount of</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w w:val="84"/>
              </w:rPr>
              <w:t>Percentage Assigned</w:t>
            </w:r>
          </w:p>
        </w:tc>
        <w:tc>
          <w:tcPr>
            <w:tcW w:w="0" w:type="dxa"/>
            <w:vAlign w:val="bottom"/>
          </w:tcPr>
          <w:p>
            <w:pPr>
              <w:spacing w:after="0"/>
              <w:rPr>
                <w:sz w:val="1"/>
                <w:szCs w:val="1"/>
                <w:color w:val="auto"/>
              </w:rPr>
            </w:pPr>
          </w:p>
        </w:tc>
      </w:tr>
      <w:tr>
        <w:trPr>
          <w:trHeight w:val="132"/>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Class Assigned</w:t>
            </w:r>
            <w:r>
              <w:rPr>
                <w:rFonts w:ascii="Arial" w:cs="Arial" w:eastAsia="Arial" w:hAnsi="Arial"/>
                <w:sz w:val="22"/>
                <w:szCs w:val="22"/>
                <w:color w:val="auto"/>
                <w:vertAlign w:val="superscript"/>
              </w:rPr>
              <w:t>2</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color w:val="auto"/>
                <w:w w:val="88"/>
              </w:rPr>
              <w:t>Commitment/Loans</w:t>
            </w:r>
          </w:p>
        </w:tc>
        <w:tc>
          <w:tcPr>
            <w:tcW w:w="2980" w:type="dxa"/>
            <w:vAlign w:val="bottom"/>
            <w:gridSpan w:val="3"/>
          </w:tcPr>
          <w:p>
            <w:pPr>
              <w:jc w:val="center"/>
              <w:spacing w:after="0" w:line="133" w:lineRule="exact"/>
              <w:rPr>
                <w:sz w:val="20"/>
                <w:szCs w:val="20"/>
                <w:color w:val="auto"/>
              </w:rPr>
            </w:pPr>
            <w:r>
              <w:rPr>
                <w:rFonts w:ascii="Arial" w:cs="Arial" w:eastAsia="Arial" w:hAnsi="Arial"/>
                <w:sz w:val="14"/>
                <w:szCs w:val="14"/>
                <w:color w:val="auto"/>
                <w:w w:val="88"/>
              </w:rPr>
              <w:t>Commitment/Loans</w:t>
            </w: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85"/>
              </w:rPr>
              <w:t>of</w:t>
            </w:r>
          </w:p>
        </w:tc>
        <w:tc>
          <w:tcPr>
            <w:tcW w:w="0" w:type="dxa"/>
            <w:vAlign w:val="bottom"/>
          </w:tcPr>
          <w:p>
            <w:pPr>
              <w:spacing w:after="0"/>
              <w:rPr>
                <w:sz w:val="1"/>
                <w:szCs w:val="1"/>
                <w:color w:val="auto"/>
              </w:rPr>
            </w:pPr>
          </w:p>
        </w:tc>
      </w:tr>
      <w:tr>
        <w:trPr>
          <w:trHeight w:val="169"/>
        </w:trPr>
        <w:tc>
          <w:tcPr>
            <w:tcW w:w="11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for all Lenders</w:t>
            </w:r>
          </w:p>
        </w:tc>
        <w:tc>
          <w:tcPr>
            <w:tcW w:w="960" w:type="dxa"/>
            <w:vAlign w:val="bottom"/>
          </w:tcPr>
          <w:p>
            <w:pPr>
              <w:spacing w:after="0"/>
              <w:rPr>
                <w:sz w:val="14"/>
                <w:szCs w:val="14"/>
                <w:color w:val="auto"/>
              </w:rPr>
            </w:pPr>
          </w:p>
        </w:tc>
        <w:tc>
          <w:tcPr>
            <w:tcW w:w="2020" w:type="dxa"/>
            <w:vAlign w:val="bottom"/>
            <w:gridSpan w:val="2"/>
          </w:tcPr>
          <w:p>
            <w:pPr>
              <w:jc w:val="center"/>
              <w:ind w:right="960"/>
              <w:spacing w:after="0"/>
              <w:rPr>
                <w:sz w:val="20"/>
                <w:szCs w:val="20"/>
                <w:color w:val="auto"/>
              </w:rPr>
            </w:pPr>
            <w:r>
              <w:rPr>
                <w:rFonts w:ascii="Arial" w:cs="Arial" w:eastAsia="Arial" w:hAnsi="Arial"/>
                <w:sz w:val="14"/>
                <w:szCs w:val="14"/>
                <w:color w:val="auto"/>
                <w:w w:val="86"/>
              </w:rPr>
              <w:t>Assigned</w:t>
            </w:r>
          </w:p>
        </w:tc>
        <w:tc>
          <w:tcPr>
            <w:tcW w:w="1240" w:type="dxa"/>
            <w:vAlign w:val="bottom"/>
            <w:gridSpan w:val="2"/>
          </w:tcPr>
          <w:p>
            <w:pPr>
              <w:jc w:val="right"/>
              <w:ind w:right="100"/>
              <w:spacing w:after="0" w:line="162" w:lineRule="exact"/>
              <w:rPr>
                <w:sz w:val="20"/>
                <w:szCs w:val="20"/>
                <w:color w:val="auto"/>
              </w:rPr>
            </w:pPr>
            <w:r>
              <w:rPr>
                <w:rFonts w:ascii="Arial" w:cs="Arial" w:eastAsia="Arial" w:hAnsi="Arial"/>
                <w:sz w:val="12"/>
                <w:szCs w:val="12"/>
                <w:color w:val="auto"/>
              </w:rPr>
              <w:t>Commitment/Loans</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216"/>
        </w:trPr>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80" w:type="dxa"/>
            <w:vAlign w:val="bottom"/>
            <w:gridSpan w:val="5"/>
          </w:tcPr>
          <w:p>
            <w:pPr>
              <w:ind w:left="490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929"/>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80" w:type="dxa"/>
            <w:vAlign w:val="bottom"/>
            <w:gridSpan w:val="5"/>
            <w:shd w:val="clear" w:color="auto" w:fill="CCEEFF"/>
          </w:tcPr>
          <w:p>
            <w:pPr>
              <w:ind w:left="490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2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Arial" w:cs="Arial" w:eastAsia="Arial" w:hAnsi="Arial"/>
                <w:sz w:val="18"/>
                <w:szCs w:val="18"/>
                <w:color w:val="auto"/>
                <w:w w:val="93"/>
              </w:rPr>
              <w:t>Effective Date:</w:t>
            </w:r>
          </w:p>
        </w:tc>
        <w:tc>
          <w:tcPr>
            <w:tcW w:w="7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Arial" w:cs="Arial" w:eastAsia="Arial" w:hAnsi="Arial"/>
                <w:sz w:val="18"/>
                <w:szCs w:val="18"/>
                <w:color w:val="auto"/>
              </w:rPr>
              <w:t>, 201   [TO BE INSERTED BY ADMINISTRATIVE AGENT AND WHICH SHALL BE THE EFFECTIVE DATE OF</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200" w:type="dxa"/>
            <w:vAlign w:val="bottom"/>
            <w:gridSpan w:val="7"/>
          </w:tcPr>
          <w:p>
            <w:pPr>
              <w:spacing w:after="0"/>
              <w:rPr>
                <w:sz w:val="20"/>
                <w:szCs w:val="20"/>
                <w:color w:val="auto"/>
              </w:rPr>
            </w:pPr>
            <w:r>
              <w:rPr>
                <w:rFonts w:ascii="Arial" w:cs="Arial" w:eastAsia="Arial" w:hAnsi="Arial"/>
                <w:sz w:val="18"/>
                <w:szCs w:val="18"/>
                <w:color w:val="auto"/>
              </w:rPr>
              <w:t>RECORDATION OF TRANSFER IN THE REGISTER THEREFOR.]</w:t>
            </w: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8865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11"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20"/>
          <w:szCs w:val="20"/>
          <w:color w:val="auto"/>
          <w:vertAlign w:val="superscript"/>
        </w:rPr>
      </w:pPr>
      <w:r>
        <w:rPr>
          <w:rFonts w:ascii="Arial" w:cs="Arial" w:eastAsia="Arial" w:hAnsi="Arial"/>
          <w:sz w:val="16"/>
          <w:szCs w:val="16"/>
          <w:color w:val="auto"/>
        </w:rPr>
        <w:t>Fill in the appropriate terminology for the types of facilities under the Credit Agreement that are being assigned under this Assignment (e.g. “Dollar</w:t>
      </w:r>
    </w:p>
    <w:p>
      <w:pPr>
        <w:spacing w:after="0" w:line="210" w:lineRule="exact"/>
        <w:rPr>
          <w:sz w:val="20"/>
          <w:szCs w:val="20"/>
          <w:color w:val="auto"/>
        </w:rPr>
      </w:pPr>
    </w:p>
    <w:p>
      <w:pPr>
        <w:ind w:left="5580" w:right="3900" w:hanging="5572"/>
        <w:spacing w:after="0" w:line="424" w:lineRule="auto"/>
        <w:tabs>
          <w:tab w:leader="none" w:pos="456" w:val="left"/>
        </w:tabs>
        <w:numPr>
          <w:ilvl w:val="0"/>
          <w:numId w:val="202"/>
        </w:numPr>
        <w:rPr>
          <w:rFonts w:ascii="Arial" w:cs="Arial" w:eastAsia="Arial" w:hAnsi="Arial"/>
          <w:sz w:val="21"/>
          <w:szCs w:val="21"/>
          <w:color w:val="auto"/>
          <w:vertAlign w:val="superscript"/>
        </w:rPr>
      </w:pPr>
      <w:r>
        <w:rPr>
          <w:rFonts w:ascii="Arial" w:cs="Arial" w:eastAsia="Arial" w:hAnsi="Arial"/>
          <w:sz w:val="17"/>
          <w:szCs w:val="17"/>
          <w:color w:val="auto"/>
        </w:rPr>
        <w:t>Set forth, to at least 9 decimals, as a percentage of the Commitment/Loans of all Lenders thereunder. A-2</w:t>
      </w:r>
    </w:p>
    <w:p>
      <w:pPr>
        <w:sectPr>
          <w:pgSz w:w="11900" w:h="16838" w:orient="portrait"/>
          <w:cols w:equalWidth="0" w:num="1">
            <w:col w:w="11420"/>
          </w:cols>
          <w:pgMar w:left="240" w:top="280"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[Consented to and]</w:t>
      </w:r>
      <w:r>
        <w:rPr>
          <w:rFonts w:ascii="Arial" w:cs="Arial" w:eastAsia="Arial" w:hAnsi="Arial"/>
          <w:sz w:val="11"/>
          <w:szCs w:val="11"/>
          <w:color w:val="auto"/>
        </w:rPr>
        <w:t>4</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Issuing Bank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jc w:val="center"/>
        <w:ind w:right="9079"/>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TPG SPECIALTY LENDING,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8865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To be added only if the consent of the Administrative Agent is required by the terms of the Credit Agreement.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be added only when the consent of the Borrower is required by the terms of the Credit Agreement.</w:t>
      </w:r>
    </w:p>
    <w:p>
      <w:pPr>
        <w:spacing w:after="0" w:line="17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A-3</w:t>
      </w:r>
    </w:p>
    <w:p>
      <w:pPr>
        <w:sectPr>
          <w:pgSz w:w="11900" w:h="16838" w:orient="portrait"/>
          <w:cols w:equalWidth="0" w:num="2">
            <w:col w:w="60" w:space="400"/>
            <w:col w:w="9759"/>
          </w:cols>
          <w:pgMar w:left="240" w:top="280" w:right="1440" w:bottom="1440" w:gutter="0" w:footer="0" w:header="0"/>
          <w:type w:val="continuous"/>
        </w:sectPr>
      </w:pPr>
    </w:p>
    <w:bookmarkStart w:id="166" w:name="page167"/>
    <w:bookmarkEnd w:id="166"/>
    <w:p>
      <w:pPr>
        <w:ind w:left="5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STANDARD TERMS AND CONDITIONS FOR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 AND ASSUMPTION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Representative and Warranties.</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18"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21" w:lineRule="exact"/>
        <w:rPr>
          <w:sz w:val="20"/>
          <w:szCs w:val="20"/>
          <w:color w:val="auto"/>
        </w:rPr>
      </w:pPr>
    </w:p>
    <w:p>
      <w:pPr>
        <w:ind w:right="380" w:firstLine="921"/>
        <w:spacing w:after="0" w:line="259" w:lineRule="auto"/>
        <w:tabs>
          <w:tab w:leader="none" w:pos="1088"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up to but excluding the Effective Date and to the Assignee for amounts which have accrued from and after the Effective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167" w:name="page168"/>
    <w:bookmarkEnd w:id="167"/>
    <w:p>
      <w:pPr>
        <w:ind w:left="-20" w:firstLine="921"/>
        <w:spacing w:after="0" w:line="255" w:lineRule="auto"/>
        <w:tabs>
          <w:tab w:leader="none" w:pos="1068"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email or other electronic method of transmission shall be effective as deliver of a manually executed counterpart of this Assignment and Assumption. This Assignment and Assumption shall be governed by, and construed in accordance with, the law of the State of New York.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60" w:top="280" w:right="25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BORROWING BASE CERTIFICATE</w:t>
      </w:r>
    </w:p>
    <w:p>
      <w:pPr>
        <w:spacing w:after="0" w:line="73" w:lineRule="exact"/>
        <w:rPr>
          <w:sz w:val="20"/>
          <w:szCs w:val="20"/>
          <w:color w:val="auto"/>
        </w:rPr>
      </w:pPr>
    </w:p>
    <w:tbl>
      <w:tblPr>
        <w:tblLayout w:type="fixed"/>
        <w:tblInd w:w="354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Arial" w:cs="Arial" w:eastAsia="Arial" w:hAnsi="Arial"/>
                <w:sz w:val="18"/>
                <w:szCs w:val="18"/>
                <w:b w:val="1"/>
                <w:bCs w:val="1"/>
                <w:color w:val="auto"/>
                <w:w w:val="88"/>
              </w:rPr>
              <w:t>Monthly accounting period ended</w:t>
            </w:r>
          </w:p>
        </w:tc>
        <w:tc>
          <w:tcPr>
            <w:tcW w:w="880" w:type="dxa"/>
            <w:vAlign w:val="bottom"/>
            <w:tcBorders>
              <w:bottom w:val="single" w:sz="8" w:color="auto"/>
            </w:tcBorders>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 201</w:t>
            </w:r>
          </w:p>
        </w:tc>
        <w:tc>
          <w:tcPr>
            <w:tcW w:w="520" w:type="dxa"/>
            <w:vAlign w:val="bottom"/>
            <w:tcBorders>
              <w:bottom w:val="single" w:sz="8" w:color="auto"/>
            </w:tcBorders>
          </w:tcPr>
          <w:p>
            <w:pPr>
              <w:spacing w:after="0"/>
              <w:rPr>
                <w:sz w:val="17"/>
                <w:szCs w:val="17"/>
                <w:color w:val="auto"/>
              </w:rPr>
            </w:pPr>
          </w:p>
        </w:tc>
      </w:tr>
    </w:tbl>
    <w:p>
      <w:pPr>
        <w:spacing w:after="0" w:line="18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Reference is made to that certain Senior Secured Revolving Credit Agreement, dated as of August 23, 2012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TPG SPECIALTY LENDING,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financial institutions party thereto as Lenders, and SunTrust Bank, as the Administrative Agent. Capitalized terms used herein without definition are so used as defined in the Credit Agreement.</w:t>
      </w:r>
    </w:p>
    <w:p>
      <w:pPr>
        <w:spacing w:after="0" w:line="143" w:lineRule="exact"/>
        <w:rPr>
          <w:sz w:val="20"/>
          <w:szCs w:val="20"/>
          <w:color w:val="auto"/>
        </w:rPr>
      </w:pPr>
    </w:p>
    <w:p>
      <w:pPr>
        <w:ind w:left="460"/>
        <w:spacing w:after="0"/>
        <w:tabs>
          <w:tab w:leader="none" w:pos="6940" w:val="left"/>
        </w:tabs>
        <w:rPr>
          <w:sz w:val="20"/>
          <w:szCs w:val="20"/>
          <w:color w:val="auto"/>
        </w:rPr>
      </w:pPr>
      <w:r>
        <w:rPr>
          <w:rFonts w:ascii="Arial" w:cs="Arial" w:eastAsia="Arial" w:hAnsi="Arial"/>
          <w:sz w:val="18"/>
          <w:szCs w:val="18"/>
          <w:color w:val="auto"/>
        </w:rPr>
        <w:t>Pursuant to Section 5.01(d) of the Credit Agreement, the undersigned, the</w:t>
      </w:r>
      <w:r>
        <w:rPr>
          <w:sz w:val="20"/>
          <w:szCs w:val="20"/>
          <w:color w:val="auto"/>
        </w:rPr>
        <w:tab/>
      </w:r>
      <w:r>
        <w:rPr>
          <w:rFonts w:ascii="Arial" w:cs="Arial" w:eastAsia="Arial" w:hAnsi="Arial"/>
          <w:sz w:val="16"/>
          <w:szCs w:val="16"/>
          <w:color w:val="auto"/>
        </w:rPr>
        <w:t>of the Borrower, and as such a Financial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-13970</wp:posOffset>
            </wp:positionV>
            <wp:extent cx="7804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xml:space="preserve">Borrower, hereby certifies, represents and warrants on behalf of the Borrower that (a) attached hereto as </w:t>
      </w:r>
      <w:r>
        <w:rPr>
          <w:rFonts w:ascii="Arial" w:cs="Arial" w:eastAsia="Arial" w:hAnsi="Arial"/>
          <w:sz w:val="15"/>
          <w:szCs w:val="15"/>
          <w:u w:val="single" w:color="auto"/>
          <w:color w:val="auto"/>
        </w:rPr>
        <w:t>Annex 1</w:t>
      </w:r>
      <w:r>
        <w:rPr>
          <w:rFonts w:ascii="Arial" w:cs="Arial" w:eastAsia="Arial" w:hAnsi="Arial"/>
          <w:sz w:val="15"/>
          <w:szCs w:val="15"/>
          <w:color w:val="auto"/>
        </w:rPr>
        <w:t xml:space="preserve"> is (i) a complete and correct list as of the end of</w:t>
      </w:r>
    </w:p>
    <w:p>
      <w:pPr>
        <w:spacing w:after="0" w:line="44" w:lineRule="exact"/>
        <w:rPr>
          <w:sz w:val="20"/>
          <w:szCs w:val="20"/>
          <w:color w:val="auto"/>
        </w:rPr>
      </w:pPr>
    </w:p>
    <w:p>
      <w:pPr>
        <w:spacing w:after="0"/>
        <w:tabs>
          <w:tab w:leader="none" w:pos="3520" w:val="left"/>
          <w:tab w:leader="none" w:pos="4320" w:val="left"/>
        </w:tabs>
        <w:rPr>
          <w:sz w:val="20"/>
          <w:szCs w:val="20"/>
          <w:color w:val="auto"/>
        </w:rPr>
      </w:pPr>
      <w:r>
        <w:rPr>
          <w:rFonts w:ascii="Arial" w:cs="Arial" w:eastAsia="Arial" w:hAnsi="Arial"/>
          <w:sz w:val="18"/>
          <w:szCs w:val="18"/>
          <w:color w:val="auto"/>
        </w:rPr>
        <w:t>the monthly accounting period ended</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6"/>
          <w:szCs w:val="16"/>
          <w:color w:val="auto"/>
        </w:rPr>
        <w:t>of all Portfolio Investments included in the Collateral and (ii) a true and correct calculation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-17780</wp:posOffset>
            </wp:positionV>
            <wp:extent cx="10033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right="80"/>
        <w:spacing w:after="0" w:line="255" w:lineRule="auto"/>
        <w:rPr>
          <w:sz w:val="20"/>
          <w:szCs w:val="20"/>
          <w:color w:val="auto"/>
        </w:rPr>
      </w:pPr>
      <w:r>
        <w:rPr>
          <w:rFonts w:ascii="Arial" w:cs="Arial" w:eastAsia="Arial" w:hAnsi="Arial"/>
          <w:sz w:val="18"/>
          <w:szCs w:val="18"/>
          <w:color w:val="auto"/>
        </w:rPr>
        <w:t>Borrowing Base as of the end of such monthly accounting period determined in accordance with the requirements of the Credit Agreement, and (b) without limiting the generality of the foregoing, all Portfolio Investments included in the calculation of the Borrowing Base herein have been Delivered (as defined in the Guarantee and Security Agreement) to the Collateral Agent.</w:t>
      </w:r>
    </w:p>
    <w:p>
      <w:pPr>
        <w:spacing w:after="0" w:line="144" w:lineRule="exact"/>
        <w:rPr>
          <w:sz w:val="20"/>
          <w:szCs w:val="20"/>
          <w:color w:val="auto"/>
        </w:rPr>
      </w:pPr>
    </w:p>
    <w:p>
      <w:pPr>
        <w:ind w:left="460"/>
        <w:spacing w:after="0"/>
        <w:tabs>
          <w:tab w:leader="none" w:pos="8600" w:val="left"/>
          <w:tab w:leader="none" w:pos="10320" w:val="left"/>
          <w:tab w:leader="none" w:pos="11020" w:val="left"/>
        </w:tabs>
        <w:rPr>
          <w:sz w:val="20"/>
          <w:szCs w:val="20"/>
          <w:color w:val="auto"/>
        </w:rPr>
      </w:pPr>
      <w:r>
        <w:rPr>
          <w:rFonts w:ascii="Arial" w:cs="Arial" w:eastAsia="Arial" w:hAnsi="Arial"/>
          <w:sz w:val="18"/>
          <w:szCs w:val="18"/>
          <w:color w:val="auto"/>
        </w:rPr>
        <w:t>IN WITNESS WHEREOF, the undersigned has caused this certificate to be duly executed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-13970</wp:posOffset>
            </wp:positionV>
            <wp:extent cx="22606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60600" cy="8890"/>
                    </a:xfrm>
                    <a:prstGeom prst="rect">
                      <a:avLst/>
                    </a:prstGeom>
                    <a:noFill/>
                  </pic:spPr>
                </pic:pic>
              </a:graphicData>
            </a:graphic>
          </wp:anchor>
        </w:drawing>
      </w:r>
    </w:p>
    <w:p>
      <w:pPr>
        <w:spacing w:after="0" w:line="27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69" w:name="page170"/>
    <w:bookmarkEnd w:id="169"/>
    <w:p>
      <w:pPr>
        <w:ind w:left="10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REQUEST</w:t>
      </w:r>
    </w:p>
    <w:p>
      <w:pPr>
        <w:spacing w:after="0" w:line="177" w:lineRule="exact"/>
        <w:rPr>
          <w:sz w:val="20"/>
          <w:szCs w:val="20"/>
          <w:color w:val="auto"/>
        </w:rPr>
      </w:pPr>
    </w:p>
    <w:p>
      <w:pPr>
        <w:ind w:left="9540"/>
        <w:spacing w:after="0"/>
        <w:tabs>
          <w:tab w:leader="none" w:pos="10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-13970</wp:posOffset>
            </wp:positionV>
            <wp:extent cx="9474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47420"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SunTrust Bank, as Administrative Agent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Reference is made to that certain Senior Secured Revolving Credit Agreement, dated as of August 23, 2012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TPG Specialty Lending,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financial institutions party thereto as Lenders, and SunTrust Bank, as the Administrative Agent. Capitalized terms used herein without definition are so used as defined in the Credit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hereby requests a Borrowing of Loans: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420" w:type="dxa"/>
            <w:vAlign w:val="bottom"/>
          </w:tcPr>
          <w:p>
            <w:pPr>
              <w:ind w:left="160"/>
              <w:spacing w:after="0"/>
              <w:rPr>
                <w:sz w:val="20"/>
                <w:szCs w:val="20"/>
                <w:color w:val="auto"/>
              </w:rPr>
            </w:pPr>
            <w:r>
              <w:rPr>
                <w:rFonts w:ascii="Arial" w:cs="Arial" w:eastAsia="Arial" w:hAnsi="Arial"/>
                <w:sz w:val="18"/>
                <w:szCs w:val="18"/>
                <w:color w:val="auto"/>
                <w:w w:val="99"/>
              </w:rPr>
              <w:t>On</w:t>
            </w:r>
          </w:p>
        </w:tc>
        <w:tc>
          <w:tcPr>
            <w:tcW w:w="520" w:type="dxa"/>
            <w:vAlign w:val="bottom"/>
            <w:tcBorders>
              <w:bottom w:val="single" w:sz="8" w:color="auto"/>
            </w:tcBorders>
          </w:tcPr>
          <w:p>
            <w:pPr>
              <w:spacing w:after="0"/>
              <w:rPr>
                <w:sz w:val="17"/>
                <w:szCs w:val="17"/>
                <w:color w:val="auto"/>
              </w:rPr>
            </w:pPr>
          </w:p>
        </w:tc>
        <w:tc>
          <w:tcPr>
            <w:tcW w:w="2860" w:type="dxa"/>
            <w:vAlign w:val="bottom"/>
            <w:gridSpan w:val="6"/>
          </w:tcPr>
          <w:p>
            <w:pPr>
              <w:ind w:left="100"/>
              <w:spacing w:after="0"/>
              <w:rPr>
                <w:sz w:val="20"/>
                <w:szCs w:val="20"/>
                <w:color w:val="auto"/>
              </w:rPr>
            </w:pPr>
            <w:r>
              <w:rPr>
                <w:rFonts w:ascii="Arial" w:cs="Arial" w:eastAsia="Arial" w:hAnsi="Arial"/>
                <w:sz w:val="18"/>
                <w:szCs w:val="18"/>
                <w:color w:val="auto"/>
              </w:rPr>
              <w:t>(a Business Day).</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1360" w:type="dxa"/>
            <w:vAlign w:val="bottom"/>
            <w:gridSpan w:val="4"/>
          </w:tcPr>
          <w:p>
            <w:pPr>
              <w:ind w:left="160"/>
              <w:spacing w:after="0"/>
              <w:rPr>
                <w:sz w:val="20"/>
                <w:szCs w:val="20"/>
                <w:color w:val="auto"/>
              </w:rPr>
            </w:pPr>
            <w:r>
              <w:rPr>
                <w:rFonts w:ascii="Arial" w:cs="Arial" w:eastAsia="Arial" w:hAnsi="Arial"/>
                <w:sz w:val="18"/>
                <w:szCs w:val="18"/>
                <w:color w:val="auto"/>
                <w:w w:val="90"/>
              </w:rPr>
              <w:t>In the amount of</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1360" w:type="dxa"/>
            <w:vAlign w:val="bottom"/>
            <w:gridSpan w:val="4"/>
          </w:tcPr>
          <w:p>
            <w:pPr>
              <w:ind w:left="160"/>
              <w:spacing w:after="0"/>
              <w:rPr>
                <w:sz w:val="20"/>
                <w:szCs w:val="20"/>
                <w:color w:val="auto"/>
              </w:rPr>
            </w:pPr>
            <w:r>
              <w:rPr>
                <w:rFonts w:ascii="Arial" w:cs="Arial" w:eastAsia="Arial" w:hAnsi="Arial"/>
                <w:sz w:val="18"/>
                <w:szCs w:val="18"/>
                <w:color w:val="auto"/>
              </w:rPr>
              <w:t>Comprised of</w:t>
            </w: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020" w:type="dxa"/>
            <w:vAlign w:val="bottom"/>
          </w:tcPr>
          <w:p>
            <w:pPr>
              <w:spacing w:after="0"/>
              <w:rPr>
                <w:sz w:val="24"/>
                <w:szCs w:val="24"/>
                <w:color w:val="auto"/>
              </w:rPr>
            </w:pPr>
          </w:p>
        </w:tc>
      </w:tr>
      <w:tr>
        <w:trPr>
          <w:trHeight w:val="235"/>
        </w:trPr>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8"/>
                <w:szCs w:val="18"/>
                <w:i w:val="1"/>
                <w:iCs w:val="1"/>
                <w:color w:val="auto"/>
                <w:w w:val="91"/>
              </w:rPr>
              <w:t>[Type of Borrowing requested]</w:t>
            </w:r>
          </w:p>
        </w:tc>
        <w:tc>
          <w:tcPr>
            <w:tcW w:w="2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259"/>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2040" w:type="dxa"/>
            <w:vAlign w:val="bottom"/>
            <w:gridSpan w:val="6"/>
          </w:tcPr>
          <w:p>
            <w:pPr>
              <w:ind w:left="160"/>
              <w:spacing w:after="0"/>
              <w:rPr>
                <w:sz w:val="20"/>
                <w:szCs w:val="20"/>
                <w:color w:val="auto"/>
              </w:rPr>
            </w:pPr>
            <w:r>
              <w:rPr>
                <w:rFonts w:ascii="Arial" w:cs="Arial" w:eastAsia="Arial" w:hAnsi="Arial"/>
                <w:sz w:val="18"/>
                <w:szCs w:val="18"/>
                <w:color w:val="auto"/>
                <w:w w:val="93"/>
              </w:rPr>
              <w:t>In the following currency:</w:t>
            </w:r>
          </w:p>
        </w:tc>
        <w:tc>
          <w:tcPr>
            <w:tcW w:w="1760" w:type="dxa"/>
            <w:vAlign w:val="bottom"/>
            <w:tcBorders>
              <w:bottom w:val="single" w:sz="8" w:color="auto"/>
            </w:tcBorders>
            <w:gridSpan w:val="2"/>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20" w:type="dxa"/>
            <w:vAlign w:val="bottom"/>
          </w:tcPr>
          <w:p>
            <w:pPr>
              <w:spacing w:after="0"/>
              <w:rPr>
                <w:sz w:val="22"/>
                <w:szCs w:val="22"/>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5.</w:t>
            </w:r>
          </w:p>
        </w:tc>
        <w:tc>
          <w:tcPr>
            <w:tcW w:w="4200" w:type="dxa"/>
            <w:vAlign w:val="bottom"/>
            <w:gridSpan w:val="10"/>
          </w:tcPr>
          <w:p>
            <w:pPr>
              <w:ind w:left="160"/>
              <w:spacing w:after="0"/>
              <w:rPr>
                <w:sz w:val="20"/>
                <w:szCs w:val="20"/>
                <w:color w:val="auto"/>
              </w:rPr>
            </w:pPr>
            <w:r>
              <w:rPr>
                <w:rFonts w:ascii="Arial" w:cs="Arial" w:eastAsia="Arial" w:hAnsi="Arial"/>
                <w:sz w:val="18"/>
                <w:szCs w:val="18"/>
                <w:color w:val="auto"/>
                <w:w w:val="90"/>
              </w:rPr>
              <w:t>For Eurocurrency Borrowings: with an Interest Period of</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w w:val="96"/>
              </w:rPr>
              <w:t>months.</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6.</w:t>
            </w:r>
          </w:p>
        </w:tc>
        <w:tc>
          <w:tcPr>
            <w:tcW w:w="3800" w:type="dxa"/>
            <w:vAlign w:val="bottom"/>
            <w:gridSpan w:val="8"/>
          </w:tcPr>
          <w:p>
            <w:pPr>
              <w:ind w:left="160"/>
              <w:spacing w:after="0"/>
              <w:rPr>
                <w:sz w:val="20"/>
                <w:szCs w:val="20"/>
                <w:color w:val="auto"/>
              </w:rPr>
            </w:pPr>
            <w:r>
              <w:rPr>
                <w:rFonts w:ascii="Arial" w:cs="Arial" w:eastAsia="Arial" w:hAnsi="Arial"/>
                <w:sz w:val="18"/>
                <w:szCs w:val="18"/>
                <w:color w:val="auto"/>
              </w:rPr>
              <w:t>To Borrower’s account number</w:t>
            </w:r>
          </w:p>
        </w:tc>
        <w:tc>
          <w:tcPr>
            <w:tcW w:w="40" w:type="dxa"/>
            <w:vAlign w:val="bottom"/>
          </w:tcPr>
          <w:p>
            <w:pPr>
              <w:spacing w:after="0"/>
              <w:rPr>
                <w:sz w:val="24"/>
                <w:szCs w:val="24"/>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2"/>
              </w:rPr>
              <w:t>located at</w:t>
            </w:r>
          </w:p>
        </w:tc>
        <w:tc>
          <w:tcPr>
            <w:tcW w:w="13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437"/>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b w:val="1"/>
                <w:bCs w:val="1"/>
                <w:color w:val="auto"/>
              </w:rPr>
              <w:t>TPG SPECIALTY LENDING, INC.</w:t>
            </w:r>
          </w:p>
        </w:tc>
      </w:tr>
      <w:tr>
        <w:trPr>
          <w:trHeight w:val="433"/>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4"/>
                <w:szCs w:val="24"/>
                <w:color w:val="auto"/>
              </w:rPr>
            </w:pPr>
          </w:p>
        </w:tc>
      </w:tr>
      <w:tr>
        <w:trPr>
          <w:trHeight w:val="304"/>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w w:val="98"/>
              </w:rPr>
              <w:t>Name:</w:t>
            </w:r>
          </w:p>
        </w:tc>
        <w:tc>
          <w:tcPr>
            <w:tcW w:w="4020" w:type="dxa"/>
            <w:vAlign w:val="bottom"/>
            <w:tcBorders>
              <w:bottom w:val="single" w:sz="8" w:color="auto"/>
            </w:tcBorders>
          </w:tcPr>
          <w:p>
            <w:pPr>
              <w:spacing w:after="0"/>
              <w:rPr>
                <w:sz w:val="24"/>
                <w:szCs w:val="24"/>
                <w:color w:val="auto"/>
              </w:rPr>
            </w:pPr>
          </w:p>
        </w:tc>
      </w:tr>
      <w:tr>
        <w:trPr>
          <w:trHeight w:val="304"/>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Title:</w:t>
            </w:r>
          </w:p>
        </w:tc>
      </w:tr>
      <w:tr>
        <w:trPr>
          <w:trHeight w:val="357"/>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C-1</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top w:val="single" w:sz="8" w:color="auto"/>
            </w:tcBorders>
          </w:tcPr>
          <w:p>
            <w:pPr>
              <w:ind w:left="2040"/>
              <w:spacing w:after="0"/>
              <w:rPr>
                <w:sz w:val="20"/>
                <w:szCs w:val="20"/>
                <w:color w:val="auto"/>
              </w:rPr>
            </w:pPr>
            <w:r>
              <w:rPr>
                <w:rFonts w:ascii="Arial" w:cs="Arial" w:eastAsia="Arial" w:hAnsi="Arial"/>
                <w:sz w:val="18"/>
                <w:szCs w:val="18"/>
                <w:i w:val="1"/>
                <w:iCs w:val="1"/>
                <w:color w:val="auto"/>
                <w:w w:val="87"/>
              </w:rPr>
              <w:t>Revolving Credit Agreement</w:t>
            </w:r>
          </w:p>
        </w:tc>
      </w:tr>
    </w:tbl>
    <w:p>
      <w:pPr>
        <w:sectPr>
          <w:pgSz w:w="11900" w:h="16838" w:orient="portrait"/>
          <w:cols w:equalWidth="0" w:num="1">
            <w:col w:w="11420"/>
          </w:cols>
          <w:pgMar w:left="240" w:top="274"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FIRST AMENDMENT TO AMENDED AND RESTATED REVOLVING CREDIT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w:t>
      </w:r>
    </w:p>
    <w:p>
      <w:pPr>
        <w:spacing w:after="0" w:line="16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16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Borrower</w:t>
      </w:r>
    </w:p>
    <w:p>
      <w:pPr>
        <w:spacing w:after="0" w:line="15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LENDERS NAMED HEREIN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156845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71" w:name="page172"/>
    <w:bookmarkEnd w:id="171"/>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FIRST AMENDMENT TO AMENDED AND RESTATED REVOLVING CREDIT AGREEMENT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is entered into as of October 31, 2012, by and among TPG SPECIALTY LENDING, INC.,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and DEUTSCHE BANK TRUST COMPANY AMERICAS (in its individual capacity, “</w:t>
      </w:r>
      <w:r>
        <w:rPr>
          <w:rFonts w:ascii="Arial" w:cs="Arial" w:eastAsia="Arial" w:hAnsi="Arial"/>
          <w:sz w:val="18"/>
          <w:szCs w:val="18"/>
          <w:u w:val="single" w:color="auto"/>
          <w:color w:val="auto"/>
        </w:rPr>
        <w:t>Deutsche Bank</w:t>
      </w:r>
      <w:r>
        <w:rPr>
          <w:rFonts w:ascii="Arial" w:cs="Arial" w:eastAsia="Arial" w:hAnsi="Arial"/>
          <w:sz w:val="18"/>
          <w:szCs w:val="18"/>
          <w:color w:val="auto"/>
        </w:rPr>
        <w:t>”), as a Lender, as a Letter of Credit Issuer, as Administrative Agent for Lenders and Letter of Credit Issuer, and each of the other lending institutions that becomes a Lender under the Credit Agreement.</w:t>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WHEREAS, Borrower, Lenders party thereto and Deutsche Bank, as a Lender, Letter of Credit Issuer and Administrative Agent, entered into an Amended and Restated Revolving Credit Agreement, dated as of December 22, 2011 (as same may be amended, supplemented, renewed, extended, replaced, or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Lenders committed to make Loans to Borrower and to participate in Letters of Credit issued for the account of Borrower pursuant to the terms thereof; and</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Borrower has requested that certain terms of the Credit Agreement be amended, and Lenders have consented thereto, pursuant to the terms and conditions hereof; and</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WHEREAS, terms used in this First Amendment which are defined in the Credit Agreement shall have the meanings specified therein, as applicable (unless otherwise defined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for good and valuable consideration, the parties hereto hereby agree as follows: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 to Revolving Credit Agreement</w:t>
      </w:r>
      <w:r>
        <w:rPr>
          <w:rFonts w:ascii="Arial" w:cs="Arial" w:eastAsia="Arial" w:hAnsi="Arial"/>
          <w:sz w:val="18"/>
          <w:szCs w:val="18"/>
          <w:color w:val="auto"/>
        </w:rPr>
        <w:t>. Borrower, Lenders, Letter of Credit Issuer and Administrative Agent hereby amend the Credit Agreement, as of the date hereof, as follows: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Section 1.1 of the Credit Agreement is hereby amended to delete the definition of “Permitted Other Indebtedness” and replace it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920" w:right="640"/>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Other Indebtedness</w:t>
      </w:r>
      <w:r>
        <w:rPr>
          <w:rFonts w:ascii="Arial" w:cs="Arial" w:eastAsia="Arial" w:hAnsi="Arial"/>
          <w:sz w:val="15"/>
          <w:szCs w:val="15"/>
          <w:color w:val="auto"/>
        </w:rPr>
        <w:t>” means (a) Unsecured Recourse Indebtedness provided that any amount thereof in excess of $50,000,000 is subtracted from the Borrowing Base, (b) Fully Secured Indebtedness, (c) Financing Indebtedness, (d) Non-Recourse Indebtedness, and</w:t>
      </w:r>
    </w:p>
    <w:p>
      <w:pPr>
        <w:ind w:left="920" w:right="60" w:firstLine="1"/>
        <w:spacing w:after="0" w:line="300" w:lineRule="auto"/>
        <w:tabs>
          <w:tab w:leader="none" w:pos="1159" w:val="left"/>
        </w:tabs>
        <w:numPr>
          <w:ilvl w:val="0"/>
          <w:numId w:val="205"/>
        </w:numPr>
        <w:rPr>
          <w:rFonts w:ascii="Arial" w:cs="Arial" w:eastAsia="Arial" w:hAnsi="Arial"/>
          <w:sz w:val="15"/>
          <w:szCs w:val="15"/>
          <w:color w:val="auto"/>
        </w:rPr>
      </w:pPr>
      <w:r>
        <w:rPr>
          <w:rFonts w:ascii="Arial" w:cs="Arial" w:eastAsia="Arial" w:hAnsi="Arial"/>
          <w:sz w:val="15"/>
          <w:szCs w:val="15"/>
          <w:color w:val="auto"/>
        </w:rPr>
        <w:t>obligations for customary custodial fees and expenses and custodian advances for trade settlements and custodian over-advances incurred in the ordinary course of business owing to an account custodian of the Borrower, such obligations to be outstanding for a period not in excess of five</w:t>
      </w:r>
    </w:p>
    <w:p>
      <w:pPr>
        <w:ind w:left="920"/>
        <w:spacing w:after="0"/>
        <w:rPr>
          <w:rFonts w:ascii="Arial" w:cs="Arial" w:eastAsia="Arial" w:hAnsi="Arial"/>
          <w:sz w:val="15"/>
          <w:szCs w:val="15"/>
          <w:color w:val="auto"/>
        </w:rPr>
      </w:pPr>
      <w:r>
        <w:rPr>
          <w:rFonts w:ascii="Arial" w:cs="Arial" w:eastAsia="Arial" w:hAnsi="Arial"/>
          <w:sz w:val="18"/>
          <w:szCs w:val="18"/>
          <w:color w:val="auto"/>
        </w:rPr>
        <w:t>(5) Business Days and in an aggregate amount not greater than ten million Dollars ($10,000,000).</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Section 4.15 of the Credit Agreement is hereby amended and restated as follows:</w:t>
      </w:r>
    </w:p>
    <w:p>
      <w:pPr>
        <w:sectPr>
          <w:pgSz w:w="11900" w:h="16838" w:orient="portrait"/>
          <w:cols w:equalWidth="0" w:num="1">
            <w:col w:w="11320"/>
          </w:cols>
          <w:pgMar w:left="240" w:top="280" w:right="339" w:bottom="1440" w:gutter="0" w:footer="0" w:header="0"/>
        </w:sectPr>
      </w:pPr>
    </w:p>
    <w:bookmarkStart w:id="172" w:name="page173"/>
    <w:bookmarkEnd w:id="172"/>
    <w:p>
      <w:pPr>
        <w:ind w:right="80" w:firstLine="685"/>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4.15 </w:t>
      </w:r>
      <w:r>
        <w:rPr>
          <w:rFonts w:ascii="Arial" w:cs="Arial" w:eastAsia="Arial" w:hAnsi="Arial"/>
          <w:sz w:val="16"/>
          <w:szCs w:val="16"/>
          <w:u w:val="single" w:color="auto"/>
          <w:color w:val="auto"/>
        </w:rPr>
        <w:t>Funded Capital Commitments</w:t>
      </w:r>
      <w:r>
        <w:rPr>
          <w:rFonts w:ascii="Arial" w:cs="Arial" w:eastAsia="Arial" w:hAnsi="Arial"/>
          <w:sz w:val="16"/>
          <w:szCs w:val="16"/>
          <w:color w:val="auto"/>
        </w:rPr>
        <w:t>. (i) During the twelve month period beginning on the Closing Date and ending on the first year anniversary thereof, Borrower shall make Capital Calls against, and receive proceeds thereof, in an aggregate amount at least equal to five percent (5%) of the average daily Capital Commitments during such period. (ii) During the twelve month period beginning on the first year anniversary of the Closing Date and ending on the second year anniversary of the Closing Date, Borrower shall make Capital Calls against, and receive proceeds thereof, in an aggregate amount at least equal to five percent (5%) of the average daily Capital Commitments during such period.</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Section 5.8(c) is hereby amended and restated as follows:</w:t>
      </w:r>
    </w:p>
    <w:p>
      <w:pPr>
        <w:spacing w:after="0" w:line="212" w:lineRule="exact"/>
        <w:rPr>
          <w:sz w:val="20"/>
          <w:szCs w:val="20"/>
          <w:color w:val="auto"/>
        </w:rPr>
      </w:pPr>
    </w:p>
    <w:p>
      <w:pPr>
        <w:ind w:left="460"/>
        <w:spacing w:after="0"/>
        <w:tabs>
          <w:tab w:leader="none" w:pos="780" w:val="left"/>
          <w:tab w:leader="none" w:pos="6140" w:val="left"/>
        </w:tabs>
        <w:rPr>
          <w:sz w:val="20"/>
          <w:szCs w:val="20"/>
          <w:color w:val="auto"/>
        </w:rPr>
      </w:pPr>
      <w:r>
        <w:rPr>
          <w:rFonts w:ascii="Arial" w:cs="Arial" w:eastAsia="Arial" w:hAnsi="Arial"/>
          <w:sz w:val="18"/>
          <w:szCs w:val="18"/>
          <w:color w:val="auto"/>
        </w:rPr>
        <w:t>(c)</w:t>
        <w:tab/>
        <w:t>$200,000,000 or greater</w:t>
      </w:r>
      <w:r>
        <w:rPr>
          <w:sz w:val="20"/>
          <w:szCs w:val="20"/>
          <w:color w:val="auto"/>
        </w:rPr>
        <w:tab/>
      </w:r>
      <w:r>
        <w:rPr>
          <w:rFonts w:ascii="Arial" w:cs="Arial" w:eastAsia="Arial" w:hAnsi="Arial"/>
          <w:sz w:val="15"/>
          <w:szCs w:val="15"/>
          <w:color w:val="auto"/>
        </w:rPr>
        <w:t>$200,000,000, plus 100% of the capital called in excess of $200,000,000</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Borrower hereby (i) confirms and reaffirms that the representations and warranties contained in the Credit Agreement and the other Loan Documents, to the extent applicable to Borrower, are true and correct in all material respects as of the First Amendment Date, except to the extent that they relate to a particular date, in which case they are true and correct in all material respects on and as of such date as if made on and as of such date, (ii) confirms that, after taking into account this First Amendment, there exists no Event of Default or, to Borrower’s knowledge, no event, which with the giving of notice or lapse of time or both, would become an Event of Default, under the Credit Agreement, and (iii) represents and warrants that Borrower has the power and requisite authority to execute, deliver, and perform its obligations under this First Amendment and is duly authorized to, and has taken all action necessary to authorize it to execute, deliver, and perform its respective obligations under this First Amendment.</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First Amendment shall become effective on the date hereof, subject to the Administrative Agent receiving this First Amendment duly executed and delivered by the Borrower and the other parties hereto;</w:t>
      </w:r>
    </w:p>
    <w:p>
      <w:pPr>
        <w:spacing w:after="0" w:line="13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Agreements in Full Force and Effect as Amended</w:t>
      </w:r>
      <w:r>
        <w:rPr>
          <w:rFonts w:ascii="Arial" w:cs="Arial" w:eastAsia="Arial" w:hAnsi="Arial"/>
          <w:sz w:val="16"/>
          <w:szCs w:val="16"/>
          <w:color w:val="auto"/>
        </w:rPr>
        <w:t>. Except as specifically amended hereby, all of the terms and conditions of the Credit Agreement and all other Loan Documents shall remain in full force and effect, and are hereby ratified and affirmed by Borrower. All references to the Credit Agreement in any other document or instrument shall be deemed to mean the Credit Agreement as amended by this First Amendment. This First Amendment shall not constitute a novation of the Credit Agreement or any other Loan Document, but shall constitute an amendment thereof.</w:t>
      </w:r>
    </w:p>
    <w:p>
      <w:pPr>
        <w:spacing w:after="0" w:line="11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Fees and Expenses</w:t>
      </w:r>
      <w:r>
        <w:rPr>
          <w:rFonts w:ascii="Arial" w:cs="Arial" w:eastAsia="Arial" w:hAnsi="Arial"/>
          <w:sz w:val="18"/>
          <w:szCs w:val="18"/>
          <w:color w:val="auto"/>
        </w:rPr>
        <w:t>. In accordance with Section 9.6 of the Credit Agreement, Borrower agrees to pay Administrative Agent all reasonable and documented out-of-pocket expenses incurred by Administrative Agent, including, without limitation, reasonable and documented legal fees, in connection with preparing, executing, delivering and administering this First Amendment.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in several counterparts, each of which shall be an original. The several counterparts shall constitute a single agreement. Receipt by telecopy or any other means of electronic communication of any executed signature page to this First Amendment shall be effective as delivery of a manually executed counterpart of this First Amendment.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73" w:name="page174"/>
    <w:bookmarkEnd w:id="173"/>
    <w:p>
      <w:pPr>
        <w:ind w:firstLine="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Amendment shall be governed by the laws of the State of New York as provided in the Credit Agreement and Borrower further agrees to submit to the jurisdiction of New York as provided therein.</w:t>
      </w:r>
    </w:p>
    <w:p>
      <w:pPr>
        <w:spacing w:after="0" w:line="12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Signature Page Follows.]</w:t>
      </w:r>
    </w:p>
    <w:p>
      <w:pPr>
        <w:spacing w:after="0" w:line="15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60" w:top="280" w:right="259" w:bottom="1440" w:gutter="0" w:footer="0" w:header="0"/>
        </w:sectPr>
      </w:pPr>
    </w:p>
    <w:bookmarkStart w:id="174" w:name="page175"/>
    <w:bookmarkEnd w:id="1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First Amendment to be executed by their duly authorized officers as of the date set forth above.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SPECIALTY LENDING,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 xml:space="preserve">DEUTSCHE BANK TRUST COMPANY AMERICAS, </w:t>
      </w:r>
      <w:r>
        <w:rPr>
          <w:rFonts w:ascii="Arial" w:cs="Arial" w:eastAsia="Arial" w:hAnsi="Arial"/>
          <w:sz w:val="18"/>
          <w:szCs w:val="18"/>
          <w:color w:val="auto"/>
        </w:rPr>
        <w:t>as</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Administrative Agent, Letter of Credit Issuer and as Lender</w:t>
      </w: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 xml:space="preserve">WELLS FARGO CAPITAL FINANCE, LLC, </w:t>
      </w:r>
      <w:r>
        <w:rPr>
          <w:rFonts w:ascii="Arial" w:cs="Arial" w:eastAsia="Arial" w:hAnsi="Arial"/>
          <w:sz w:val="18"/>
          <w:szCs w:val="18"/>
          <w:color w:val="auto"/>
        </w:rPr>
        <w:t>as a Lender</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FIRST AMENDMENT</w:t>
      </w:r>
    </w:p>
    <w:p>
      <w:pPr>
        <w:sectPr>
          <w:pgSz w:w="11900" w:h="16838" w:orient="portrait"/>
          <w:cols w:equalWidth="0" w:num="1">
            <w:col w:w="10960"/>
          </w:cols>
          <w:pgMar w:left="700" w:top="280"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hanging="440"/>
        <w:spacing w:after="0"/>
        <w:tabs>
          <w:tab w:leader="none" w:pos="19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90" w:lineRule="exact"/>
        <w:rPr>
          <w:rFonts w:ascii="Arial" w:cs="Arial" w:eastAsia="Arial" w:hAnsi="Arial"/>
          <w:sz w:val="18"/>
          <w:szCs w:val="18"/>
          <w:color w:val="auto"/>
        </w:rPr>
      </w:pPr>
    </w:p>
    <w:p>
      <w:pPr>
        <w:jc w:val="both"/>
        <w:ind w:left="1920" w:hanging="440"/>
        <w:spacing w:after="0" w:line="357" w:lineRule="auto"/>
        <w:tabs>
          <w:tab w:leader="none" w:pos="1920" w:val="left"/>
        </w:tabs>
        <w:numPr>
          <w:ilvl w:val="1"/>
          <w:numId w:val="20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Date: November 14, 2012</w:t>
            </w: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By:  /s/ Michael Fishman</w:t>
            </w:r>
          </w:p>
        </w:tc>
      </w:tr>
      <w:tr>
        <w:trPr>
          <w:trHeight w:val="202"/>
        </w:trPr>
        <w:tc>
          <w:tcPr>
            <w:tcW w:w="37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58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E. Viola, certify that:</w:t>
      </w:r>
    </w:p>
    <w:p>
      <w:pPr>
        <w:spacing w:after="0" w:line="90" w:lineRule="exact"/>
        <w:rPr>
          <w:sz w:val="20"/>
          <w:szCs w:val="20"/>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hanging="440"/>
        <w:spacing w:after="0"/>
        <w:tabs>
          <w:tab w:leader="none" w:pos="19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90" w:lineRule="exact"/>
        <w:rPr>
          <w:rFonts w:ascii="Arial" w:cs="Arial" w:eastAsia="Arial" w:hAnsi="Arial"/>
          <w:sz w:val="18"/>
          <w:szCs w:val="18"/>
          <w:color w:val="auto"/>
        </w:rPr>
      </w:pPr>
    </w:p>
    <w:p>
      <w:pPr>
        <w:jc w:val="both"/>
        <w:ind w:left="1920" w:hanging="440"/>
        <w:spacing w:after="0" w:line="357" w:lineRule="auto"/>
        <w:tabs>
          <w:tab w:leader="none" w:pos="1920" w:val="left"/>
        </w:tabs>
        <w:numPr>
          <w:ilvl w:val="1"/>
          <w:numId w:val="20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Date: November 14, 2012</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John E. Viola</w:t>
            </w:r>
          </w:p>
        </w:tc>
      </w:tr>
      <w:tr>
        <w:trPr>
          <w:trHeight w:val="202"/>
        </w:trPr>
        <w:tc>
          <w:tcPr>
            <w:tcW w:w="3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500" w:type="dxa"/>
            <w:vAlign w:val="bottom"/>
          </w:tcPr>
          <w:p>
            <w:pPr>
              <w:ind w:left="140"/>
              <w:spacing w:after="0" w:line="202" w:lineRule="exact"/>
              <w:rPr>
                <w:sz w:val="20"/>
                <w:szCs w:val="20"/>
                <w:color w:val="auto"/>
              </w:rPr>
            </w:pPr>
            <w:r>
              <w:rPr>
                <w:rFonts w:ascii="Arial" w:cs="Arial" w:eastAsia="Arial" w:hAnsi="Arial"/>
                <w:sz w:val="18"/>
                <w:szCs w:val="18"/>
                <w:color w:val="auto"/>
              </w:rPr>
              <w:t>John E. Viola</w:t>
            </w:r>
          </w:p>
        </w:tc>
      </w:tr>
      <w:tr>
        <w:trPr>
          <w:trHeight w:val="222"/>
        </w:trPr>
        <w:tc>
          <w:tcPr>
            <w:tcW w:w="3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September 30, 2012, as filed with the Securities and Exchange Commission on the date hereof (the “Report”), Michael Fishman, as Chief Executive Officer of the Company, and John Viola, as Chief Financial Officer of the Company, each hereby certifies, pursuant to 18 U.S.C. § 1350, as adopted pursuant to § 906 of the Sarbanes-Oxley Act of 2002, that, to such officer’s knowledge:</w:t>
      </w:r>
    </w:p>
    <w:p>
      <w:pPr>
        <w:spacing w:after="0" w:line="62" w:lineRule="exact"/>
        <w:rPr>
          <w:sz w:val="20"/>
          <w:szCs w:val="20"/>
          <w:color w:val="auto"/>
        </w:rPr>
      </w:pPr>
    </w:p>
    <w:p>
      <w:pPr>
        <w:ind w:left="720" w:hanging="256"/>
        <w:spacing w:after="0"/>
        <w:tabs>
          <w:tab w:leader="none" w:pos="7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Michael Fishman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14,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John E. Viola</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14, 2012</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
      <w:numFmt w:val="bullet"/>
      <w:start w:val="1"/>
    </w:lvl>
  </w:abstractNum>
  <w:abstractNum w:abstractNumId="2">
    <w:nsid w:val="53299938"/>
    <w:multiLevelType w:val="hybridMultilevel"/>
    <w:lvl w:ilvl="0">
      <w:lvlJc w:val="left"/>
      <w:lvlText w:val="•"/>
      <w:numFmt w:val="bullet"/>
      <w:start w:val="1"/>
    </w:lvl>
  </w:abstractNum>
  <w:abstractNum w:abstractNumId="3">
    <w:nsid w:val="1FBFE8E0"/>
    <w:multiLevelType w:val="hybridMultilevel"/>
    <w:lvl w:ilvl="0">
      <w:lvlJc w:val="left"/>
      <w:lvlText w:val="(%1)"/>
      <w:numFmt w:val="decimal"/>
      <w:start w:val="1"/>
    </w:lvl>
  </w:abstractNum>
  <w:abstractNum w:abstractNumId="4">
    <w:nsid w:val="5092CA79"/>
    <w:multiLevelType w:val="hybridMultilevel"/>
    <w:lvl w:ilvl="0">
      <w:lvlJc w:val="left"/>
      <w:lvlText w:val="(%1)"/>
      <w:numFmt w:val="decimal"/>
      <w:start w:val="5"/>
    </w:lvl>
  </w:abstractNum>
  <w:abstractNum w:abstractNumId="5">
    <w:nsid w:val="1D545C4D"/>
    <w:multiLevelType w:val="hybridMultilevel"/>
    <w:lvl w:ilvl="0">
      <w:lvlJc w:val="left"/>
      <w:lvlText w:val="(%1)"/>
      <w:numFmt w:val="lowerLetter"/>
      <w:start w:val="1"/>
    </w:lvl>
  </w:abstractNum>
  <w:abstractNum w:abstractNumId="6">
    <w:nsid w:val="59ADEA3D"/>
    <w:multiLevelType w:val="hybridMultilevel"/>
    <w:lvl w:ilvl="0">
      <w:lvlJc w:val="left"/>
      <w:lvlText w:val="(%1)"/>
      <w:numFmt w:val="decimal"/>
      <w:start w:val="1"/>
    </w:lvl>
  </w:abstractNum>
  <w:abstractNum w:abstractNumId="7">
    <w:nsid w:val="288F1A34"/>
    <w:multiLevelType w:val="hybridMultilevel"/>
    <w:lvl w:ilvl="0">
      <w:lvlJc w:val="left"/>
      <w:lvlText w:val="(%1)"/>
      <w:numFmt w:val="lowerLetter"/>
      <w:start w:val="1"/>
    </w:lvl>
  </w:abstractNum>
  <w:abstractNum w:abstractNumId="8">
    <w:nsid w:val="2A155DBC"/>
    <w:multiLevelType w:val="hybridMultilevel"/>
    <w:lvl w:ilvl="0">
      <w:lvlJc w:val="left"/>
      <w:lvlText w:val="%1."/>
      <w:numFmt w:val="decimal"/>
      <w:start w:val="1"/>
    </w:lvl>
  </w:abstractNum>
  <w:abstractNum w:abstractNumId="9">
    <w:nsid w:val="1D9F6E5F"/>
    <w:multiLevelType w:val="hybridMultilevel"/>
    <w:lvl w:ilvl="0">
      <w:lvlJc w:val="left"/>
      <w:lvlText w:val="%1."/>
      <w:numFmt w:val="decimal"/>
      <w:start w:val="2"/>
    </w:lvl>
  </w:abstractNum>
  <w:abstractNum w:abstractNumId="10">
    <w:nsid w:val="97E1B4E"/>
    <w:multiLevelType w:val="hybridMultilevel"/>
    <w:lvl w:ilvl="0">
      <w:lvlJc w:val="left"/>
      <w:lvlText w:val="•"/>
      <w:numFmt w:val="bullet"/>
      <w:start w:val="1"/>
    </w:lvl>
  </w:abstractNum>
  <w:abstractNum w:abstractNumId="11">
    <w:nsid w:val="51088277"/>
    <w:multiLevelType w:val="hybridMultilevel"/>
    <w:lvl w:ilvl="0">
      <w:lvlJc w:val="left"/>
      <w:lvlText w:val="•"/>
      <w:numFmt w:val="bullet"/>
      <w:start w:val="1"/>
    </w:lvl>
  </w:abstractNum>
  <w:abstractNum w:abstractNumId="12">
    <w:nsid w:val="1CA0C5FA"/>
    <w:multiLevelType w:val="hybridMultilevel"/>
    <w:lvl w:ilvl="0">
      <w:lvlJc w:val="left"/>
      <w:lvlText w:val="(%1)"/>
      <w:numFmt w:val="lowerRoman"/>
      <w:start w:val="1"/>
    </w:lvl>
  </w:abstractNum>
  <w:abstractNum w:abstractNumId="13">
    <w:nsid w:val="53584BCB"/>
    <w:multiLevelType w:val="hybridMultilevel"/>
    <w:lvl w:ilvl="0">
      <w:lvlJc w:val="left"/>
      <w:lvlText w:val="%1."/>
      <w:numFmt w:val="decimal"/>
      <w:start w:val="3"/>
    </w:lvl>
  </w:abstractNum>
  <w:abstractNum w:abstractNumId="14">
    <w:nsid w:val="415E286C"/>
    <w:multiLevelType w:val="hybridMultilevel"/>
    <w:lvl w:ilvl="0">
      <w:lvlJc w:val="left"/>
      <w:lvlText w:val="(%1)"/>
      <w:numFmt w:val="lowerRoman"/>
      <w:start w:val="1"/>
    </w:lvl>
  </w:abstractNum>
  <w:abstractNum w:abstractNumId="15">
    <w:nsid w:val="7C58FD05"/>
    <w:multiLevelType w:val="hybridMultilevel"/>
    <w:lvl w:ilvl="0">
      <w:lvlJc w:val="left"/>
      <w:lvlText w:val="(%1)"/>
      <w:numFmt w:val="decimal"/>
      <w:start w:val="1"/>
    </w:lvl>
  </w:abstractNum>
  <w:abstractNum w:abstractNumId="16">
    <w:nsid w:val="23D86AAC"/>
    <w:multiLevelType w:val="hybridMultilevel"/>
    <w:lvl w:ilvl="0">
      <w:lvlJc w:val="left"/>
      <w:lvlText w:val="%1."/>
      <w:numFmt w:val="decimal"/>
      <w:start w:val="5"/>
    </w:lvl>
  </w:abstractNum>
  <w:abstractNum w:abstractNumId="17">
    <w:nsid w:val="45E6D486"/>
    <w:multiLevelType w:val="hybridMultilevel"/>
    <w:lvl w:ilvl="0">
      <w:lvlJc w:val="left"/>
      <w:lvlText w:val="(%1)"/>
      <w:numFmt w:val="decimal"/>
      <w:start w:val="1"/>
    </w:lvl>
  </w:abstractNum>
  <w:abstractNum w:abstractNumId="18">
    <w:nsid w:val="5C10FE21"/>
    <w:multiLevelType w:val="hybridMultilevel"/>
    <w:lvl w:ilvl="0">
      <w:lvlJc w:val="left"/>
      <w:lvlText w:val="%1."/>
      <w:numFmt w:val="decimal"/>
      <w:start w:val="7"/>
    </w:lvl>
  </w:abstractNum>
  <w:abstractNum w:abstractNumId="19">
    <w:nsid w:val="E7FFA2B"/>
    <w:multiLevelType w:val="hybridMultilevel"/>
    <w:lvl w:ilvl="0">
      <w:lvlJc w:val="left"/>
      <w:lvlText w:val="(%1)"/>
      <w:numFmt w:val="decimal"/>
      <w:start w:val="1"/>
    </w:lvl>
  </w:abstractNum>
  <w:abstractNum w:abstractNumId="20">
    <w:nsid w:val="3C5991AA"/>
    <w:multiLevelType w:val="hybridMultilevel"/>
    <w:lvl w:ilvl="0">
      <w:lvlJc w:val="left"/>
      <w:lvlText w:val="(%1)"/>
      <w:numFmt w:val="decimal"/>
      <w:start w:val="1"/>
    </w:lvl>
  </w:abstractNum>
  <w:abstractNum w:abstractNumId="21">
    <w:nsid w:val="4BD8591A"/>
    <w:multiLevelType w:val="hybridMultilevel"/>
    <w:lvl w:ilvl="0">
      <w:lvlJc w:val="left"/>
      <w:lvlText w:val="%1"/>
      <w:numFmt w:val="decimal"/>
      <w:start w:val="32"/>
    </w:lvl>
  </w:abstractNum>
  <w:abstractNum w:abstractNumId="22">
    <w:nsid w:val="78DF6A55"/>
    <w:multiLevelType w:val="hybridMultilevel"/>
    <w:lvl w:ilvl="0">
      <w:lvlJc w:val="left"/>
      <w:lvlText w:val="%1"/>
      <w:numFmt w:val="lowerLetter"/>
      <w:start w:val="1"/>
    </w:lvl>
    <w:lvl w:ilvl="1">
      <w:lvlJc w:val="left"/>
      <w:lvlText w:val="(%2)"/>
      <w:numFmt w:val="lowerLetter"/>
      <w:start w:val="1"/>
    </w:lvl>
  </w:abstractNum>
  <w:abstractNum w:abstractNumId="23">
    <w:nsid w:val="39B7AAA2"/>
    <w:multiLevelType w:val="hybridMultilevel"/>
    <w:lvl w:ilvl="0">
      <w:lvlJc w:val="left"/>
      <w:lvlText w:val="(%1)"/>
      <w:numFmt w:val="lowerLetter"/>
      <w:start w:val="9"/>
    </w:lvl>
    <w:lvl w:ilvl="1">
      <w:lvlJc w:val="left"/>
      <w:lvlText w:val="(%2)"/>
      <w:numFmt w:val="lowerLetter"/>
      <w:start w:val="4"/>
    </w:lvl>
  </w:abstractNum>
  <w:abstractNum w:abstractNumId="24">
    <w:nsid w:val="2B0D8DBE"/>
    <w:multiLevelType w:val="hybridMultilevel"/>
    <w:lvl w:ilvl="0">
      <w:lvlJc w:val="left"/>
      <w:lvlText w:val="(%1)"/>
      <w:numFmt w:val="lowerLetter"/>
      <w:start w:val="5"/>
    </w:lvl>
  </w:abstractNum>
  <w:abstractNum w:abstractNumId="25">
    <w:nsid w:val="6C80EC70"/>
    <w:multiLevelType w:val="hybridMultilevel"/>
    <w:lvl w:ilvl="0">
      <w:lvlJc w:val="left"/>
      <w:lvlText w:val="(%1)"/>
      <w:numFmt w:val="lowerLetter"/>
      <w:start w:val="3"/>
    </w:lvl>
  </w:abstractNum>
  <w:abstractNum w:abstractNumId="26">
    <w:nsid w:val="379E21B5"/>
    <w:multiLevelType w:val="hybridMultilevel"/>
    <w:lvl w:ilvl="0">
      <w:lvlJc w:val="left"/>
      <w:lvlText w:val="(%1)"/>
      <w:numFmt w:val="lowerLetter"/>
      <w:start w:val="2"/>
    </w:lvl>
  </w:abstractNum>
  <w:abstractNum w:abstractNumId="27">
    <w:nsid w:val="69E373"/>
    <w:multiLevelType w:val="hybridMultilevel"/>
    <w:lvl w:ilvl="0">
      <w:lvlJc w:val="left"/>
      <w:lvlText w:val="(%1)"/>
      <w:numFmt w:val="lowerLetter"/>
      <w:start w:val="4"/>
    </w:lvl>
  </w:abstractNum>
  <w:abstractNum w:abstractNumId="28">
    <w:nsid w:val="2C27173B"/>
    <w:multiLevelType w:val="hybridMultilevel"/>
    <w:lvl w:ilvl="0">
      <w:lvlJc w:val="left"/>
      <w:lvlText w:val="%1"/>
      <w:numFmt w:val="lowerLetter"/>
      <w:start w:val="1"/>
    </w:lvl>
    <w:lvl w:ilvl="1">
      <w:lvlJc w:val="left"/>
      <w:lvlText w:val="(%2)"/>
      <w:numFmt w:val="lowerLetter"/>
      <w:start w:val="1"/>
    </w:lvl>
  </w:abstractNum>
  <w:abstractNum w:abstractNumId="29">
    <w:nsid w:val="4C9B0904"/>
    <w:multiLevelType w:val="hybridMultilevel"/>
    <w:lvl w:ilvl="0">
      <w:lvlJc w:val="left"/>
      <w:lvlText w:val="(%1)"/>
      <w:numFmt w:val="lowerLetter"/>
      <w:start w:val="2"/>
    </w:lvl>
    <w:lvl w:ilvl="1">
      <w:lvlJc w:val="left"/>
      <w:lvlText w:val="(%2)"/>
      <w:numFmt w:val="lowerLetter"/>
      <w:start w:val="2"/>
    </w:lvl>
  </w:abstractNum>
  <w:abstractNum w:abstractNumId="30">
    <w:nsid w:val="6AA7B75C"/>
    <w:multiLevelType w:val="hybridMultilevel"/>
    <w:lvl w:ilvl="0">
      <w:lvlJc w:val="left"/>
      <w:lvlText w:val="(%1)"/>
      <w:numFmt w:val="lowerLetter"/>
      <w:start w:val="9"/>
    </w:lvl>
    <w:lvl w:ilvl="1">
      <w:lvlJc w:val="left"/>
      <w:lvlText w:val="%2"/>
      <w:numFmt w:val="lowerLetter"/>
      <w:start w:val="1"/>
    </w:lvl>
  </w:abstractNum>
  <w:abstractNum w:abstractNumId="31">
    <w:nsid w:val="1DF029D3"/>
    <w:multiLevelType w:val="hybridMultilevel"/>
    <w:lvl w:ilvl="0">
      <w:lvlJc w:val="left"/>
      <w:lvlText w:val="(%1)"/>
      <w:numFmt w:val="lowerRoman"/>
      <w:start w:val="2"/>
    </w:lvl>
  </w:abstractNum>
  <w:abstractNum w:abstractNumId="32">
    <w:nsid w:val="5675FF36"/>
    <w:multiLevelType w:val="hybridMultilevel"/>
    <w:lvl w:ilvl="0">
      <w:lvlJc w:val="left"/>
      <w:lvlText w:val="(%1)"/>
      <w:numFmt w:val="lowerLetter"/>
      <w:start w:val="4"/>
    </w:lvl>
  </w:abstractNum>
  <w:abstractNum w:abstractNumId="33">
    <w:nsid w:val="3DD15094"/>
    <w:multiLevelType w:val="hybridMultilevel"/>
    <w:lvl w:ilvl="0">
      <w:lvlJc w:val="left"/>
      <w:lvlText w:val="(%1)"/>
      <w:numFmt w:val="lowerRoman"/>
      <w:start w:val="1"/>
    </w:lvl>
  </w:abstractNum>
  <w:abstractNum w:abstractNumId="34">
    <w:nsid w:val="3DB012B3"/>
    <w:multiLevelType w:val="hybridMultilevel"/>
    <w:lvl w:ilvl="0">
      <w:lvlJc w:val="left"/>
      <w:lvlText w:val="(%1)"/>
      <w:numFmt w:val="lowerRoman"/>
      <w:start w:val="2"/>
    </w:lvl>
  </w:abstractNum>
  <w:abstractNum w:abstractNumId="35">
    <w:nsid w:val="2708C9AF"/>
    <w:multiLevelType w:val="hybridMultilevel"/>
    <w:lvl w:ilvl="0">
      <w:lvlJc w:val="left"/>
      <w:lvlText w:val="(%1)"/>
      <w:numFmt w:val="lowerLetter"/>
      <w:start w:val="1"/>
    </w:lvl>
  </w:abstractNum>
  <w:abstractNum w:abstractNumId="36">
    <w:nsid w:val="5B25ACE2"/>
    <w:multiLevelType w:val="hybridMultilevel"/>
    <w:lvl w:ilvl="0">
      <w:lvlJc w:val="left"/>
      <w:lvlText w:val="(%1)"/>
      <w:numFmt w:val="lowerLetter"/>
      <w:start w:val="1"/>
    </w:lvl>
  </w:abstractNum>
  <w:abstractNum w:abstractNumId="37">
    <w:nsid w:val="175DFCF0"/>
    <w:multiLevelType w:val="hybridMultilevel"/>
    <w:lvl w:ilvl="0">
      <w:lvlJc w:val="left"/>
      <w:lvlText w:val="%1"/>
      <w:numFmt w:val="lowerLetter"/>
      <w:start w:val="1"/>
    </w:lvl>
    <w:lvl w:ilvl="1">
      <w:lvlJc w:val="left"/>
      <w:lvlText w:val="(%2)"/>
      <w:numFmt w:val="lowerLetter"/>
      <w:start w:val="1"/>
    </w:lvl>
  </w:abstractNum>
  <w:abstractNum w:abstractNumId="38">
    <w:nsid w:val="4F97E3E4"/>
    <w:multiLevelType w:val="hybridMultilevel"/>
    <w:lvl w:ilvl="0">
      <w:lvlJc w:val="left"/>
      <w:lvlText w:val="(%1)"/>
      <w:numFmt w:val="lowerLetter"/>
      <w:start w:val="35"/>
    </w:lvl>
    <w:lvl w:ilvl="1">
      <w:lvlJc w:val="left"/>
      <w:lvlText w:val="%2"/>
      <w:numFmt w:val="lowerLetter"/>
      <w:start w:val="1"/>
    </w:lvl>
  </w:abstractNum>
  <w:abstractNum w:abstractNumId="39">
    <w:nsid w:val="53B0A9E"/>
    <w:multiLevelType w:val="hybridMultilevel"/>
    <w:lvl w:ilvl="0">
      <w:lvlJc w:val="left"/>
      <w:lvlText w:val="(%1)"/>
      <w:numFmt w:val="lowerLetter"/>
      <w:start w:val="2"/>
    </w:lvl>
  </w:abstractNum>
  <w:abstractNum w:abstractNumId="40">
    <w:nsid w:val="34FD6B4F"/>
    <w:multiLevelType w:val="hybridMultilevel"/>
    <w:lvl w:ilvl="0">
      <w:lvlJc w:val="left"/>
      <w:lvlText w:val="(%1)"/>
      <w:numFmt w:val="lowerLetter"/>
      <w:start w:val="1"/>
    </w:lvl>
  </w:abstractNum>
  <w:abstractNum w:abstractNumId="41">
    <w:nsid w:val="5915FF32"/>
    <w:multiLevelType w:val="hybridMultilevel"/>
    <w:lvl w:ilvl="0">
      <w:lvlJc w:val="left"/>
      <w:lvlText w:val="(%1)"/>
      <w:numFmt w:val="lowerLetter"/>
      <w:start w:val="1"/>
    </w:lvl>
  </w:abstractNum>
  <w:abstractNum w:abstractNumId="42">
    <w:nsid w:val="56438D1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43">
    <w:nsid w:val="519E3149"/>
    <w:multiLevelType w:val="hybridMultilevel"/>
    <w:lvl w:ilvl="0">
      <w:lvlJc w:val="left"/>
      <w:lvlText w:val="(%1)"/>
      <w:numFmt w:val="lowerLetter"/>
      <w:start w:val="9"/>
    </w:lvl>
    <w:lvl w:ilvl="1">
      <w:lvlJc w:val="left"/>
      <w:lvlText w:val="(%2)"/>
      <w:numFmt w:val="lowerRoman"/>
    </w:lvl>
    <w:lvl w:ilvl="2">
      <w:lvlJc w:val="left"/>
      <w:lvlText w:val="(%3)"/>
      <w:numFmt w:val="lowerLetter"/>
      <w:start w:val="2"/>
    </w:lvl>
  </w:abstractNum>
  <w:abstractNum w:abstractNumId="44">
    <w:nsid w:val="2C6E4AF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45">
    <w:nsid w:val="17A1B582"/>
    <w:multiLevelType w:val="hybridMultilevel"/>
    <w:lvl w:ilvl="0">
      <w:lvlJc w:val="left"/>
      <w:lvlText w:val="(%1)"/>
      <w:numFmt w:val="lowerLetter"/>
      <w:start w:val="1"/>
    </w:lvl>
  </w:abstractNum>
  <w:abstractNum w:abstractNumId="46">
    <w:nsid w:val="4DF72E4E"/>
    <w:multiLevelType w:val="hybridMultilevel"/>
    <w:lvl w:ilvl="0">
      <w:lvlJc w:val="left"/>
      <w:lvlText w:val="(%1)"/>
      <w:numFmt w:val="lowerLetter"/>
      <w:start w:val="25"/>
    </w:lvl>
  </w:abstractNum>
  <w:abstractNum w:abstractNumId="47">
    <w:nsid w:val="5046B5A9"/>
    <w:multiLevelType w:val="hybridMultilevel"/>
    <w:lvl w:ilvl="0">
      <w:lvlJc w:val="left"/>
      <w:lvlText w:val="(%1)"/>
      <w:numFmt w:val="lowerLetter"/>
      <w:start w:val="4"/>
    </w:lvl>
  </w:abstractNum>
  <w:abstractNum w:abstractNumId="48">
    <w:nsid w:val="5D888A08"/>
    <w:multiLevelType w:val="hybridMultilevel"/>
    <w:lvl w:ilvl="0">
      <w:lvlJc w:val="left"/>
      <w:lvlText w:val="(%1)"/>
      <w:numFmt w:val="lowerLetter"/>
      <w:start w:val="1"/>
    </w:lvl>
  </w:abstractNum>
  <w:abstractNum w:abstractNumId="49">
    <w:nsid w:val="2A082C70"/>
    <w:multiLevelType w:val="hybridMultilevel"/>
    <w:lvl w:ilvl="0">
      <w:lvlJc w:val="left"/>
      <w:lvlText w:val="%1"/>
      <w:numFmt w:val="lowerLetter"/>
      <w:start w:val="1"/>
    </w:lvl>
    <w:lvl w:ilvl="1">
      <w:lvlJc w:val="left"/>
      <w:lvlText w:val="(%2)"/>
      <w:numFmt w:val="lowerLetter"/>
      <w:start w:val="4"/>
    </w:lvl>
  </w:abstractNum>
  <w:abstractNum w:abstractNumId="50">
    <w:nsid w:val="5EC6AFD4"/>
    <w:multiLevelType w:val="hybridMultilevel"/>
    <w:lvl w:ilvl="0">
      <w:lvlJc w:val="left"/>
      <w:lvlText w:val="(%1)"/>
      <w:numFmt w:val="lowerLetter"/>
      <w:start w:val="25"/>
    </w:lvl>
    <w:lvl w:ilvl="1">
      <w:lvlJc w:val="left"/>
      <w:lvlText w:val="%2"/>
      <w:numFmt w:val="lowerLetter"/>
      <w:start w:val="1"/>
    </w:lvl>
  </w:abstractNum>
  <w:abstractNum w:abstractNumId="51">
    <w:nsid w:val="19E21BB2"/>
    <w:multiLevelType w:val="hybridMultilevel"/>
    <w:lvl w:ilvl="0">
      <w:lvlJc w:val="left"/>
      <w:lvlText w:val="(%1)"/>
      <w:numFmt w:val="lowerLetter"/>
      <w:start w:val="6"/>
    </w:lvl>
  </w:abstractNum>
  <w:abstractNum w:abstractNumId="52">
    <w:nsid w:val="75E0858A"/>
    <w:multiLevelType w:val="hybridMultilevel"/>
    <w:lvl w:ilvl="0">
      <w:lvlJc w:val="left"/>
      <w:lvlText w:val="%1"/>
      <w:numFmt w:val="lowerRoman"/>
      <w:start w:val="1"/>
    </w:lvl>
    <w:lvl w:ilvl="1">
      <w:lvlJc w:val="left"/>
      <w:lvlText w:val="(%2)"/>
      <w:numFmt w:val="lowerLetter"/>
      <w:start w:val="7"/>
    </w:lvl>
  </w:abstractNum>
  <w:abstractNum w:abstractNumId="53">
    <w:nsid w:val="57A61A29"/>
    <w:multiLevelType w:val="hybridMultilevel"/>
    <w:lvl w:ilvl="0">
      <w:lvlJc w:val="left"/>
      <w:lvlText w:val="(%1)"/>
      <w:numFmt w:val="lowerRoman"/>
      <w:start w:val="4"/>
    </w:lvl>
    <w:lvl w:ilvl="1">
      <w:lvlJc w:val="left"/>
      <w:lvlText w:val="%2"/>
      <w:numFmt w:val="lowerLetter"/>
      <w:start w:val="1"/>
    </w:lvl>
  </w:abstractNum>
  <w:abstractNum w:abstractNumId="54">
    <w:nsid w:val="5399C654"/>
    <w:multiLevelType w:val="hybridMultilevel"/>
    <w:lvl w:ilvl="0">
      <w:lvlJc w:val="left"/>
      <w:lvlText w:val="(%1)"/>
      <w:numFmt w:val="lowerRoman"/>
      <w:start w:val="1"/>
    </w:lvl>
    <w:lvl w:ilvl="1">
      <w:lvlJc w:val="left"/>
      <w:lvlText w:val="(%2)"/>
      <w:numFmt w:val="lowerLetter"/>
      <w:start w:val="8"/>
    </w:lvl>
  </w:abstractNum>
  <w:abstractNum w:abstractNumId="55">
    <w:nsid w:val="20EE1348"/>
    <w:multiLevelType w:val="hybridMultilevel"/>
    <w:lvl w:ilvl="0">
      <w:lvlJc w:val="left"/>
      <w:lvlText w:val="(%1)"/>
      <w:numFmt w:val="lowerLetter"/>
      <w:start w:val="11"/>
    </w:lvl>
  </w:abstractNum>
  <w:abstractNum w:abstractNumId="56">
    <w:nsid w:val="4427069A"/>
    <w:multiLevelType w:val="hybridMultilevel"/>
    <w:lvl w:ilvl="0">
      <w:lvlJc w:val="left"/>
      <w:lvlText w:val="(%1)"/>
      <w:numFmt w:val="lowerLetter"/>
      <w:start w:val="1"/>
    </w:lvl>
  </w:abstractNum>
  <w:abstractNum w:abstractNumId="57">
    <w:nsid w:val="B37E80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8">
    <w:nsid w:val="2157F6BC"/>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59">
    <w:nsid w:val="704E1DD5"/>
    <w:multiLevelType w:val="hybridMultilevel"/>
    <w:lvl w:ilvl="0">
      <w:lvlJc w:val="left"/>
      <w:lvlText w:val="(%1)"/>
      <w:numFmt w:val="lowerLetter"/>
      <w:start w:val="61"/>
    </w:lvl>
    <w:lvl w:ilvl="1">
      <w:lvlJc w:val="left"/>
      <w:lvlText w:val="(%2)"/>
      <w:numFmt w:val="lowerLetter"/>
      <w:start w:val="35"/>
    </w:lvl>
    <w:lvl w:ilvl="2">
      <w:lvlJc w:val="left"/>
      <w:lvlText w:val="%3"/>
      <w:numFmt w:val="lowerLetter"/>
      <w:start w:val="1"/>
    </w:lvl>
  </w:abstractNum>
  <w:abstractNum w:abstractNumId="60">
    <w:nsid w:val="57D2F10E"/>
    <w:multiLevelType w:val="hybridMultilevel"/>
    <w:lvl w:ilvl="0">
      <w:lvlJc w:val="left"/>
      <w:lvlText w:val="(%1)"/>
      <w:numFmt w:val="lowerRoman"/>
      <w:start w:val="4"/>
    </w:lvl>
  </w:abstractNum>
  <w:abstractNum w:abstractNumId="61">
    <w:nsid w:val="BFFAE18"/>
    <w:multiLevelType w:val="hybridMultilevel"/>
    <w:lvl w:ilvl="0">
      <w:lvlJc w:val="left"/>
      <w:lvlText w:val="(%1)"/>
      <w:numFmt w:val="lowerLetter"/>
      <w:start w:val="4"/>
    </w:lvl>
  </w:abstractNum>
  <w:abstractNum w:abstractNumId="62">
    <w:nsid w:val="E3E47A8"/>
    <w:multiLevelType w:val="hybridMultilevel"/>
    <w:lvl w:ilvl="0">
      <w:lvlJc w:val="left"/>
      <w:lvlText w:val="(%1)"/>
      <w:numFmt w:val="lowerLetter"/>
      <w:start w:val="1"/>
    </w:lvl>
  </w:abstractNum>
  <w:abstractNum w:abstractNumId="63">
    <w:nsid w:val="2E48F044"/>
    <w:multiLevelType w:val="hybridMultilevel"/>
    <w:lvl w:ilvl="0">
      <w:lvlJc w:val="left"/>
      <w:lvlText w:val="(%1)"/>
      <w:numFmt w:val="lowerLetter"/>
      <w:start w:val="4"/>
    </w:lvl>
    <w:lvl w:ilvl="1">
      <w:lvlJc w:val="left"/>
      <w:lvlText w:val="(%2)"/>
      <w:numFmt w:val="lowerLetter"/>
      <w:start w:val="5"/>
    </w:lvl>
    <w:lvl w:ilvl="2">
      <w:lvlJc w:val="left"/>
      <w:lvlText w:val="%3"/>
      <w:numFmt w:val="upperLetter"/>
      <w:start w:val="1"/>
    </w:lvl>
  </w:abstractNum>
  <w:abstractNum w:abstractNumId="64">
    <w:nsid w:val="49D0FEAC"/>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65">
    <w:nsid w:val="4BEE5A5B"/>
    <w:multiLevelType w:val="hybridMultilevel"/>
    <w:lvl w:ilvl="0">
      <w:lvlJc w:val="left"/>
      <w:lvlText w:val="(%1)"/>
      <w:numFmt w:val="upperLetter"/>
      <w:start w:val="3"/>
    </w:lvl>
  </w:abstractNum>
  <w:abstractNum w:abstractNumId="66">
    <w:nsid w:val="5551B9F3"/>
    <w:multiLevelType w:val="hybridMultilevel"/>
    <w:lvl w:ilvl="0">
      <w:lvlJc w:val="left"/>
      <w:lvlText w:val="(%1)"/>
      <w:numFmt w:val="lowerLetter"/>
      <w:start w:val="35"/>
    </w:lvl>
    <w:lvl w:ilvl="1">
      <w:lvlJc w:val="left"/>
      <w:lvlText w:val="(%2)"/>
      <w:numFmt w:val="lowerLetter"/>
      <w:start w:val="24"/>
    </w:lvl>
  </w:abstractNum>
  <w:abstractNum w:abstractNumId="67">
    <w:nsid w:val="24F6AB8E"/>
    <w:multiLevelType w:val="hybridMultilevel"/>
    <w:lvl w:ilvl="0">
      <w:lvlJc w:val="left"/>
      <w:lvlText w:val="%1"/>
      <w:numFmt w:val="lowerRoman"/>
      <w:start w:val="1"/>
    </w:lvl>
    <w:lvl w:ilvl="1">
      <w:lvlJc w:val="left"/>
      <w:lvlText w:val="(%2)"/>
      <w:numFmt w:val="lowerRoman"/>
      <w:start w:val="3"/>
    </w:lvl>
  </w:abstractNum>
  <w:abstractNum w:abstractNumId="68">
    <w:nsid w:val="634C574C"/>
    <w:multiLevelType w:val="hybridMultilevel"/>
    <w:lvl w:ilvl="0">
      <w:lvlJc w:val="left"/>
      <w:lvlText w:val="(%1)"/>
      <w:numFmt w:val="lowerRoman"/>
      <w:start w:val="10"/>
    </w:lvl>
    <w:lvl w:ilvl="1">
      <w:lvlJc w:val="left"/>
      <w:lvlText w:val="(%2)"/>
      <w:numFmt w:val="lowerRoman"/>
      <w:start w:val="4"/>
    </w:lvl>
  </w:abstractNum>
  <w:abstractNum w:abstractNumId="69">
    <w:nsid w:val="24E99DD7"/>
    <w:multiLevelType w:val="hybridMultilevel"/>
    <w:lvl w:ilvl="0">
      <w:lvlJc w:val="left"/>
      <w:lvlText w:val="%1"/>
      <w:numFmt w:val="lowerRoman"/>
      <w:start w:val="1"/>
    </w:lvl>
    <w:lvl w:ilvl="1">
      <w:lvlJc w:val="left"/>
      <w:lvlText w:val="(%2)"/>
      <w:numFmt w:val="lowerLetter"/>
      <w:start w:val="1"/>
    </w:lvl>
  </w:abstractNum>
  <w:abstractNum w:abstractNumId="70">
    <w:nsid w:val="2A31B62D"/>
    <w:multiLevelType w:val="hybridMultilevel"/>
    <w:lvl w:ilvl="0">
      <w:lvlJc w:val="left"/>
      <w:lvlText w:val="(%1)"/>
      <w:numFmt w:val="lowerRoman"/>
      <w:start w:val="1"/>
    </w:lvl>
    <w:lvl w:ilvl="1">
      <w:lvlJc w:val="left"/>
      <w:lvlText w:val="%2"/>
      <w:numFmt w:val="lowerLetter"/>
      <w:start w:val="1"/>
    </w:lvl>
  </w:abstractNum>
  <w:abstractNum w:abstractNumId="71">
    <w:nsid w:val="1849C29B"/>
    <w:multiLevelType w:val="hybridMultilevel"/>
    <w:lvl w:ilvl="0">
      <w:lvlJc w:val="left"/>
      <w:lvlText w:val="(%1)"/>
      <w:numFmt w:val="lowerLetter"/>
      <w:start w:val="2"/>
    </w:lvl>
  </w:abstractNum>
  <w:abstractNum w:abstractNumId="72">
    <w:nsid w:val="7DFF9D09"/>
    <w:multiLevelType w:val="hybridMultilevel"/>
    <w:lvl w:ilvl="0">
      <w:lvlJc w:val="left"/>
      <w:lvlText w:val="(%1)"/>
      <w:numFmt w:val="lowerLetter"/>
      <w:start w:val="4"/>
    </w:lvl>
  </w:abstractNum>
  <w:abstractNum w:abstractNumId="73">
    <w:nsid w:val="754342"/>
    <w:multiLevelType w:val="hybridMultilevel"/>
    <w:lvl w:ilvl="0">
      <w:lvlJc w:val="left"/>
      <w:lvlText w:val="%1"/>
      <w:numFmt w:val="lowerLetter"/>
      <w:start w:val="1"/>
    </w:lvl>
    <w:lvl w:ilvl="1">
      <w:lvlJc w:val="left"/>
      <w:lvlText w:val="(%2)"/>
      <w:numFmt w:val="lowerLetter"/>
      <w:start w:val="1"/>
    </w:lvl>
  </w:abstractNum>
  <w:abstractNum w:abstractNumId="74">
    <w:nsid w:val="69E7F3E5"/>
    <w:multiLevelType w:val="hybridMultilevel"/>
    <w:lvl w:ilvl="0">
      <w:lvlJc w:val="left"/>
      <w:lvlText w:val="(%1)"/>
      <w:numFmt w:val="lowerLetter"/>
      <w:start w:val="9"/>
    </w:lvl>
    <w:lvl w:ilvl="1">
      <w:lvlJc w:val="left"/>
      <w:lvlText w:val="%2"/>
      <w:numFmt w:val="lowerLetter"/>
      <w:start w:val="1"/>
    </w:lvl>
  </w:abstractNum>
  <w:abstractNum w:abstractNumId="75">
    <w:nsid w:val="2A6DE806"/>
    <w:multiLevelType w:val="hybridMultilevel"/>
    <w:lvl w:ilvl="0">
      <w:lvlJc w:val="left"/>
      <w:lvlText w:val="(%1)"/>
      <w:numFmt w:val="lowerRoman"/>
      <w:start w:val="2"/>
    </w:lvl>
  </w:abstractNum>
  <w:abstractNum w:abstractNumId="76">
    <w:nsid w:val="1816F8C4"/>
    <w:multiLevelType w:val="hybridMultilevel"/>
    <w:lvl w:ilvl="0">
      <w:lvlJc w:val="left"/>
      <w:lvlText w:val="%1"/>
      <w:numFmt w:val="lowerLetter"/>
      <w:start w:val="1"/>
    </w:lvl>
    <w:lvl w:ilvl="1">
      <w:lvlJc w:val="left"/>
      <w:lvlText w:val="(%2)"/>
      <w:numFmt w:val="lowerLetter"/>
      <w:start w:val="3"/>
    </w:lvl>
  </w:abstractNum>
  <w:abstractNum w:abstractNumId="77">
    <w:nsid w:val="37DF2233"/>
    <w:multiLevelType w:val="hybridMultilevel"/>
    <w:lvl w:ilvl="0">
      <w:lvlJc w:val="left"/>
      <w:lvlText w:val="(%1)"/>
      <w:numFmt w:val="lowerLetter"/>
      <w:start w:val="9"/>
    </w:lvl>
    <w:lvl w:ilvl="1">
      <w:lvlJc w:val="left"/>
      <w:lvlText w:val="%2"/>
      <w:numFmt w:val="lowerLetter"/>
      <w:start w:val="1"/>
    </w:lvl>
  </w:abstractNum>
  <w:abstractNum w:abstractNumId="78">
    <w:nsid w:val="7AB49DAF"/>
    <w:multiLevelType w:val="hybridMultilevel"/>
    <w:lvl w:ilvl="0">
      <w:lvlJc w:val="left"/>
      <w:lvlText w:val="(%1)"/>
      <w:numFmt w:val="lowerRoman"/>
      <w:start w:val="2"/>
    </w:lvl>
  </w:abstractNum>
  <w:abstractNum w:abstractNumId="79">
    <w:nsid w:val="759F82CD"/>
    <w:multiLevelType w:val="hybridMultilevel"/>
    <w:lvl w:ilvl="0">
      <w:lvlJc w:val="left"/>
      <w:lvlText w:val="(%1)"/>
      <w:numFmt w:val="lowerLetter"/>
      <w:start w:val="5"/>
    </w:lvl>
  </w:abstractNum>
  <w:abstractNum w:abstractNumId="80">
    <w:nsid w:val="61E74EA3"/>
    <w:multiLevelType w:val="hybridMultilevel"/>
    <w:lvl w:ilvl="0">
      <w:lvlJc w:val="left"/>
      <w:lvlText w:val="(%1)"/>
      <w:numFmt w:val="lowerLetter"/>
      <w:start w:val="1"/>
    </w:lvl>
  </w:abstractNum>
  <w:abstractNum w:abstractNumId="81">
    <w:nsid w:val="597B4D84"/>
    <w:multiLevelType w:val="hybridMultilevel"/>
    <w:lvl w:ilvl="0">
      <w:lvlJc w:val="left"/>
      <w:lvlText w:val="(%1)"/>
      <w:numFmt w:val="lowerLetter"/>
      <w:start w:val="2"/>
    </w:lvl>
  </w:abstractNum>
  <w:abstractNum w:abstractNumId="82">
    <w:nsid w:val="F819E7F"/>
    <w:multiLevelType w:val="hybridMultilevel"/>
    <w:lvl w:ilvl="0">
      <w:lvlJc w:val="left"/>
      <w:lvlText w:val="(%1)"/>
      <w:numFmt w:val="lowerLetter"/>
      <w:start w:val="1"/>
    </w:lvl>
  </w:abstractNum>
  <w:abstractNum w:abstractNumId="83">
    <w:nsid w:val="57C7D42D"/>
    <w:multiLevelType w:val="hybridMultilevel"/>
    <w:lvl w:ilvl="0">
      <w:lvlJc w:val="left"/>
      <w:lvlText w:val="(%1)"/>
      <w:numFmt w:val="lowerLetter"/>
      <w:start w:val="1"/>
    </w:lvl>
  </w:abstractNum>
  <w:abstractNum w:abstractNumId="84">
    <w:nsid w:val="312167AD"/>
    <w:multiLevelType w:val="hybridMultilevel"/>
    <w:lvl w:ilvl="0">
      <w:lvlJc w:val="left"/>
      <w:lvlText w:val="%1"/>
      <w:numFmt w:val="lowerRoman"/>
      <w:start w:val="1"/>
    </w:lvl>
    <w:lvl w:ilvl="1">
      <w:lvlJc w:val="left"/>
      <w:lvlText w:val="(%2)"/>
      <w:numFmt w:val="lowerLetter"/>
      <w:start w:val="1"/>
    </w:lvl>
  </w:abstractNum>
  <w:abstractNum w:abstractNumId="85">
    <w:nsid w:val="631B64D4"/>
    <w:multiLevelType w:val="hybridMultilevel"/>
    <w:lvl w:ilvl="0">
      <w:lvlJc w:val="left"/>
      <w:lvlText w:val="(%1)"/>
      <w:numFmt w:val="lowerRoman"/>
      <w:start w:val="1"/>
    </w:lvl>
    <w:lvl w:ilvl="1">
      <w:lvlJc w:val="left"/>
      <w:lvlText w:val="%2"/>
      <w:numFmt w:val="lowerLetter"/>
      <w:start w:val="1"/>
    </w:lvl>
  </w:abstractNum>
  <w:abstractNum w:abstractNumId="86">
    <w:nsid w:val="78B5E776"/>
    <w:multiLevelType w:val="hybridMultilevel"/>
    <w:lvl w:ilvl="0">
      <w:lvlJc w:val="left"/>
      <w:lvlText w:val="(%1)"/>
      <w:numFmt w:val="lowerLetter"/>
      <w:start w:val="2"/>
    </w:lvl>
  </w:abstractNum>
  <w:abstractNum w:abstractNumId="87">
    <w:nsid w:val="75486E47"/>
    <w:multiLevelType w:val="hybridMultilevel"/>
    <w:lvl w:ilvl="0">
      <w:lvlJc w:val="left"/>
      <w:lvlText w:val="(%1)"/>
      <w:numFmt w:val="lowerLetter"/>
      <w:start w:val="3"/>
    </w:lvl>
  </w:abstractNum>
  <w:abstractNum w:abstractNumId="88">
    <w:nsid w:val="6E534CDE"/>
    <w:multiLevelType w:val="hybridMultilevel"/>
    <w:lvl w:ilvl="0">
      <w:lvlJc w:val="left"/>
      <w:lvlText w:val="(%1)"/>
      <w:numFmt w:val="lowerRoman"/>
      <w:start w:val="1"/>
    </w:lvl>
  </w:abstractNum>
  <w:abstractNum w:abstractNumId="89">
    <w:nsid w:val="1A0DDE32"/>
    <w:multiLevelType w:val="hybridMultilevel"/>
    <w:lvl w:ilvl="0">
      <w:lvlJc w:val="left"/>
      <w:lvlText w:val="(%1)"/>
      <w:numFmt w:val="lowerRoman"/>
      <w:start w:val="2"/>
    </w:lvl>
  </w:abstractNum>
  <w:abstractNum w:abstractNumId="90">
    <w:nsid w:val="65968C1C"/>
    <w:multiLevelType w:val="hybridMultilevel"/>
    <w:lvl w:ilvl="0">
      <w:lvlJc w:val="left"/>
      <w:lvlText w:val="%1"/>
      <w:numFmt w:val="lowerLetter"/>
      <w:start w:val="1"/>
    </w:lvl>
    <w:lvl w:ilvl="1">
      <w:lvlJc w:val="left"/>
      <w:lvlText w:val="(%2)"/>
      <w:numFmt w:val="lowerLetter"/>
      <w:start w:val="1"/>
    </w:lvl>
  </w:abstractNum>
  <w:abstractNum w:abstractNumId="91">
    <w:nsid w:val="46263DEC"/>
    <w:multiLevelType w:val="hybridMultilevel"/>
    <w:lvl w:ilvl="0">
      <w:lvlJc w:val="left"/>
      <w:lvlText w:val="(%1)"/>
      <w:numFmt w:val="lowerLetter"/>
      <w:start w:val="61"/>
    </w:lvl>
    <w:lvl w:ilvl="1">
      <w:lvlJc w:val="left"/>
      <w:lvlText w:val="(%2)"/>
      <w:numFmt w:val="lowerLetter"/>
      <w:start w:val="2"/>
    </w:lvl>
  </w:abstractNum>
  <w:abstractNum w:abstractNumId="92">
    <w:nsid w:val="260D8C4A"/>
    <w:multiLevelType w:val="hybridMultilevel"/>
    <w:lvl w:ilvl="0">
      <w:lvlJc w:val="left"/>
      <w:lvlText w:val="(%1)"/>
      <w:numFmt w:val="lowerLetter"/>
      <w:start w:val="4"/>
    </w:lvl>
    <w:lvl w:ilvl="1">
      <w:lvlJc w:val="left"/>
      <w:lvlText w:val="(%2)"/>
      <w:numFmt w:val="lowerLetter"/>
      <w:start w:val="6"/>
    </w:lvl>
    <w:lvl w:ilvl="2">
      <w:lvlJc w:val="left"/>
      <w:lvlText w:val="%3"/>
      <w:numFmt w:val="upperLetter"/>
      <w:start w:val="1"/>
    </w:lvl>
  </w:abstractNum>
  <w:abstractNum w:abstractNumId="93">
    <w:nsid w:val="73D4D3C4"/>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94">
    <w:nsid w:val="746F2E30"/>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23"/>
    </w:lvl>
  </w:abstractNum>
  <w:abstractNum w:abstractNumId="95">
    <w:nsid w:val="6FDE8AF6"/>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1"/>
    </w:lvl>
  </w:abstractNum>
  <w:abstractNum w:abstractNumId="96">
    <w:nsid w:val="3FC32E20"/>
    <w:multiLevelType w:val="hybridMultilevel"/>
    <w:lvl w:ilvl="0">
      <w:lvlJc w:val="left"/>
      <w:lvlText w:val="(%1)"/>
      <w:numFmt w:val="lowerLetter"/>
      <w:start w:val="7"/>
    </w:lvl>
  </w:abstractNum>
  <w:abstractNum w:abstractNumId="97">
    <w:nsid w:val="49C0E823"/>
    <w:multiLevelType w:val="hybridMultilevel"/>
    <w:lvl w:ilvl="0">
      <w:lvlJc w:val="left"/>
      <w:lvlText w:val="(%1)"/>
      <w:numFmt w:val="lowerLetter"/>
      <w:start w:val="1"/>
    </w:lvl>
  </w:abstractNum>
  <w:abstractNum w:abstractNumId="98">
    <w:nsid w:val="14D53685"/>
    <w:multiLevelType w:val="hybridMultilevel"/>
    <w:lvl w:ilvl="0">
      <w:lvlJc w:val="left"/>
      <w:lvlText w:val="(%1)"/>
      <w:numFmt w:val="lowerLetter"/>
      <w:start w:val="2"/>
    </w:lvl>
  </w:abstractNum>
  <w:abstractNum w:abstractNumId="99">
    <w:nsid w:val="230F856C"/>
    <w:multiLevelType w:val="hybridMultilevel"/>
    <w:lvl w:ilvl="0">
      <w:lvlJc w:val="left"/>
      <w:lvlText w:val="(%1)"/>
      <w:numFmt w:val="lowerLetter"/>
      <w:start w:val="3"/>
    </w:lvl>
  </w:abstractNum>
  <w:abstractNum w:abstractNumId="100">
    <w:nsid w:val="6EAA85FB"/>
    <w:multiLevelType w:val="hybridMultilevel"/>
    <w:lvl w:ilvl="0">
      <w:lvlJc w:val="left"/>
      <w:lvlText w:val="(%1)"/>
      <w:numFmt w:val="lowerLetter"/>
      <w:start w:val="1"/>
    </w:lvl>
  </w:abstractNum>
  <w:abstractNum w:abstractNumId="101">
    <w:nsid w:val="3F06ECB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2">
    <w:nsid w:val="3B594807"/>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03">
    <w:nsid w:val="6CAA2304"/>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104">
    <w:nsid w:val="3F7C2FF4"/>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105">
    <w:nsid w:val="25413BEC"/>
    <w:multiLevelType w:val="hybridMultilevel"/>
    <w:lvl w:ilvl="0">
      <w:lvlJc w:val="left"/>
      <w:lvlText w:val="(%1)"/>
      <w:numFmt w:val="lowerLetter"/>
      <w:start w:val="35"/>
    </w:lvl>
    <w:lvl w:ilvl="1">
      <w:lvlJc w:val="left"/>
      <w:lvlText w:val="(%2)"/>
      <w:numFmt w:val="lowerLetter"/>
      <w:start w:val="23"/>
    </w:lvl>
    <w:lvl w:ilvl="2">
      <w:lvlJc w:val="left"/>
      <w:lvlText w:val="(%3)"/>
      <w:numFmt w:val="upperLetter"/>
      <w:start w:val="1"/>
    </w:lvl>
  </w:abstractNum>
  <w:abstractNum w:abstractNumId="106">
    <w:nsid w:val="17180B0B"/>
    <w:multiLevelType w:val="hybridMultilevel"/>
    <w:lvl w:ilvl="0">
      <w:lvlJc w:val="left"/>
      <w:lvlText w:val="%1"/>
      <w:numFmt w:val="lowerLetter"/>
      <w:start w:val="1"/>
    </w:lvl>
    <w:lvl w:ilvl="1">
      <w:lvlJc w:val="left"/>
      <w:lvlText w:val="(%2)"/>
      <w:numFmt w:val="lowerLetter"/>
      <w:start w:val="61"/>
    </w:lvl>
  </w:abstractNum>
  <w:abstractNum w:abstractNumId="107">
    <w:nsid w:val="579328B9"/>
    <w:multiLevelType w:val="hybridMultilevel"/>
    <w:lvl w:ilvl="0">
      <w:lvlJc w:val="left"/>
      <w:lvlText w:val="(%1)"/>
      <w:numFmt w:val="lowerLetter"/>
      <w:start w:val="25"/>
    </w:lvl>
    <w:lvl w:ilvl="1">
      <w:lvlJc w:val="left"/>
      <w:lvlText w:val="%2"/>
      <w:numFmt w:val="lowerLetter"/>
      <w:start w:val="1"/>
    </w:lvl>
  </w:abstractNum>
  <w:abstractNum w:abstractNumId="108">
    <w:nsid w:val="5D205E20"/>
    <w:multiLevelType w:val="hybridMultilevel"/>
    <w:lvl w:ilvl="0">
      <w:lvlJc w:val="left"/>
      <w:lvlText w:val="(%1)"/>
      <w:numFmt w:val="lowerRoman"/>
      <w:start w:val="4"/>
    </w:lvl>
  </w:abstractNum>
  <w:abstractNum w:abstractNumId="109">
    <w:nsid w:val="11CCA8BA"/>
    <w:multiLevelType w:val="hybridMultilevel"/>
    <w:lvl w:ilvl="0">
      <w:lvlJc w:val="left"/>
      <w:lvlText w:val="%1"/>
      <w:numFmt w:val="lowerLetter"/>
      <w:start w:val="1"/>
    </w:lvl>
    <w:lvl w:ilvl="1">
      <w:lvlJc w:val="left"/>
      <w:lvlText w:val="(%2)"/>
      <w:numFmt w:val="lowerLetter"/>
      <w:start w:val="2"/>
    </w:lvl>
  </w:abstractNum>
  <w:abstractNum w:abstractNumId="110">
    <w:nsid w:val="4D32AB86"/>
    <w:multiLevelType w:val="hybridMultilevel"/>
    <w:lvl w:ilvl="0">
      <w:lvlJc w:val="left"/>
      <w:lvlText w:val="(%1)"/>
      <w:numFmt w:val="lowerLetter"/>
      <w:start w:val="61"/>
    </w:lvl>
    <w:lvl w:ilvl="1">
      <w:lvlJc w:val="left"/>
      <w:lvlText w:val="%2"/>
      <w:numFmt w:val="lowerLetter"/>
      <w:start w:val="1"/>
    </w:lvl>
  </w:abstractNum>
  <w:abstractNum w:abstractNumId="111">
    <w:nsid w:val="3F07ACC3"/>
    <w:multiLevelType w:val="hybridMultilevel"/>
    <w:lvl w:ilvl="0">
      <w:lvlJc w:val="left"/>
      <w:lvlText w:val="%1"/>
      <w:numFmt w:val="lowerRoman"/>
      <w:start w:val="1"/>
    </w:lvl>
    <w:lvl w:ilvl="1">
      <w:lvlJc w:val="left"/>
      <w:lvlText w:val="(%2)"/>
      <w:numFmt w:val="lowerLetter"/>
      <w:start w:val="4"/>
    </w:lvl>
  </w:abstractNum>
  <w:abstractNum w:abstractNumId="112">
    <w:nsid w:val="6B47F63E"/>
    <w:multiLevelType w:val="hybridMultilevel"/>
    <w:lvl w:ilvl="0">
      <w:lvlJc w:val="left"/>
      <w:lvlText w:val="(%1)"/>
      <w:numFmt w:val="lowerRoman"/>
      <w:start w:val="1"/>
    </w:lvl>
    <w:lvl w:ilvl="1">
      <w:lvlJc w:val="left"/>
      <w:lvlText w:val="%2"/>
      <w:numFmt w:val="lowerLetter"/>
      <w:start w:val="1"/>
    </w:lvl>
  </w:abstractNum>
  <w:abstractNum w:abstractNumId="113">
    <w:nsid w:val="5CB44A05"/>
    <w:multiLevelType w:val="hybridMultilevel"/>
    <w:lvl w:ilvl="0">
      <w:lvlJc w:val="left"/>
      <w:lvlText w:val="(%1)"/>
      <w:numFmt w:val="lowerLetter"/>
      <w:start w:val="1"/>
    </w:lvl>
  </w:abstractNum>
  <w:abstractNum w:abstractNumId="114">
    <w:nsid w:val="16CF80F1"/>
    <w:multiLevelType w:val="hybridMultilevel"/>
    <w:lvl w:ilvl="0">
      <w:lvlJc w:val="left"/>
      <w:lvlText w:val="(%1)"/>
      <w:numFmt w:val="lowerLetter"/>
      <w:start w:val="2"/>
    </w:lvl>
  </w:abstractNum>
  <w:abstractNum w:abstractNumId="115">
    <w:nsid w:val="1C695DEC"/>
    <w:multiLevelType w:val="hybridMultilevel"/>
    <w:lvl w:ilvl="0">
      <w:lvlJc w:val="left"/>
      <w:lvlText w:val="(%1)"/>
      <w:numFmt w:val="lowerLetter"/>
      <w:start w:val="1"/>
    </w:lvl>
  </w:abstractNum>
  <w:abstractNum w:abstractNumId="116">
    <w:nsid w:val="3FCFAED9"/>
    <w:multiLevelType w:val="hybridMultilevel"/>
    <w:lvl w:ilvl="0">
      <w:lvlJc w:val="left"/>
      <w:lvlText w:val="(%1)"/>
      <w:numFmt w:val="lowerLetter"/>
      <w:start w:val="1"/>
    </w:lvl>
  </w:abstractNum>
  <w:abstractNum w:abstractNumId="117">
    <w:nsid w:val="F856867"/>
    <w:multiLevelType w:val="hybridMultilevel"/>
    <w:lvl w:ilvl="0">
      <w:lvlJc w:val="left"/>
      <w:lvlText w:val="(%1)"/>
      <w:numFmt w:val="lowerLetter"/>
      <w:start w:val="1"/>
    </w:lvl>
  </w:abstractNum>
  <w:abstractNum w:abstractNumId="118">
    <w:nsid w:val="11B1CC33"/>
    <w:multiLevelType w:val="hybridMultilevel"/>
    <w:lvl w:ilvl="0">
      <w:lvlJc w:val="left"/>
      <w:lvlText w:val="(%1)"/>
      <w:numFmt w:val="lowerLetter"/>
      <w:start w:val="1"/>
    </w:lvl>
  </w:abstractNum>
  <w:abstractNum w:abstractNumId="119">
    <w:nsid w:val="2E22FBB7"/>
    <w:multiLevelType w:val="hybridMultilevel"/>
    <w:lvl w:ilvl="0">
      <w:lvlJc w:val="left"/>
      <w:lvlText w:val="%1"/>
      <w:numFmt w:val="lowerRoman"/>
      <w:start w:val="1"/>
    </w:lvl>
    <w:lvl w:ilvl="1">
      <w:lvlJc w:val="left"/>
      <w:lvlText w:val="(%2)"/>
      <w:numFmt w:val="lowerLetter"/>
      <w:start w:val="1"/>
    </w:lvl>
  </w:abstractNum>
  <w:abstractNum w:abstractNumId="120">
    <w:nsid w:val="29934699"/>
    <w:multiLevelType w:val="hybridMultilevel"/>
    <w:lvl w:ilvl="0">
      <w:lvlJc w:val="left"/>
      <w:lvlText w:val="(%1)"/>
      <w:numFmt w:val="lowerRoman"/>
      <w:start w:val="1"/>
    </w:lvl>
    <w:lvl w:ilvl="1">
      <w:lvlJc w:val="left"/>
      <w:lvlText w:val="%2"/>
      <w:numFmt w:val="lowerLetter"/>
      <w:start w:val="1"/>
    </w:lvl>
  </w:abstractNum>
  <w:abstractNum w:abstractNumId="121">
    <w:nsid w:val="77485850"/>
    <w:multiLevelType w:val="hybridMultilevel"/>
    <w:lvl w:ilvl="0">
      <w:lvlJc w:val="left"/>
      <w:lvlText w:val="(%1)"/>
      <w:numFmt w:val="lowerRoman"/>
      <w:start w:val="5"/>
    </w:lvl>
    <w:lvl w:ilvl="1">
      <w:lvlJc w:val="left"/>
      <w:lvlText w:val="(%2)"/>
      <w:numFmt w:val="lowerLetter"/>
      <w:start w:val="2"/>
    </w:lvl>
  </w:abstractNum>
  <w:abstractNum w:abstractNumId="122">
    <w:nsid w:val="744939A3"/>
    <w:multiLevelType w:val="hybridMultilevel"/>
    <w:lvl w:ilvl="0">
      <w:lvlJc w:val="left"/>
      <w:lvlText w:val="(%1)"/>
      <w:numFmt w:val="lowerLetter"/>
      <w:start w:val="6"/>
    </w:lvl>
  </w:abstractNum>
  <w:abstractNum w:abstractNumId="123">
    <w:nsid w:val="4FA0D2E3"/>
    <w:multiLevelType w:val="hybridMultilevel"/>
    <w:lvl w:ilvl="0">
      <w:lvlJc w:val="left"/>
      <w:lvlText w:val="(%1)"/>
      <w:numFmt w:val="lowerLetter"/>
      <w:start w:val="1"/>
    </w:lvl>
  </w:abstractNum>
  <w:abstractNum w:abstractNumId="124">
    <w:nsid w:val="6B1D2C14"/>
    <w:multiLevelType w:val="hybridMultilevel"/>
    <w:lvl w:ilvl="0">
      <w:lvlJc w:val="left"/>
      <w:lvlText w:val="%1"/>
      <w:numFmt w:val="lowerLetter"/>
      <w:start w:val="1"/>
    </w:lvl>
    <w:lvl w:ilvl="1">
      <w:lvlJc w:val="left"/>
      <w:lvlText w:val="(%2)"/>
      <w:numFmt w:val="lowerLetter"/>
      <w:start w:val="1"/>
    </w:lvl>
  </w:abstractNum>
  <w:abstractNum w:abstractNumId="125">
    <w:nsid w:val="68B867D3"/>
    <w:multiLevelType w:val="hybridMultilevel"/>
    <w:lvl w:ilvl="0">
      <w:lvlJc w:val="left"/>
      <w:lvlText w:val="(%1)"/>
      <w:numFmt w:val="lowerLetter"/>
      <w:start w:val="9"/>
    </w:lvl>
    <w:lvl w:ilvl="1">
      <w:lvlJc w:val="left"/>
      <w:lvlText w:val="(%2)"/>
      <w:numFmt w:val="lowerLetter"/>
      <w:start w:val="4"/>
    </w:lvl>
  </w:abstractNum>
  <w:abstractNum w:abstractNumId="126">
    <w:nsid w:val="3F7F5DD9"/>
    <w:multiLevelType w:val="hybridMultilevel"/>
    <w:lvl w:ilvl="0">
      <w:lvlJc w:val="left"/>
      <w:lvlText w:val="(%1)"/>
      <w:numFmt w:val="lowerLetter"/>
      <w:start w:val="6"/>
    </w:lvl>
  </w:abstractNum>
  <w:abstractNum w:abstractNumId="127">
    <w:nsid w:val="2AE05A34"/>
    <w:multiLevelType w:val="hybridMultilevel"/>
    <w:lvl w:ilvl="0">
      <w:lvlJc w:val="left"/>
      <w:lvlText w:val="(%1)"/>
      <w:numFmt w:val="lowerLetter"/>
      <w:start w:val="1"/>
    </w:lvl>
  </w:abstractNum>
  <w:abstractNum w:abstractNumId="128">
    <w:nsid w:val="32794FF7"/>
    <w:multiLevelType w:val="hybridMultilevel"/>
    <w:lvl w:ilvl="0">
      <w:lvlJc w:val="left"/>
      <w:lvlText w:val="(%1)"/>
      <w:numFmt w:val="lowerLetter"/>
      <w:start w:val="3"/>
    </w:lvl>
  </w:abstractNum>
  <w:abstractNum w:abstractNumId="129">
    <w:nsid w:val="5454945E"/>
    <w:multiLevelType w:val="hybridMultilevel"/>
    <w:lvl w:ilvl="0">
      <w:lvlJc w:val="left"/>
      <w:lvlText w:val="(%1)"/>
      <w:numFmt w:val="lowerLetter"/>
      <w:start w:val="1"/>
    </w:lvl>
  </w:abstractNum>
  <w:abstractNum w:abstractNumId="130">
    <w:nsid w:val="4DEFDFA0"/>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131">
    <w:nsid w:val="2123D5F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23"/>
    </w:lvl>
  </w:abstractNum>
  <w:abstractNum w:abstractNumId="132">
    <w:nsid w:val="135B8110"/>
    <w:multiLevelType w:val="hybridMultilevel"/>
    <w:lvl w:ilvl="0">
      <w:lvlJc w:val="left"/>
      <w:lvlText w:val="%1"/>
      <w:numFmt w:val="upperLetter"/>
      <w:start w:val="1"/>
    </w:lvl>
    <w:lvl w:ilvl="1">
      <w:lvlJc w:val="left"/>
      <w:lvlText w:val="(%2)"/>
      <w:numFmt w:val="lowerLetter"/>
      <w:start w:val="25"/>
    </w:lvl>
  </w:abstractNum>
  <w:abstractNum w:abstractNumId="133">
    <w:nsid w:val="94927A8"/>
    <w:multiLevelType w:val="hybridMultilevel"/>
    <w:lvl w:ilvl="0">
      <w:lvlJc w:val="left"/>
      <w:lvlText w:val="(%1)"/>
      <w:numFmt w:val="upperLetter"/>
      <w:start w:val="3"/>
    </w:lvl>
    <w:lvl w:ilvl="1">
      <w:lvlJc w:val="left"/>
      <w:lvlText w:val="%2"/>
      <w:numFmt w:val="lowerLetter"/>
      <w:start w:val="1"/>
    </w:lvl>
  </w:abstractNum>
  <w:abstractNum w:abstractNumId="134">
    <w:nsid w:val="DCDF8F6"/>
    <w:multiLevelType w:val="hybridMultilevel"/>
    <w:lvl w:ilvl="0">
      <w:lvlJc w:val="left"/>
      <w:lvlText w:val="(%1)"/>
      <w:numFmt w:val="upperLetter"/>
      <w:start w:val="5"/>
    </w:lvl>
    <w:lvl w:ilvl="1">
      <w:lvlJc w:val="left"/>
      <w:lvlText w:val="(%2)"/>
      <w:numFmt w:val="lowerLetter"/>
      <w:start w:val="24"/>
    </w:lvl>
  </w:abstractNum>
  <w:abstractNum w:abstractNumId="135">
    <w:nsid w:val="52D7B105"/>
    <w:multiLevelType w:val="hybridMultilevel"/>
    <w:lvl w:ilvl="0">
      <w:lvlJc w:val="left"/>
      <w:lvlText w:val="(%1)"/>
      <w:numFmt w:val="upperLetter"/>
      <w:start w:val="6"/>
    </w:lvl>
  </w:abstractNum>
  <w:abstractNum w:abstractNumId="136">
    <w:nsid w:val="2E8A6394"/>
    <w:multiLevelType w:val="hybridMultilevel"/>
    <w:lvl w:ilvl="0">
      <w:lvlJc w:val="left"/>
      <w:lvlText w:val="(%1)"/>
      <w:numFmt w:val="decimal"/>
      <w:start w:val="2"/>
    </w:lvl>
  </w:abstractNum>
  <w:abstractNum w:abstractNumId="137">
    <w:nsid w:val="24E60401"/>
    <w:multiLevelType w:val="hybridMultilevel"/>
    <w:lvl w:ilvl="0">
      <w:lvlJc w:val="left"/>
      <w:lvlText w:val="(%1)"/>
      <w:numFmt w:val="lowerLetter"/>
      <w:start w:val="3"/>
    </w:lvl>
  </w:abstractNum>
  <w:abstractNum w:abstractNumId="138">
    <w:nsid w:val="2A6AD9BE"/>
    <w:multiLevelType w:val="hybridMultilevel"/>
    <w:lvl w:ilvl="0">
      <w:lvlJc w:val="left"/>
      <w:lvlText w:val="(%1)"/>
      <w:numFmt w:val="lowerLetter"/>
      <w:start w:val="1"/>
    </w:lvl>
  </w:abstractNum>
  <w:abstractNum w:abstractNumId="139">
    <w:nsid w:val="BAAC1B4"/>
    <w:multiLevelType w:val="hybridMultilevel"/>
    <w:lvl w:ilvl="0">
      <w:lvlJc w:val="left"/>
      <w:lvlText w:val="(%1)"/>
      <w:numFmt w:val="lowerLetter"/>
      <w:start w:val="4"/>
    </w:lvl>
  </w:abstractNum>
  <w:abstractNum w:abstractNumId="140">
    <w:nsid w:val="36B2ACBC"/>
    <w:multiLevelType w:val="hybridMultilevel"/>
    <w:lvl w:ilvl="0">
      <w:lvlJc w:val="left"/>
      <w:lvlText w:val="(%1)"/>
      <w:numFmt w:val="lowerRoman"/>
      <w:start w:val="1"/>
    </w:lvl>
  </w:abstractNum>
  <w:abstractNum w:abstractNumId="141">
    <w:nsid w:val="779D8544"/>
    <w:multiLevelType w:val="hybridMultilevel"/>
    <w:lvl w:ilvl="0">
      <w:lvlJc w:val="left"/>
      <w:lvlText w:val="(%1)"/>
      <w:numFmt w:val="lowerLetter"/>
      <w:start w:val="1"/>
    </w:lvl>
  </w:abstractNum>
  <w:abstractNum w:abstractNumId="142">
    <w:nsid w:val="4AB26E78"/>
    <w:multiLevelType w:val="hybridMultilevel"/>
    <w:lvl w:ilvl="0">
      <w:lvlJc w:val="left"/>
      <w:lvlText w:val="%1"/>
      <w:numFmt w:val="upperLetter"/>
      <w:start w:val="1"/>
    </w:lvl>
    <w:lvl w:ilvl="1">
      <w:lvlJc w:val="left"/>
      <w:lvlText w:val="(%2)"/>
      <w:numFmt w:val="lowerLetter"/>
      <w:start w:val="9"/>
    </w:lvl>
  </w:abstractNum>
  <w:abstractNum w:abstractNumId="143">
    <w:nsid w:val="21FAA2FA"/>
    <w:multiLevelType w:val="hybridMultilevel"/>
    <w:lvl w:ilvl="0">
      <w:lvlJc w:val="left"/>
      <w:lvlText w:val="(%1)"/>
      <w:numFmt w:val="upperLetter"/>
      <w:start w:val="1"/>
    </w:lvl>
    <w:lvl w:ilvl="1">
      <w:lvlJc w:val="left"/>
      <w:lvlText w:val="(%2)"/>
      <w:numFmt w:val="lowerLetter"/>
      <w:start w:val="10"/>
    </w:lvl>
  </w:abstractNum>
  <w:abstractNum w:abstractNumId="144">
    <w:nsid w:val="5451CF49"/>
    <w:multiLevelType w:val="hybridMultilevel"/>
    <w:lvl w:ilvl="0">
      <w:lvlJc w:val="left"/>
      <w:lvlText w:val="(%1)"/>
      <w:numFmt w:val="lowerLetter"/>
      <w:start w:val="1"/>
    </w:lvl>
  </w:abstractNum>
  <w:abstractNum w:abstractNumId="145">
    <w:nsid w:val="6181EF69"/>
    <w:multiLevelType w:val="hybridMultilevel"/>
    <w:lvl w:ilvl="0">
      <w:lvlJc w:val="left"/>
      <w:lvlText w:val="(%1)"/>
      <w:numFmt w:val="lowerLetter"/>
      <w:start w:val="6"/>
    </w:lvl>
  </w:abstractNum>
  <w:abstractNum w:abstractNumId="146">
    <w:nsid w:val="3E6400E6"/>
    <w:multiLevelType w:val="hybridMultilevel"/>
    <w:lvl w:ilvl="0">
      <w:lvlJc w:val="left"/>
      <w:lvlText w:val="(%1)"/>
      <w:numFmt w:val="lowerLetter"/>
      <w:start w:val="4"/>
    </w:lvl>
  </w:abstractNum>
  <w:abstractNum w:abstractNumId="147">
    <w:nsid w:val="14217E23"/>
    <w:multiLevelType w:val="hybridMultilevel"/>
    <w:lvl w:ilvl="0">
      <w:lvlJc w:val="left"/>
      <w:lvlText w:val="(%1)"/>
      <w:numFmt w:val="lowerLetter"/>
      <w:start w:val="1"/>
    </w:lvl>
  </w:abstractNum>
  <w:abstractNum w:abstractNumId="148">
    <w:nsid w:val="710757D0"/>
    <w:multiLevelType w:val="hybridMultilevel"/>
    <w:lvl w:ilvl="0">
      <w:lvlJc w:val="left"/>
      <w:lvlText w:val="(%1)"/>
      <w:numFmt w:val="lowerLetter"/>
      <w:start w:val="4"/>
    </w:lvl>
  </w:abstractNum>
  <w:abstractNum w:abstractNumId="149">
    <w:nsid w:val="5015CD1A"/>
    <w:multiLevelType w:val="hybridMultilevel"/>
    <w:lvl w:ilvl="0">
      <w:lvlJc w:val="left"/>
      <w:lvlText w:val="%1"/>
      <w:numFmt w:val="lowerLetter"/>
      <w:start w:val="1"/>
    </w:lvl>
    <w:lvl w:ilvl="1">
      <w:lvlJc w:val="left"/>
      <w:lvlText w:val="(%2)"/>
      <w:numFmt w:val="lowerLetter"/>
      <w:start w:val="1"/>
    </w:lvl>
  </w:abstractNum>
  <w:abstractNum w:abstractNumId="150">
    <w:nsid w:val="424479DA"/>
    <w:multiLevelType w:val="hybridMultilevel"/>
    <w:lvl w:ilvl="0">
      <w:lvlJc w:val="left"/>
      <w:lvlText w:val="(%1)"/>
      <w:numFmt w:val="lowerLetter"/>
      <w:start w:val="6"/>
    </w:lvl>
    <w:lvl w:ilvl="1">
      <w:lvlJc w:val="left"/>
      <w:lvlText w:val="%2"/>
      <w:numFmt w:val="lowerLetter"/>
      <w:start w:val="1"/>
    </w:lvl>
  </w:abstractNum>
  <w:abstractNum w:abstractNumId="151">
    <w:nsid w:val="1A9A9E69"/>
    <w:multiLevelType w:val="hybridMultilevel"/>
    <w:lvl w:ilvl="0">
      <w:lvlJc w:val="left"/>
      <w:lvlText w:val="(%1)"/>
      <w:numFmt w:val="lowerLetter"/>
      <w:start w:val="7"/>
    </w:lvl>
  </w:abstractNum>
  <w:abstractNum w:abstractNumId="152">
    <w:nsid w:val="475E256A"/>
    <w:multiLevelType w:val="hybridMultilevel"/>
    <w:lvl w:ilvl="0">
      <w:lvlJc w:val="left"/>
      <w:lvlText w:val="%1"/>
      <w:numFmt w:val="lowerRoman"/>
      <w:start w:val="1"/>
    </w:lvl>
    <w:lvl w:ilvl="1">
      <w:lvlJc w:val="left"/>
      <w:lvlText w:val="(%2)"/>
      <w:numFmt w:val="lowerLetter"/>
      <w:start w:val="1"/>
    </w:lvl>
  </w:abstractNum>
  <w:abstractNum w:abstractNumId="153">
    <w:nsid w:val="368DB37E"/>
    <w:multiLevelType w:val="hybridMultilevel"/>
    <w:lvl w:ilvl="0">
      <w:lvlJc w:val="left"/>
      <w:lvlText w:val="(%1)"/>
      <w:numFmt w:val="lowerRoman"/>
      <w:start w:val="1"/>
    </w:lvl>
    <w:lvl w:ilvl="1">
      <w:lvlJc w:val="left"/>
      <w:lvlText w:val="%2"/>
      <w:numFmt w:val="lowerLetter"/>
      <w:start w:val="1"/>
    </w:lvl>
  </w:abstractNum>
  <w:abstractNum w:abstractNumId="154">
    <w:nsid w:val="6A3B714C"/>
    <w:multiLevelType w:val="hybridMultilevel"/>
    <w:lvl w:ilvl="0">
      <w:lvlJc w:val="left"/>
      <w:lvlText w:val="%1"/>
      <w:numFmt w:val="upperLetter"/>
      <w:start w:val="1"/>
    </w:lvl>
    <w:lvl w:ilvl="1">
      <w:lvlJc w:val="left"/>
      <w:lvlText w:val="(%2)"/>
      <w:numFmt w:val="lowerLetter"/>
      <w:start w:val="4"/>
    </w:lvl>
  </w:abstractNum>
  <w:abstractNum w:abstractNumId="155">
    <w:nsid w:val="327B517E"/>
    <w:multiLevelType w:val="hybridMultilevel"/>
    <w:lvl w:ilvl="0">
      <w:lvlJc w:val="left"/>
      <w:lvlText w:val="(%1)"/>
      <w:numFmt w:val="upperLetter"/>
      <w:start w:val="2"/>
    </w:lvl>
    <w:lvl w:ilvl="1">
      <w:lvlJc w:val="left"/>
      <w:lvlText w:val="%2"/>
      <w:numFmt w:val="lowerLetter"/>
      <w:start w:val="1"/>
    </w:lvl>
  </w:abstractNum>
  <w:abstractNum w:abstractNumId="156">
    <w:nsid w:val="1F461B51"/>
    <w:multiLevelType w:val="hybridMultilevel"/>
    <w:lvl w:ilvl="0">
      <w:lvlJc w:val="left"/>
      <w:lvlText w:val="(%1)"/>
      <w:numFmt w:val="lowerLetter"/>
      <w:start w:val="1"/>
    </w:lvl>
  </w:abstractNum>
  <w:abstractNum w:abstractNumId="157">
    <w:nsid w:val="29BACF25"/>
    <w:multiLevelType w:val="hybridMultilevel"/>
    <w:lvl w:ilvl="0">
      <w:lvlJc w:val="left"/>
      <w:lvlText w:val="(%1)"/>
      <w:numFmt w:val="lowerLetter"/>
      <w:start w:val="2"/>
    </w:lvl>
  </w:abstractNum>
  <w:abstractNum w:abstractNumId="158">
    <w:nsid w:val="5D5BABB3"/>
    <w:multiLevelType w:val="hybridMultilevel"/>
    <w:lvl w:ilvl="0">
      <w:lvlJc w:val="left"/>
      <w:lvlText w:val="(%1)"/>
      <w:numFmt w:val="lowerLetter"/>
      <w:start w:val="1"/>
    </w:lvl>
  </w:abstractNum>
  <w:abstractNum w:abstractNumId="159">
    <w:nsid w:val="51BF6B48"/>
    <w:multiLevelType w:val="hybridMultilevel"/>
    <w:lvl w:ilvl="0">
      <w:lvlJc w:val="left"/>
      <w:lvlText w:val="(%1)"/>
      <w:numFmt w:val="lowerLetter"/>
      <w:start w:val="1"/>
    </w:lvl>
  </w:abstractNum>
  <w:abstractNum w:abstractNumId="160">
    <w:nsid w:val="7E0F6384"/>
    <w:multiLevelType w:val="hybridMultilevel"/>
    <w:lvl w:ilvl="0">
      <w:lvlJc w:val="left"/>
      <w:lvlText w:val="(%1)"/>
      <w:numFmt w:val="lowerLetter"/>
      <w:start w:val="5"/>
    </w:lvl>
  </w:abstractNum>
  <w:abstractNum w:abstractNumId="161">
    <w:nsid w:val="2B4B8B53"/>
    <w:multiLevelType w:val="hybridMultilevel"/>
    <w:lvl w:ilvl="0">
      <w:lvlJc w:val="left"/>
      <w:lvlText w:val="(%1)"/>
      <w:numFmt w:val="lowerLetter"/>
      <w:start w:val="11"/>
    </w:lvl>
  </w:abstractNum>
  <w:abstractNum w:abstractNumId="162">
    <w:nsid w:val="72E3413A"/>
    <w:multiLevelType w:val="hybridMultilevel"/>
    <w:lvl w:ilvl="0">
      <w:lvlJc w:val="left"/>
      <w:lvlText w:val="(%1)"/>
      <w:numFmt w:val="lowerLetter"/>
      <w:start w:val="19"/>
    </w:lvl>
  </w:abstractNum>
  <w:abstractNum w:abstractNumId="163">
    <w:nsid w:val="116AE494"/>
    <w:multiLevelType w:val="hybridMultilevel"/>
    <w:lvl w:ilvl="0">
      <w:lvlJc w:val="left"/>
      <w:lvlText w:val="(%1)"/>
      <w:numFmt w:val="lowerRoman"/>
      <w:start w:val="1"/>
    </w:lvl>
  </w:abstractNum>
  <w:abstractNum w:abstractNumId="164">
    <w:nsid w:val="3494B2FB"/>
    <w:multiLevelType w:val="hybridMultilevel"/>
    <w:lvl w:ilvl="0">
      <w:lvlJc w:val="left"/>
      <w:lvlText w:val="(%1)"/>
      <w:numFmt w:val="lowerRoman"/>
      <w:start w:val="2"/>
    </w:lvl>
  </w:abstractNum>
  <w:abstractNum w:abstractNumId="165">
    <w:nsid w:val="B13A31"/>
    <w:multiLevelType w:val="hybridMultilevel"/>
    <w:lvl w:ilvl="0">
      <w:lvlJc w:val="left"/>
      <w:lvlText w:val="%1"/>
      <w:numFmt w:val="lowerLetter"/>
      <w:start w:val="1"/>
    </w:lvl>
    <w:lvl w:ilvl="1">
      <w:lvlJc w:val="left"/>
      <w:lvlText w:val="(%2)"/>
      <w:numFmt w:val="lowerLetter"/>
      <w:start w:val="1"/>
    </w:lvl>
  </w:abstractNum>
  <w:abstractNum w:abstractNumId="166">
    <w:nsid w:val="64429599"/>
    <w:multiLevelType w:val="hybridMultilevel"/>
    <w:lvl w:ilvl="0">
      <w:lvlJc w:val="left"/>
      <w:lvlText w:val="(%1)"/>
      <w:numFmt w:val="lowerLetter"/>
      <w:start w:val="9"/>
    </w:lvl>
    <w:lvl w:ilvl="1">
      <w:lvlJc w:val="left"/>
      <w:lvlText w:val="%2"/>
      <w:numFmt w:val="lowerLetter"/>
      <w:start w:val="1"/>
    </w:lvl>
  </w:abstractNum>
  <w:abstractNum w:abstractNumId="167">
    <w:nsid w:val="631F1690"/>
    <w:multiLevelType w:val="hybridMultilevel"/>
    <w:lvl w:ilvl="0">
      <w:lvlJc w:val="left"/>
      <w:lvlText w:val="(%1)"/>
      <w:numFmt w:val="lowerLetter"/>
      <w:start w:val="2"/>
    </w:lvl>
  </w:abstractNum>
  <w:abstractNum w:abstractNumId="168">
    <w:nsid w:val="25973E32"/>
    <w:multiLevelType w:val="hybridMultilevel"/>
    <w:lvl w:ilvl="0">
      <w:lvlJc w:val="left"/>
      <w:lvlText w:val="(%1)"/>
      <w:numFmt w:val="lowerRoman"/>
      <w:start w:val="1"/>
    </w:lvl>
  </w:abstractNum>
  <w:abstractNum w:abstractNumId="169">
    <w:nsid w:val="EAD6F57"/>
    <w:multiLevelType w:val="hybridMultilevel"/>
    <w:lvl w:ilvl="0">
      <w:lvlJc w:val="left"/>
      <w:lvlText w:val="(%1)"/>
      <w:numFmt w:val="lowerLetter"/>
      <w:start w:val="3"/>
    </w:lvl>
  </w:abstractNum>
  <w:abstractNum w:abstractNumId="170">
    <w:nsid w:val="6EC9D844"/>
    <w:multiLevelType w:val="hybridMultilevel"/>
    <w:lvl w:ilvl="0">
      <w:lvlJc w:val="left"/>
      <w:lvlText w:val="%1"/>
      <w:numFmt w:val="lowerRoman"/>
      <w:start w:val="1"/>
    </w:lvl>
    <w:lvl w:ilvl="1">
      <w:lvlJc w:val="left"/>
      <w:lvlText w:val="(%2)"/>
      <w:numFmt w:val="lowerLetter"/>
      <w:start w:val="1"/>
    </w:lvl>
  </w:abstractNum>
  <w:abstractNum w:abstractNumId="171">
    <w:nsid w:val="5C49EAEE"/>
    <w:multiLevelType w:val="hybridMultilevel"/>
    <w:lvl w:ilvl="0">
      <w:lvlJc w:val="left"/>
      <w:lvlText w:val="(%1)"/>
      <w:numFmt w:val="lowerRoman"/>
      <w:start w:val="1"/>
    </w:lvl>
    <w:lvl w:ilvl="1">
      <w:lvlJc w:val="left"/>
      <w:lvlText w:val="%2"/>
      <w:numFmt w:val="lowerLetter"/>
      <w:start w:val="1"/>
    </w:lvl>
  </w:abstractNum>
  <w:abstractNum w:abstractNumId="172">
    <w:nsid w:val="64AF49B"/>
    <w:multiLevelType w:val="hybridMultilevel"/>
    <w:lvl w:ilvl="0">
      <w:lvlJc w:val="left"/>
      <w:lvlText w:val="(%1)"/>
      <w:numFmt w:val="lowerLetter"/>
      <w:start w:val="25"/>
    </w:lvl>
  </w:abstractNum>
  <w:abstractNum w:abstractNumId="173">
    <w:nsid w:val="397C46BC"/>
    <w:multiLevelType w:val="hybridMultilevel"/>
    <w:lvl w:ilvl="0">
      <w:lvlJc w:val="left"/>
      <w:lvlText w:val="(%1)"/>
      <w:numFmt w:val="lowerLetter"/>
      <w:start w:val="3"/>
    </w:lvl>
  </w:abstractNum>
  <w:abstractNum w:abstractNumId="174">
    <w:nsid w:val="7E448DE9"/>
    <w:multiLevelType w:val="hybridMultilevel"/>
    <w:lvl w:ilvl="0">
      <w:lvlJc w:val="left"/>
      <w:lvlText w:val="(%1)"/>
      <w:numFmt w:val="lowerLetter"/>
      <w:start w:val="1"/>
    </w:lvl>
  </w:abstractNum>
  <w:abstractNum w:abstractNumId="175">
    <w:nsid w:val="5A9CC3E5"/>
    <w:multiLevelType w:val="hybridMultilevel"/>
    <w:lvl w:ilvl="0">
      <w:lvlJc w:val="left"/>
      <w:lvlText w:val="(%1)"/>
      <w:numFmt w:val="lowerLetter"/>
      <w:start w:val="3"/>
    </w:lvl>
  </w:abstractNum>
  <w:abstractNum w:abstractNumId="176">
    <w:nsid w:val="1AFE3625"/>
    <w:multiLevelType w:val="hybridMultilevel"/>
    <w:lvl w:ilvl="0">
      <w:lvlJc w:val="left"/>
      <w:lvlText w:val="(%1)"/>
      <w:numFmt w:val="lowerLetter"/>
      <w:start w:val="5"/>
    </w:lvl>
  </w:abstractNum>
  <w:abstractNum w:abstractNumId="177">
    <w:nsid w:val="3CA88ECF"/>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78">
    <w:nsid w:val="6EBE4208"/>
    <w:multiLevelType w:val="hybridMultilevel"/>
    <w:lvl w:ilvl="0">
      <w:lvlJc w:val="left"/>
      <w:lvlText w:val="(%1)"/>
      <w:numFmt w:val="lowerRoman"/>
      <w:start w:val="1"/>
    </w:lvl>
    <w:lvl w:ilvl="1">
      <w:lvlJc w:val="left"/>
      <w:lvlText w:val="(%2)"/>
      <w:numFmt w:val="lowerLetter"/>
      <w:start w:val="34"/>
    </w:lvl>
    <w:lvl w:ilvl="2">
      <w:lvlJc w:val="left"/>
      <w:lvlText w:val="(%3)"/>
      <w:numFmt w:val="upperLetter"/>
      <w:start w:val="1"/>
    </w:lvl>
  </w:abstractNum>
  <w:abstractNum w:abstractNumId="179">
    <w:nsid w:val="C058DF5"/>
    <w:multiLevelType w:val="hybridMultilevel"/>
    <w:lvl w:ilvl="0">
      <w:lvlJc w:val="left"/>
      <w:lvlText w:val="%1"/>
      <w:numFmt w:val="lowerRoman"/>
      <w:start w:val="1"/>
    </w:lvl>
    <w:lvl w:ilvl="1">
      <w:lvlJc w:val="left"/>
      <w:lvlText w:val="(%2)"/>
      <w:numFmt w:val="upperLetter"/>
      <w:start w:val="2"/>
    </w:lvl>
  </w:abstractNum>
  <w:abstractNum w:abstractNumId="180">
    <w:nsid w:val="CBE5BE9"/>
    <w:multiLevelType w:val="hybridMultilevel"/>
    <w:lvl w:ilvl="0">
      <w:lvlJc w:val="left"/>
      <w:lvlText w:val="(%1)"/>
      <w:numFmt w:val="lowerRoman"/>
      <w:start w:val="3"/>
    </w:lvl>
    <w:lvl w:ilvl="1">
      <w:lvlJc w:val="left"/>
      <w:lvlText w:val="%2"/>
      <w:numFmt w:val="upperLetter"/>
      <w:start w:val="1"/>
    </w:lvl>
  </w:abstractNum>
  <w:abstractNum w:abstractNumId="181">
    <w:nsid w:val="3102BBE2"/>
    <w:multiLevelType w:val="hybridMultilevel"/>
    <w:lvl w:ilvl="0">
      <w:lvlJc w:val="left"/>
      <w:lvlText w:val="(%1)"/>
      <w:numFmt w:val="lowerLetter"/>
      <w:start w:val="3"/>
    </w:lvl>
  </w:abstractNum>
  <w:abstractNum w:abstractNumId="182">
    <w:nsid w:val="26A02C5E"/>
    <w:multiLevelType w:val="hybridMultilevel"/>
    <w:lvl w:ilvl="0">
      <w:lvlJc w:val="left"/>
      <w:lvlText w:val="(%1)"/>
      <w:numFmt w:val="lowerLetter"/>
      <w:start w:val="6"/>
    </w:lvl>
  </w:abstractNum>
  <w:abstractNum w:abstractNumId="183">
    <w:nsid w:val="541C8153"/>
    <w:multiLevelType w:val="hybridMultilevel"/>
    <w:lvl w:ilvl="0">
      <w:lvlJc w:val="left"/>
      <w:lvlText w:val="(%1)"/>
      <w:numFmt w:val="lowerLetter"/>
      <w:start w:val="7"/>
    </w:lvl>
  </w:abstractNum>
  <w:abstractNum w:abstractNumId="184">
    <w:nsid w:val="67906F60"/>
    <w:multiLevelType w:val="hybridMultilevel"/>
    <w:lvl w:ilvl="0">
      <w:lvlJc w:val="left"/>
      <w:lvlText w:val="(%1)"/>
      <w:numFmt w:val="lowerLetter"/>
      <w:start w:val="1"/>
    </w:lvl>
  </w:abstractNum>
  <w:abstractNum w:abstractNumId="185">
    <w:nsid w:val="10DB9DAA"/>
    <w:multiLevelType w:val="hybridMultilevel"/>
    <w:lvl w:ilvl="0">
      <w:lvlJc w:val="left"/>
      <w:lvlText w:val="(%1)"/>
      <w:numFmt w:val="lowerLetter"/>
      <w:start w:val="1"/>
    </w:lvl>
  </w:abstractNum>
  <w:abstractNum w:abstractNumId="186">
    <w:nsid w:val="697D2D2"/>
    <w:multiLevelType w:val="hybridMultilevel"/>
    <w:lvl w:ilvl="0">
      <w:lvlJc w:val="left"/>
      <w:lvlText w:val="(%1)"/>
      <w:numFmt w:val="lowerLetter"/>
      <w:start w:val="4"/>
    </w:lvl>
  </w:abstractNum>
  <w:abstractNum w:abstractNumId="187">
    <w:nsid w:val="6D68AB2"/>
    <w:multiLevelType w:val="hybridMultilevel"/>
    <w:lvl w:ilvl="0">
      <w:lvlJc w:val="left"/>
      <w:lvlText w:val="(%1)"/>
      <w:numFmt w:val="lowerLetter"/>
      <w:start w:val="1"/>
    </w:lvl>
  </w:abstractNum>
  <w:abstractNum w:abstractNumId="188">
    <w:nsid w:val="3A966CD0"/>
    <w:multiLevelType w:val="hybridMultilevel"/>
    <w:lvl w:ilvl="0">
      <w:lvlJc w:val="left"/>
      <w:lvlText w:val="(%1)"/>
      <w:numFmt w:val="lowerLetter"/>
      <w:start w:val="2"/>
    </w:lvl>
  </w:abstractNum>
  <w:abstractNum w:abstractNumId="189">
    <w:nsid w:val="63F37E85"/>
    <w:multiLevelType w:val="hybridMultilevel"/>
    <w:lvl w:ilvl="0">
      <w:lvlJc w:val="left"/>
      <w:lvlText w:val="%1"/>
      <w:numFmt w:val="upperLetter"/>
      <w:start w:val="61"/>
    </w:lvl>
  </w:abstractNum>
  <w:abstractNum w:abstractNumId="190">
    <w:nsid w:val="5895F5FA"/>
    <w:multiLevelType w:val="hybridMultilevel"/>
    <w:lvl w:ilvl="0">
      <w:lvlJc w:val="left"/>
      <w:lvlText w:val="%1."/>
      <w:numFmt w:val="decimal"/>
      <w:start w:val="1"/>
    </w:lvl>
  </w:abstractNum>
  <w:abstractNum w:abstractNumId="191">
    <w:nsid w:val="38A5D054"/>
    <w:multiLevelType w:val="hybridMultilevel"/>
    <w:lvl w:ilvl="0">
      <w:lvlJc w:val="left"/>
      <w:lvlText w:val="%1."/>
      <w:numFmt w:val="decimal"/>
      <w:start w:val="1"/>
    </w:lvl>
  </w:abstractNum>
  <w:abstractNum w:abstractNumId="192">
    <w:nsid w:val="F3F09D8"/>
    <w:multiLevelType w:val="hybridMultilevel"/>
    <w:lvl w:ilvl="0">
      <w:lvlJc w:val="left"/>
      <w:lvlText w:val="%1."/>
      <w:numFmt w:val="decimal"/>
      <w:start w:val="1"/>
    </w:lvl>
  </w:abstractNum>
  <w:abstractNum w:abstractNumId="193">
    <w:nsid w:val="4B793735"/>
    <w:multiLevelType w:val="hybridMultilevel"/>
    <w:lvl w:ilvl="0">
      <w:lvlJc w:val="left"/>
      <w:lvlText w:val="%1."/>
      <w:numFmt w:val="decimal"/>
      <w:start w:val="1"/>
    </w:lvl>
  </w:abstractNum>
  <w:abstractNum w:abstractNumId="194">
    <w:nsid w:val="4A10B4E8"/>
    <w:multiLevelType w:val="hybridMultilevel"/>
    <w:lvl w:ilvl="0">
      <w:lvlJc w:val="left"/>
      <w:lvlText w:val="%1."/>
      <w:numFmt w:val="decimal"/>
      <w:start w:val="1"/>
    </w:lvl>
  </w:abstractNum>
  <w:abstractNum w:abstractNumId="195">
    <w:nsid w:val="43D3BCD4"/>
    <w:multiLevelType w:val="hybridMultilevel"/>
    <w:lvl w:ilvl="0">
      <w:lvlJc w:val="left"/>
      <w:lvlText w:val="(%1)"/>
      <w:numFmt w:val="lowerRoman"/>
      <w:start w:val="1"/>
    </w:lvl>
  </w:abstractNum>
  <w:abstractNum w:abstractNumId="196">
    <w:nsid w:val="4C2A7166"/>
    <w:multiLevelType w:val="hybridMultilevel"/>
    <w:lvl w:ilvl="0">
      <w:lvlJc w:val="left"/>
      <w:lvlText w:val="%1."/>
      <w:numFmt w:val="decimal"/>
      <w:start w:val="1"/>
    </w:lvl>
  </w:abstractNum>
  <w:abstractNum w:abstractNumId="197">
    <w:nsid w:val="2E534A82"/>
    <w:multiLevelType w:val="hybridMultilevel"/>
    <w:lvl w:ilvl="0">
      <w:lvlJc w:val="left"/>
      <w:lvlText w:val="%1."/>
      <w:numFmt w:val="decimal"/>
      <w:start w:val="3"/>
    </w:lvl>
  </w:abstractNum>
  <w:abstractNum w:abstractNumId="198">
    <w:nsid w:val="26F2D364"/>
    <w:multiLevelType w:val="hybridMultilevel"/>
    <w:lvl w:ilvl="0">
      <w:lvlJc w:val="left"/>
      <w:lvlText w:val="1"/>
      <w:numFmt w:val="bullet"/>
      <w:start w:val="1"/>
    </w:lvl>
  </w:abstractNum>
  <w:abstractNum w:abstractNumId="199">
    <w:nsid w:val="71C1AF98"/>
    <w:multiLevelType w:val="hybridMultilevel"/>
    <w:lvl w:ilvl="0">
      <w:lvlJc w:val="left"/>
      <w:lvlText w:val="%1."/>
      <w:numFmt w:val="decimal"/>
      <w:start w:val="5"/>
    </w:lvl>
  </w:abstractNum>
  <w:abstractNum w:abstractNumId="200">
    <w:nsid w:val="3D00B9D9"/>
    <w:multiLevelType w:val="hybridMultilevel"/>
    <w:lvl w:ilvl="0">
      <w:lvlJc w:val="left"/>
      <w:lvlText w:val="2"/>
      <w:numFmt w:val="bullet"/>
      <w:start w:val="1"/>
    </w:lvl>
  </w:abstractNum>
  <w:abstractNum w:abstractNumId="201">
    <w:nsid w:val="15BCABA8"/>
    <w:multiLevelType w:val="hybridMultilevel"/>
    <w:lvl w:ilvl="0">
      <w:lvlJc w:val="left"/>
      <w:lvlText w:val="3"/>
      <w:numFmt w:val="bullet"/>
      <w:start w:val="1"/>
    </w:lvl>
  </w:abstractNum>
  <w:abstractNum w:abstractNumId="202">
    <w:nsid w:val="4E0B9A87"/>
    <w:multiLevelType w:val="hybridMultilevel"/>
    <w:lvl w:ilvl="0">
      <w:lvlJc w:val="left"/>
      <w:lvlText w:val="%1."/>
      <w:numFmt w:val="decimal"/>
      <w:start w:val="2"/>
    </w:lvl>
  </w:abstractNum>
  <w:abstractNum w:abstractNumId="203">
    <w:nsid w:val="434BAE75"/>
    <w:multiLevelType w:val="hybridMultilevel"/>
    <w:lvl w:ilvl="0">
      <w:lvlJc w:val="left"/>
      <w:lvlText w:val="%1."/>
      <w:numFmt w:val="decimal"/>
      <w:start w:val="3"/>
    </w:lvl>
  </w:abstractNum>
  <w:abstractNum w:abstractNumId="204">
    <w:nsid w:val="4F38F265"/>
    <w:multiLevelType w:val="hybridMultilevel"/>
    <w:lvl w:ilvl="0">
      <w:lvlJc w:val="left"/>
      <w:lvlText w:val="(%1)"/>
      <w:numFmt w:val="lowerLetter"/>
      <w:start w:val="5"/>
    </w:lvl>
  </w:abstractNum>
  <w:abstractNum w:abstractNumId="205">
    <w:nsid w:val="4C502870"/>
    <w:multiLevelType w:val="hybridMultilevel"/>
    <w:lvl w:ilvl="0">
      <w:lvlJc w:val="left"/>
      <w:lvlText w:val="(%1)"/>
      <w:numFmt w:val="decimal"/>
      <w:start w:val="1"/>
    </w:lvl>
    <w:lvl w:ilvl="1">
      <w:lvlJc w:val="left"/>
      <w:lvlText w:val="%2."/>
      <w:numFmt w:val="lowerLetter"/>
      <w:start w:val="1"/>
    </w:lvl>
  </w:abstractNum>
  <w:abstractNum w:abstractNumId="206">
    <w:nsid w:val="1DE8725A"/>
    <w:multiLevelType w:val="hybridMultilevel"/>
    <w:lvl w:ilvl="0">
      <w:lvlJc w:val="left"/>
      <w:lvlText w:val="(%1)"/>
      <w:numFmt w:val="decimal"/>
      <w:start w:val="1"/>
    </w:lvl>
    <w:lvl w:ilvl="1">
      <w:lvlJc w:val="left"/>
      <w:lvlText w:val="%2."/>
      <w:numFmt w:val="lowerLetter"/>
      <w:start w:val="1"/>
    </w:lvl>
  </w:abstractNum>
  <w:abstractNum w:abstractNumId="207">
    <w:nsid w:val="6A37288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2019-12-09T20:30:12Z</dcterms:created>
  <dcterms:modified xsi:type="dcterms:W3CDTF">2019-12-09T20:30:12Z</dcterms:modified>
</cp:coreProperties>
</file>