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10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0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left="4" w:right="160"/>
        <w:spacing w:after="0" w:line="276" w:lineRule="auto"/>
        <w:rPr>
          <w:sz w:val="20"/>
          <w:szCs w:val="20"/>
          <w:color w:val="auto"/>
        </w:rPr>
      </w:pPr>
      <w:r>
        <w:rPr>
          <w:rFonts w:ascii="Times New Roman" w:cs="Times New Roman" w:eastAsia="Times New Roman" w:hAnsi="Times New Roman"/>
          <w:sz w:val="17"/>
          <w:szCs w:val="17"/>
          <w:color w:val="auto"/>
        </w:rPr>
        <w:t>On April 25, 2022, Sixth Street Specialty Lending, Inc. (the “Company”) entered into a twelfth amendment to the Company’s second amended and restated senior secured revolving credit facility, dated February 27, 2014 (as amended, the “Revolving Credit Facility”), which, among other changes,</w:t>
      </w:r>
    </w:p>
    <w:p>
      <w:pPr>
        <w:spacing w:after="0" w:line="1" w:lineRule="exact"/>
        <w:rPr>
          <w:sz w:val="20"/>
          <w:szCs w:val="20"/>
          <w:color w:val="auto"/>
        </w:rPr>
      </w:pPr>
    </w:p>
    <w:p>
      <w:pPr>
        <w:ind w:left="4"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aggregate commitments under the Revolving Credit Facility from $1.510 billion to $1.585 billion, (b) extends the termination of the revolving period on $1.510 billion of commitments to April 24, 2026 and the stated maturity date to April 23, 2027, (c) removes the minimum borrower net worth and liquidity test financial covenants and (d) updates and modifies terms and provisions of the Revolving Credit Facility to reflect alternative reference rates based on term Secured Overnight Financing Rate for loans denominated in U.S. dollars.</w:t>
      </w:r>
    </w:p>
    <w:p>
      <w:pPr>
        <w:spacing w:after="0" w:line="189"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ectPr>
          <w:pgSz w:w="11900" w:h="16838" w:orient="portrait"/>
          <w:cols w:equalWidth="0" w:num="1">
            <w:col w:w="10944"/>
          </w:cols>
          <w:pgMar w:left="436" w:top="266" w:right="51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2022-04-29T20:04:48Z</dcterms:created>
  <dcterms:modified xsi:type="dcterms:W3CDTF">2022-04-29T20:04:48Z</dcterms:modified>
</cp:coreProperties>
</file>