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34"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TO § 240.13d-1(a) AND AMENDMENTS THERETO FILED PURSUANT TO</w:t>
      </w:r>
    </w:p>
    <w:p>
      <w:pPr>
        <w:spacing w:after="0" w:line="9" w:lineRule="exact"/>
        <w:rPr>
          <w:sz w:val="24"/>
          <w:szCs w:val="24"/>
          <w:color w:val="auto"/>
        </w:rPr>
      </w:pPr>
    </w:p>
    <w:p>
      <w:pPr>
        <w:ind w:left="4880" w:right="4880" w:firstLine="289"/>
        <w:spacing w:after="0" w:line="589" w:lineRule="auto"/>
        <w:tabs>
          <w:tab w:leader="none" w:pos="529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240.13d-2(a) (Amendment No. 2) *</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TPG Specialty Lending,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$0.01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Timothy M. Walsh</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Director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of New Jersey</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Division of Investment</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50 West State Street, 9th Floor</w:t>
      </w:r>
    </w:p>
    <w:p>
      <w:pPr>
        <w:spacing w:after="0" w:line="9" w:lineRule="exact"/>
        <w:rPr>
          <w:sz w:val="24"/>
          <w:szCs w:val="24"/>
          <w:color w:val="auto"/>
        </w:rPr>
      </w:pPr>
    </w:p>
    <w:p>
      <w:pPr>
        <w:ind w:left="5240"/>
        <w:spacing w:after="0"/>
        <w:rPr>
          <w:sz w:val="20"/>
          <w:szCs w:val="20"/>
          <w:color w:val="auto"/>
        </w:rPr>
      </w:pPr>
      <w:r>
        <w:rPr>
          <w:rFonts w:ascii="Arial" w:cs="Arial" w:eastAsia="Arial" w:hAnsi="Arial"/>
          <w:sz w:val="18"/>
          <w:szCs w:val="18"/>
          <w:color w:val="auto"/>
        </w:rPr>
        <w:t>P.O. Box 290</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Trenton, NJ 08625-0290</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(609) 292-5106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74295</wp:posOffset>
            </wp:positionV>
            <wp:extent cx="16554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None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2, 2011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line="274"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Arial" w:cs="Arial" w:eastAsia="Arial" w:hAnsi="Arial"/>
          <w:sz w:val="21"/>
          <w:szCs w:val="21"/>
          <w:color w:val="auto"/>
        </w:rPr>
        <w:t>□</w:t>
      </w:r>
    </w:p>
    <w:p>
      <w:pPr>
        <w:spacing w:after="0" w:line="19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ind w:left="980" w:hanging="621"/>
        <w:spacing w:after="0"/>
        <w:tabs>
          <w:tab w:leader="none" w:pos="98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5883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883275"/>
                    </a:xfrm>
                    <a:prstGeom prst="rect">
                      <a:avLst/>
                    </a:prstGeom>
                    <a:noFill/>
                  </pic:spPr>
                </pic:pic>
              </a:graphicData>
            </a:graphic>
          </wp:anchor>
        </w:drawing>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State of New Jersey Common Pension Fund B</w:t>
      </w:r>
    </w:p>
    <w:p>
      <w:pPr>
        <w:spacing w:after="0" w:line="14" w:lineRule="exact"/>
        <w:rPr>
          <w:sz w:val="20"/>
          <w:szCs w:val="20"/>
          <w:color w:val="auto"/>
        </w:rPr>
      </w:pPr>
    </w:p>
    <w:p>
      <w:pPr>
        <w:ind w:left="980" w:hanging="621"/>
        <w:spacing w:after="0"/>
        <w:tabs>
          <w:tab w:leader="none" w:pos="98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22"/>
          <w:szCs w:val="22"/>
          <w:b w:val="1"/>
          <w:bCs w:val="1"/>
          <w:color w:val="auto"/>
        </w:rPr>
      </w:pPr>
    </w:p>
    <w:p>
      <w:pPr>
        <w:ind w:left="6240" w:hanging="236"/>
        <w:spacing w:after="0" w:line="207" w:lineRule="exact"/>
        <w:tabs>
          <w:tab w:leader="none" w:pos="62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6260" w:hanging="256"/>
        <w:spacing w:after="0" w:line="207" w:lineRule="exact"/>
        <w:tabs>
          <w:tab w:leader="none" w:pos="62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640" w:type="dxa"/>
            <w:vAlign w:val="bottom"/>
            <w:tcBorders>
              <w:top w:val="single" w:sz="8" w:color="auto"/>
            </w:tcBorders>
          </w:tcPr>
          <w:p>
            <w:pPr>
              <w:ind w:left="360"/>
              <w:spacing w:after="0"/>
              <w:rPr>
                <w:sz w:val="20"/>
                <w:szCs w:val="20"/>
                <w:color w:val="auto"/>
              </w:rPr>
            </w:pPr>
            <w:r>
              <w:rPr>
                <w:rFonts w:ascii="Arial" w:cs="Arial" w:eastAsia="Arial" w:hAnsi="Arial"/>
                <w:sz w:val="22"/>
                <w:szCs w:val="22"/>
                <w:b w:val="1"/>
                <w:bCs w:val="1"/>
                <w:color w:val="auto"/>
              </w:rPr>
              <w:t>3</w:t>
            </w:r>
          </w:p>
        </w:tc>
        <w:tc>
          <w:tcPr>
            <w:tcW w:w="2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97"/>
              </w:rPr>
              <w:t>SEC USE ONLY</w:t>
            </w:r>
          </w:p>
        </w:tc>
        <w:tc>
          <w:tcPr>
            <w:tcW w:w="580" w:type="dxa"/>
            <w:vAlign w:val="bottom"/>
            <w:tcBorders>
              <w:top w:val="single" w:sz="8" w:color="auto"/>
            </w:tcBorders>
          </w:tcPr>
          <w:p>
            <w:pPr>
              <w:spacing w:after="0"/>
              <w:rPr>
                <w:sz w:val="24"/>
                <w:szCs w:val="24"/>
                <w:color w:val="auto"/>
              </w:rPr>
            </w:pPr>
          </w:p>
        </w:tc>
        <w:tc>
          <w:tcPr>
            <w:tcW w:w="3500" w:type="dxa"/>
            <w:vAlign w:val="bottom"/>
            <w:tcBorders>
              <w:top w:val="single" w:sz="8" w:color="auto"/>
            </w:tcBorders>
          </w:tcPr>
          <w:p>
            <w:pPr>
              <w:spacing w:after="0"/>
              <w:rPr>
                <w:sz w:val="24"/>
                <w:szCs w:val="24"/>
                <w:color w:val="auto"/>
              </w:rPr>
            </w:pPr>
          </w:p>
        </w:tc>
        <w:tc>
          <w:tcPr>
            <w:tcW w:w="5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5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640" w:type="dxa"/>
            <w:vAlign w:val="bottom"/>
          </w:tcPr>
          <w:p>
            <w:pPr>
              <w:ind w:left="360"/>
              <w:spacing w:after="0"/>
              <w:rPr>
                <w:sz w:val="20"/>
                <w:szCs w:val="20"/>
                <w:color w:val="auto"/>
              </w:rPr>
            </w:pPr>
            <w:r>
              <w:rPr>
                <w:rFonts w:ascii="Arial" w:cs="Arial" w:eastAsia="Arial" w:hAnsi="Arial"/>
                <w:sz w:val="22"/>
                <w:szCs w:val="22"/>
                <w:b w:val="1"/>
                <w:bCs w:val="1"/>
                <w:color w:val="auto"/>
              </w:rPr>
              <w:t>4</w:t>
            </w:r>
          </w:p>
        </w:tc>
        <w:tc>
          <w:tcPr>
            <w:tcW w:w="280" w:type="dxa"/>
            <w:vAlign w:val="bottom"/>
          </w:tcPr>
          <w:p>
            <w:pPr>
              <w:spacing w:after="0"/>
              <w:rPr>
                <w:sz w:val="24"/>
                <w:szCs w:val="24"/>
                <w:color w:val="auto"/>
              </w:rPr>
            </w:pPr>
          </w:p>
        </w:tc>
        <w:tc>
          <w:tcPr>
            <w:tcW w:w="1960" w:type="dxa"/>
            <w:vAlign w:val="bottom"/>
            <w:gridSpan w:val="3"/>
          </w:tcPr>
          <w:p>
            <w:pPr>
              <w:ind w:left="60"/>
              <w:spacing w:after="0"/>
              <w:rPr>
                <w:sz w:val="20"/>
                <w:szCs w:val="20"/>
                <w:color w:val="auto"/>
              </w:rPr>
            </w:pPr>
            <w:r>
              <w:rPr>
                <w:rFonts w:ascii="Arial" w:cs="Arial" w:eastAsia="Arial" w:hAnsi="Arial"/>
                <w:sz w:val="18"/>
                <w:szCs w:val="18"/>
                <w:color w:val="auto"/>
              </w:rPr>
              <w:t>SOURCE OF FUNDS</w:t>
            </w:r>
          </w:p>
        </w:tc>
        <w:tc>
          <w:tcPr>
            <w:tcW w:w="35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40" w:type="dxa"/>
            <w:vAlign w:val="bottom"/>
          </w:tcPr>
          <w:p>
            <w:pPr>
              <w:ind w:left="360"/>
              <w:spacing w:after="0" w:line="202" w:lineRule="exact"/>
              <w:rPr>
                <w:sz w:val="20"/>
                <w:szCs w:val="20"/>
                <w:color w:val="auto"/>
              </w:rPr>
            </w:pPr>
            <w:r>
              <w:rPr>
                <w:rFonts w:ascii="Arial" w:cs="Arial" w:eastAsia="Arial" w:hAnsi="Arial"/>
                <w:sz w:val="22"/>
                <w:szCs w:val="22"/>
                <w:b w:val="1"/>
                <w:bCs w:val="1"/>
                <w:color w:val="auto"/>
              </w:rPr>
              <w:t>5</w:t>
            </w:r>
          </w:p>
        </w:tc>
        <w:tc>
          <w:tcPr>
            <w:tcW w:w="280" w:type="dxa"/>
            <w:vAlign w:val="bottom"/>
          </w:tcPr>
          <w:p>
            <w:pPr>
              <w:spacing w:after="0"/>
              <w:rPr>
                <w:sz w:val="17"/>
                <w:szCs w:val="17"/>
                <w:color w:val="auto"/>
              </w:rPr>
            </w:pPr>
          </w:p>
        </w:tc>
        <w:tc>
          <w:tcPr>
            <w:tcW w:w="5460" w:type="dxa"/>
            <w:vAlign w:val="bottom"/>
            <w:gridSpan w:val="4"/>
          </w:tcPr>
          <w:p>
            <w:pPr>
              <w:ind w:left="60"/>
              <w:spacing w:after="0" w:line="201" w:lineRule="exact"/>
              <w:rPr>
                <w:sz w:val="20"/>
                <w:szCs w:val="20"/>
                <w:color w:val="auto"/>
              </w:rPr>
            </w:pPr>
            <w:r>
              <w:rPr>
                <w:rFonts w:ascii="Arial" w:cs="Arial" w:eastAsia="Arial" w:hAnsi="Arial"/>
                <w:sz w:val="18"/>
                <w:szCs w:val="18"/>
                <w:color w:val="auto"/>
                <w:w w:val="96"/>
              </w:rPr>
              <w:t>CHECK IF DISCLOSURE OF LEGAL PROCEEDINGS IS REQUIRED</w:t>
            </w:r>
          </w:p>
        </w:tc>
        <w:tc>
          <w:tcPr>
            <w:tcW w:w="504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PURSUANT TO ITEM 2(d) OR 2(e)</w:t>
            </w: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40" w:type="dxa"/>
            <w:vAlign w:val="bottom"/>
          </w:tcPr>
          <w:p>
            <w:pPr>
              <w:ind w:left="360"/>
              <w:spacing w:after="0"/>
              <w:rPr>
                <w:sz w:val="20"/>
                <w:szCs w:val="20"/>
                <w:color w:val="auto"/>
              </w:rPr>
            </w:pPr>
            <w:r>
              <w:rPr>
                <w:rFonts w:ascii="Arial" w:cs="Arial" w:eastAsia="Arial" w:hAnsi="Arial"/>
                <w:sz w:val="22"/>
                <w:szCs w:val="22"/>
                <w:b w:val="1"/>
                <w:bCs w:val="1"/>
                <w:color w:val="auto"/>
              </w:rPr>
              <w:t>6</w:t>
            </w:r>
          </w:p>
        </w:tc>
        <w:tc>
          <w:tcPr>
            <w:tcW w:w="280" w:type="dxa"/>
            <w:vAlign w:val="bottom"/>
          </w:tcPr>
          <w:p>
            <w:pPr>
              <w:spacing w:after="0"/>
              <w:rPr>
                <w:sz w:val="24"/>
                <w:szCs w:val="24"/>
                <w:color w:val="auto"/>
              </w:rPr>
            </w:pPr>
          </w:p>
        </w:tc>
        <w:tc>
          <w:tcPr>
            <w:tcW w:w="546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USA</w:t>
            </w:r>
          </w:p>
        </w:tc>
        <w:tc>
          <w:tcPr>
            <w:tcW w:w="5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right w:val="single" w:sz="8" w:color="auto"/>
            </w:tcBorders>
          </w:tcPr>
          <w:p>
            <w:pPr>
              <w:jc w:val="center"/>
              <w:ind w:right="140"/>
              <w:spacing w:after="0"/>
              <w:rPr>
                <w:sz w:val="20"/>
                <w:szCs w:val="20"/>
                <w:color w:val="auto"/>
              </w:rPr>
            </w:pPr>
            <w:r>
              <w:rPr>
                <w:rFonts w:ascii="Arial" w:cs="Arial" w:eastAsia="Arial" w:hAnsi="Arial"/>
                <w:sz w:val="22"/>
                <w:szCs w:val="22"/>
                <w:b w:val="1"/>
                <w:bCs w:val="1"/>
                <w:color w:val="auto"/>
                <w:w w:val="81"/>
              </w:rPr>
              <w:t>7</w:t>
            </w:r>
          </w:p>
        </w:tc>
        <w:tc>
          <w:tcPr>
            <w:tcW w:w="35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1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27,167 shares</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146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4"/>
              </w:rPr>
              <w:t>SHARES</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100" w:type="dxa"/>
            <w:vAlign w:val="bottom"/>
            <w:tcBorders>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6"/>
                <w:szCs w:val="16"/>
                <w:color w:val="auto"/>
              </w:rPr>
            </w:pPr>
          </w:p>
        </w:tc>
        <w:tc>
          <w:tcPr>
            <w:tcW w:w="580" w:type="dxa"/>
            <w:vAlign w:val="bottom"/>
            <w:tcBorders>
              <w:right w:val="single" w:sz="8" w:color="auto"/>
            </w:tcBorders>
          </w:tcPr>
          <w:p>
            <w:pPr>
              <w:jc w:val="center"/>
              <w:ind w:right="140"/>
              <w:spacing w:after="0" w:line="189" w:lineRule="exact"/>
              <w:rPr>
                <w:sz w:val="20"/>
                <w:szCs w:val="20"/>
                <w:color w:val="auto"/>
              </w:rPr>
            </w:pPr>
            <w:r>
              <w:rPr>
                <w:rFonts w:ascii="Arial" w:cs="Arial" w:eastAsia="Arial" w:hAnsi="Arial"/>
                <w:sz w:val="21"/>
                <w:szCs w:val="21"/>
                <w:b w:val="1"/>
                <w:bCs w:val="1"/>
                <w:color w:val="auto"/>
                <w:w w:val="85"/>
              </w:rPr>
              <w:t>8</w:t>
            </w:r>
          </w:p>
        </w:tc>
        <w:tc>
          <w:tcPr>
            <w:tcW w:w="3500" w:type="dxa"/>
            <w:vAlign w:val="bottom"/>
          </w:tcPr>
          <w:p>
            <w:pPr>
              <w:ind w:left="160"/>
              <w:spacing w:after="0" w:line="189" w:lineRule="exact"/>
              <w:rPr>
                <w:sz w:val="20"/>
                <w:szCs w:val="20"/>
                <w:color w:val="auto"/>
              </w:rPr>
            </w:pPr>
            <w:r>
              <w:rPr>
                <w:rFonts w:ascii="Arial" w:cs="Arial" w:eastAsia="Arial" w:hAnsi="Arial"/>
                <w:sz w:val="18"/>
                <w:szCs w:val="18"/>
                <w:color w:val="auto"/>
              </w:rPr>
              <w:t>SHARED VOTING POWER</w:t>
            </w:r>
          </w:p>
        </w:tc>
        <w:tc>
          <w:tcPr>
            <w:tcW w:w="5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0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350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46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9"/>
              </w:rPr>
              <w:t>EACH</w:t>
            </w:r>
          </w:p>
        </w:tc>
        <w:tc>
          <w:tcPr>
            <w:tcW w:w="2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0 shares</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5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40" w:type="dxa"/>
            <w:vAlign w:val="bottom"/>
          </w:tcPr>
          <w:p>
            <w:pPr>
              <w:spacing w:after="0"/>
              <w:rPr>
                <w:sz w:val="4"/>
                <w:szCs w:val="4"/>
                <w:color w:val="auto"/>
              </w:rPr>
            </w:pPr>
          </w:p>
        </w:tc>
        <w:tc>
          <w:tcPr>
            <w:tcW w:w="1460" w:type="dxa"/>
            <w:vAlign w:val="bottom"/>
            <w:tcBorders>
              <w:right w:val="single" w:sz="8" w:color="auto"/>
            </w:tcBorders>
            <w:gridSpan w:val="2"/>
            <w:vMerge w:val="restart"/>
          </w:tcPr>
          <w:p>
            <w:pPr>
              <w:jc w:val="center"/>
              <w:ind w:right="550"/>
              <w:spacing w:after="0"/>
              <w:rPr>
                <w:sz w:val="20"/>
                <w:szCs w:val="20"/>
                <w:color w:val="auto"/>
              </w:rPr>
            </w:pPr>
            <w:r>
              <w:rPr>
                <w:rFonts w:ascii="Arial" w:cs="Arial" w:eastAsia="Arial" w:hAnsi="Arial"/>
                <w:sz w:val="18"/>
                <w:szCs w:val="18"/>
                <w:color w:val="auto"/>
                <w:w w:val="92"/>
              </w:rPr>
              <w:t>PERSON</w:t>
            </w: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5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640" w:type="dxa"/>
            <w:vAlign w:val="bottom"/>
          </w:tcPr>
          <w:p>
            <w:pPr>
              <w:spacing w:after="0"/>
              <w:rPr>
                <w:sz w:val="14"/>
                <w:szCs w:val="14"/>
                <w:color w:val="auto"/>
              </w:rPr>
            </w:pPr>
          </w:p>
        </w:tc>
        <w:tc>
          <w:tcPr>
            <w:tcW w:w="146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right w:val="single" w:sz="8" w:color="auto"/>
            </w:tcBorders>
          </w:tcPr>
          <w:p>
            <w:pPr>
              <w:jc w:val="center"/>
              <w:ind w:right="140"/>
              <w:spacing w:after="0" w:line="164" w:lineRule="exact"/>
              <w:rPr>
                <w:sz w:val="20"/>
                <w:szCs w:val="20"/>
                <w:color w:val="auto"/>
              </w:rPr>
            </w:pPr>
            <w:r>
              <w:rPr>
                <w:rFonts w:ascii="Arial" w:cs="Arial" w:eastAsia="Arial" w:hAnsi="Arial"/>
                <w:sz w:val="18"/>
                <w:szCs w:val="18"/>
                <w:b w:val="1"/>
                <w:bCs w:val="1"/>
                <w:color w:val="auto"/>
                <w:w w:val="99"/>
              </w:rPr>
              <w:t>9</w:t>
            </w:r>
          </w:p>
        </w:tc>
        <w:tc>
          <w:tcPr>
            <w:tcW w:w="3500" w:type="dxa"/>
            <w:vAlign w:val="bottom"/>
          </w:tcPr>
          <w:p>
            <w:pPr>
              <w:ind w:left="160"/>
              <w:spacing w:after="0" w:line="164" w:lineRule="exact"/>
              <w:rPr>
                <w:sz w:val="20"/>
                <w:szCs w:val="20"/>
                <w:color w:val="auto"/>
              </w:rPr>
            </w:pPr>
            <w:r>
              <w:rPr>
                <w:rFonts w:ascii="Arial" w:cs="Arial" w:eastAsia="Arial" w:hAnsi="Arial"/>
                <w:sz w:val="18"/>
                <w:szCs w:val="18"/>
                <w:color w:val="auto"/>
              </w:rPr>
              <w:t>SOLE DISPOSITIVE POWER</w:t>
            </w:r>
          </w:p>
        </w:tc>
        <w:tc>
          <w:tcPr>
            <w:tcW w:w="5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146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9"/>
              </w:rPr>
              <w:t>WITH</w:t>
            </w:r>
          </w:p>
        </w:tc>
        <w:tc>
          <w:tcPr>
            <w:tcW w:w="20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5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27,167 shares**</w:t>
            </w:r>
          </w:p>
        </w:tc>
        <w:tc>
          <w:tcPr>
            <w:tcW w:w="5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3500" w:type="dxa"/>
            <w:vAlign w:val="bottom"/>
            <w:tcBorders>
              <w:bottom w:val="single" w:sz="8" w:color="auto"/>
            </w:tcBorders>
          </w:tcPr>
          <w:p>
            <w:pPr>
              <w:spacing w:after="0"/>
              <w:rPr>
                <w:sz w:val="19"/>
                <w:szCs w:val="19"/>
                <w:color w:val="auto"/>
              </w:rPr>
            </w:pPr>
          </w:p>
        </w:tc>
        <w:tc>
          <w:tcPr>
            <w:tcW w:w="5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right w:val="single" w:sz="8" w:color="auto"/>
            </w:tcBorders>
          </w:tcPr>
          <w:p>
            <w:pPr>
              <w:jc w:val="center"/>
              <w:ind w:right="140"/>
              <w:spacing w:after="0"/>
              <w:rPr>
                <w:sz w:val="20"/>
                <w:szCs w:val="20"/>
                <w:color w:val="auto"/>
              </w:rPr>
            </w:pPr>
            <w:r>
              <w:rPr>
                <w:rFonts w:ascii="Arial" w:cs="Arial" w:eastAsia="Arial" w:hAnsi="Arial"/>
                <w:sz w:val="22"/>
                <w:szCs w:val="22"/>
                <w:b w:val="1"/>
                <w:bCs w:val="1"/>
                <w:color w:val="auto"/>
                <w:w w:val="89"/>
              </w:rPr>
              <w:t>10</w:t>
            </w:r>
          </w:p>
        </w:tc>
        <w:tc>
          <w:tcPr>
            <w:tcW w:w="3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0 shares</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gridSpan w:val="2"/>
          </w:tcPr>
          <w:p>
            <w:pPr>
              <w:spacing w:after="0"/>
              <w:rPr>
                <w:sz w:val="19"/>
                <w:szCs w:val="19"/>
                <w:color w:val="auto"/>
              </w:rPr>
            </w:pPr>
          </w:p>
        </w:tc>
        <w:tc>
          <w:tcPr>
            <w:tcW w:w="854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40" w:type="dxa"/>
            <w:vAlign w:val="bottom"/>
          </w:tcPr>
          <w:p>
            <w:pPr>
              <w:ind w:left="360"/>
              <w:spacing w:after="0" w:line="202" w:lineRule="exact"/>
              <w:rPr>
                <w:sz w:val="20"/>
                <w:szCs w:val="20"/>
                <w:color w:val="auto"/>
              </w:rPr>
            </w:pPr>
            <w:r>
              <w:rPr>
                <w:rFonts w:ascii="Arial" w:cs="Arial" w:eastAsia="Arial" w:hAnsi="Arial"/>
                <w:sz w:val="22"/>
                <w:szCs w:val="22"/>
                <w:b w:val="1"/>
                <w:bCs w:val="1"/>
                <w:color w:val="auto"/>
              </w:rPr>
              <w:t>11</w:t>
            </w:r>
          </w:p>
        </w:tc>
        <w:tc>
          <w:tcPr>
            <w:tcW w:w="280" w:type="dxa"/>
            <w:vAlign w:val="bottom"/>
            <w:tcBorders>
              <w:right w:val="single" w:sz="8" w:color="auto"/>
            </w:tcBorders>
          </w:tcPr>
          <w:p>
            <w:pPr>
              <w:spacing w:after="0"/>
              <w:rPr>
                <w:sz w:val="17"/>
                <w:szCs w:val="17"/>
                <w:color w:val="auto"/>
              </w:rPr>
            </w:pPr>
          </w:p>
        </w:tc>
        <w:tc>
          <w:tcPr>
            <w:tcW w:w="10500" w:type="dxa"/>
            <w:vAlign w:val="bottom"/>
            <w:gridSpan w:val="5"/>
          </w:tcPr>
          <w:p>
            <w:pPr>
              <w:ind w:left="160"/>
              <w:spacing w:after="0" w:line="201" w:lineRule="exact"/>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27,167 shares</w:t>
            </w:r>
          </w:p>
        </w:tc>
        <w:tc>
          <w:tcPr>
            <w:tcW w:w="5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40" w:type="dxa"/>
            <w:vAlign w:val="bottom"/>
          </w:tcPr>
          <w:p>
            <w:pPr>
              <w:ind w:left="360"/>
              <w:spacing w:after="0" w:line="189" w:lineRule="exact"/>
              <w:rPr>
                <w:sz w:val="20"/>
                <w:szCs w:val="20"/>
                <w:color w:val="auto"/>
              </w:rPr>
            </w:pPr>
            <w:r>
              <w:rPr>
                <w:rFonts w:ascii="Arial" w:cs="Arial" w:eastAsia="Arial" w:hAnsi="Arial"/>
                <w:sz w:val="21"/>
                <w:szCs w:val="21"/>
                <w:b w:val="1"/>
                <w:bCs w:val="1"/>
                <w:color w:val="auto"/>
              </w:rPr>
              <w:t>12</w:t>
            </w:r>
          </w:p>
        </w:tc>
        <w:tc>
          <w:tcPr>
            <w:tcW w:w="280" w:type="dxa"/>
            <w:vAlign w:val="bottom"/>
            <w:tcBorders>
              <w:right w:val="single" w:sz="8" w:color="auto"/>
            </w:tcBorders>
          </w:tcPr>
          <w:p>
            <w:pPr>
              <w:spacing w:after="0"/>
              <w:rPr>
                <w:sz w:val="16"/>
                <w:szCs w:val="16"/>
                <w:color w:val="auto"/>
              </w:rPr>
            </w:pPr>
          </w:p>
        </w:tc>
        <w:tc>
          <w:tcPr>
            <w:tcW w:w="10500" w:type="dxa"/>
            <w:vAlign w:val="bottom"/>
            <w:gridSpan w:val="5"/>
          </w:tcPr>
          <w:p>
            <w:pPr>
              <w:ind w:left="160"/>
              <w:spacing w:after="0" w:line="189" w:lineRule="exact"/>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50"/>
        </w:trPr>
        <w:tc>
          <w:tcPr>
            <w:tcW w:w="64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spacing w:after="0"/>
              <w:rPr>
                <w:sz w:val="21"/>
                <w:szCs w:val="21"/>
                <w:color w:val="auto"/>
              </w:rPr>
            </w:pPr>
          </w:p>
        </w:tc>
        <w:tc>
          <w:tcPr>
            <w:tcW w:w="5040" w:type="dxa"/>
            <w:vAlign w:val="bottom"/>
            <w:tcBorders>
              <w:bottom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2"/>
        </w:trPr>
        <w:tc>
          <w:tcPr>
            <w:tcW w:w="640" w:type="dxa"/>
            <w:vAlign w:val="bottom"/>
          </w:tcPr>
          <w:p>
            <w:pPr>
              <w:ind w:left="360"/>
              <w:spacing w:after="0" w:line="202" w:lineRule="exact"/>
              <w:rPr>
                <w:sz w:val="20"/>
                <w:szCs w:val="20"/>
                <w:color w:val="auto"/>
              </w:rPr>
            </w:pPr>
            <w:r>
              <w:rPr>
                <w:rFonts w:ascii="Arial" w:cs="Arial" w:eastAsia="Arial" w:hAnsi="Arial"/>
                <w:sz w:val="22"/>
                <w:szCs w:val="22"/>
                <w:b w:val="1"/>
                <w:bCs w:val="1"/>
                <w:color w:val="auto"/>
              </w:rPr>
              <w:t>13</w:t>
            </w:r>
          </w:p>
        </w:tc>
        <w:tc>
          <w:tcPr>
            <w:tcW w:w="280" w:type="dxa"/>
            <w:vAlign w:val="bottom"/>
            <w:tcBorders>
              <w:right w:val="single" w:sz="8" w:color="auto"/>
            </w:tcBorders>
          </w:tcPr>
          <w:p>
            <w:pPr>
              <w:spacing w:after="0"/>
              <w:rPr>
                <w:sz w:val="17"/>
                <w:szCs w:val="17"/>
                <w:color w:val="auto"/>
              </w:rPr>
            </w:pPr>
          </w:p>
        </w:tc>
        <w:tc>
          <w:tcPr>
            <w:tcW w:w="5460" w:type="dxa"/>
            <w:vAlign w:val="bottom"/>
            <w:gridSpan w:val="4"/>
          </w:tcPr>
          <w:p>
            <w:pPr>
              <w:ind w:left="160"/>
              <w:spacing w:after="0" w:line="201" w:lineRule="exact"/>
              <w:rPr>
                <w:sz w:val="20"/>
                <w:szCs w:val="20"/>
                <w:color w:val="auto"/>
              </w:rPr>
            </w:pPr>
            <w:r>
              <w:rPr>
                <w:rFonts w:ascii="Arial" w:cs="Arial" w:eastAsia="Arial" w:hAnsi="Arial"/>
                <w:sz w:val="18"/>
                <w:szCs w:val="18"/>
                <w:color w:val="auto"/>
                <w:w w:val="97"/>
              </w:rPr>
              <w:t>PERCENT OF CLASS REPRESENTED BY AMOUNT IN ROW (11)</w:t>
            </w: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16.6%</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40" w:type="dxa"/>
            <w:vAlign w:val="bottom"/>
          </w:tcPr>
          <w:p>
            <w:pPr>
              <w:ind w:left="360"/>
              <w:spacing w:after="0" w:line="202" w:lineRule="exact"/>
              <w:rPr>
                <w:sz w:val="20"/>
                <w:szCs w:val="20"/>
                <w:color w:val="auto"/>
              </w:rPr>
            </w:pPr>
            <w:r>
              <w:rPr>
                <w:rFonts w:ascii="Arial" w:cs="Arial" w:eastAsia="Arial" w:hAnsi="Arial"/>
                <w:sz w:val="22"/>
                <w:szCs w:val="22"/>
                <w:b w:val="1"/>
                <w:bCs w:val="1"/>
                <w:color w:val="auto"/>
              </w:rPr>
              <w:t>14</w:t>
            </w:r>
          </w:p>
        </w:tc>
        <w:tc>
          <w:tcPr>
            <w:tcW w:w="280" w:type="dxa"/>
            <w:vAlign w:val="bottom"/>
            <w:tcBorders>
              <w:right w:val="single" w:sz="8" w:color="auto"/>
            </w:tcBorders>
          </w:tcPr>
          <w:p>
            <w:pPr>
              <w:spacing w:after="0"/>
              <w:rPr>
                <w:sz w:val="17"/>
                <w:szCs w:val="17"/>
                <w:color w:val="auto"/>
              </w:rPr>
            </w:pPr>
          </w:p>
        </w:tc>
        <w:tc>
          <w:tcPr>
            <w:tcW w:w="546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TYPE OF REPORTING PERSON (See Instructions)</w:t>
            </w: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EP</w:t>
            </w:r>
          </w:p>
        </w:tc>
        <w:tc>
          <w:tcPr>
            <w:tcW w:w="5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4 of the Statement regarding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ind w:left="1300"/>
        <w:spacing w:after="0" w:line="293" w:lineRule="auto"/>
        <w:rPr>
          <w:sz w:val="20"/>
          <w:szCs w:val="20"/>
          <w:color w:val="auto"/>
        </w:rPr>
      </w:pPr>
      <w:r>
        <w:rPr>
          <w:rFonts w:ascii="Arial" w:cs="Arial" w:eastAsia="Arial" w:hAnsi="Arial"/>
          <w:sz w:val="16"/>
          <w:szCs w:val="16"/>
          <w:color w:val="auto"/>
        </w:rPr>
        <w:t>This Amendment No. 2 amends the Schedule 13D originally filed with the United States Securities and Exchange Commission (the “Commission”) by the Reporting Person on June 24, 2011, as amended by Amendment No. 1 filed with the Commission on August 5, 2011 (the “Statement”) relating to the Common Stock, $0.01 par value, of TPG Specialty Lending, Inc., a Delaware corporation (the “Issuer”). The sole purpose of this Amendment No. 2 is to report a percentage change in beneficial ownership resulting from an increase in the number of outstanding shares of Common Stock. Unless otherwise indicated, all capitalized terms used herein shall have the meanings ascribed to them in the Statement, and unless amended or supplemented hereby, all information previously filed remains in effect.</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5 of the Statement is hereby amended and restated in its entirety to read as follows:</w:t>
      </w:r>
    </w:p>
    <w:p>
      <w:pPr>
        <w:spacing w:after="0" w:line="252" w:lineRule="exact"/>
        <w:rPr>
          <w:sz w:val="20"/>
          <w:szCs w:val="20"/>
          <w:color w:val="auto"/>
        </w:rPr>
      </w:pPr>
    </w:p>
    <w:p>
      <w:pPr>
        <w:jc w:val="both"/>
        <w:ind w:left="1300" w:hanging="644"/>
        <w:spacing w:after="0" w:line="286"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upon information provided by the Issuer, effective December 2, 2011 additional shares of Common stock were issued. Following this issuance, 163,799 shares of Common Stock are outstanding. The aggregate number and percentage of the class of securities beneficially owned by the Fund is 27,167 shares, representing 16.6% of the outstanding shares of Common Stock.</w:t>
      </w:r>
    </w:p>
    <w:p>
      <w:pPr>
        <w:spacing w:after="0" w:line="192" w:lineRule="exact"/>
        <w:rPr>
          <w:rFonts w:ascii="Arial" w:cs="Arial" w:eastAsia="Arial" w:hAnsi="Arial"/>
          <w:sz w:val="17"/>
          <w:szCs w:val="17"/>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shares as to which the Fund has:</w:t>
      </w:r>
    </w:p>
    <w:p>
      <w:pPr>
        <w:spacing w:after="0" w:line="252" w:lineRule="exact"/>
        <w:rPr>
          <w:rFonts w:ascii="Arial" w:cs="Arial" w:eastAsia="Arial" w:hAnsi="Arial"/>
          <w:sz w:val="18"/>
          <w:szCs w:val="18"/>
          <w:color w:val="auto"/>
        </w:rPr>
      </w:pPr>
    </w:p>
    <w:p>
      <w:pPr>
        <w:ind w:left="1560" w:hanging="255"/>
        <w:spacing w:after="0"/>
        <w:tabs>
          <w:tab w:leader="none" w:pos="1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27,167 shares</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 shares</w:t>
      </w:r>
    </w:p>
    <w:p>
      <w:pPr>
        <w:spacing w:after="0" w:line="252" w:lineRule="exact"/>
        <w:rPr>
          <w:rFonts w:ascii="Arial" w:cs="Arial" w:eastAsia="Arial" w:hAnsi="Arial"/>
          <w:sz w:val="18"/>
          <w:szCs w:val="18"/>
          <w:color w:val="auto"/>
        </w:rPr>
      </w:pPr>
    </w:p>
    <w:p>
      <w:pPr>
        <w:ind w:left="1660" w:hanging="355"/>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27,167 shares**</w:t>
      </w:r>
    </w:p>
    <w:p>
      <w:pPr>
        <w:spacing w:after="0" w:line="252" w:lineRule="exact"/>
        <w:rPr>
          <w:rFonts w:ascii="Arial" w:cs="Arial" w:eastAsia="Arial" w:hAnsi="Arial"/>
          <w:sz w:val="18"/>
          <w:szCs w:val="18"/>
          <w:color w:val="auto"/>
        </w:rPr>
      </w:pPr>
    </w:p>
    <w:p>
      <w:pPr>
        <w:ind w:left="1660" w:hanging="355"/>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of the Statement regarding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December 7, 2011</w:t>
      </w:r>
      <w:r>
        <w:rPr>
          <w:sz w:val="20"/>
          <w:szCs w:val="20"/>
          <w:color w:val="auto"/>
        </w:rPr>
        <w:tab/>
      </w:r>
      <w:r>
        <w:rPr>
          <w:rFonts w:ascii="Arial" w:cs="Arial" w:eastAsia="Arial" w:hAnsi="Arial"/>
          <w:sz w:val="16"/>
          <w:szCs w:val="16"/>
          <w:color w:val="auto"/>
        </w:rPr>
        <w:t>State of New Jersey Common Pension Fund B</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Division of Investment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Timothy M.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Timothy M. Walsh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060"/>
      </w:cols>
      <w:pgMar w:left="240" w:top="513"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2"/>
      <w:numFmt w:val="bullet"/>
      <w:start w:val="1"/>
    </w:lvl>
    <w:lvl w:ilvl="1">
      <w:lvlJc w:val="left"/>
      <w:lvlText w:val="(%2)"/>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2019-12-11T09:34:01Z</dcterms:created>
  <dcterms:modified xsi:type="dcterms:W3CDTF">2019-12-11T09:34:01Z</dcterms:modified>
</cp:coreProperties>
</file>