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4, 2014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333-193986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140" w:type="dxa"/>
            <w:vAlign w:val="bottom"/>
          </w:tcPr>
          <w:p>
            <w:pPr>
              <w:jc w:val="center"/>
              <w:ind w:right="1952"/>
              <w:spacing w:after="0" w:line="224"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 1</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4"/>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85"/>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Michael A. Gerstenzang,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Stuart H. Gelfond, Esq.</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Adam E. Fleisher,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9"/>
              </w:rPr>
              <w:t>Paul D. Tropp, Esq.</w:t>
            </w:r>
          </w:p>
        </w:tc>
      </w:tr>
      <w:tr>
        <w:trPr>
          <w:trHeight w:val="217"/>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Helena K. Grannis, Esq.</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One New York Plaza</w:t>
            </w:r>
          </w:p>
        </w:tc>
      </w:tr>
      <w:tr>
        <w:trPr>
          <w:trHeight w:val="216"/>
        </w:trPr>
        <w:tc>
          <w:tcPr>
            <w:tcW w:w="3280" w:type="dxa"/>
            <w:vAlign w:val="bottom"/>
          </w:tcPr>
          <w:p>
            <w:pPr>
              <w:jc w:val="center"/>
              <w:ind w:right="212"/>
              <w:spacing w:after="0"/>
              <w:rPr>
                <w:sz w:val="20"/>
                <w:szCs w:val="20"/>
                <w:color w:val="auto"/>
              </w:rPr>
            </w:pPr>
            <w:r>
              <w:rPr>
                <w:rFonts w:ascii="Arial" w:cs="Arial" w:eastAsia="Arial" w:hAnsi="Arial"/>
                <w:sz w:val="18"/>
                <w:szCs w:val="18"/>
                <w:b w:val="1"/>
                <w:bCs w:val="1"/>
                <w:color w:val="auto"/>
                <w:w w:val="91"/>
              </w:rPr>
              <w:t>One Liberty Plaza</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90"/>
              </w:rPr>
              <w:t>New York, NY 10004</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90"/>
              </w:rPr>
              <w:t>New York, NY 10006</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7"/>
              </w:rPr>
              <w:t>Telephone: (212) 859-8000</w:t>
            </w:r>
          </w:p>
        </w:tc>
      </w:tr>
      <w:tr>
        <w:trPr>
          <w:trHeight w:val="216"/>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Telephone: (212) 225-2000</w:t>
            </w:r>
          </w:p>
        </w:tc>
        <w:tc>
          <w:tcPr>
            <w:tcW w:w="57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Facsimile: (212) 859-4000</w:t>
            </w:r>
          </w:p>
        </w:tc>
      </w:tr>
      <w:tr>
        <w:trPr>
          <w:trHeight w:val="228"/>
        </w:trPr>
        <w:tc>
          <w:tcPr>
            <w:tcW w:w="3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Facsimile: (212) 225-3999</w:t>
            </w:r>
          </w:p>
        </w:tc>
        <w:tc>
          <w:tcPr>
            <w:tcW w:w="578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96" w:lineRule="exact"/>
        <w:rPr>
          <w:sz w:val="24"/>
          <w:szCs w:val="24"/>
          <w:color w:val="auto"/>
        </w:rPr>
      </w:pPr>
    </w:p>
    <w:p>
      <w:pPr>
        <w:ind w:right="20"/>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March 4,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24"/>
          <w:szCs w:val="24"/>
          <w:b w:val="1"/>
          <w:bCs w:val="1"/>
          <w:color w:val="auto"/>
        </w:rPr>
        <w:t>Shares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8" w:lineRule="exact"/>
        <w:rPr>
          <w:sz w:val="20"/>
          <w:szCs w:val="20"/>
          <w:color w:val="auto"/>
        </w:rPr>
      </w:pPr>
    </w:p>
    <w:p>
      <w:pPr>
        <w:ind w:right="40" w:firstLine="342"/>
        <w:spacing w:after="0" w:line="318" w:lineRule="auto"/>
        <w:rPr>
          <w:sz w:val="20"/>
          <w:szCs w:val="20"/>
          <w:color w:val="auto"/>
        </w:rPr>
      </w:pPr>
      <w:r>
        <w:rPr>
          <w:rFonts w:ascii="Arial" w:cs="Arial" w:eastAsia="Arial" w:hAnsi="Arial"/>
          <w:sz w:val="12"/>
          <w:szCs w:val="12"/>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2"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As of December 31, 2013, our investment portfolio consisted of 30 investments in 27 portfolio companies with an aggregate fair value of $1,016.5 million. Following this offering, we intend to continue to pursue an investment strategy focused on direct origination of loans to middle-market companies principally domiciled in the United States.</w:t>
      </w:r>
    </w:p>
    <w:p>
      <w:pPr>
        <w:spacing w:after="0" w:line="58" w:lineRule="exact"/>
        <w:rPr>
          <w:sz w:val="20"/>
          <w:szCs w:val="20"/>
          <w:color w:val="auto"/>
        </w:rPr>
      </w:pPr>
    </w:p>
    <w:p>
      <w:pPr>
        <w:ind w:right="60" w:firstLine="342"/>
        <w:spacing w:after="0" w:line="230"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$8.5 billion of assets under management as of December 31, 2013, as adjusted for commitments accepted on January 2, 2014. TPG Special Situations Partners is the special situations and credit platform of TPG, a leading global private investment firm founded in 1992 with over $59 billion of assets under management as of December 31, 2013, as adjusted for commitments accepted on January 2, 2014.</w:t>
      </w:r>
    </w:p>
    <w:p>
      <w:pPr>
        <w:spacing w:after="0" w:line="58" w:lineRule="exact"/>
        <w:rPr>
          <w:sz w:val="20"/>
          <w:szCs w:val="20"/>
          <w:color w:val="auto"/>
        </w:rPr>
      </w:pPr>
    </w:p>
    <w:p>
      <w:pPr>
        <w:ind w:right="60" w:firstLine="342"/>
        <w:spacing w:after="0" w:line="318" w:lineRule="auto"/>
        <w:rPr>
          <w:sz w:val="20"/>
          <w:szCs w:val="20"/>
          <w:color w:val="auto"/>
        </w:rPr>
      </w:pPr>
      <w:r>
        <w:rPr>
          <w:rFonts w:ascii="Arial" w:cs="Arial" w:eastAsia="Arial" w:hAnsi="Arial"/>
          <w:sz w:val="12"/>
          <w:szCs w:val="12"/>
          <w:color w:val="auto"/>
        </w:rPr>
        <w:t>Certain of our existing investors, including our Adviser, have agreed to purchase $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12" w:lineRule="exact"/>
        <w:rPr>
          <w:sz w:val="20"/>
          <w:szCs w:val="20"/>
          <w:color w:val="auto"/>
        </w:rPr>
      </w:pPr>
    </w:p>
    <w:p>
      <w:pPr>
        <w:jc w:val="both"/>
        <w:ind w:right="120" w:firstLine="342"/>
        <w:spacing w:after="0" w:line="288" w:lineRule="auto"/>
        <w:rPr>
          <w:sz w:val="20"/>
          <w:szCs w:val="20"/>
          <w:color w:val="auto"/>
        </w:rPr>
      </w:pPr>
      <w:r>
        <w:rPr>
          <w:rFonts w:ascii="Arial" w:cs="Arial" w:eastAsia="Arial" w:hAnsi="Arial"/>
          <w:sz w:val="12"/>
          <w:szCs w:val="12"/>
          <w:color w:val="auto"/>
        </w:rPr>
        <w:t>The Adviser has also entered into an agreement with Goldman, Sachs &amp; Co. in accordance with Rules 10b5-1 and 10b-18 under the Securities Exchange Act of 1934, as amended,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30" w:lineRule="exact"/>
        <w:rPr>
          <w:sz w:val="20"/>
          <w:szCs w:val="20"/>
          <w:color w:val="auto"/>
        </w:rPr>
      </w:pPr>
    </w:p>
    <w:p>
      <w:pPr>
        <w:jc w:val="both"/>
        <w:ind w:right="180" w:firstLine="342"/>
        <w:spacing w:after="0" w:line="233"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Our exposure to below investment grade instruments involves certain risks, including speculation with respect to the borrower’s capacity to pay interest and repay principal.</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This is our initial public offering of our shares of common stock. All of the shares of common stock offered by this prospectus are being sold by us.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an “emerging growth company,” as defined in Section 2(a) of the U.S. Securities Act of 1933, and will be subject to reduced public company reporting requirements.</w:t>
      </w:r>
    </w:p>
    <w:p>
      <w:pPr>
        <w:sectPr>
          <w:pgSz w:w="11900" w:h="16838" w:orient="portrait"/>
          <w:cols w:equalWidth="0" w:num="1">
            <w:col w:w="11420"/>
          </w:cols>
          <w:pgMar w:left="240" w:top="459" w:right="239" w:bottom="1440" w:gutter="0" w:footer="0" w:header="0"/>
        </w:sectPr>
      </w:pPr>
    </w:p>
    <w:p>
      <w:pPr>
        <w:spacing w:after="0" w:line="6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 xml:space="preserve">Our shares of common stock have no history of public trading. </w:t>
      </w:r>
      <w:r>
        <w:rPr>
          <w:rFonts w:ascii="Arial" w:cs="Arial" w:eastAsia="Arial" w:hAnsi="Arial"/>
          <w:sz w:val="12"/>
          <w:szCs w:val="12"/>
          <w:color w:val="auto"/>
        </w:rPr>
        <w:t>We currently expect that the initial public offering price per share of our common stock will be between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and $</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per share.</w:t>
      </w:r>
    </w:p>
    <w:p>
      <w:pPr>
        <w:spacing w:after="0" w:line="45" w:lineRule="exact"/>
        <w:rPr>
          <w:sz w:val="20"/>
          <w:szCs w:val="20"/>
          <w:color w:val="auto"/>
        </w:rPr>
      </w:pPr>
    </w:p>
    <w:p>
      <w:pPr>
        <w:sectPr>
          <w:pgSz w:w="11900" w:h="16838" w:orient="portrait"/>
          <w:cols w:equalWidth="0" w:num="3">
            <w:col w:w="9700" w:space="440"/>
            <w:col w:w="300" w:space="300"/>
            <w:col w:w="680"/>
          </w:cols>
          <w:pgMar w:left="240" w:top="459" w:right="239" w:bottom="1440" w:gutter="0" w:footer="0" w:header="0"/>
          <w:type w:val="continuous"/>
        </w:sectPr>
      </w:pPr>
    </w:p>
    <w:p>
      <w:pPr>
        <w:spacing w:after="0"/>
        <w:rPr>
          <w:sz w:val="20"/>
          <w:szCs w:val="20"/>
          <w:color w:val="auto"/>
        </w:rPr>
      </w:pPr>
      <w:r>
        <w:rPr>
          <w:rFonts w:ascii="Arial" w:cs="Arial" w:eastAsia="Arial" w:hAnsi="Arial"/>
          <w:sz w:val="12"/>
          <w:szCs w:val="12"/>
          <w:color w:val="auto"/>
        </w:rPr>
        <w:t>We have applied to have our common stock listed on the New York Stock Exchange under the symbol “TSLX.”</w:t>
      </w:r>
    </w:p>
    <w:p>
      <w:pPr>
        <w:sectPr>
          <w:pgSz w:w="11900" w:h="16838" w:orient="portrait"/>
          <w:cols w:equalWidth="0" w:num="1">
            <w:col w:w="11420"/>
          </w:cols>
          <w:pgMar w:left="240" w:top="459" w:right="239" w:bottom="1440" w:gutter="0" w:footer="0" w:header="0"/>
          <w:type w:val="continuous"/>
        </w:sectPr>
      </w:pPr>
    </w:p>
    <w:p>
      <w:pPr>
        <w:spacing w:after="0" w:line="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Assuming an initial public offering price of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per share, purchasers in this offering will experience dilution of approximately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per share. See “Dilution” for more information.</w:t>
      </w:r>
    </w:p>
    <w:p>
      <w:pPr>
        <w:spacing w:after="0" w:line="90" w:lineRule="exact"/>
        <w:rPr>
          <w:sz w:val="20"/>
          <w:szCs w:val="20"/>
          <w:color w:val="auto"/>
        </w:rPr>
      </w:pPr>
    </w:p>
    <w:p>
      <w:pPr>
        <w:sectPr>
          <w:pgSz w:w="11900" w:h="16838" w:orient="portrait"/>
          <w:cols w:equalWidth="0" w:num="3">
            <w:col w:w="2800" w:space="300"/>
            <w:col w:w="4340" w:space="440"/>
            <w:col w:w="3540"/>
          </w:cols>
          <w:pgMar w:left="240" w:top="459" w:right="239" w:bottom="1440" w:gutter="0" w:footer="0" w:header="0"/>
          <w:type w:val="continuous"/>
        </w:sectPr>
      </w:pPr>
    </w:p>
    <w:p>
      <w:pPr>
        <w:ind w:right="60" w:firstLine="342"/>
        <w:spacing w:after="0" w:line="23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common stock involves a high degree of risk. Shares of closed-end investment companies, including business development companies, frequently trade at a discount to their net asset values. If our shares trade at a discount to our net asset value, purchasers in this offering will face increased risk of loss. In addition, the companies in which we invest are subject to special risks. Before buying any shares, you should read the discussion of the material risks of investing in our common stock, including the risk of leverage, in “</w:t>
      </w:r>
      <w:hyperlink w:anchor="page26">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22 of this prospectus.</w:t>
      </w:r>
    </w:p>
    <w:p>
      <w:pPr>
        <w:spacing w:after="0" w:line="57" w:lineRule="exact"/>
        <w:rPr>
          <w:sz w:val="20"/>
          <w:szCs w:val="20"/>
          <w:color w:val="auto"/>
        </w:rPr>
      </w:pPr>
    </w:p>
    <w:p>
      <w:pPr>
        <w:ind w:right="80" w:firstLine="342"/>
        <w:spacing w:after="0" w:line="228" w:lineRule="auto"/>
        <w:rPr>
          <w:sz w:val="20"/>
          <w:szCs w:val="20"/>
          <w:color w:val="auto"/>
        </w:rPr>
      </w:pPr>
      <w:r>
        <w:rPr>
          <w:rFonts w:ascii="Arial" w:cs="Arial" w:eastAsia="Arial" w:hAnsi="Arial"/>
          <w:sz w:val="14"/>
          <w:szCs w:val="14"/>
          <w:color w:val="auto"/>
        </w:rPr>
        <w:t>This prospectus contains important information you should know before investing in our common stock. Information required to be included in a Statement of Additional Information may be found in this prospectus. Please read it before you invest and keep it for future reference.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The Securities and Exchange Commission also maintains a website at http://www.sec.gov that contains this information.</w:t>
      </w:r>
    </w:p>
    <w:p>
      <w:pPr>
        <w:spacing w:after="0" w:line="57" w:lineRule="exact"/>
        <w:rPr>
          <w:sz w:val="20"/>
          <w:szCs w:val="20"/>
          <w:color w:val="auto"/>
        </w:rPr>
      </w:pPr>
    </w:p>
    <w:p>
      <w:pPr>
        <w:ind w:right="320" w:firstLine="342"/>
        <w:spacing w:after="0" w:line="241" w:lineRule="auto"/>
        <w:rPr>
          <w:sz w:val="20"/>
          <w:szCs w:val="20"/>
          <w:color w:val="auto"/>
        </w:rPr>
      </w:pPr>
      <w:r>
        <w:rPr>
          <w:rFonts w:ascii="Arial" w:cs="Arial" w:eastAsia="Arial" w:hAnsi="Arial"/>
          <w:sz w:val="14"/>
          <w:szCs w:val="14"/>
          <w:b w:val="1"/>
          <w:bCs w:val="1"/>
          <w:color w:val="auto"/>
        </w:rPr>
        <w:t>The Securities and Exchange Commission has not approved or disapproved these securities or determined if this prospectus is truthful or complete. Any representation to the contrary is a criminal offense.</w:t>
      </w:r>
    </w:p>
    <w:p>
      <w:pPr>
        <w:spacing w:after="0" w:line="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w w:val="97"/>
              </w:rPr>
              <w:t>Share</w:t>
            </w:r>
          </w:p>
        </w:tc>
        <w:tc>
          <w:tcPr>
            <w:tcW w:w="50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25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Sales load (underwriting discount)(1)</w:t>
            </w:r>
          </w:p>
        </w:tc>
        <w:tc>
          <w:tcPr>
            <w:tcW w:w="306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expenses(2)</w:t>
            </w:r>
          </w:p>
        </w:tc>
        <w:tc>
          <w:tcPr>
            <w:tcW w:w="306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 more complete description of underwriting compensation.</w:t>
      </w: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w w:val="90"/>
              </w:rPr>
              <w:t>(2)   We estimate that we will incur offering expenses of approximately $</w:t>
            </w:r>
          </w:p>
        </w:tc>
        <w:tc>
          <w:tcPr>
            <w:tcW w:w="7360" w:type="dxa"/>
            <w:vAlign w:val="bottom"/>
            <w:gridSpan w:val="6"/>
          </w:tcPr>
          <w:p>
            <w:pPr>
              <w:jc w:val="right"/>
              <w:ind w:right="2905"/>
              <w:spacing w:after="0"/>
              <w:rPr>
                <w:sz w:val="20"/>
                <w:szCs w:val="20"/>
                <w:color w:val="auto"/>
              </w:rPr>
            </w:pPr>
            <w:r>
              <w:rPr>
                <w:rFonts w:ascii="Arial" w:cs="Arial" w:eastAsia="Arial" w:hAnsi="Arial"/>
                <w:sz w:val="14"/>
                <w:szCs w:val="14"/>
                <w:color w:val="auto"/>
                <w:w w:val="88"/>
              </w:rPr>
              <w:t>million, or approximately $per share, in connection with this offering.</w:t>
            </w:r>
          </w:p>
        </w:tc>
      </w:tr>
      <w:tr>
        <w:trPr>
          <w:trHeight w:val="194"/>
        </w:trPr>
        <w:tc>
          <w:tcPr>
            <w:tcW w:w="5260" w:type="dxa"/>
            <w:vAlign w:val="bottom"/>
            <w:gridSpan w:val="3"/>
          </w:tcPr>
          <w:p>
            <w:pPr>
              <w:ind w:left="360"/>
              <w:spacing w:after="0"/>
              <w:rPr>
                <w:sz w:val="20"/>
                <w:szCs w:val="20"/>
                <w:color w:val="auto"/>
              </w:rPr>
            </w:pPr>
            <w:r>
              <w:rPr>
                <w:rFonts w:ascii="Arial" w:cs="Arial" w:eastAsia="Arial" w:hAnsi="Arial"/>
                <w:sz w:val="14"/>
                <w:szCs w:val="14"/>
                <w:color w:val="auto"/>
                <w:w w:val="87"/>
              </w:rPr>
              <w:t>We have granted the underwriters an over-allotment option to purchase up to an additional</w:t>
            </w:r>
          </w:p>
        </w:tc>
        <w:tc>
          <w:tcPr>
            <w:tcW w:w="6160" w:type="dxa"/>
            <w:vAlign w:val="bottom"/>
            <w:gridSpan w:val="4"/>
          </w:tcPr>
          <w:p>
            <w:pPr>
              <w:jc w:val="right"/>
              <w:spacing w:after="0"/>
              <w:rPr>
                <w:sz w:val="20"/>
                <w:szCs w:val="20"/>
                <w:color w:val="auto"/>
              </w:rPr>
            </w:pPr>
            <w:r>
              <w:rPr>
                <w:rFonts w:ascii="Arial" w:cs="Arial" w:eastAsia="Arial" w:hAnsi="Arial"/>
                <w:sz w:val="14"/>
                <w:szCs w:val="14"/>
                <w:color w:val="auto"/>
                <w:w w:val="93"/>
              </w:rPr>
              <w:t>shares of our common stock from us, at the public offering price, less the sales load payable by us, within</w:t>
            </w:r>
          </w:p>
        </w:tc>
      </w:tr>
      <w:tr>
        <w:trPr>
          <w:trHeight w:val="149"/>
        </w:trPr>
        <w:tc>
          <w:tcPr>
            <w:tcW w:w="7140" w:type="dxa"/>
            <w:vAlign w:val="bottom"/>
            <w:gridSpan w:val="5"/>
          </w:tcPr>
          <w:p>
            <w:pPr>
              <w:spacing w:after="0" w:line="149" w:lineRule="exact"/>
              <w:rPr>
                <w:sz w:val="20"/>
                <w:szCs w:val="20"/>
                <w:color w:val="auto"/>
              </w:rPr>
            </w:pPr>
            <w:r>
              <w:rPr>
                <w:rFonts w:ascii="Arial" w:cs="Arial" w:eastAsia="Arial" w:hAnsi="Arial"/>
                <w:sz w:val="14"/>
                <w:szCs w:val="14"/>
                <w:color w:val="auto"/>
                <w:w w:val="88"/>
              </w:rPr>
              <w:t>30 days from the date of this prospectus. If the underwriters exercise their over-allotment option in full, the total sales load will be $</w:t>
            </w:r>
          </w:p>
        </w:tc>
        <w:tc>
          <w:tcPr>
            <w:tcW w:w="320" w:type="dxa"/>
            <w:vAlign w:val="bottom"/>
          </w:tcPr>
          <w:p>
            <w:pPr>
              <w:spacing w:after="0"/>
              <w:rPr>
                <w:sz w:val="12"/>
                <w:szCs w:val="12"/>
                <w:color w:val="auto"/>
              </w:rPr>
            </w:pPr>
          </w:p>
        </w:tc>
        <w:tc>
          <w:tcPr>
            <w:tcW w:w="3960" w:type="dxa"/>
            <w:vAlign w:val="bottom"/>
          </w:tcPr>
          <w:p>
            <w:pPr>
              <w:jc w:val="right"/>
              <w:ind w:right="585"/>
              <w:spacing w:after="0" w:line="149" w:lineRule="exact"/>
              <w:rPr>
                <w:sz w:val="20"/>
                <w:szCs w:val="20"/>
                <w:color w:val="auto"/>
              </w:rPr>
            </w:pPr>
            <w:r>
              <w:rPr>
                <w:rFonts w:ascii="Arial" w:cs="Arial" w:eastAsia="Arial" w:hAnsi="Arial"/>
                <w:sz w:val="14"/>
                <w:szCs w:val="14"/>
                <w:color w:val="auto"/>
                <w:w w:val="89"/>
              </w:rPr>
              <w:t>million and total proceeds to us, before expenses, will be $</w:t>
            </w: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million.</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49"/>
        </w:trPr>
        <w:tc>
          <w:tcPr>
            <w:tcW w:w="4520" w:type="dxa"/>
            <w:vAlign w:val="bottom"/>
            <w:gridSpan w:val="2"/>
          </w:tcPr>
          <w:p>
            <w:pPr>
              <w:spacing w:after="0"/>
              <w:rPr>
                <w:sz w:val="12"/>
                <w:szCs w:val="12"/>
                <w:color w:val="auto"/>
              </w:rPr>
            </w:pPr>
          </w:p>
        </w:tc>
        <w:tc>
          <w:tcPr>
            <w:tcW w:w="2380" w:type="dxa"/>
            <w:vAlign w:val="bottom"/>
            <w:tcBorders>
              <w:bottom w:val="single" w:sz="8" w:color="auto"/>
            </w:tcBorders>
            <w:gridSpan w:val="2"/>
          </w:tcPr>
          <w:p>
            <w:pPr>
              <w:spacing w:after="0"/>
              <w:rPr>
                <w:sz w:val="12"/>
                <w:szCs w:val="12"/>
                <w:color w:val="auto"/>
              </w:rPr>
            </w:pPr>
          </w:p>
        </w:tc>
        <w:tc>
          <w:tcPr>
            <w:tcW w:w="560" w:type="dxa"/>
            <w:vAlign w:val="bottom"/>
            <w:gridSpan w:val="2"/>
          </w:tcPr>
          <w:p>
            <w:pPr>
              <w:spacing w:after="0"/>
              <w:rPr>
                <w:sz w:val="12"/>
                <w:szCs w:val="12"/>
                <w:color w:val="auto"/>
              </w:rPr>
            </w:pPr>
          </w:p>
        </w:tc>
        <w:tc>
          <w:tcPr>
            <w:tcW w:w="3960" w:type="dxa"/>
            <w:vAlign w:val="bottom"/>
          </w:tcPr>
          <w:p>
            <w:pPr>
              <w:spacing w:after="0"/>
              <w:rPr>
                <w:sz w:val="12"/>
                <w:szCs w:val="12"/>
                <w:color w:val="auto"/>
              </w:rPr>
            </w:pPr>
          </w:p>
        </w:tc>
      </w:tr>
      <w:tr>
        <w:trPr>
          <w:trHeight w:val="236"/>
        </w:trPr>
        <w:tc>
          <w:tcPr>
            <w:tcW w:w="7460" w:type="dxa"/>
            <w:vAlign w:val="bottom"/>
            <w:gridSpan w:val="6"/>
          </w:tcPr>
          <w:p>
            <w:pPr>
              <w:ind w:left="3440"/>
              <w:spacing w:after="0"/>
              <w:rPr>
                <w:sz w:val="20"/>
                <w:szCs w:val="20"/>
                <w:color w:val="auto"/>
              </w:rPr>
            </w:pPr>
            <w:r>
              <w:rPr>
                <w:rFonts w:ascii="Arial" w:cs="Arial" w:eastAsia="Arial" w:hAnsi="Arial"/>
                <w:sz w:val="14"/>
                <w:szCs w:val="14"/>
                <w:color w:val="auto"/>
                <w:w w:val="92"/>
              </w:rPr>
              <w:t>The shares of our common stock will be ready for delivery on or about</w:t>
            </w:r>
          </w:p>
        </w:tc>
        <w:tc>
          <w:tcPr>
            <w:tcW w:w="3960" w:type="dxa"/>
            <w:vAlign w:val="bottom"/>
          </w:tcPr>
          <w:p>
            <w:pPr>
              <w:jc w:val="right"/>
              <w:ind w:right="3325"/>
              <w:spacing w:after="0"/>
              <w:rPr>
                <w:sz w:val="20"/>
                <w:szCs w:val="20"/>
                <w:color w:val="auto"/>
              </w:rPr>
            </w:pPr>
            <w:r>
              <w:rPr>
                <w:rFonts w:ascii="Arial" w:cs="Arial" w:eastAsia="Arial" w:hAnsi="Arial"/>
                <w:sz w:val="14"/>
                <w:szCs w:val="14"/>
                <w:color w:val="auto"/>
              </w:rPr>
              <w:t>.</w:t>
            </w:r>
          </w:p>
        </w:tc>
      </w:tr>
      <w:tr>
        <w:trPr>
          <w:trHeight w:val="282"/>
        </w:trPr>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89"/>
              </w:rPr>
              <w:t>Joint Book-Running Managers</w:t>
            </w: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07"/>
        </w:trPr>
        <w:tc>
          <w:tcPr>
            <w:tcW w:w="4060" w:type="dxa"/>
            <w:vAlign w:val="bottom"/>
          </w:tcPr>
          <w:p>
            <w:pPr>
              <w:spacing w:after="0"/>
              <w:rPr>
                <w:sz w:val="20"/>
                <w:szCs w:val="20"/>
                <w:color w:val="auto"/>
              </w:rPr>
            </w:pPr>
            <w:r>
              <w:rPr>
                <w:rFonts w:ascii="Arial" w:cs="Arial" w:eastAsia="Arial" w:hAnsi="Arial"/>
                <w:sz w:val="24"/>
                <w:szCs w:val="24"/>
                <w:b w:val="1"/>
                <w:bCs w:val="1"/>
                <w:color w:val="auto"/>
              </w:rPr>
              <w:t>J.P. Morgan</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gridSpan w:val="3"/>
          </w:tcPr>
          <w:p>
            <w:pPr>
              <w:jc w:val="right"/>
              <w:ind w:right="52"/>
              <w:spacing w:after="0"/>
              <w:rPr>
                <w:sz w:val="20"/>
                <w:szCs w:val="20"/>
                <w:color w:val="auto"/>
              </w:rPr>
            </w:pPr>
            <w:r>
              <w:rPr>
                <w:rFonts w:ascii="Arial" w:cs="Arial" w:eastAsia="Arial" w:hAnsi="Arial"/>
                <w:sz w:val="24"/>
                <w:szCs w:val="24"/>
                <w:b w:val="1"/>
                <w:bCs w:val="1"/>
                <w:color w:val="auto"/>
                <w:w w:val="95"/>
              </w:rPr>
              <w:t>BofA Merrill Lynch</w:t>
            </w:r>
          </w:p>
        </w:tc>
        <w:tc>
          <w:tcPr>
            <w:tcW w:w="3960" w:type="dxa"/>
            <w:vAlign w:val="bottom"/>
          </w:tcPr>
          <w:p>
            <w:pPr>
              <w:jc w:val="right"/>
              <w:spacing w:after="0"/>
              <w:rPr>
                <w:sz w:val="20"/>
                <w:szCs w:val="20"/>
                <w:color w:val="auto"/>
              </w:rPr>
            </w:pPr>
            <w:r>
              <w:rPr>
                <w:rFonts w:ascii="Arial" w:cs="Arial" w:eastAsia="Arial" w:hAnsi="Arial"/>
                <w:sz w:val="24"/>
                <w:szCs w:val="24"/>
                <w:b w:val="1"/>
                <w:bCs w:val="1"/>
                <w:color w:val="auto"/>
              </w:rPr>
              <w:t>Goldman, Sachs &amp; Co.</w:t>
            </w:r>
          </w:p>
        </w:tc>
      </w:tr>
      <w:tr>
        <w:trPr>
          <w:trHeight w:val="281"/>
        </w:trPr>
        <w:tc>
          <w:tcPr>
            <w:tcW w:w="406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3080" w:type="dxa"/>
            <w:vAlign w:val="bottom"/>
            <w:gridSpan w:val="4"/>
          </w:tcPr>
          <w:p>
            <w:pPr>
              <w:spacing w:after="0"/>
              <w:rPr>
                <w:sz w:val="20"/>
                <w:szCs w:val="20"/>
                <w:color w:val="auto"/>
              </w:rPr>
            </w:pPr>
            <w:r>
              <w:rPr>
                <w:rFonts w:ascii="Arial" w:cs="Arial" w:eastAsia="Arial" w:hAnsi="Arial"/>
                <w:sz w:val="22"/>
                <w:szCs w:val="22"/>
                <w:b w:val="1"/>
                <w:bCs w:val="1"/>
                <w:color w:val="auto"/>
              </w:rPr>
              <w:t>Wells Fargo Securities</w:t>
            </w:r>
          </w:p>
        </w:tc>
        <w:tc>
          <w:tcPr>
            <w:tcW w:w="320" w:type="dxa"/>
            <w:vAlign w:val="bottom"/>
          </w:tcPr>
          <w:p>
            <w:pPr>
              <w:spacing w:after="0"/>
              <w:rPr>
                <w:sz w:val="24"/>
                <w:szCs w:val="24"/>
                <w:color w:val="auto"/>
              </w:rPr>
            </w:pPr>
          </w:p>
        </w:tc>
        <w:tc>
          <w:tcPr>
            <w:tcW w:w="3960" w:type="dxa"/>
            <w:vAlign w:val="bottom"/>
          </w:tcPr>
          <w:p>
            <w:pPr>
              <w:jc w:val="right"/>
              <w:ind w:right="445"/>
              <w:spacing w:after="0"/>
              <w:rPr>
                <w:sz w:val="20"/>
                <w:szCs w:val="20"/>
                <w:color w:val="auto"/>
              </w:rPr>
            </w:pPr>
            <w:r>
              <w:rPr>
                <w:rFonts w:ascii="Arial" w:cs="Arial" w:eastAsia="Arial" w:hAnsi="Arial"/>
                <w:sz w:val="22"/>
                <w:szCs w:val="22"/>
                <w:b w:val="1"/>
                <w:bCs w:val="1"/>
                <w:color w:val="auto"/>
              </w:rPr>
              <w:t>Barclays</w:t>
            </w:r>
          </w:p>
        </w:tc>
      </w:tr>
      <w:tr>
        <w:trPr>
          <w:trHeight w:val="231"/>
        </w:trPr>
        <w:tc>
          <w:tcPr>
            <w:tcW w:w="4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gridSpan w:val="3"/>
          </w:tcPr>
          <w:p>
            <w:pPr>
              <w:jc w:val="center"/>
              <w:ind w:right="240"/>
              <w:spacing w:after="0"/>
              <w:rPr>
                <w:sz w:val="20"/>
                <w:szCs w:val="20"/>
                <w:color w:val="auto"/>
              </w:rPr>
            </w:pPr>
            <w:r>
              <w:rPr>
                <w:rFonts w:ascii="Arial" w:cs="Arial" w:eastAsia="Arial" w:hAnsi="Arial"/>
                <w:sz w:val="18"/>
                <w:szCs w:val="18"/>
                <w:i w:val="1"/>
                <w:iCs w:val="1"/>
                <w:color w:val="auto"/>
                <w:w w:val="89"/>
              </w:rPr>
              <w:t>Co-Managers</w:t>
            </w:r>
          </w:p>
        </w:tc>
        <w:tc>
          <w:tcPr>
            <w:tcW w:w="3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36"/>
        </w:trPr>
        <w:tc>
          <w:tcPr>
            <w:tcW w:w="4060" w:type="dxa"/>
            <w:vAlign w:val="bottom"/>
          </w:tcPr>
          <w:p>
            <w:pPr>
              <w:spacing w:after="0"/>
              <w:rPr>
                <w:sz w:val="20"/>
                <w:szCs w:val="20"/>
                <w:color w:val="auto"/>
              </w:rPr>
            </w:pPr>
            <w:r>
              <w:rPr>
                <w:rFonts w:ascii="Arial" w:cs="Arial" w:eastAsia="Arial" w:hAnsi="Arial"/>
                <w:sz w:val="22"/>
                <w:szCs w:val="22"/>
                <w:b w:val="1"/>
                <w:bCs w:val="1"/>
                <w:color w:val="auto"/>
              </w:rPr>
              <w:t>TPG Capital BD, LLC</w:t>
            </w:r>
          </w:p>
        </w:tc>
        <w:tc>
          <w:tcPr>
            <w:tcW w:w="460" w:type="dxa"/>
            <w:vAlign w:val="bottom"/>
          </w:tcPr>
          <w:p>
            <w:pPr>
              <w:spacing w:after="0"/>
              <w:rPr>
                <w:sz w:val="24"/>
                <w:szCs w:val="24"/>
                <w:color w:val="auto"/>
              </w:rPr>
            </w:pPr>
          </w:p>
        </w:tc>
        <w:tc>
          <w:tcPr>
            <w:tcW w:w="2620" w:type="dxa"/>
            <w:vAlign w:val="bottom"/>
            <w:gridSpan w:val="3"/>
          </w:tcPr>
          <w:p>
            <w:pPr>
              <w:ind w:left="40"/>
              <w:spacing w:after="0"/>
              <w:rPr>
                <w:sz w:val="20"/>
                <w:szCs w:val="20"/>
                <w:color w:val="auto"/>
              </w:rPr>
            </w:pPr>
            <w:r>
              <w:rPr>
                <w:rFonts w:ascii="Arial" w:cs="Arial" w:eastAsia="Arial" w:hAnsi="Arial"/>
                <w:sz w:val="22"/>
                <w:szCs w:val="22"/>
                <w:b w:val="1"/>
                <w:bCs w:val="1"/>
                <w:color w:val="auto"/>
                <w:w w:val="93"/>
              </w:rPr>
              <w:t>Janney Montgomery Scott</w:t>
            </w:r>
          </w:p>
        </w:tc>
        <w:tc>
          <w:tcPr>
            <w:tcW w:w="32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285"/>
        </w:trPr>
        <w:tc>
          <w:tcPr>
            <w:tcW w:w="4060" w:type="dxa"/>
            <w:vAlign w:val="bottom"/>
          </w:tcPr>
          <w:p>
            <w:pPr>
              <w:spacing w:after="0"/>
              <w:rPr>
                <w:sz w:val="24"/>
                <w:szCs w:val="24"/>
                <w:color w:val="auto"/>
              </w:rPr>
            </w:pPr>
          </w:p>
        </w:tc>
        <w:tc>
          <w:tcPr>
            <w:tcW w:w="3080" w:type="dxa"/>
            <w:vAlign w:val="bottom"/>
            <w:gridSpan w:val="4"/>
          </w:tcPr>
          <w:p>
            <w:pPr>
              <w:ind w:left="160"/>
              <w:spacing w:after="0"/>
              <w:rPr>
                <w:sz w:val="20"/>
                <w:szCs w:val="20"/>
                <w:color w:val="auto"/>
              </w:rPr>
            </w:pPr>
            <w:r>
              <w:rPr>
                <w:rFonts w:ascii="Arial" w:cs="Arial" w:eastAsia="Arial" w:hAnsi="Arial"/>
                <w:sz w:val="18"/>
                <w:szCs w:val="18"/>
                <w:color w:val="auto"/>
              </w:rPr>
              <w:t>The date of this prospectus is</w:t>
            </w:r>
          </w:p>
        </w:tc>
        <w:tc>
          <w:tcPr>
            <w:tcW w:w="320" w:type="dxa"/>
            <w:vAlign w:val="bottom"/>
          </w:tcPr>
          <w:p>
            <w:pPr>
              <w:jc w:val="right"/>
              <w:ind w:right="172"/>
              <w:spacing w:after="0"/>
              <w:rPr>
                <w:sz w:val="20"/>
                <w:szCs w:val="20"/>
                <w:color w:val="auto"/>
              </w:rPr>
            </w:pPr>
            <w:r>
              <w:rPr>
                <w:rFonts w:ascii="Arial" w:cs="Arial" w:eastAsia="Arial" w:hAnsi="Arial"/>
                <w:sz w:val="18"/>
                <w:szCs w:val="18"/>
                <w:color w:val="auto"/>
                <w:w w:val="78"/>
              </w:rPr>
              <w:t>.</w:t>
            </w:r>
          </w:p>
        </w:tc>
        <w:tc>
          <w:tcPr>
            <w:tcW w:w="3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REFERENCE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ITEM NUMBER</w:t>
            </w:r>
          </w:p>
        </w:tc>
        <w:tc>
          <w:tcPr>
            <w:tcW w:w="80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CAPTION</w:t>
            </w:r>
          </w:p>
        </w:tc>
        <w:tc>
          <w:tcPr>
            <w:tcW w:w="720" w:type="dxa"/>
            <w:vAlign w:val="bottom"/>
          </w:tcPr>
          <w:p>
            <w:pPr>
              <w:spacing w:after="0"/>
              <w:rPr>
                <w:sz w:val="15"/>
                <w:szCs w:val="15"/>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 IN PROSPECTUS</w:t>
            </w:r>
          </w:p>
        </w:tc>
      </w:tr>
      <w:tr>
        <w:trPr>
          <w:trHeight w:val="296"/>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Outside Front Cover</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Outside Front Cover Page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Cover Pages; Other Offering Information</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Inside Front and Outside Back Cover Pages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Fee Table and Synopsis</w:t>
            </w:r>
          </w:p>
        </w:tc>
        <w:tc>
          <w:tcPr>
            <w:tcW w:w="4420" w:type="dxa"/>
            <w:vAlign w:val="bottom"/>
          </w:tcPr>
          <w:p>
            <w:pPr>
              <w:jc w:val="center"/>
              <w:spacing w:after="0"/>
              <w:rPr>
                <w:sz w:val="20"/>
                <w:szCs w:val="20"/>
                <w:color w:val="auto"/>
              </w:rPr>
            </w:pPr>
            <w:r>
              <w:rPr>
                <w:rFonts w:ascii="Arial" w:cs="Arial" w:eastAsia="Arial" w:hAnsi="Arial"/>
                <w:sz w:val="18"/>
                <w:szCs w:val="18"/>
                <w:color w:val="auto"/>
                <w:w w:val="84"/>
              </w:rPr>
              <w:t>Fees and Expenses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Financial Highlights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Selected Financial Data and Other Information</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5</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Plan of Distribution</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Underwriting</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6</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Selling Shareholders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7</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Use of Proceeds</w:t>
            </w:r>
          </w:p>
        </w:tc>
        <w:tc>
          <w:tcPr>
            <w:tcW w:w="4420" w:type="dxa"/>
            <w:vAlign w:val="bottom"/>
          </w:tcPr>
          <w:p>
            <w:pPr>
              <w:jc w:val="center"/>
              <w:spacing w:after="0"/>
              <w:rPr>
                <w:sz w:val="20"/>
                <w:szCs w:val="20"/>
                <w:color w:val="auto"/>
              </w:rPr>
            </w:pPr>
            <w:r>
              <w:rPr>
                <w:rFonts w:ascii="Arial" w:cs="Arial" w:eastAsia="Arial" w:hAnsi="Arial"/>
                <w:sz w:val="18"/>
                <w:szCs w:val="18"/>
                <w:color w:val="auto"/>
                <w:w w:val="85"/>
              </w:rPr>
              <w:t>Use of Proceeds</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8</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General Description of the Registrant</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Outside Front Cover Page; Prospectus Summary; Risk</w:t>
            </w:r>
          </w:p>
        </w:tc>
      </w:tr>
      <w:tr>
        <w:trPr>
          <w:trHeight w:val="216"/>
        </w:trPr>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Factors; Management’s Discussion and Analysis of Financial</w:t>
            </w:r>
          </w:p>
        </w:tc>
      </w:tr>
      <w:tr>
        <w:trPr>
          <w:trHeight w:val="216"/>
        </w:trPr>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Condition and Results of Operations; The Company; Portfolio</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Companies; Regulation; Shares Eligible for Future Sale</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9</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Management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Management; Custodian, Transfer and Dividend Paying Agent</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and Registrar</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10</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Capital Stock, Long-Term Debt, and Other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Description of Our Capital Stock; Dividend Reinvestment</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3"/>
              </w:rPr>
              <w:t>Plan</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Defaults and Arrears on Senior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Legal Proceedings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Legal Matters</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Table of Contents of the Statement of Additional Information,</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or SAI</w:t>
            </w:r>
          </w:p>
        </w:tc>
        <w:tc>
          <w:tcPr>
            <w:tcW w:w="4420" w:type="dxa"/>
            <w:vAlign w:val="bottom"/>
          </w:tcPr>
          <w:p>
            <w:pPr>
              <w:spacing w:after="0"/>
              <w:rPr>
                <w:sz w:val="19"/>
                <w:szCs w:val="19"/>
                <w:color w:val="auto"/>
              </w:rPr>
            </w:pP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Cover Page of SAI</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15</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Table of Contents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Table of Contents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16</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General Information and History</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18"/>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17</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Investment Objective and Policies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Management’s Discussion and Analysis of Financial</w:t>
            </w:r>
          </w:p>
        </w:tc>
      </w:tr>
      <w:tr>
        <w:trPr>
          <w:trHeight w:val="222"/>
        </w:trPr>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Condition and Results of Operations; Senior Securities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18</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Management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Management</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19</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Control Persons and Principal Holders of Securities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Control Persons and Principal Stockholders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20</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Investment Advisory and Other Services</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Management and Other Agreements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21</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Portfolio Managers</w:t>
            </w: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22</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Brokerage Allocation and Other Practices</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Brokerage Allocation and Other Practices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23</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3"/>
              </w:rPr>
              <w:t>Tax Status</w:t>
            </w: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Material U.S. Federal Income Tax Considerations</w:t>
            </w:r>
          </w:p>
        </w:tc>
      </w:tr>
      <w:tr>
        <w:trPr>
          <w:trHeight w:val="324"/>
        </w:trPr>
        <w:tc>
          <w:tcPr>
            <w:tcW w:w="18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24</w:t>
            </w:r>
          </w:p>
        </w:tc>
        <w:tc>
          <w:tcPr>
            <w:tcW w:w="51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Financial Statements</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Financial Statements</w:t>
            </w:r>
          </w:p>
        </w:tc>
      </w:tr>
      <w:tr>
        <w:trPr>
          <w:trHeight w:val="365"/>
        </w:trPr>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gridSpan w:val="2"/>
          </w:tcPr>
          <w:p>
            <w:pPr>
              <w:ind w:left="3760"/>
              <w:spacing w:after="0"/>
              <w:rPr>
                <w:sz w:val="20"/>
                <w:szCs w:val="20"/>
                <w:color w:val="auto"/>
              </w:rPr>
            </w:pPr>
            <w:r>
              <w:rPr>
                <w:rFonts w:ascii="Arial" w:cs="Arial" w:eastAsia="Arial" w:hAnsi="Arial"/>
                <w:sz w:val="18"/>
                <w:szCs w:val="18"/>
                <w:color w:val="auto"/>
              </w:rPr>
              <w:t>-i-</w:t>
            </w:r>
          </w:p>
        </w:tc>
        <w:tc>
          <w:tcPr>
            <w:tcW w:w="4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20" w:type="dxa"/>
            <w:vAlign w:val="bottom"/>
            <w:gridSpan w:val="5"/>
          </w:tcPr>
          <w:p>
            <w:pPr>
              <w:ind w:left="60"/>
              <w:spacing w:after="0"/>
              <w:rPr>
                <w:sz w:val="20"/>
                <w:szCs w:val="20"/>
                <w:color w:val="auto"/>
              </w:rPr>
            </w:pPr>
            <w:r>
              <w:rPr>
                <w:rFonts w:ascii="Arial" w:cs="Arial" w:eastAsia="Arial" w:hAnsi="Arial"/>
                <w:sz w:val="18"/>
                <w:szCs w:val="18"/>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THE OFFERING SUMMARY</w:t>
              </w:r>
            </w:hyperlink>
          </w:p>
        </w:tc>
        <w:tc>
          <w:tcPr>
            <w:tcW w:w="76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FEES AND EXPENSES</w:t>
              </w:r>
            </w:hyperlink>
          </w:p>
        </w:tc>
        <w:tc>
          <w:tcPr>
            <w:tcW w:w="812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SPECIAL NOTE REGARDING FORWARD-LOOKING STATEMENTS</w:t>
              </w:r>
            </w:hyperlink>
          </w:p>
        </w:tc>
        <w:tc>
          <w:tcPr>
            <w:tcW w:w="46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CAPITALIZATION</w:t>
              </w:r>
            </w:hyperlink>
          </w:p>
        </w:tc>
        <w:tc>
          <w:tcPr>
            <w:tcW w:w="8440" w:type="dxa"/>
            <w:vAlign w:val="bottom"/>
            <w:gridSpan w:val="2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SELECTED FINANCIAL DATA AND 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SENIOR SECURITIES</w:t>
              </w:r>
            </w:hyperlink>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THE COMPANY</w:t>
              </w:r>
            </w:hyperlink>
          </w:p>
        </w:tc>
        <w:tc>
          <w:tcPr>
            <w:tcW w:w="420" w:type="dxa"/>
            <w:vAlign w:val="bottom"/>
            <w:tcBorders>
              <w:top w:val="single" w:sz="8" w:color="0000EE"/>
            </w:tcBorders>
            <w:gridSpan w:val="7"/>
          </w:tcPr>
          <w:p>
            <w:pPr>
              <w:spacing w:after="0"/>
              <w:rPr>
                <w:sz w:val="17"/>
                <w:szCs w:val="17"/>
                <w:color w:val="auto"/>
              </w:rPr>
            </w:pPr>
          </w:p>
        </w:tc>
        <w:tc>
          <w:tcPr>
            <w:tcW w:w="820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PORTFOLIO COMPANIES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MANAGEMENT</w:t>
              </w:r>
            </w:hyperlink>
          </w:p>
        </w:tc>
        <w:tc>
          <w:tcPr>
            <w:tcW w:w="760" w:type="dxa"/>
            <w:vAlign w:val="bottom"/>
            <w:tcBorders>
              <w:top w:val="single" w:sz="8" w:color="0000EE"/>
            </w:tcBorders>
            <w:gridSpan w:val="8"/>
          </w:tcPr>
          <w:p>
            <w:pPr>
              <w:spacing w:after="0"/>
              <w:rPr>
                <w:sz w:val="17"/>
                <w:szCs w:val="17"/>
                <w:color w:val="auto"/>
              </w:rPr>
            </w:pPr>
          </w:p>
        </w:tc>
        <w:tc>
          <w:tcPr>
            <w:tcW w:w="784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56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MANAGEMENT AND OTHER AGREEMENTS</w:t>
              </w:r>
            </w:hyperlink>
          </w:p>
        </w:tc>
        <w:tc>
          <w:tcPr>
            <w:tcW w:w="6320" w:type="dxa"/>
            <w:vAlign w:val="bottom"/>
            <w:gridSpan w:val="1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RELATED-PARTY TRANSACTIONS AND CERTAIN RELATIONSHIPS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CONTROL PERSONS AND PRINCIPAL STOCKHOLDERS</w:t>
              </w:r>
            </w:hyperlink>
          </w:p>
        </w:tc>
        <w:tc>
          <w:tcPr>
            <w:tcW w:w="920" w:type="dxa"/>
            <w:vAlign w:val="bottom"/>
            <w:tcBorders>
              <w:top w:val="single" w:sz="8" w:color="0000EE"/>
            </w:tcBorders>
            <w:gridSpan w:val="5"/>
          </w:tcPr>
          <w:p>
            <w:pPr>
              <w:spacing w:after="0"/>
              <w:rPr>
                <w:sz w:val="17"/>
                <w:szCs w:val="17"/>
                <w:color w:val="auto"/>
              </w:rPr>
            </w:pPr>
          </w:p>
        </w:tc>
        <w:tc>
          <w:tcPr>
            <w:tcW w:w="4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33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35">
              <w:r>
                <w:rPr>
                  <w:rFonts w:ascii="Arial" w:cs="Arial" w:eastAsia="Arial" w:hAnsi="Arial"/>
                  <w:sz w:val="18"/>
                  <w:szCs w:val="18"/>
                  <w:color w:val="0000EE"/>
                  <w:w w:val="94"/>
                </w:rPr>
                <w:t>DETERMINATION OF NET ASSET VALUE</w:t>
              </w:r>
            </w:hyperlink>
          </w:p>
        </w:tc>
        <w:tc>
          <w:tcPr>
            <w:tcW w:w="658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27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DIVIDEND REINVESTMENT PLAN</w:t>
              </w:r>
            </w:hyperlink>
          </w:p>
        </w:tc>
        <w:tc>
          <w:tcPr>
            <w:tcW w:w="71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MATERIAL U.S. FEDERAL INCOME TAX CONSIDERATIONS</w:t>
              </w:r>
            </w:hyperlink>
          </w:p>
        </w:tc>
        <w:tc>
          <w:tcPr>
            <w:tcW w:w="512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DESCRIPTION OF OUR CAPITAL STOCK</w:t>
              </w:r>
            </w:hyperlink>
          </w:p>
        </w:tc>
        <w:tc>
          <w:tcPr>
            <w:tcW w:w="6660" w:type="dxa"/>
            <w:vAlign w:val="bottom"/>
            <w:gridSpan w:val="1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REGULATION</w:t>
              </w:r>
            </w:hyperlink>
          </w:p>
        </w:tc>
        <w:tc>
          <w:tcPr>
            <w:tcW w:w="8760" w:type="dxa"/>
            <w:vAlign w:val="bottom"/>
            <w:gridSpan w:val="2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SHARES ELIGIBLE FOR FUTURE SALE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3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UNDERWRITING</w:t>
              </w:r>
            </w:hyperlink>
          </w:p>
        </w:tc>
        <w:tc>
          <w:tcPr>
            <w:tcW w:w="678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CUSTODIAN, TRANSFER AND DIVIDEND PAYING AGENT AND REGISTRAR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42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BROKERAGE ALLOCATION AND OTHER PRACTICES</w:t>
              </w:r>
            </w:hyperlink>
          </w:p>
        </w:tc>
        <w:tc>
          <w:tcPr>
            <w:tcW w:w="1800" w:type="dxa"/>
            <w:vAlign w:val="bottom"/>
            <w:tcBorders>
              <w:top w:val="single" w:sz="8" w:color="0000EE"/>
            </w:tcBorders>
            <w:gridSpan w:val="8"/>
          </w:tcPr>
          <w:p>
            <w:pPr>
              <w:spacing w:after="0"/>
              <w:rPr>
                <w:sz w:val="17"/>
                <w:szCs w:val="17"/>
                <w:color w:val="auto"/>
              </w:rPr>
            </w:pPr>
          </w:p>
        </w:tc>
        <w:tc>
          <w:tcPr>
            <w:tcW w:w="380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LEGAL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EXPERTS</w:t>
              </w:r>
            </w:hyperlink>
          </w:p>
        </w:tc>
        <w:tc>
          <w:tcPr>
            <w:tcW w:w="660" w:type="dxa"/>
            <w:vAlign w:val="bottom"/>
            <w:tcBorders>
              <w:top w:val="single" w:sz="8" w:color="0000EE"/>
            </w:tcBorders>
            <w:gridSpan w:val="8"/>
          </w:tcPr>
          <w:p>
            <w:pPr>
              <w:spacing w:after="0"/>
              <w:rPr>
                <w:sz w:val="17"/>
                <w:szCs w:val="17"/>
                <w:color w:val="auto"/>
              </w:rPr>
            </w:pPr>
          </w:p>
        </w:tc>
        <w:tc>
          <w:tcPr>
            <w:tcW w:w="8460" w:type="dxa"/>
            <w:vAlign w:val="bottom"/>
            <w:gridSpan w:val="2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9880" w:type="dxa"/>
            <w:vAlign w:val="bottom"/>
            <w:gridSpan w:val="3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AVAILABLE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
        </w:trPr>
        <w:tc>
          <w:tcPr>
            <w:tcW w:w="2220" w:type="dxa"/>
            <w:vAlign w:val="bottom"/>
            <w:gridSpan w:val="16"/>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69">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4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205">
              <w:r>
                <w:rPr>
                  <w:rFonts w:ascii="Arial" w:cs="Arial" w:eastAsia="Arial" w:hAnsi="Arial"/>
                  <w:sz w:val="18"/>
                  <w:szCs w:val="18"/>
                  <w:color w:val="0000EE"/>
                  <w:w w:val="92"/>
                </w:rPr>
                <w:t>APPENDIX A – DESCRIPTION OF SECURITIES RATINGS</w:t>
              </w:r>
            </w:hyperlink>
          </w:p>
        </w:tc>
        <w:tc>
          <w:tcPr>
            <w:tcW w:w="54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86" w:lineRule="exact"/>
        <w:rPr>
          <w:sz w:val="20"/>
          <w:szCs w:val="20"/>
          <w:color w:val="auto"/>
        </w:rPr>
      </w:pPr>
    </w:p>
    <w:p>
      <w:pPr>
        <w:ind w:left="200" w:right="140" w:firstLine="443"/>
        <w:spacing w:after="0" w:line="256" w:lineRule="auto"/>
        <w:rPr>
          <w:sz w:val="20"/>
          <w:szCs w:val="20"/>
          <w:color w:val="auto"/>
        </w:rPr>
      </w:pPr>
      <w:r>
        <w:rPr>
          <w:rFonts w:ascii="Arial" w:cs="Arial" w:eastAsia="Arial" w:hAnsi="Arial"/>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89"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w:t>
      </w:r>
    </w:p>
    <w:p>
      <w:pPr>
        <w:spacing w:after="0" w:line="77"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assumes no exercise of the underwriters’ option to purchase additional shares of our common stock to cover over-allotments; and</w:t>
      </w:r>
    </w:p>
    <w:p>
      <w:pPr>
        <w:spacing w:after="0" w:line="99" w:lineRule="exact"/>
        <w:rPr>
          <w:rFonts w:ascii="Arial" w:cs="Arial" w:eastAsia="Arial" w:hAnsi="Arial"/>
          <w:sz w:val="16"/>
          <w:szCs w:val="16"/>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gives effect to our stock split in the form of a stock dividend on December 5, 2013, as described under “—Stock Split.”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96"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$2.2 billion aggregate principal amount of investments and retained approximately $1.5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18"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96"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323" w:lineRule="auto"/>
        <w:rPr>
          <w:sz w:val="20"/>
          <w:szCs w:val="20"/>
          <w:color w:val="auto"/>
        </w:rPr>
      </w:pPr>
      <w:r>
        <w:rPr>
          <w:rFonts w:ascii="Arial" w:cs="Arial" w:eastAsia="Arial" w:hAnsi="Arial"/>
          <w:sz w:val="15"/>
          <w:szCs w:val="15"/>
          <w:color w:val="auto"/>
        </w:rPr>
        <w:t>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w:t>
      </w:r>
    </w:p>
    <w:p>
      <w:pPr>
        <w:spacing w:after="0" w:line="98" w:lineRule="exact"/>
        <w:rPr>
          <w:sz w:val="20"/>
          <w:szCs w:val="20"/>
          <w:color w:val="auto"/>
        </w:rPr>
      </w:pPr>
    </w:p>
    <w:p>
      <w:pPr>
        <w:ind w:left="200" w:right="260" w:firstLine="443"/>
        <w:spacing w:after="0" w:line="298" w:lineRule="auto"/>
        <w:rPr>
          <w:sz w:val="20"/>
          <w:szCs w:val="20"/>
          <w:color w:val="auto"/>
        </w:rPr>
      </w:pPr>
      <w:r>
        <w:rPr>
          <w:rFonts w:ascii="Arial" w:cs="Arial" w:eastAsia="Arial" w:hAnsi="Arial"/>
          <w:sz w:val="16"/>
          <w:szCs w:val="16"/>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1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2013, we had 30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3"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As of December 31, 2012, we had investments in 21 portfolio companies with an aggregate fair value of $653.9 million. 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approximately 17.6% (based on cash invested of approximately $359 million and total proceeds from these exited investments of approximately $405 million). Eighty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17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on these requirements.</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U.S. Securities Act of 1933, as amended, or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initial public offering, or IPO. We have no obligation under the subscription agreements to sell common stock to existing stockholders in connection with the IPO.</w:t>
      </w:r>
    </w:p>
    <w:p>
      <w:pPr>
        <w:spacing w:after="0" w:line="143"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Certain of our existing investors, including our Adviser, have agreed to purchase $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The following chart depicts our ownership structure after giving effect to this offering and the concurrent private placement (based on the assumptions of the as adjusted pro forma column under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96" w:lineRule="exact"/>
        <w:rPr>
          <w:sz w:val="20"/>
          <w:szCs w:val="20"/>
          <w:color w:val="auto"/>
        </w:rPr>
      </w:pPr>
    </w:p>
    <w:p>
      <w:pPr>
        <w:ind w:left="200" w:right="420" w:firstLine="443"/>
        <w:spacing w:after="0" w:line="33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or the SEC, under the Investment Advisers Act of 1940, as amended, or the Advisers Act.</w:t>
      </w:r>
    </w:p>
    <w:p>
      <w:pPr>
        <w:spacing w:after="0" w:line="85"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43"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3"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Investment Review Committee and certain of our other senior personnel, own a significant stake in the Adviser. As of the date of this prospectus,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Adviser owned 6.2% of our common stock and had committed $100 million in equity capital under a subscription agreement like those entered into with our</w:t>
      </w:r>
    </w:p>
    <w:p>
      <w:pPr>
        <w:spacing w:after="0" w:line="32" w:lineRule="exact"/>
        <w:rPr>
          <w:sz w:val="20"/>
          <w:szCs w:val="20"/>
          <w:color w:val="auto"/>
        </w:rPr>
      </w:pPr>
    </w:p>
    <w:p>
      <w:pPr>
        <w:ind w:left="200" w:right="180"/>
        <w:spacing w:after="0" w:line="281" w:lineRule="auto"/>
        <w:rPr>
          <w:sz w:val="20"/>
          <w:szCs w:val="20"/>
          <w:color w:val="auto"/>
        </w:rPr>
      </w:pPr>
      <w:r>
        <w:rPr>
          <w:rFonts w:ascii="Arial" w:cs="Arial" w:eastAsia="Arial" w:hAnsi="Arial"/>
          <w:sz w:val="16"/>
          <w:szCs w:val="16"/>
          <w:color w:val="auto"/>
        </w:rPr>
        <w:t>existing investors. The Adviser has agreed to purchase $ million of our common stock in the concurrent private placement. Immediately after the concurrent private placement and this offering, the Adviser will hold shares, or % of our common stock (assuming an initial public offering</w:t>
      </w:r>
    </w:p>
    <w:p>
      <w:pPr>
        <w:spacing w:after="0" w:line="1"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price equal to the mid-point of the range on the front cover of this prospectus). See “Management,” “Related-Party Transactions and Certain Relationships” and “Control Persons and Principal Stockholders.”</w:t>
      </w:r>
    </w:p>
    <w:p>
      <w:pPr>
        <w:spacing w:after="0" w:line="138"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The Adviser has also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85"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43"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 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143"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43"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40"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1060" w:right="26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50" w:lineRule="exact"/>
        <w:rPr>
          <w:rFonts w:ascii="Arial" w:cs="Arial" w:eastAsia="Arial" w:hAnsi="Arial"/>
          <w:sz w:val="18"/>
          <w:szCs w:val="18"/>
          <w:color w:val="auto"/>
        </w:rPr>
      </w:pPr>
    </w:p>
    <w:p>
      <w:pPr>
        <w:ind w:left="1060" w:right="40" w:hanging="323"/>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1060" w:right="22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90" w:lineRule="exact"/>
        <w:rPr>
          <w:rFonts w:ascii="Arial" w:cs="Arial" w:eastAsia="Arial" w:hAnsi="Arial"/>
          <w:sz w:val="18"/>
          <w:szCs w:val="18"/>
          <w:color w:val="auto"/>
        </w:rPr>
      </w:pPr>
    </w:p>
    <w:p>
      <w:pPr>
        <w:ind w:left="1060" w:right="44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left="200" w:right="82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0" w:firstLine="443"/>
        <w:spacing w:after="0" w:line="33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90" w:lineRule="exact"/>
        <w:rPr>
          <w:sz w:val="20"/>
          <w:szCs w:val="20"/>
          <w:color w:val="auto"/>
        </w:rPr>
      </w:pPr>
    </w:p>
    <w:p>
      <w:pPr>
        <w:ind w:left="1060" w:hanging="323"/>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61" w:lineRule="exact"/>
        <w:rPr>
          <w:rFonts w:ascii="Arial" w:cs="Arial" w:eastAsia="Arial" w:hAnsi="Arial"/>
          <w:sz w:val="18"/>
          <w:szCs w:val="18"/>
          <w:color w:val="auto"/>
        </w:rPr>
      </w:pPr>
    </w:p>
    <w:p>
      <w:pPr>
        <w:ind w:left="1060" w:right="20" w:hanging="323"/>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61"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90" w:lineRule="exact"/>
        <w:rPr>
          <w:rFonts w:ascii="Arial" w:cs="Arial" w:eastAsia="Arial" w:hAnsi="Arial"/>
          <w:sz w:val="18"/>
          <w:szCs w:val="18"/>
          <w:color w:val="auto"/>
        </w:rPr>
      </w:pPr>
    </w:p>
    <w:p>
      <w:pPr>
        <w:ind w:left="1620" w:right="620" w:hanging="437"/>
        <w:spacing w:after="0" w:line="332"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New York Stock Exchange, NYSE Amex Equities and The NASDAQ Global Market) or registered under the Exchange Act; and</w:t>
      </w:r>
    </w:p>
    <w:p>
      <w:pPr>
        <w:spacing w:after="0" w:line="4" w:lineRule="exact"/>
        <w:rPr>
          <w:rFonts w:ascii="Arial" w:cs="Arial" w:eastAsia="Arial" w:hAnsi="Arial"/>
          <w:sz w:val="16"/>
          <w:szCs w:val="16"/>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subject to corporate-level U.S. federal income taxation, we must satisfy certain source of income, asset diversification and distribution requirements. See “Material U.S. Federal Income Tax Considerations.”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common stock.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96"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20"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qualify as an emerging growth company, as that term is used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59" w:lineRule="exact"/>
        <w:rPr>
          <w:sz w:val="20"/>
          <w:szCs w:val="20"/>
          <w:color w:val="auto"/>
        </w:rPr>
      </w:pPr>
    </w:p>
    <w:p>
      <w:pPr>
        <w:ind w:left="1060" w:right="50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 of 2002, or the Sarbanes-Oxley Act;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1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Split</w:t>
      </w:r>
    </w:p>
    <w:p>
      <w:pPr>
        <w:spacing w:after="0" w:line="96" w:lineRule="exact"/>
        <w:rPr>
          <w:sz w:val="20"/>
          <w:szCs w:val="20"/>
          <w:color w:val="auto"/>
        </w:rPr>
      </w:pPr>
    </w:p>
    <w:p>
      <w:pPr>
        <w:ind w:left="200" w:right="220" w:firstLine="443"/>
        <w:spacing w:after="0" w:line="294" w:lineRule="auto"/>
        <w:rPr>
          <w:sz w:val="20"/>
          <w:szCs w:val="20"/>
          <w:color w:val="auto"/>
        </w:rPr>
      </w:pPr>
      <w:r>
        <w:rPr>
          <w:rFonts w:ascii="Arial" w:cs="Arial" w:eastAsia="Arial" w:hAnsi="Arial"/>
          <w:sz w:val="16"/>
          <w:szCs w:val="16"/>
          <w:color w:val="auto"/>
        </w:rPr>
        <w:t>On December 3, 2013, our Board approved a stock split in the form of a stock dividend, which we refer to as the stock split,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120" w:firstLine="443"/>
        <w:spacing w:after="0" w:line="268" w:lineRule="auto"/>
        <w:rPr>
          <w:sz w:val="20"/>
          <w:szCs w:val="20"/>
          <w:color w:val="auto"/>
        </w:rPr>
      </w:pPr>
      <w:r>
        <w:rPr>
          <w:rFonts w:ascii="Arial" w:cs="Arial" w:eastAsia="Arial" w:hAnsi="Arial"/>
          <w:sz w:val="18"/>
          <w:szCs w:val="18"/>
          <w:color w:val="auto"/>
        </w:rPr>
        <w:t>On February 24, 2014, we filed a definitive proxy statement with the SEC to solicit consents from our stockholders to effect the following amendments to our certificate of incorporation:</w:t>
      </w:r>
    </w:p>
    <w:p>
      <w:pPr>
        <w:spacing w:after="0" w:line="51"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number of authorized shares of common stock to 400,000,000 shares;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200" w:right="840" w:firstLine="443"/>
        <w:spacing w:after="0" w:line="268" w:lineRule="auto"/>
        <w:rPr>
          <w:sz w:val="20"/>
          <w:szCs w:val="20"/>
          <w:color w:val="auto"/>
        </w:rPr>
      </w:pPr>
      <w:r>
        <w:rPr>
          <w:rFonts w:ascii="Arial" w:cs="Arial" w:eastAsia="Arial" w:hAnsi="Arial"/>
          <w:sz w:val="18"/>
          <w:szCs w:val="18"/>
          <w:color w:val="auto"/>
        </w:rPr>
        <w:t>If we receive the requisite consents for one or both of these proposed amendments, we will file a certificate of amendment to our certificate of incorporation effecting the approved amendments. See “Description of Our Capital Stock.”</w:t>
      </w:r>
    </w:p>
    <w:p>
      <w:pPr>
        <w:spacing w:after="0" w:line="132" w:lineRule="exact"/>
        <w:rPr>
          <w:sz w:val="20"/>
          <w:szCs w:val="20"/>
          <w:color w:val="auto"/>
        </w:rPr>
      </w:pPr>
    </w:p>
    <w:p>
      <w:pPr>
        <w:ind w:left="200" w:right="280" w:firstLine="443"/>
        <w:spacing w:after="0" w:line="298"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On February 13, 2014, we issued 502,200 shares of our common stock through our dividend reinvestment plan for $7.8 million. Neither of these issuances of our common stock are reflected in the number of shares issued for the year ended December 31, 2013 as disclosed in this prospectus or the consolidated financial statements for the year ended December 31, 2013.</w:t>
      </w:r>
    </w:p>
    <w:p>
      <w:pPr>
        <w:spacing w:after="0" w:line="113" w:lineRule="exact"/>
        <w:rPr>
          <w:sz w:val="20"/>
          <w:szCs w:val="20"/>
          <w:color w:val="auto"/>
        </w:rPr>
      </w:pPr>
    </w:p>
    <w:p>
      <w:pPr>
        <w:ind w:left="200" w:right="240" w:firstLine="443"/>
        <w:spacing w:after="0" w:line="290" w:lineRule="auto"/>
        <w:rPr>
          <w:sz w:val="20"/>
          <w:szCs w:val="20"/>
          <w:color w:val="auto"/>
        </w:rPr>
      </w:pPr>
      <w:r>
        <w:rPr>
          <w:rFonts w:ascii="Arial" w:cs="Arial" w:eastAsia="Arial" w:hAnsi="Arial"/>
          <w:sz w:val="16"/>
          <w:szCs w:val="16"/>
          <w:color w:val="auto"/>
        </w:rPr>
        <w:t>On January 21, 2014, we amended the Revolving Credit Facility (Natixis) to, among other things, increase the size of the facility to $175 million. We also modified pricing under the Revolving Credit Facility (Natixis) to allow TPG SL SPV, at its option, to borrow at an interest rate equal to the lenders’ cost of funds plus a margin, thereby lowering the interest rate currently applicable on our borrowings under the facility. On February 27, 2014, we amended the Revolving Credit Facility (SunTrust) to, among other things, increase the size of the facility to $581.3 million. On February 27, 2014, we terminated the Revolving Credit Facility (DBTCA), effective March 4, 2014. The outstanding balance under the Revolving Credit Facility (DBTCA) was paid down prior to terminating the facility. For more information, see “Management’s Discussion and Analysis of Financial Condition and Results of Operations—Financial Condition, Liquidity and Capital Resources.”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ind w:left="640"/>
              <w:spacing w:after="0"/>
              <w:rPr>
                <w:sz w:val="20"/>
                <w:szCs w:val="20"/>
                <w:color w:val="auto"/>
              </w:rPr>
            </w:pPr>
            <w:r>
              <w:rPr>
                <w:rFonts w:ascii="Arial" w:cs="Arial" w:eastAsia="Arial" w:hAnsi="Arial"/>
                <w:sz w:val="18"/>
                <w:szCs w:val="18"/>
                <w:color w:val="auto"/>
              </w:rPr>
              <w:t>From December 31, 2013 through</w:t>
            </w:r>
          </w:p>
        </w:tc>
        <w:tc>
          <w:tcPr>
            <w:tcW w:w="3600" w:type="dxa"/>
            <w:vAlign w:val="bottom"/>
          </w:tcPr>
          <w:p>
            <w:pPr>
              <w:jc w:val="right"/>
              <w:ind w:right="292"/>
              <w:spacing w:after="0"/>
              <w:rPr>
                <w:sz w:val="20"/>
                <w:szCs w:val="20"/>
                <w:color w:val="auto"/>
              </w:rPr>
            </w:pPr>
            <w:r>
              <w:rPr>
                <w:rFonts w:ascii="Arial" w:cs="Arial" w:eastAsia="Arial" w:hAnsi="Arial"/>
                <w:sz w:val="18"/>
                <w:szCs w:val="18"/>
                <w:color w:val="auto"/>
                <w:w w:val="98"/>
              </w:rPr>
              <w:t>, 2014, we have funded investments of $</w:t>
            </w:r>
          </w:p>
        </w:tc>
        <w:tc>
          <w:tcPr>
            <w:tcW w:w="2600" w:type="dxa"/>
            <w:vAlign w:val="bottom"/>
          </w:tcPr>
          <w:p>
            <w:pPr>
              <w:ind w:left="360"/>
              <w:spacing w:after="0"/>
              <w:rPr>
                <w:sz w:val="20"/>
                <w:szCs w:val="20"/>
                <w:color w:val="auto"/>
              </w:rPr>
            </w:pPr>
            <w:r>
              <w:rPr>
                <w:rFonts w:ascii="Arial" w:cs="Arial" w:eastAsia="Arial" w:hAnsi="Arial"/>
                <w:sz w:val="18"/>
                <w:szCs w:val="18"/>
                <w:color w:val="auto"/>
              </w:rPr>
              <w:t>million and drawn down $</w:t>
            </w:r>
          </w:p>
        </w:tc>
        <w:tc>
          <w:tcPr>
            <w:tcW w:w="1860" w:type="dxa"/>
            <w:vAlign w:val="bottom"/>
          </w:tcPr>
          <w:p>
            <w:pPr>
              <w:ind w:left="360"/>
              <w:spacing w:after="0"/>
              <w:rPr>
                <w:sz w:val="20"/>
                <w:szCs w:val="20"/>
                <w:color w:val="auto"/>
              </w:rPr>
            </w:pPr>
            <w:r>
              <w:rPr>
                <w:rFonts w:ascii="Arial" w:cs="Arial" w:eastAsia="Arial" w:hAnsi="Arial"/>
                <w:sz w:val="18"/>
                <w:szCs w:val="18"/>
                <w:color w:val="auto"/>
              </w:rPr>
              <w:t>million from our</w:t>
            </w:r>
          </w:p>
        </w:tc>
      </w:tr>
      <w:tr>
        <w:trPr>
          <w:trHeight w:val="222"/>
        </w:trPr>
        <w:tc>
          <w:tcPr>
            <w:tcW w:w="3400" w:type="dxa"/>
            <w:vAlign w:val="bottom"/>
          </w:tcPr>
          <w:p>
            <w:pPr>
              <w:ind w:left="200"/>
              <w:spacing w:after="0"/>
              <w:rPr>
                <w:sz w:val="20"/>
                <w:szCs w:val="20"/>
                <w:color w:val="auto"/>
              </w:rPr>
            </w:pPr>
            <w:r>
              <w:rPr>
                <w:rFonts w:ascii="Arial" w:cs="Arial" w:eastAsia="Arial" w:hAnsi="Arial"/>
                <w:sz w:val="18"/>
                <w:szCs w:val="18"/>
                <w:color w:val="auto"/>
              </w:rPr>
              <w:t>revolving credit facilities.</w:t>
            </w:r>
          </w:p>
        </w:tc>
        <w:tc>
          <w:tcPr>
            <w:tcW w:w="3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61"/>
        </w:trPr>
        <w:tc>
          <w:tcPr>
            <w:tcW w:w="34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3600" w:type="dxa"/>
            <w:vAlign w:val="bottom"/>
          </w:tcPr>
          <w:p>
            <w:pPr>
              <w:jc w:val="right"/>
              <w:ind w:right="1112"/>
              <w:spacing w:after="0"/>
              <w:rPr>
                <w:sz w:val="20"/>
                <w:szCs w:val="20"/>
                <w:color w:val="auto"/>
              </w:rPr>
            </w:pPr>
            <w:r>
              <w:rPr>
                <w:rFonts w:ascii="Arial" w:cs="Arial" w:eastAsia="Arial" w:hAnsi="Arial"/>
                <w:sz w:val="18"/>
                <w:szCs w:val="18"/>
                <w:color w:val="auto"/>
              </w:rPr>
              <w:t>10</w:t>
            </w:r>
          </w:p>
        </w:tc>
        <w:tc>
          <w:tcPr>
            <w:tcW w:w="26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96" w:lineRule="exact"/>
        <w:rPr>
          <w:sz w:val="20"/>
          <w:szCs w:val="20"/>
          <w:color w:val="auto"/>
        </w:rPr>
      </w:pPr>
    </w:p>
    <w:p>
      <w:pPr>
        <w:jc w:val="both"/>
        <w:ind w:left="200" w:right="200" w:firstLine="443"/>
        <w:spacing w:after="0" w:line="306"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common stock, including that:</w:t>
      </w:r>
    </w:p>
    <w:p>
      <w:pPr>
        <w:spacing w:after="0" w:line="26"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9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50" w:lineRule="exact"/>
        <w:rPr>
          <w:rFonts w:ascii="Arial" w:cs="Arial" w:eastAsia="Arial" w:hAnsi="Arial"/>
          <w:sz w:val="18"/>
          <w:szCs w:val="18"/>
          <w:color w:val="auto"/>
        </w:rPr>
      </w:pPr>
    </w:p>
    <w:p>
      <w:pPr>
        <w:ind w:left="1060" w:right="50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5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50" w:lineRule="exact"/>
        <w:rPr>
          <w:rFonts w:ascii="Arial" w:cs="Arial" w:eastAsia="Arial" w:hAnsi="Arial"/>
          <w:sz w:val="18"/>
          <w:szCs w:val="18"/>
          <w:color w:val="auto"/>
        </w:rPr>
      </w:pPr>
    </w:p>
    <w:p>
      <w:pPr>
        <w:ind w:left="1060" w:right="8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benefits from our relationship with TSSP and TPG;</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incur significant costs as a result of being a publicly traded company;</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9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0" w:lineRule="exact"/>
        <w:rPr>
          <w:rFonts w:ascii="Arial" w:cs="Arial" w:eastAsia="Arial" w:hAnsi="Arial"/>
          <w:sz w:val="18"/>
          <w:szCs w:val="18"/>
          <w:color w:val="auto"/>
        </w:rPr>
      </w:pPr>
    </w:p>
    <w:p>
      <w:pPr>
        <w:ind w:left="1060" w:right="6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85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9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50" w:lineRule="exact"/>
        <w:rPr>
          <w:rFonts w:ascii="Arial" w:cs="Arial" w:eastAsia="Arial" w:hAnsi="Arial"/>
          <w:sz w:val="18"/>
          <w:szCs w:val="18"/>
          <w:color w:val="auto"/>
        </w:rPr>
      </w:pPr>
    </w:p>
    <w:p>
      <w:pPr>
        <w:ind w:left="1060" w:right="2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90" w:lineRule="exact"/>
        <w:rPr>
          <w:rFonts w:ascii="Arial" w:cs="Arial" w:eastAsia="Arial" w:hAnsi="Arial"/>
          <w:sz w:val="18"/>
          <w:szCs w:val="18"/>
          <w:color w:val="auto"/>
        </w:rPr>
      </w:pPr>
    </w:p>
    <w:p>
      <w:pPr>
        <w:ind w:left="1060" w:right="6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50" w:lineRule="exact"/>
        <w:rPr>
          <w:rFonts w:ascii="Arial" w:cs="Arial" w:eastAsia="Arial" w:hAnsi="Arial"/>
          <w:sz w:val="18"/>
          <w:szCs w:val="18"/>
          <w:color w:val="auto"/>
        </w:rPr>
      </w:pPr>
    </w:p>
    <w:p>
      <w:pPr>
        <w:ind w:left="1060" w:hanging="323"/>
        <w:spacing w:after="0" w:line="335"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7" w:lineRule="exact"/>
        <w:rPr>
          <w:rFonts w:ascii="Arial" w:cs="Arial" w:eastAsia="Arial" w:hAnsi="Arial"/>
          <w:sz w:val="15"/>
          <w:szCs w:val="15"/>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a risk that you may not receive dividends or that our dividends may not grow over time;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871-4000.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corporate website is located at http://www.tpgspecialtylending.com. Information on our website is not incorporated into or a part of this prospectus.</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27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527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 SUMMARY</w:t>
      </w:r>
    </w:p>
    <w:p>
      <w:pPr>
        <w:sectPr>
          <w:pgSz w:w="11900" w:h="16838" w:orient="portrait"/>
          <w:cols w:equalWidth="0" w:num="1">
            <w:col w:w="11460"/>
          </w:cols>
          <w:pgMar w:left="240" w:top="459" w:right="19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420" w:firstLine="527"/>
        <w:spacing w:after="0" w:line="268"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w:t>
      </w:r>
    </w:p>
    <w:p>
      <w:pPr>
        <w:spacing w:after="0" w:line="172"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260" w:firstLine="527"/>
        <w:spacing w:after="0" w:line="255" w:lineRule="auto"/>
        <w:rPr>
          <w:sz w:val="20"/>
          <w:szCs w:val="20"/>
          <w:color w:val="auto"/>
        </w:rPr>
      </w:pPr>
      <w:r>
        <w:rPr>
          <w:rFonts w:ascii="Arial" w:cs="Arial" w:eastAsia="Arial" w:hAnsi="Arial"/>
          <w:sz w:val="18"/>
          <w:szCs w:val="18"/>
          <w:color w:val="auto"/>
        </w:rPr>
        <w:t>shares, or shares if the underwriters exercise their option to purchase additional shares of our common stock to cover over-allotments in full. This includes shares issued in the private placement to certain of our existing investors, including our Adviser, based on an assumed initial public offering price equal to the mid-point of the range on the front cover of this prospectus.</w:t>
      </w:r>
    </w:p>
    <w:p>
      <w:pPr>
        <w:spacing w:after="0" w:line="183" w:lineRule="exact"/>
        <w:rPr>
          <w:sz w:val="20"/>
          <w:szCs w:val="20"/>
          <w:color w:val="auto"/>
        </w:rPr>
      </w:pPr>
    </w:p>
    <w:p>
      <w:pPr>
        <w:sectPr>
          <w:pgSz w:w="11900" w:h="16838" w:orient="portrait"/>
          <w:cols w:equalWidth="0" w:num="2">
            <w:col w:w="3900" w:space="500"/>
            <w:col w:w="7060"/>
          </w:cols>
          <w:pgMar w:left="240" w:top="459" w:right="1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tabs>
          <w:tab w:leader="none" w:pos="4580" w:val="left"/>
        </w:tabs>
        <w:rPr>
          <w:sz w:val="20"/>
          <w:szCs w:val="20"/>
          <w:color w:val="auto"/>
        </w:rPr>
      </w:pPr>
      <w:r>
        <w:rPr>
          <w:rFonts w:ascii="Arial" w:cs="Arial" w:eastAsia="Arial" w:hAnsi="Arial"/>
          <w:sz w:val="18"/>
          <w:szCs w:val="18"/>
          <w:color w:val="auto"/>
        </w:rPr>
        <w:t>Our net proceeds from this offering will be approximately $</w:t>
      </w:r>
      <w:r>
        <w:rPr>
          <w:sz w:val="20"/>
          <w:szCs w:val="20"/>
          <w:color w:val="auto"/>
        </w:rPr>
        <w:tab/>
      </w:r>
      <w:r>
        <w:rPr>
          <w:rFonts w:ascii="Arial" w:cs="Arial" w:eastAsia="Arial" w:hAnsi="Arial"/>
          <w:sz w:val="16"/>
          <w:szCs w:val="16"/>
          <w:color w:val="auto"/>
        </w:rPr>
        <w:t>million, or approximately</w:t>
      </w:r>
    </w:p>
    <w:p>
      <w:pPr>
        <w:spacing w:after="0" w:line="15"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00" w:right="700" w:hanging="3"/>
        <w:spacing w:after="0" w:line="261" w:lineRule="auto"/>
        <w:tabs>
          <w:tab w:leader="none" w:pos="48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to cover over-allotments in full.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3"/>
              </w:rPr>
              <w:t>Our proceeds from the sale of shares of our common stock in the concurrent private placement</w:t>
            </w:r>
          </w:p>
        </w:tc>
      </w:tr>
      <w:tr>
        <w:trPr>
          <w:trHeight w:val="222"/>
        </w:trPr>
        <w:tc>
          <w:tcPr>
            <w:tcW w:w="4140" w:type="dxa"/>
            <w:vAlign w:val="bottom"/>
          </w:tcPr>
          <w:p>
            <w:pPr>
              <w:spacing w:after="0"/>
              <w:rPr>
                <w:sz w:val="19"/>
                <w:szCs w:val="19"/>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will be approximately $</w:t>
            </w:r>
          </w:p>
        </w:tc>
        <w:tc>
          <w:tcPr>
            <w:tcW w:w="2480" w:type="dxa"/>
            <w:vAlign w:val="bottom"/>
          </w:tcPr>
          <w:p>
            <w:pPr>
              <w:ind w:left="200"/>
              <w:spacing w:after="0"/>
              <w:rPr>
                <w:sz w:val="20"/>
                <w:szCs w:val="20"/>
                <w:color w:val="auto"/>
              </w:rPr>
            </w:pPr>
            <w:r>
              <w:rPr>
                <w:rFonts w:ascii="Arial" w:cs="Arial" w:eastAsia="Arial" w:hAnsi="Arial"/>
                <w:sz w:val="18"/>
                <w:szCs w:val="18"/>
                <w:color w:val="auto"/>
              </w:rPr>
              <w:t>million.</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2"/>
        </w:trPr>
        <w:tc>
          <w:tcPr>
            <w:tcW w:w="4140" w:type="dxa"/>
            <w:vAlign w:val="bottom"/>
          </w:tcPr>
          <w:p>
            <w:pPr>
              <w:spacing w:after="0"/>
              <w:rPr>
                <w:sz w:val="24"/>
                <w:szCs w:val="24"/>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1"/>
              </w:rPr>
              <w:t>We intend to use 100% of the net proceeds of this offering and the concurrent private placement,</w:t>
            </w:r>
          </w:p>
        </w:tc>
      </w:tr>
      <w:tr>
        <w:trPr>
          <w:trHeight w:val="216"/>
        </w:trPr>
        <w:tc>
          <w:tcPr>
            <w:tcW w:w="4140" w:type="dxa"/>
            <w:vAlign w:val="bottom"/>
          </w:tcPr>
          <w:p>
            <w:pPr>
              <w:spacing w:after="0"/>
              <w:rPr>
                <w:sz w:val="18"/>
                <w:szCs w:val="18"/>
                <w:color w:val="auto"/>
              </w:rPr>
            </w:pPr>
          </w:p>
        </w:tc>
        <w:tc>
          <w:tcPr>
            <w:tcW w:w="4600" w:type="dxa"/>
            <w:vAlign w:val="bottom"/>
            <w:gridSpan w:val="3"/>
          </w:tcPr>
          <w:p>
            <w:pPr>
              <w:ind w:left="260"/>
              <w:spacing w:after="0"/>
              <w:rPr>
                <w:sz w:val="20"/>
                <w:szCs w:val="20"/>
                <w:color w:val="auto"/>
              </w:rPr>
            </w:pPr>
            <w:r>
              <w:rPr>
                <w:rFonts w:ascii="Arial" w:cs="Arial" w:eastAsia="Arial" w:hAnsi="Arial"/>
                <w:sz w:val="18"/>
                <w:szCs w:val="18"/>
                <w:color w:val="auto"/>
                <w:w w:val="91"/>
              </w:rPr>
              <w:t>together with our cash and cash equivalents, to pay down $</w:t>
            </w:r>
          </w:p>
        </w:tc>
        <w:tc>
          <w:tcPr>
            <w:tcW w:w="128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million if the</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4"/>
              </w:rPr>
              <w:t>underwriters exercise their option to purchase additional shares of our common stock to cover</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5"/>
              </w:rPr>
              <w:t>over-allotments in full) of outstanding indebtedness incurred under our second amended and</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1"/>
              </w:rPr>
              <w:t>restated senior secured revolving credit agreement with SunTrust Bank, as administrative agent,</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4"/>
              </w:rPr>
              <w:t>and certain lenders, which we refer to as the Revolving Credit Facility (SunTrust), on or about</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4"/>
              </w:rPr>
              <w:t>the date of the closing of this offering. After giving effect to the use of proceeds to pay down a</w:t>
            </w:r>
          </w:p>
        </w:tc>
      </w:tr>
      <w:tr>
        <w:trPr>
          <w:trHeight w:val="216"/>
        </w:trPr>
        <w:tc>
          <w:tcPr>
            <w:tcW w:w="4140" w:type="dxa"/>
            <w:vAlign w:val="bottom"/>
          </w:tcPr>
          <w:p>
            <w:pPr>
              <w:spacing w:after="0"/>
              <w:rPr>
                <w:sz w:val="18"/>
                <w:szCs w:val="18"/>
                <w:color w:val="auto"/>
              </w:rPr>
            </w:pPr>
          </w:p>
        </w:tc>
        <w:tc>
          <w:tcPr>
            <w:tcW w:w="6360" w:type="dxa"/>
            <w:vAlign w:val="bottom"/>
            <w:gridSpan w:val="5"/>
          </w:tcPr>
          <w:p>
            <w:pPr>
              <w:ind w:left="260"/>
              <w:spacing w:after="0"/>
              <w:rPr>
                <w:sz w:val="20"/>
                <w:szCs w:val="20"/>
                <w:color w:val="auto"/>
              </w:rPr>
            </w:pPr>
            <w:r>
              <w:rPr>
                <w:rFonts w:ascii="Arial" w:cs="Arial" w:eastAsia="Arial" w:hAnsi="Arial"/>
                <w:sz w:val="18"/>
                <w:szCs w:val="18"/>
                <w:color w:val="auto"/>
                <w:w w:val="92"/>
              </w:rPr>
              <w:t>portion of the outstanding balance under the Revolving Credit Facility (SunTrust), $</w:t>
            </w:r>
          </w:p>
        </w:tc>
        <w:tc>
          <w:tcPr>
            <w:tcW w:w="960" w:type="dxa"/>
            <w:vAlign w:val="bottom"/>
          </w:tcPr>
          <w:p>
            <w:pPr>
              <w:ind w:left="200"/>
              <w:spacing w:after="0"/>
              <w:rPr>
                <w:sz w:val="20"/>
                <w:szCs w:val="20"/>
                <w:color w:val="auto"/>
              </w:rPr>
            </w:pPr>
            <w:r>
              <w:rPr>
                <w:rFonts w:ascii="Arial" w:cs="Arial" w:eastAsia="Arial" w:hAnsi="Arial"/>
                <w:sz w:val="18"/>
                <w:szCs w:val="18"/>
                <w:color w:val="auto"/>
              </w:rPr>
              <w:t>million</w:t>
            </w:r>
          </w:p>
        </w:tc>
      </w:tr>
      <w:tr>
        <w:trPr>
          <w:trHeight w:val="216"/>
        </w:trPr>
        <w:tc>
          <w:tcPr>
            <w:tcW w:w="4140" w:type="dxa"/>
            <w:vAlign w:val="bottom"/>
          </w:tcPr>
          <w:p>
            <w:pPr>
              <w:spacing w:after="0"/>
              <w:rPr>
                <w:sz w:val="18"/>
                <w:szCs w:val="18"/>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(or $</w:t>
            </w:r>
          </w:p>
        </w:tc>
        <w:tc>
          <w:tcPr>
            <w:tcW w:w="6400" w:type="dxa"/>
            <w:vAlign w:val="bottom"/>
            <w:gridSpan w:val="5"/>
          </w:tcPr>
          <w:p>
            <w:pPr>
              <w:ind w:left="60"/>
              <w:spacing w:after="0"/>
              <w:rPr>
                <w:sz w:val="20"/>
                <w:szCs w:val="20"/>
                <w:color w:val="auto"/>
              </w:rPr>
            </w:pPr>
            <w:r>
              <w:rPr>
                <w:rFonts w:ascii="Arial" w:cs="Arial" w:eastAsia="Arial" w:hAnsi="Arial"/>
                <w:sz w:val="18"/>
                <w:szCs w:val="18"/>
                <w:color w:val="auto"/>
                <w:w w:val="96"/>
              </w:rPr>
              <w:t>million if the underwriters exercise their option to purchase additional shares of our</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3"/>
              </w:rPr>
              <w:t>common stock to cover over-allotments in full) will remain outstanding under the facility. We do</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5"/>
              </w:rPr>
              <w:t>not intend to terminate the facility and may reborrow the amount we repay, subject to certain</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3"/>
              </w:rPr>
              <w:t>conditions. As of December 31, 2013, amounts outstanding under our Revolving Credit Facility</w:t>
            </w:r>
          </w:p>
        </w:tc>
      </w:tr>
      <w:tr>
        <w:trPr>
          <w:trHeight w:val="216"/>
        </w:trPr>
        <w:tc>
          <w:tcPr>
            <w:tcW w:w="4140" w:type="dxa"/>
            <w:vAlign w:val="bottom"/>
          </w:tcPr>
          <w:p>
            <w:pPr>
              <w:spacing w:after="0"/>
              <w:rPr>
                <w:sz w:val="18"/>
                <w:szCs w:val="18"/>
                <w:color w:val="auto"/>
              </w:rPr>
            </w:pP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3"/>
              </w:rPr>
              <w:t>(SunTrust) bore interest at a rate of LIBOR plus 225 basis points. The facility matures in full on</w:t>
            </w:r>
          </w:p>
        </w:tc>
      </w:tr>
      <w:tr>
        <w:trPr>
          <w:trHeight w:val="222"/>
        </w:trPr>
        <w:tc>
          <w:tcPr>
            <w:tcW w:w="4140" w:type="dxa"/>
            <w:vAlign w:val="bottom"/>
          </w:tcPr>
          <w:p>
            <w:pPr>
              <w:spacing w:after="0"/>
              <w:rPr>
                <w:sz w:val="19"/>
                <w:szCs w:val="19"/>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February 27, 2019.</w:t>
            </w: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9"/>
        </w:trPr>
        <w:tc>
          <w:tcPr>
            <w:tcW w:w="4140" w:type="dxa"/>
            <w:vAlign w:val="bottom"/>
          </w:tcPr>
          <w:p>
            <w:pPr>
              <w:spacing w:after="0"/>
              <w:rPr>
                <w:sz w:val="24"/>
                <w:szCs w:val="24"/>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w w:val="98"/>
              </w:rPr>
              <w:t>See “Use of Proceeds.”</w:t>
            </w:r>
          </w:p>
        </w:tc>
        <w:tc>
          <w:tcPr>
            <w:tcW w:w="2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9"/>
        </w:trPr>
        <w:tc>
          <w:tcPr>
            <w:tcW w:w="4140" w:type="dxa"/>
            <w:vAlign w:val="bottom"/>
          </w:tcPr>
          <w:p>
            <w:pPr>
              <w:ind w:left="200"/>
              <w:spacing w:after="0"/>
              <w:rPr>
                <w:sz w:val="20"/>
                <w:szCs w:val="20"/>
                <w:color w:val="auto"/>
              </w:rPr>
            </w:pPr>
            <w:r>
              <w:rPr>
                <w:rFonts w:ascii="Arial" w:cs="Arial" w:eastAsia="Arial" w:hAnsi="Arial"/>
                <w:sz w:val="18"/>
                <w:szCs w:val="18"/>
                <w:color w:val="auto"/>
                <w:w w:val="94"/>
              </w:rPr>
              <w:t>Proposed Symbol on the New York Stock Exchange</w:t>
            </w:r>
          </w:p>
        </w:tc>
        <w:tc>
          <w:tcPr>
            <w:tcW w:w="920" w:type="dxa"/>
            <w:vAlign w:val="bottom"/>
          </w:tcPr>
          <w:p>
            <w:pPr>
              <w:ind w:left="260"/>
              <w:spacing w:after="0"/>
              <w:rPr>
                <w:sz w:val="20"/>
                <w:szCs w:val="20"/>
                <w:color w:val="auto"/>
              </w:rPr>
            </w:pPr>
            <w:r>
              <w:rPr>
                <w:rFonts w:ascii="Arial" w:cs="Arial" w:eastAsia="Arial" w:hAnsi="Arial"/>
                <w:sz w:val="18"/>
                <w:szCs w:val="18"/>
                <w:color w:val="auto"/>
              </w:rPr>
              <w:t>“TSLX”</w:t>
            </w: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6"/>
        </w:trPr>
        <w:tc>
          <w:tcPr>
            <w:tcW w:w="414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7320" w:type="dxa"/>
            <w:vAlign w:val="bottom"/>
            <w:gridSpan w:val="6"/>
          </w:tcPr>
          <w:p>
            <w:pPr>
              <w:ind w:left="26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22"/>
        </w:trPr>
        <w:tc>
          <w:tcPr>
            <w:tcW w:w="4140" w:type="dxa"/>
            <w:vAlign w:val="bottom"/>
          </w:tcPr>
          <w:p>
            <w:pPr>
              <w:spacing w:after="0"/>
              <w:rPr>
                <w:sz w:val="19"/>
                <w:szCs w:val="19"/>
                <w:color w:val="auto"/>
              </w:rPr>
            </w:pPr>
          </w:p>
        </w:tc>
        <w:tc>
          <w:tcPr>
            <w:tcW w:w="4600" w:type="dxa"/>
            <w:vAlign w:val="bottom"/>
            <w:gridSpan w:val="3"/>
          </w:tcPr>
          <w:p>
            <w:pPr>
              <w:ind w:left="260"/>
              <w:spacing w:after="0"/>
              <w:rPr>
                <w:sz w:val="20"/>
                <w:szCs w:val="20"/>
                <w:color w:val="auto"/>
              </w:rPr>
            </w:pPr>
            <w:r>
              <w:rPr>
                <w:rFonts w:ascii="Arial" w:cs="Arial" w:eastAsia="Arial" w:hAnsi="Arial"/>
                <w:sz w:val="18"/>
                <w:szCs w:val="18"/>
                <w:color w:val="auto"/>
              </w:rPr>
              <w:t>quarterly dividends to our stockholders.</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61"/>
        </w:trPr>
        <w:tc>
          <w:tcPr>
            <w:tcW w:w="4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13</w:t>
            </w:r>
          </w:p>
        </w:tc>
        <w:tc>
          <w:tcPr>
            <w:tcW w:w="2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tabs>
          <w:tab w:leader="none" w:pos="7900" w:val="left"/>
        </w:tabs>
        <w:rPr>
          <w:sz w:val="20"/>
          <w:szCs w:val="20"/>
          <w:color w:val="auto"/>
        </w:rPr>
      </w:pPr>
      <w:r>
        <w:rPr>
          <w:rFonts w:ascii="Arial" w:cs="Arial" w:eastAsia="Arial" w:hAnsi="Arial"/>
          <w:sz w:val="18"/>
          <w:szCs w:val="18"/>
          <w:color w:val="auto"/>
        </w:rPr>
        <w:t>Our Board intends to declare a dividend of $</w:t>
      </w:r>
      <w:r>
        <w:rPr>
          <w:sz w:val="20"/>
          <w:szCs w:val="20"/>
          <w:color w:val="auto"/>
        </w:rPr>
        <w:tab/>
      </w:r>
      <w:r>
        <w:rPr>
          <w:rFonts w:ascii="Arial" w:cs="Arial" w:eastAsia="Arial" w:hAnsi="Arial"/>
          <w:sz w:val="15"/>
          <w:szCs w:val="15"/>
          <w:color w:val="auto"/>
        </w:rPr>
        <w:t>per share for the quarter ending</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Shares offered in this prospectus will be entitled to receive this dividend</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payment.</w:t>
      </w:r>
    </w:p>
    <w:p>
      <w:pPr>
        <w:spacing w:after="0" w:line="205" w:lineRule="exact"/>
        <w:rPr>
          <w:sz w:val="20"/>
          <w:szCs w:val="20"/>
          <w:color w:val="auto"/>
        </w:rPr>
      </w:pPr>
    </w:p>
    <w:p>
      <w:pPr>
        <w:ind w:left="4400" w:right="100"/>
        <w:spacing w:after="0" w:line="268" w:lineRule="auto"/>
        <w:rPr>
          <w:sz w:val="20"/>
          <w:szCs w:val="20"/>
          <w:color w:val="auto"/>
        </w:rPr>
      </w:pPr>
      <w:r>
        <w:rPr>
          <w:rFonts w:ascii="Arial" w:cs="Arial" w:eastAsia="Arial" w:hAnsi="Arial"/>
          <w:sz w:val="18"/>
          <w:szCs w:val="18"/>
          <w:color w:val="auto"/>
        </w:rPr>
        <w:t>We anticipate that this dividend will be paid from income generated primarily by interest earned on our investment portfolio.</w:t>
      </w:r>
    </w:p>
    <w:p>
      <w:pPr>
        <w:spacing w:after="0" w:line="172" w:lineRule="exact"/>
        <w:rPr>
          <w:sz w:val="20"/>
          <w:szCs w:val="20"/>
          <w:color w:val="auto"/>
        </w:rPr>
      </w:pPr>
    </w:p>
    <w:p>
      <w:pPr>
        <w:ind w:left="4400" w:right="120"/>
        <w:spacing w:after="0" w:line="259" w:lineRule="auto"/>
        <w:rPr>
          <w:sz w:val="20"/>
          <w:szCs w:val="20"/>
          <w:color w:val="auto"/>
        </w:rPr>
      </w:pPr>
      <w:r>
        <w:rPr>
          <w:rFonts w:ascii="Arial" w:cs="Arial" w:eastAsia="Arial" w:hAnsi="Arial"/>
          <w:sz w:val="18"/>
          <w:szCs w:val="18"/>
          <w:color w:val="auto"/>
        </w:rPr>
        <w:t>The specific tax characteristics of our distributions will be reported to stockholders after the end of the calendar year. Future quarterly dividends, if any, will be determined by our Board. See “Distributions.”</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maintain our tax treatment as a RIC, we must make certain distributions. See “Material U.S.</w:t>
      </w:r>
    </w:p>
    <w:p>
      <w:pPr>
        <w:spacing w:after="0" w:line="3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Federal Income Tax Considerations —Regulated Investment Company Classification.”</w:t>
      </w:r>
    </w:p>
    <w:p>
      <w:pPr>
        <w:sectPr>
          <w:pgSz w:w="11900" w:h="16838" w:orient="portrait"/>
          <w:cols w:equalWidth="0" w:num="1">
            <w:col w:w="11260"/>
          </w:cols>
          <w:pgMar w:left="240" w:top="459" w:right="399" w:bottom="1440" w:gutter="0" w:footer="0" w:header="0"/>
        </w:sect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Taxation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20"/>
        <w:spacing w:after="0" w:line="268" w:lineRule="auto"/>
        <w:rPr>
          <w:sz w:val="20"/>
          <w:szCs w:val="20"/>
          <w:color w:val="auto"/>
        </w:rPr>
      </w:pPr>
      <w:r>
        <w:rPr>
          <w:rFonts w:ascii="Arial" w:cs="Arial" w:eastAsia="Arial" w:hAnsi="Arial"/>
          <w:sz w:val="18"/>
          <w:szCs w:val="18"/>
          <w:color w:val="auto"/>
        </w:rPr>
        <w:t>To maintain our status as a RIC and to avoid being subject to corporate-level U.S. federal income taxation on our earnings, we must, among other things:</w:t>
      </w:r>
    </w:p>
    <w:p>
      <w:pPr>
        <w:spacing w:after="0" w:line="51" w:lineRule="exact"/>
        <w:rPr>
          <w:sz w:val="20"/>
          <w:szCs w:val="20"/>
          <w:color w:val="auto"/>
        </w:rPr>
      </w:pPr>
    </w:p>
    <w:p>
      <w:pPr>
        <w:ind w:left="4820" w:hanging="160"/>
        <w:spacing w:after="0"/>
        <w:tabs>
          <w:tab w:leader="none" w:pos="4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4820" w:right="20" w:hanging="160"/>
        <w:spacing w:after="0" w:line="259" w:lineRule="auto"/>
        <w:tabs>
          <w:tab w:leader="none" w:pos="4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9" w:lineRule="exact"/>
        <w:rPr>
          <w:rFonts w:ascii="Arial" w:cs="Arial" w:eastAsia="Arial" w:hAnsi="Arial"/>
          <w:sz w:val="18"/>
          <w:szCs w:val="18"/>
          <w:color w:val="auto"/>
        </w:rPr>
      </w:pPr>
    </w:p>
    <w:p>
      <w:pPr>
        <w:ind w:left="4820" w:hanging="160"/>
        <w:spacing w:after="0"/>
        <w:tabs>
          <w:tab w:leader="none" w:pos="4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diversified holdings.</w:t>
      </w:r>
    </w:p>
    <w:p>
      <w:pPr>
        <w:spacing w:after="0" w:line="212" w:lineRule="exact"/>
        <w:rPr>
          <w:sz w:val="20"/>
          <w:szCs w:val="20"/>
          <w:color w:val="auto"/>
        </w:rPr>
      </w:pPr>
    </w:p>
    <w:p>
      <w:pPr>
        <w:ind w:left="4400"/>
        <w:spacing w:after="0" w:line="259" w:lineRule="auto"/>
        <w:rPr>
          <w:sz w:val="20"/>
          <w:szCs w:val="20"/>
          <w:color w:val="auto"/>
        </w:rPr>
      </w:pPr>
      <w:r>
        <w:rPr>
          <w:rFonts w:ascii="Arial" w:cs="Arial" w:eastAsia="Arial" w:hAnsi="Arial"/>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181" w:lineRule="exact"/>
        <w:rPr>
          <w:sz w:val="20"/>
          <w:szCs w:val="20"/>
          <w:color w:val="auto"/>
        </w:rPr>
      </w:pPr>
    </w:p>
    <w:p>
      <w:pPr>
        <w:ind w:left="4400" w:right="40"/>
        <w:spacing w:after="0" w:line="287" w:lineRule="auto"/>
        <w:rPr>
          <w:sz w:val="20"/>
          <w:szCs w:val="20"/>
          <w:color w:val="auto"/>
        </w:rPr>
      </w:pPr>
      <w:r>
        <w:rPr>
          <w:rFonts w:ascii="Arial" w:cs="Arial" w:eastAsia="Arial" w:hAnsi="Arial"/>
          <w:sz w:val="16"/>
          <w:szCs w:val="16"/>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small portion of income and capital gains for the calendar years ended December 31, 2013 and 2012 and we recorded a net expense of $0.2 million and $0.1 million, respectively, for U.S. federal excise tax as a result. Any carryover of investment company taxable income or net capital gains must be timely declared and distributed as a dividend in the taxable year</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30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w w:val="95"/>
              </w:rPr>
              <w:t>following the taxable year in which the income or gains were earned. See “Distributions” and</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“Material U.S. Federal Income Tax Considerations.”</w:t>
            </w:r>
          </w:p>
        </w:tc>
      </w:tr>
      <w:tr>
        <w:trPr>
          <w:trHeight w:val="426"/>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finance a portion of our investments. As a result, we are exposed to the risks of leverage,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may be considered a speculative investment technique.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89"/>
              </w:rPr>
              <w:t>Leverage increases the potential for gain and loss on amounts invested and, as a result, increases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 risks associated with investing in our securities. With certain limited exceptions, we currently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are only allowed to borrow amounts, including by issuing debt securities or preferred stock,</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where our asset coverage, as defined in the 1940 Act, equals at least 200% after the borrowing.</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The costs associated with our borrowings, including any increase in the fees payable to the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Adviser, are borne by our stockholders. See “Regulation.”</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As of December 31, 2013 and 2012, our asset coverage was 232.9% and 244.6%, respectively.</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Following this IPO and the repayment of indebtedness as contemplated under “Use of Proceeds,”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and based on the value of our total assets as of December 31, 2013 after giving effect to the pro</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forma as adjusted assumptions under “Capitalization”, our asset coverage ratio would be</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approximately   %.</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dividend reinvestment plan. Under this plan, if we declare a cash dividend or other distribution,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our stockholders who have not elected to “opt out” of our dividend reinvestment plan will have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their cash distribution automatically reinvested in additional shares of our common stock, rather</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than receiving the cash distribution. If a stockholder elects to “opt out”, that stockholder will</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receive cash dividends or other distributions.</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stock generally are subject to the same U.S. federal tax consequences as stockholders who elect</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to receive their distributions in cash; however, since their cash dividends will be reinvested, those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stockholders will not receive cash with which to pay any applicable taxes on reinvested</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dividends. See “Dividend Reinvestment Plan.”</w:t>
            </w:r>
          </w:p>
        </w:tc>
      </w:tr>
      <w:tr>
        <w:trPr>
          <w:trHeight w:val="412"/>
        </w:trPr>
        <w:tc>
          <w:tcPr>
            <w:tcW w:w="33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We pay the Adviser a fee for its services under an advisory agreement, which we refer to as the</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1"/>
              </w:rPr>
              <w:t>Investment Advisory Agreement, consisting of two components—a base management fee, which</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0"/>
              </w:rPr>
              <w:t>we refer to as the Management Fee, and an incentive fee, which we refer to as the Incentive Fee.</w:t>
            </w:r>
          </w:p>
        </w:tc>
      </w:tr>
      <w:tr>
        <w:trPr>
          <w:trHeight w:val="412"/>
        </w:trPr>
        <w:tc>
          <w:tcPr>
            <w:tcW w:w="330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Management Fee paid to the Adviser, payable at the end of each quarter in arrears, is</w:t>
            </w:r>
          </w:p>
        </w:tc>
      </w:tr>
      <w:tr>
        <w:trPr>
          <w:trHeight w:val="216"/>
        </w:trPr>
        <w:tc>
          <w:tcPr>
            <w:tcW w:w="330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2"/>
              </w:rPr>
              <w:t>calculated at an annual rate of 1.5% of our gross assets, or total assets before deduction of any</w:t>
            </w:r>
          </w:p>
        </w:tc>
      </w:tr>
      <w:tr>
        <w:trPr>
          <w:trHeight w:val="222"/>
        </w:trPr>
        <w:tc>
          <w:tcPr>
            <w:tcW w:w="330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liabilities under generally accepted accounting principles in the United States, which</w:t>
            </w:r>
          </w:p>
        </w:tc>
      </w:tr>
      <w:tr>
        <w:trPr>
          <w:trHeight w:val="161"/>
        </w:trPr>
        <w:tc>
          <w:tcPr>
            <w:tcW w:w="3300" w:type="dxa"/>
            <w:vAlign w:val="bottom"/>
            <w:tcBorders>
              <w:left w:val="single" w:sz="8" w:color="auto"/>
              <w:bottom w:val="single" w:sz="8" w:color="auto"/>
            </w:tcBorders>
          </w:tcPr>
          <w:p>
            <w:pPr>
              <w:spacing w:after="0"/>
              <w:rPr>
                <w:sz w:val="13"/>
                <w:szCs w:val="13"/>
                <w:color w:val="auto"/>
              </w:rPr>
            </w:pPr>
          </w:p>
        </w:tc>
        <w:tc>
          <w:tcPr>
            <w:tcW w:w="8160" w:type="dxa"/>
            <w:vAlign w:val="bottom"/>
            <w:tcBorders>
              <w:bottom w:val="single" w:sz="8" w:color="auto"/>
              <w:right w:val="single" w:sz="8" w:color="auto"/>
            </w:tcBorders>
          </w:tcPr>
          <w:p>
            <w:pPr>
              <w:spacing w:after="0"/>
              <w:rPr>
                <w:sz w:val="13"/>
                <w:szCs w:val="13"/>
                <w:color w:val="auto"/>
              </w:rPr>
            </w:pPr>
          </w:p>
        </w:tc>
      </w:tr>
      <w:tr>
        <w:trPr>
          <w:trHeight w:val="359"/>
        </w:trPr>
        <w:tc>
          <w:tcPr>
            <w:tcW w:w="3300" w:type="dxa"/>
            <w:vAlign w:val="bottom"/>
          </w:tcPr>
          <w:p>
            <w:pPr>
              <w:spacing w:after="0"/>
              <w:rPr>
                <w:sz w:val="24"/>
                <w:szCs w:val="24"/>
                <w:color w:val="auto"/>
              </w:rPr>
            </w:pPr>
          </w:p>
        </w:tc>
        <w:tc>
          <w:tcPr>
            <w:tcW w:w="8160" w:type="dxa"/>
            <w:vAlign w:val="bottom"/>
          </w:tcPr>
          <w:p>
            <w:pPr>
              <w:ind w:left="23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3" w:lineRule="auto"/>
        <w:rPr>
          <w:sz w:val="20"/>
          <w:szCs w:val="20"/>
          <w:color w:val="auto"/>
        </w:rPr>
      </w:pPr>
      <w:r>
        <w:rPr>
          <w:rFonts w:ascii="Arial" w:cs="Arial" w:eastAsia="Arial" w:hAnsi="Arial"/>
          <w:sz w:val="18"/>
          <w:szCs w:val="18"/>
          <w:color w:val="auto"/>
        </w:rPr>
        <w:t>we refer to as U.S. GAAP. Because the Management Fee is payable based on our gross assets, which includes cash and assets acquired through the use of leverage, our Adviser may have an incentive to use leverage to make additional investments. The amount of leverage that we employ will depend on our Adviser’s and our Board’s assessment of market and other factors at the time of any proposed borrowing. See “Risk Factors—Risks Related to Our Business and Structure— We borrow money, which magnifies the potential for gain or loss and increases the risk of investing in us.”</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Incentive Fee consists of two parts.</w:t>
      </w:r>
    </w:p>
    <w:p>
      <w:pPr>
        <w:spacing w:after="0" w:line="90" w:lineRule="exact"/>
        <w:rPr>
          <w:sz w:val="20"/>
          <w:szCs w:val="20"/>
          <w:color w:val="auto"/>
        </w:rPr>
      </w:pPr>
    </w:p>
    <w:p>
      <w:pPr>
        <w:ind w:left="4820" w:hanging="160"/>
        <w:spacing w:after="0" w:line="285" w:lineRule="auto"/>
        <w:tabs>
          <w:tab w:leader="none" w:pos="4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Pre-Incentive Fee net investment income may include income that we have not received in cash.</w:t>
      </w:r>
    </w:p>
    <w:p>
      <w:pPr>
        <w:spacing w:after="0" w:line="166" w:lineRule="exact"/>
        <w:rPr>
          <w:rFonts w:ascii="Arial" w:cs="Arial" w:eastAsia="Arial" w:hAnsi="Arial"/>
          <w:sz w:val="16"/>
          <w:szCs w:val="16"/>
          <w:color w:val="auto"/>
        </w:rPr>
      </w:pPr>
    </w:p>
    <w:p>
      <w:pPr>
        <w:ind w:left="4820" w:right="80"/>
        <w:spacing w:after="0" w:line="287" w:lineRule="auto"/>
        <w:rPr>
          <w:rFonts w:ascii="Arial" w:cs="Arial" w:eastAsia="Arial" w:hAnsi="Arial"/>
          <w:sz w:val="16"/>
          <w:szCs w:val="16"/>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 our net assets as of the end of the calendar quarter immediately preceding the day; plus the aggregate amount of capital drawn from investors (or reinvested pursuant to our dividend reinvestment plan) from the beginning of the current quarter to the day; minus 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3" w:lineRule="exact"/>
        <w:rPr>
          <w:rFonts w:ascii="Arial" w:cs="Arial" w:eastAsia="Arial" w:hAnsi="Arial"/>
          <w:sz w:val="16"/>
          <w:szCs w:val="16"/>
          <w:color w:val="auto"/>
        </w:rPr>
      </w:pPr>
    </w:p>
    <w:p>
      <w:pPr>
        <w:jc w:val="both"/>
        <w:ind w:left="4820" w:right="40"/>
        <w:spacing w:after="0" w:line="259" w:lineRule="auto"/>
        <w:rPr>
          <w:rFonts w:ascii="Arial" w:cs="Arial" w:eastAsia="Arial" w:hAnsi="Arial"/>
          <w:sz w:val="16"/>
          <w:szCs w:val="16"/>
          <w:color w:val="auto"/>
        </w:rPr>
      </w:pPr>
      <w:r>
        <w:rPr>
          <w:rFonts w:ascii="Arial" w:cs="Arial" w:eastAsia="Arial" w:hAnsi="Arial"/>
          <w:sz w:val="18"/>
          <w:szCs w:val="18"/>
          <w:color w:val="auto"/>
        </w:rPr>
        <w:t>Following this IPO, for purposes of determining whether pre-Incentive Fee net investment income exceeds the hurdle rate, pre-Incentive Fee net investment income will be expressed as a</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800"/>
        <w:spacing w:after="0" w:line="268" w:lineRule="auto"/>
        <w:rPr>
          <w:sz w:val="20"/>
          <w:szCs w:val="20"/>
          <w:color w:val="auto"/>
        </w:rPr>
      </w:pPr>
      <w:r>
        <w:rPr>
          <w:rFonts w:ascii="Arial" w:cs="Arial" w:eastAsia="Arial" w:hAnsi="Arial"/>
          <w:sz w:val="18"/>
          <w:szCs w:val="18"/>
          <w:color w:val="auto"/>
        </w:rPr>
        <w:t>rate of return on the value of our net assets at the end of the immediately preceding calendar quarter.</w:t>
      </w:r>
    </w:p>
    <w:p>
      <w:pPr>
        <w:spacing w:after="0" w:line="64" w:lineRule="exact"/>
        <w:rPr>
          <w:sz w:val="20"/>
          <w:szCs w:val="20"/>
          <w:color w:val="auto"/>
        </w:rPr>
      </w:pPr>
    </w:p>
    <w:p>
      <w:pPr>
        <w:jc w:val="both"/>
        <w:ind w:left="4820" w:right="300" w:hanging="159"/>
        <w:spacing w:after="0" w:line="305" w:lineRule="auto"/>
        <w:tabs>
          <w:tab w:leader="none" w:pos="4800" w:val="left"/>
        </w:tabs>
        <w:rPr>
          <w:sz w:val="20"/>
          <w:szCs w:val="20"/>
          <w:color w:val="auto"/>
        </w:rPr>
      </w:pPr>
      <w:r>
        <w:rPr>
          <w:rFonts w:ascii="Arial" w:cs="Arial" w:eastAsia="Arial" w:hAnsi="Arial"/>
          <w:sz w:val="15"/>
          <w:szCs w:val="15"/>
          <w:color w:val="auto"/>
        </w:rPr>
        <w:t>•</w:t>
        <w:tab/>
        <w:t>The second component, referred to as the Capital Gains Fee, is determined and payable in arrears as of the end of each calendar year in an amount equal to a weighted percentage of</w:t>
      </w: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our realized capital gains, if any, on a cumulative basis as between our inception to the end</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of the quarter in which this IPO is completed at 15% and thereafter at 17.5%, less</w:t>
            </w:r>
          </w:p>
        </w:tc>
      </w:tr>
      <w:tr>
        <w:trPr>
          <w:trHeight w:val="216"/>
        </w:trPr>
        <w:tc>
          <w:tcPr>
            <w:tcW w:w="3400" w:type="dxa"/>
            <w:vAlign w:val="bottom"/>
          </w:tcPr>
          <w:p>
            <w:pPr>
              <w:spacing w:after="0"/>
              <w:rPr>
                <w:sz w:val="18"/>
                <w:szCs w:val="18"/>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w w:val="91"/>
              </w:rPr>
              <w:t>cumulative realized capital losses, unrealized capital depreciation and net of the aggregate</w:t>
            </w:r>
          </w:p>
        </w:tc>
      </w:tr>
      <w:tr>
        <w:trPr>
          <w:trHeight w:val="222"/>
        </w:trPr>
        <w:tc>
          <w:tcPr>
            <w:tcW w:w="3400" w:type="dxa"/>
            <w:vAlign w:val="bottom"/>
          </w:tcPr>
          <w:p>
            <w:pPr>
              <w:spacing w:after="0"/>
              <w:rPr>
                <w:sz w:val="19"/>
                <w:szCs w:val="19"/>
                <w:color w:val="auto"/>
              </w:rPr>
            </w:pPr>
          </w:p>
        </w:tc>
        <w:tc>
          <w:tcPr>
            <w:tcW w:w="8060" w:type="dxa"/>
            <w:vAlign w:val="bottom"/>
          </w:tcPr>
          <w:p>
            <w:pPr>
              <w:ind w:left="1420"/>
              <w:spacing w:after="0"/>
              <w:rPr>
                <w:sz w:val="20"/>
                <w:szCs w:val="20"/>
                <w:color w:val="auto"/>
              </w:rPr>
            </w:pPr>
            <w:r>
              <w:rPr>
                <w:rFonts w:ascii="Arial" w:cs="Arial" w:eastAsia="Arial" w:hAnsi="Arial"/>
                <w:sz w:val="18"/>
                <w:szCs w:val="18"/>
                <w:color w:val="auto"/>
              </w:rPr>
              <w:t>amount of any previously paid capital gains Incentive Fee for prior periods.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Because of the structure of the Incentive Fee, it is possible that we may pay an Incentive Fee in a</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quarter in which we incur a loss.</w:t>
            </w:r>
          </w:p>
        </w:tc>
      </w:tr>
      <w:tr>
        <w:trPr>
          <w:trHeight w:val="291"/>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6"/>
              </w:rPr>
              <w:t>See “Management and Other Agreements—Investment Advisory Agreement; Administration</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 License 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Administration Agreement</w:t>
            </w:r>
          </w:p>
        </w:tc>
        <w:tc>
          <w:tcPr>
            <w:tcW w:w="8060" w:type="dxa"/>
            <w:vAlign w:val="bottom"/>
          </w:tcPr>
          <w:p>
            <w:pPr>
              <w:ind w:left="1000"/>
              <w:spacing w:after="0"/>
              <w:rPr>
                <w:sz w:val="20"/>
                <w:szCs w:val="20"/>
                <w:color w:val="auto"/>
              </w:rPr>
            </w:pPr>
            <w:r>
              <w:rPr>
                <w:rFonts w:ascii="Arial" w:cs="Arial" w:eastAsia="Arial" w:hAnsi="Arial"/>
                <w:sz w:val="18"/>
                <w:szCs w:val="18"/>
                <w:color w:val="auto"/>
              </w:rPr>
              <w:t>We reimburse the Adviser under an administration agreement, which we refer to as the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Administration Agreement, for certain administrative services to us.</w:t>
            </w:r>
          </w:p>
        </w:tc>
      </w:tr>
      <w:tr>
        <w:trPr>
          <w:trHeight w:val="412"/>
        </w:trPr>
        <w:tc>
          <w:tcPr>
            <w:tcW w:w="3400" w:type="dxa"/>
            <w:vAlign w:val="bottom"/>
          </w:tcPr>
          <w:p>
            <w:pPr>
              <w:spacing w:after="0"/>
              <w:rPr>
                <w:sz w:val="24"/>
                <w:szCs w:val="24"/>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These services include providing office space, equipment and office services, maintaining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financial records, preparing reports to stockholders and reports filed with the SEC, and managing</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the payment of expenses and the performance of administrative and professional services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5"/>
              </w:rPr>
              <w:t>rendered by others. In addition, the Adviser may delegate its duties under the Administration</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9"/>
              </w:rPr>
              <w:t>Agreement to affiliates or third parties and we will pay or reimburse the Adviser expenses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incurred by any of those affiliates or third parties for work done on our behalf. See “Management</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and Other Agreements—Investment Advisory Agreement; Administration Agreement; License</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Agreement.”</w:t>
            </w:r>
          </w:p>
        </w:tc>
      </w:tr>
      <w:tr>
        <w:trPr>
          <w:trHeight w:val="412"/>
        </w:trPr>
        <w:tc>
          <w:tcPr>
            <w:tcW w:w="3400" w:type="dxa"/>
            <w:vAlign w:val="bottom"/>
          </w:tcPr>
          <w:p>
            <w:pPr>
              <w:ind w:left="200"/>
              <w:spacing w:after="0"/>
              <w:rPr>
                <w:sz w:val="20"/>
                <w:szCs w:val="20"/>
                <w:color w:val="auto"/>
              </w:rPr>
            </w:pPr>
            <w:r>
              <w:rPr>
                <w:rFonts w:ascii="Arial" w:cs="Arial" w:eastAsia="Arial" w:hAnsi="Arial"/>
                <w:sz w:val="18"/>
                <w:szCs w:val="18"/>
                <w:color w:val="auto"/>
              </w:rPr>
              <w:t>Adviser Purchase Commitment</w:t>
            </w: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The Adviser has entered into the 10b5-1 Plan under which Goldman, Sachs &amp; Co., as agent for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4"/>
              </w:rPr>
              <w:t>the Adviser, will buy up to $25 million in the aggregate of our common stock during the period</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beginning after four full calendar weeks after the closing of this offering and ending on the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3"/>
              </w:rPr>
              <w:t>earlier of the date on which all the capital committed to the 10b5-1 Plan has been exhausted or</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December 31, 2014, subject to certain conditions. The 10b5-1 Plan will require Goldman, Sachs</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1"/>
              </w:rPr>
              <w:t>&amp; Co. to purchase for the Adviser shares of common stock offered for sale below a price equal to</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2"/>
              </w:rPr>
              <w:t>the initial public offering price per share through the date we announce our second quarter 2014</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0"/>
              </w:rPr>
              <w:t>earnings and, from and after that date, below our most recently reported net asset value per share</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89"/>
              </w:rPr>
              <w:t>as of the date of a trade. The purchase of shares by Goldman, Sachs &amp; Co. pursuant to the 10b5-1</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3"/>
              </w:rPr>
              <w:t>Plan is intended to satisfy the conditions of Rules 10b5-1 and 10b-18 under the Exchange Act,</w:t>
            </w:r>
          </w:p>
        </w:tc>
      </w:tr>
      <w:tr>
        <w:trPr>
          <w:trHeight w:val="216"/>
        </w:trPr>
        <w:tc>
          <w:tcPr>
            <w:tcW w:w="3400" w:type="dxa"/>
            <w:vAlign w:val="bottom"/>
          </w:tcPr>
          <w:p>
            <w:pPr>
              <w:spacing w:after="0"/>
              <w:rPr>
                <w:sz w:val="18"/>
                <w:szCs w:val="18"/>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w w:val="98"/>
              </w:rPr>
              <w:t>and will otherwise be subject to applicable law, including Regulation M, which may prohibit</w:t>
            </w:r>
          </w:p>
        </w:tc>
      </w:tr>
      <w:tr>
        <w:trPr>
          <w:trHeight w:val="222"/>
        </w:trPr>
        <w:tc>
          <w:tcPr>
            <w:tcW w:w="3400" w:type="dxa"/>
            <w:vAlign w:val="bottom"/>
          </w:tcPr>
          <w:p>
            <w:pPr>
              <w:spacing w:after="0"/>
              <w:rPr>
                <w:sz w:val="19"/>
                <w:szCs w:val="19"/>
                <w:color w:val="auto"/>
              </w:rPr>
            </w:pPr>
          </w:p>
        </w:tc>
        <w:tc>
          <w:tcPr>
            <w:tcW w:w="8060" w:type="dxa"/>
            <w:vAlign w:val="bottom"/>
          </w:tcPr>
          <w:p>
            <w:pPr>
              <w:ind w:left="1000"/>
              <w:spacing w:after="0"/>
              <w:rPr>
                <w:sz w:val="20"/>
                <w:szCs w:val="20"/>
                <w:color w:val="auto"/>
              </w:rPr>
            </w:pPr>
            <w:r>
              <w:rPr>
                <w:rFonts w:ascii="Arial" w:cs="Arial" w:eastAsia="Arial" w:hAnsi="Arial"/>
                <w:sz w:val="18"/>
                <w:szCs w:val="18"/>
                <w:color w:val="auto"/>
              </w:rPr>
              <w:t>purchases under certain circumstances. Any shares of common stock purchased by the</w:t>
            </w:r>
          </w:p>
        </w:tc>
      </w:tr>
      <w:tr>
        <w:trPr>
          <w:trHeight w:val="161"/>
        </w:trPr>
        <w:tc>
          <w:tcPr>
            <w:tcW w:w="34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w w:val="98"/>
              </w:rPr>
              <w:t>Adviser pursuant to the 10b5-1 Plan will be subject to the lock-up agreement between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Adviser and the underwriters, meaning the shares purchased will be locked-up until 365 days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after the date of this prospectus. Under the 10b5-1 Plan, Goldman, Sachs &amp; Co. will increase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volume of purchases made as the price of our common stock declines, subject to volume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restrictions. Purchases of our common stock by the Adviser under the 10b5-1 Plan may result in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the price of our common stock being higher than the price that otherwise might exist in the open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market. See “Risk Factors—Purchases of our common stock by the Adviser under the 10b5-1</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Plan may result in the price of our common stock being higher than the price that otherwise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might exist in the open market.”</w:t>
            </w:r>
          </w:p>
        </w:tc>
      </w:tr>
      <w:tr>
        <w:trPr>
          <w:trHeight w:val="426"/>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We have entered into a license agreement with an affiliate of TPG, under which the affiliate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granted us a non-exclusive license to use the TPG name and logo, for a nominal fee, for so long</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as the Adviser or one of its affiliates remains our investment adviser. Other than with respect to</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this limited license, we have no legal right to the “TPG” name or logo.</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89"/>
              </w:rPr>
              <w:t>below our net asset value per share unless we have stockholder approval. The risk that our shares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below net asset value. See “Risk Factors.”</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Custodian, Transfer and Dividend Paying Agent and</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State Street Bank and Trust Company serves as our custodian and will serve as our transfer and</w:t>
            </w:r>
          </w:p>
        </w:tc>
      </w:tr>
      <w:tr>
        <w:trPr>
          <w:trHeight w:val="216"/>
        </w:trPr>
        <w:tc>
          <w:tcPr>
            <w:tcW w:w="414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Registrar</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dividend paying agent and registrar. See “Custodian, Transfer and Dividend Paying Agent and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Registrar.”</w:t>
            </w:r>
          </w:p>
        </w:tc>
      </w:tr>
      <w:tr>
        <w:trPr>
          <w:trHeight w:val="412"/>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part, under the Securities Act. This registration statement contains additional information about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0"/>
              </w:rPr>
              <w:t>us and the shares of our common stock being offered by this prospectus. We are also required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file periodic reports, current reports, proxy statements and other information with the SEC. This</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1"/>
              </w:rPr>
              <w:t>D.C. 20549 and on the SEC’s website at http://www.sec.gov</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Information on the operation of the</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SEC’s public reference room may be obtained by calling the SEC at 1 (800) SEC-0330.</w:t>
            </w:r>
          </w:p>
        </w:tc>
      </w:tr>
      <w:tr>
        <w:trPr>
          <w:trHeight w:val="412"/>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Street, Suite 3300, San Francisco, CA 94104, Attention: TSL Investor Relations, or by emailing</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 xml:space="preserve">us at </w:t>
            </w:r>
            <w:r>
              <w:rPr>
                <w:rFonts w:ascii="Arial" w:cs="Arial" w:eastAsia="Arial" w:hAnsi="Arial"/>
                <w:sz w:val="18"/>
                <w:szCs w:val="18"/>
                <w:i w:val="1"/>
                <w:iCs w:val="1"/>
                <w:color w:val="auto"/>
              </w:rPr>
              <w:t>IRTSL   tpg.com</w:t>
            </w:r>
            <w:r>
              <w:rPr>
                <w:rFonts w:ascii="Arial" w:cs="Arial" w:eastAsia="Arial" w:hAnsi="Arial"/>
                <w:sz w:val="18"/>
                <w:szCs w:val="18"/>
                <w:color w:val="auto"/>
              </w:rPr>
              <w:t>.</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-452755</wp:posOffset>
            </wp:positionV>
            <wp:extent cx="77470" cy="77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left="200" w:firstLine="443"/>
        <w:spacing w:after="0" w:line="303" w:lineRule="auto"/>
        <w:rPr>
          <w:sz w:val="20"/>
          <w:szCs w:val="20"/>
          <w:color w:val="auto"/>
        </w:rPr>
      </w:pPr>
      <w:r>
        <w:rPr>
          <w:rFonts w:ascii="Arial" w:cs="Arial" w:eastAsia="Arial" w:hAnsi="Arial"/>
          <w:sz w:val="15"/>
          <w:szCs w:val="15"/>
          <w:color w:val="auto"/>
        </w:rPr>
        <w:t>The following table is intended to assist you in understanding the costs and expenses that you will bear directly or indirectly.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w:t>
      </w:r>
    </w:p>
    <w:p>
      <w:pPr>
        <w:spacing w:after="0" w:line="1"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amounts for our current fiscal year and assume that we issue shares of common stock in the offering and the concurrent private placement, based on an offering price equal to the mid-point of the range as set forth on the cover of this prospectus, and the underwriters do not exercise their option to purchase any additional shares to cover over-allotments. If we issue fewer shares, all other things being equal, these expenses would increase as a percentage of our net assets attributable to common stock. The expenses shown also assume we entered into the other transactions reflected in the pro forma column of</w:t>
      </w:r>
    </w:p>
    <w:p>
      <w:pPr>
        <w:spacing w:after="0" w:line="3"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“Capitalization.” In addition, the expenses in the table are based on the assumption that we will have $ million of borrowings outstanding under our credit facilities, after giving effect to the offering and the concurrent private placement and the expected repayment of indebtedness as discussed in more detail under “Use of Proceeds.”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you will indirectly bear these fees or expenses as an investor in TPG Specialty Lending.</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(3)</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investment income and capital gains)</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w:t>
            </w:r>
            <w:r>
              <w:rPr>
                <w:rFonts w:ascii="Arial" w:cs="Arial" w:eastAsia="Arial" w:hAnsi="Arial"/>
                <w:sz w:val="11"/>
                <w:szCs w:val="11"/>
                <w:color w:val="auto"/>
                <w:w w:val="93"/>
              </w:rPr>
              <w:t>(7)(8)</w:t>
            </w:r>
          </w:p>
        </w:tc>
      </w:tr>
      <w:tr>
        <w:trPr>
          <w:trHeight w:val="222"/>
        </w:trPr>
        <w:tc>
          <w:tcPr>
            <w:tcW w:w="10120" w:type="dxa"/>
            <w:vAlign w:val="bottom"/>
            <w:gridSpan w:val="2"/>
          </w:tcPr>
          <w:p>
            <w:pPr>
              <w:spacing w:after="0"/>
              <w:rPr>
                <w:sz w:val="20"/>
                <w:szCs w:val="20"/>
                <w:color w:val="auto"/>
              </w:rPr>
            </w:pPr>
            <w:r>
              <w:rPr>
                <w:rFonts w:ascii="Arial" w:cs="Arial" w:eastAsia="Arial" w:hAnsi="Arial"/>
                <w:sz w:val="18"/>
                <w:szCs w:val="18"/>
                <w:color w:val="auto"/>
              </w:rPr>
              <w:t>Total annual expenses</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r>
      <w:tr>
        <w:trPr>
          <w:trHeight w:val="20"/>
        </w:trPr>
        <w:tc>
          <w:tcPr>
            <w:tcW w:w="1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19" w:lineRule="exact"/>
        <w:rPr>
          <w:sz w:val="20"/>
          <w:szCs w:val="20"/>
          <w:color w:val="auto"/>
        </w:rPr>
      </w:pPr>
    </w:p>
    <w:p>
      <w:pPr>
        <w:ind w:left="620" w:right="620" w:hanging="423"/>
        <w:spacing w:after="0" w:line="26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load (underwriting discount) with respect to the shares of our common stock sold in this offering, which is a one-time fee paid to the underwriters, is the only sales load paid in connection with this offering.</w:t>
      </w:r>
    </w:p>
    <w:p>
      <w:pPr>
        <w:spacing w:after="0" w:line="51" w:lineRule="exact"/>
        <w:rPr>
          <w:sz w:val="20"/>
          <w:szCs w:val="20"/>
          <w:color w:val="auto"/>
        </w:rPr>
      </w:pPr>
    </w:p>
    <w:p>
      <w:pPr>
        <w:ind w:left="200"/>
        <w:spacing w:after="0"/>
        <w:tabs>
          <w:tab w:leader="none" w:pos="600" w:val="left"/>
          <w:tab w:leader="none" w:pos="5820" w:val="left"/>
        </w:tabs>
        <w:rPr>
          <w:sz w:val="20"/>
          <w:szCs w:val="20"/>
          <w:color w:val="auto"/>
        </w:rPr>
      </w:pPr>
      <w:r>
        <w:rPr>
          <w:rFonts w:ascii="Arial" w:cs="Arial" w:eastAsia="Arial" w:hAnsi="Arial"/>
          <w:sz w:val="18"/>
          <w:szCs w:val="18"/>
          <w:color w:val="auto"/>
        </w:rPr>
        <w:t>(2)</w:t>
        <w:tab/>
        <w:t>Amount reflects estimated offering expenses of approximately $</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620" w:right="620" w:hanging="423"/>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spacing w:after="0" w:line="50" w:lineRule="exact"/>
        <w:rPr>
          <w:rFonts w:ascii="Arial" w:cs="Arial" w:eastAsia="Arial" w:hAnsi="Arial"/>
          <w:sz w:val="18"/>
          <w:szCs w:val="18"/>
          <w:color w:val="auto"/>
        </w:rPr>
      </w:pPr>
    </w:p>
    <w:p>
      <w:pPr>
        <w:ind w:left="620" w:right="240" w:hanging="423"/>
        <w:spacing w:after="0" w:line="256"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Management Fee is 1.5%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62" w:lineRule="exact"/>
        <w:rPr>
          <w:rFonts w:ascii="Arial" w:cs="Arial" w:eastAsia="Arial" w:hAnsi="Arial"/>
          <w:sz w:val="18"/>
          <w:szCs w:val="18"/>
          <w:color w:val="auto"/>
        </w:rPr>
      </w:pPr>
    </w:p>
    <w:p>
      <w:pPr>
        <w:ind w:left="620" w:right="120"/>
        <w:spacing w:after="0" w:line="256" w:lineRule="auto"/>
        <w:rPr>
          <w:rFonts w:ascii="Arial" w:cs="Arial" w:eastAsia="Arial" w:hAnsi="Arial"/>
          <w:sz w:val="18"/>
          <w:szCs w:val="18"/>
          <w:color w:val="auto"/>
        </w:rPr>
      </w:pPr>
      <w:r>
        <w:rPr>
          <w:rFonts w:ascii="Arial" w:cs="Arial" w:eastAsia="Arial" w:hAnsi="Arial"/>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money) and pro forma as of December 31, 2013, after giving effect to the transactions as reflected in the as adjusted pro forma column under “Capitalization.”</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60" w:hanging="423"/>
        <w:spacing w:after="0" w:line="298"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first year after completion of this offering. The Incentive Fee payable in the example below is based upon our actual results for the year ended December 31, 2013 as if they had occurred following the IPO, and assumes that the Incentive Fee is 17.5% for all relevant periods. However, the Incentive Fee payable to the Adviser is based on our performance and will not be paid unless we achieve certain goals.</w:t>
      </w:r>
    </w:p>
    <w:p>
      <w:pPr>
        <w:spacing w:after="0" w:line="3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90" w:lineRule="exact"/>
        <w:rPr>
          <w:rFonts w:ascii="Arial" w:cs="Arial" w:eastAsia="Arial" w:hAnsi="Arial"/>
          <w:sz w:val="16"/>
          <w:szCs w:val="16"/>
          <w:color w:val="auto"/>
        </w:rPr>
      </w:pPr>
    </w:p>
    <w:p>
      <w:pPr>
        <w:ind w:left="620" w:right="180"/>
        <w:spacing w:after="0" w:line="255"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 Incentive Fee net investment income in excess of a 1.5% quarterly “hurdle rate”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w:t>
      </w:r>
    </w:p>
    <w:p>
      <w:pPr>
        <w:spacing w:after="0" w:line="61" w:lineRule="exact"/>
        <w:rPr>
          <w:rFonts w:ascii="Arial" w:cs="Arial" w:eastAsia="Arial" w:hAnsi="Arial"/>
          <w:sz w:val="16"/>
          <w:szCs w:val="16"/>
          <w:color w:val="auto"/>
        </w:rPr>
      </w:pPr>
    </w:p>
    <w:p>
      <w:pPr>
        <w:ind w:left="620" w:right="80"/>
        <w:spacing w:after="0" w:line="294" w:lineRule="auto"/>
        <w:rPr>
          <w:rFonts w:ascii="Arial" w:cs="Arial" w:eastAsia="Arial" w:hAnsi="Arial"/>
          <w:sz w:val="16"/>
          <w:szCs w:val="16"/>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the end of the quarter in which this IPO is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3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90" w:lineRule="exact"/>
        <w:rPr>
          <w:rFonts w:ascii="Arial" w:cs="Arial" w:eastAsia="Arial" w:hAnsi="Arial"/>
          <w:sz w:val="16"/>
          <w:szCs w:val="16"/>
          <w:color w:val="auto"/>
        </w:rPr>
      </w:pPr>
    </w:p>
    <w:p>
      <w:pPr>
        <w:ind w:left="620" w:right="40" w:hanging="423"/>
        <w:spacing w:after="0" w:line="298"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under our credit facilities based on the amounts expected to be outstanding after this offering and the repayment of certain credit facility indebtedness described in “Use of Proceeds.”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31" w:lineRule="exact"/>
        <w:rPr>
          <w:rFonts w:ascii="Arial" w:cs="Arial" w:eastAsia="Arial" w:hAnsi="Arial"/>
          <w:sz w:val="16"/>
          <w:szCs w:val="16"/>
          <w:color w:val="auto"/>
        </w:rPr>
      </w:pPr>
    </w:p>
    <w:p>
      <w:pPr>
        <w:ind w:left="620" w:right="120" w:hanging="423"/>
        <w:spacing w:after="0" w:line="259"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for certain expenses incurred by the Adviser. See “Management and Other Agreements— Investment Advisory Agreement; Administration Agreement; License Agreement.” We based these expenses on estimated amounts for the current fiscal year.</w:t>
      </w:r>
    </w:p>
    <w:p>
      <w:pPr>
        <w:spacing w:after="0" w:line="59" w:lineRule="exact"/>
        <w:rPr>
          <w:rFonts w:ascii="Arial" w:cs="Arial" w:eastAsia="Arial" w:hAnsi="Arial"/>
          <w:sz w:val="18"/>
          <w:szCs w:val="18"/>
          <w:color w:val="auto"/>
        </w:rPr>
      </w:pPr>
    </w:p>
    <w:p>
      <w:pPr>
        <w:ind w:left="620" w:hanging="42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(taking into account the repayment of certain credit facility indebtedness as described in “Use of Proceeds”) and that our annual operating expenses would remain at the levels set forth in the table above. The Incentive Fee payable in the example below assumes that the Incentive Fee is 17.5% for all relevant periods. Transaction expenses are included in the following example.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9"/>
              </w:rPr>
              <w:t>10 years</w:t>
            </w:r>
          </w:p>
        </w:tc>
      </w:tr>
      <w:tr>
        <w:trPr>
          <w:trHeight w:val="188"/>
        </w:trPr>
        <w:tc>
          <w:tcPr>
            <w:tcW w:w="7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2"/>
              </w:rPr>
              <w:t>You would pay the following expenses on a $1,000 investment, assuming a 5% annual return from realized</w:t>
            </w: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gains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200" w:right="660" w:firstLine="443"/>
        <w:spacing w:after="0" w:line="268" w:lineRule="auto"/>
        <w:rPr>
          <w:sz w:val="20"/>
          <w:szCs w:val="20"/>
          <w:color w:val="auto"/>
        </w:rPr>
      </w:pPr>
      <w:r>
        <w:rPr>
          <w:rFonts w:ascii="Arial" w:cs="Arial" w:eastAsia="Arial" w:hAnsi="Arial"/>
          <w:sz w:val="18"/>
          <w:szCs w:val="18"/>
          <w:color w:val="auto"/>
        </w:rPr>
        <w:t>The foregoing table is to assist you in understanding the various costs and expenses that an investor in our common stock will bear directly or indirectly. While the example assumes, as required by the SEC, a 5% annual</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47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1847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20"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number of significant risks. Before you invest in our common stock, you should be aware of various risks associated with the investment,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upon at least 60 days’ written notice to the other party. The holders of a majority of our outstanding voting securities may also terminate the Investment Advisory Agreement without penalty upon not less than 60 days’ written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Although we do not anticipate issuing preferred stock during the 12 months following this offering, 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and the investors who acquire shares in the offering may thereafter experience the same type of dilution from subsequent offerings at a discount. See “Regulation.”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part of our business strategy, we borrow from and may in the future issue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credit facilities also impose financial and operating covenants that restrict our business activities, remedies on default and similar matters. As of December 31, 2013,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2013, we had $432.3 million of outstanding indebtedness, which would have an annualized interest cost of 2.5% under the terms of our credit facilities, excluding fees (such as fees on undrawn amounts and amortization of upfront fees), to the extent the amount remains outstanding. For us to cover these annualized interest payments on indebtedness, we must achieve annual returns on our investments of at least 1.0%. Since we generally pay interest at a floating rate on our credit facilities, an increase in interest rates will generally increase our borrowing costs.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Assumed Return on Our Portfolio</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(net of expenses)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13"/>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w:t>
            </w:r>
          </w:p>
        </w:tc>
        <w:tc>
          <w:tcPr>
            <w:tcW w:w="500" w:type="dxa"/>
            <w:vAlign w:val="bottom"/>
          </w:tcPr>
          <w:p>
            <w:pPr>
              <w:spacing w:after="0"/>
              <w:rPr>
                <w:sz w:val="24"/>
                <w:szCs w:val="2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10%</w:t>
            </w:r>
          </w:p>
        </w:tc>
        <w:tc>
          <w:tcPr>
            <w:tcW w:w="200" w:type="dxa"/>
            <w:vAlign w:val="bottom"/>
          </w:tcPr>
          <w:p>
            <w:pPr>
              <w:spacing w:after="0"/>
              <w:rPr>
                <w:sz w:val="24"/>
                <w:szCs w:val="24"/>
                <w:color w:val="auto"/>
              </w:rPr>
            </w:pPr>
          </w:p>
        </w:tc>
      </w:tr>
      <w:tr>
        <w:trPr>
          <w:trHeight w:val="210"/>
        </w:trPr>
        <w:tc>
          <w:tcPr>
            <w:tcW w:w="37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Corresponding return to stockholder</w:t>
            </w:r>
          </w:p>
        </w:tc>
        <w:tc>
          <w:tcPr>
            <w:tcW w:w="1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7"/>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08"/>
        </w:trPr>
        <w:tc>
          <w:tcPr>
            <w:tcW w:w="11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1520" w:type="dxa"/>
            <w:vAlign w:val="bottom"/>
            <w:gridSpan w:val="4"/>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8"/>
        </w:trPr>
        <w:tc>
          <w:tcPr>
            <w:tcW w:w="1620" w:type="dxa"/>
            <w:vAlign w:val="bottom"/>
            <w:gridSpan w:val="2"/>
          </w:tcPr>
          <w:p>
            <w:pPr>
              <w:spacing w:after="0"/>
              <w:rPr>
                <w:sz w:val="20"/>
                <w:szCs w:val="20"/>
                <w:color w:val="auto"/>
              </w:rPr>
            </w:pPr>
            <w:r>
              <w:rPr>
                <w:rFonts w:ascii="Arial" w:cs="Arial" w:eastAsia="Arial" w:hAnsi="Arial"/>
                <w:sz w:val="18"/>
                <w:szCs w:val="18"/>
                <w:color w:val="auto"/>
              </w:rPr>
              <w:t>(1)   Assumes (i) $</w:t>
            </w:r>
          </w:p>
        </w:tc>
        <w:tc>
          <w:tcPr>
            <w:tcW w:w="2100" w:type="dxa"/>
            <w:vAlign w:val="bottom"/>
          </w:tcPr>
          <w:p>
            <w:pPr>
              <w:ind w:left="200"/>
              <w:spacing w:after="0"/>
              <w:rPr>
                <w:sz w:val="20"/>
                <w:szCs w:val="20"/>
                <w:color w:val="auto"/>
              </w:rPr>
            </w:pPr>
            <w:r>
              <w:rPr>
                <w:rFonts w:ascii="Arial" w:cs="Arial" w:eastAsia="Arial" w:hAnsi="Arial"/>
                <w:sz w:val="18"/>
                <w:szCs w:val="18"/>
                <w:color w:val="auto"/>
                <w:w w:val="98"/>
              </w:rPr>
              <w:t>million in investments at</w:t>
            </w:r>
          </w:p>
        </w:tc>
        <w:tc>
          <w:tcPr>
            <w:tcW w:w="1220" w:type="dxa"/>
            <w:vAlign w:val="bottom"/>
          </w:tcPr>
          <w:p>
            <w:pPr>
              <w:ind w:left="600"/>
              <w:spacing w:after="0"/>
              <w:rPr>
                <w:sz w:val="20"/>
                <w:szCs w:val="20"/>
                <w:color w:val="auto"/>
              </w:rPr>
            </w:pPr>
            <w:r>
              <w:rPr>
                <w:rFonts w:ascii="Arial" w:cs="Arial" w:eastAsia="Arial" w:hAnsi="Arial"/>
                <w:sz w:val="18"/>
                <w:szCs w:val="18"/>
                <w:color w:val="auto"/>
              </w:rPr>
              <w:t>, (ii) $</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w w:val="95"/>
              </w:rPr>
              <w:t>million in outstanding indebtedness at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 (iii) $</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87"/>
              </w:rPr>
              <w:t>million in net assets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1160" w:type="dxa"/>
            <w:vAlign w:val="bottom"/>
          </w:tcPr>
          <w:p>
            <w:pPr>
              <w:ind w:left="460"/>
              <w:spacing w:after="0"/>
              <w:rPr>
                <w:sz w:val="20"/>
                <w:szCs w:val="20"/>
                <w:color w:val="auto"/>
              </w:rPr>
            </w:pPr>
            <w:r>
              <w:rPr>
                <w:rFonts w:ascii="Arial" w:cs="Arial" w:eastAsia="Arial" w:hAnsi="Arial"/>
                <w:sz w:val="18"/>
                <w:szCs w:val="18"/>
                <w:color w:val="auto"/>
              </w:rPr>
              <w:t>at</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w w:val="92"/>
              </w:rPr>
              <w:t>and (iv) average cost of funds of</w:t>
            </w:r>
          </w:p>
        </w:tc>
        <w:tc>
          <w:tcPr>
            <w:tcW w:w="4660" w:type="dxa"/>
            <w:vAlign w:val="bottom"/>
            <w:gridSpan w:val="6"/>
          </w:tcPr>
          <w:p>
            <w:pPr>
              <w:jc w:val="right"/>
              <w:ind w:right="20"/>
              <w:spacing w:after="0"/>
              <w:rPr>
                <w:sz w:val="20"/>
                <w:szCs w:val="20"/>
                <w:color w:val="auto"/>
              </w:rPr>
            </w:pPr>
            <w:r>
              <w:rPr>
                <w:rFonts w:ascii="Arial" w:cs="Arial" w:eastAsia="Arial" w:hAnsi="Arial"/>
                <w:sz w:val="18"/>
                <w:szCs w:val="18"/>
                <w:color w:val="auto"/>
                <w:w w:val="91"/>
              </w:rPr>
              <w:t>%, which is the estimated borrowing cost on our credit facilities.</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will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6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2" w:lineRule="exact"/>
        <w:rPr>
          <w:sz w:val="20"/>
          <w:szCs w:val="20"/>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5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calendar years ended December 31, 2013 and December 31, 2012, we retained $3.0 million and $2.8 million of income and capital gains, respectively, in order to provide us with additional liquidity and we recorded a net expense of $0.2 million and $0.1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we will be liable for the tax on the amount by which we do not meet the foregoing distribution requirement. See “Material U.S. Federal Income Tax Considerations—Regulated Investment Company Classification.”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Adviser has the right, under the Investment Advisory Agreement and the Administration Agreement, to resign at any time upon not less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Although we expect to become a large accelerated filer at some point following this IPO, we currently are a “non-accelerated filer” under the Exchange Act, which has exempted us from compliance with these auditor attestation requirements. We cannot predict if investors will find shares of our common stock less attractive because we will rely on these exemptions. If some investors find our shares of common stock less attractive as a result, there may be a less active trading market for our shares and our share price may be more volatile.</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as a result of being a publicly traded company.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publicly traded company, we will incur legal, accounting, investor relations and other expenses, including costs associated with corporate governance requirements, such as those under the Sarbanes-Oxley Act, other rules implemented by the SEC and the listing standards of the New York Stock Exchange, or NYSE. Upon ceasing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 and default rates on our investments. As a result of these and other possible factors, results for any period should not be relied upon as being indicative of performance in future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Our bylaws further provide that any stockholder action required or permitted at an annual meeting or special meeting of stockholders may only be taken if it is properly brought before such meeting. In addition, we are currently seeking stockholder consent to eliminate the ability of stockholders to act by written consent outside of an annual or special meeting of stockholders.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“—Unless Congress renews certain exemptions that expired for taxable years commencing after December 31, 2013, certain dividend distributions we make to certain non-U.S. stockholders will be subject to U.S. withholding tax.”</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financial stability could have a significant adverse effect on our business, results of operations and financial condition.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43"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or a shutdown of the United States federal government, could have a material adverse effect on our business, financial condition and results of operations.</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widely reported, the federal government may not be able to meet its debt payments in the relatively near future unless the federal debt ceiling is raised. If legislation increasing the debt ceiling is not enacted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Exposure to below investment grade instruments involves certain risks, including speculation with respect to the borrower’s capacity to pay interest and repay principal.</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First-Lien Debt</w:t>
      </w:r>
      <w:r>
        <w:rPr>
          <w:rFonts w:ascii="Arial" w:cs="Arial" w:eastAsia="Arial" w:hAnsi="Arial"/>
          <w:sz w:val="16"/>
          <w:szCs w:val="16"/>
          <w:color w:val="auto"/>
        </w:rPr>
        <w:t>. When we make a first-lien loan, we generally take a security interest in the available assets of the portfolio company, including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Second-Lien and Mezzanine Debt</w:t>
      </w:r>
      <w:r>
        <w:rPr>
          <w:rFonts w:ascii="Arial" w:cs="Arial" w:eastAsia="Arial" w:hAnsi="Arial"/>
          <w:sz w:val="15"/>
          <w:szCs w:val="15"/>
          <w:color w:val="auto"/>
        </w:rPr>
        <w:t>. Our investments in second-lien and mezzanine debt generally are subordinated to senior loans and will either have junior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interests or be unsecured. As such, other creditors may rank senior to us in the event of insolvency. This may result in greater risk and loss of principal.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first-lien debt, second-lien debt or mezzanine debt, we may acquire equity securities, such as warrants,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90" w:lineRule="exact"/>
        <w:rPr>
          <w:sz w:val="20"/>
          <w:szCs w:val="20"/>
          <w:color w:val="auto"/>
        </w:rPr>
      </w:pPr>
    </w:p>
    <w:p>
      <w:pPr>
        <w:ind w:left="900" w:right="3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90" w:lineRule="exact"/>
        <w:rPr>
          <w:sz w:val="20"/>
          <w:szCs w:val="20"/>
          <w:color w:val="auto"/>
        </w:rPr>
      </w:pPr>
    </w:p>
    <w:p>
      <w:pPr>
        <w:ind w:left="900" w:right="1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59"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5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Revolving Credit Facility (Natixis), to form a CLO or other securitization vehicle in the future.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be exposed to many of the same risks as described above with respect to our wholly owned subsidiary that supports our Revolving Credit Facility (Natixis). However, in the event we formed a CLO or other securitization vehicle, many of the risks described above would be heightened because we may incur a higher degree of leverage under a CLO or other securitization vehicle than we are permitted to incur under our Revolving Credit Facility (Natixis).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13"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i w:val="1"/>
          <w:iCs w:val="1"/>
          <w:color w:val="auto"/>
        </w:rPr>
        <w:t>Because we currently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ind w:firstLine="456"/>
        <w:spacing w:after="0" w:line="256" w:lineRule="auto"/>
        <w:rPr>
          <w:sz w:val="20"/>
          <w:szCs w:val="20"/>
          <w:color w:val="auto"/>
        </w:rPr>
      </w:pPr>
      <w:r>
        <w:rPr>
          <w:rFonts w:ascii="Arial" w:cs="Arial" w:eastAsia="Arial" w:hAnsi="Arial"/>
          <w:sz w:val="18"/>
          <w:szCs w:val="18"/>
          <w:color w:val="auto"/>
        </w:rPr>
        <w:t>We are a lender, and loans (and any equity investments we make)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13"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include counter-party credit risk. To the extent we have non-U.S. investments, particularly investments denominated in non-U.S. currencies, our hedging costs will increase.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(SunTrust).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(SunTrust), we may seek to utilize interest rate derivatives to hedge our exposure to changes in the associated rate.</w:t>
      </w:r>
    </w:p>
    <w:p>
      <w:pPr>
        <w:spacing w:after="0" w:line="113"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6"/>
          <w:szCs w:val="16"/>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variety of reasons, we may not seek to (or be able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In recent years, Congress has renewed the rules under which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8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the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Considerations—Potential Limitation with respect to Certain U.S. Stockholders on Deductions for Certain Fees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dividends or that our dividends may not grow over time.</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“—There are certain risks associated with holding debt obligations that have original issue discount or PIK.”</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the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market price and liquidity of the market for shares of our common stock that will prevail in the market after this offering may be higher or lower than the price you pay and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900" w:right="1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applied to list our common stock on the NYSE. We cannot assure you that a trading market will develop for our common stock after this offering or, if one develops, that the trading market can be sustained. In addition, we cannot predict the prices at which our common stock will trade. The IPO price for our common stock will be determined through our negotiations with the underwriters and may not bear any relationship to the market price at which it may trade after our IPO. Shares of companies offered in an IPO often trade at a discount to the initial offering price due to underwriting discounts and commissions and related offering expenses. Also,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The risk of loss associated with this characteristic of closed-end management investment companies may be greater for investors expecting to sell shares of common stock purchased in the offering soon after the offering.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Upon completion of this offering and the concurrent private placement, we will have shares of common stock outstanding, based on an assumed initial public offering price equal to the mid-point of the range on the front cover of the prospectus (or shares of common stock if the underwriters’ over-</w:t>
      </w:r>
    </w:p>
    <w:p>
      <w:pPr>
        <w:ind w:right="40"/>
        <w:spacing w:after="0" w:line="287" w:lineRule="auto"/>
        <w:rPr>
          <w:sz w:val="20"/>
          <w:szCs w:val="20"/>
          <w:color w:val="auto"/>
        </w:rPr>
      </w:pPr>
      <w:r>
        <w:rPr>
          <w:rFonts w:ascii="Arial" w:cs="Arial" w:eastAsia="Arial" w:hAnsi="Arial"/>
          <w:sz w:val="16"/>
          <w:szCs w:val="16"/>
          <w:color w:val="auto"/>
        </w:rPr>
        <w:t>allotment option is fully exercised). The shares of common stock sold in this offering (but not the concurrent private placement) will be freely tradable without restriction or limitation under the Securities Act, unless owned by an affiliate, as defined in the Securities Act, in which case sales will be subject to the public information, manner of sale and volume limitations of Rule 144 under the Securities Act. Shares of our common stock acquired pursuant to subscription agreements with our existing investors or in the concurrent private placement are “restricted securities,” as defined in Rule 144, and may only be sold if such sale is registered under the Securities Act or exempt from registration, including the exemption under Rule 144. See “Shares Eligible for Future Sale.” Following this offering and the expiration of applicable lock-up periods, subject to applicable securities laws, sales of substantial amounts of our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“Distributions” and “Dividend Reinvestment Plan” for a description of our dividend policy and obligations.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8"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after four full calendar weeks after the closing of this offering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51" w:lineRule="exact"/>
        <w:rPr>
          <w:sz w:val="20"/>
          <w:szCs w:val="20"/>
          <w:color w:val="auto"/>
        </w:rPr>
      </w:pPr>
    </w:p>
    <w:p>
      <w:pPr>
        <w:ind w:left="900" w:right="4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 Section 21E(b)(2)(B) and (D) of the Exchange Act, the “safe harbor” provisions of the Private Securities Litigation Reform Act of 1995 do not apply to statements made in connection with any offering of securities pursuant to this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million, based on an assumed initial public offering price equal to the mid-point of the range on the front cover of the prospectus (or approximately $ million if the</w:t>
      </w:r>
    </w:p>
    <w:p>
      <w:pPr>
        <w:spacing w:after="0"/>
        <w:rPr>
          <w:sz w:val="20"/>
          <w:szCs w:val="20"/>
          <w:color w:val="auto"/>
        </w:rPr>
      </w:pPr>
      <w:r>
        <w:rPr>
          <w:rFonts w:ascii="Arial" w:cs="Arial" w:eastAsia="Arial" w:hAnsi="Arial"/>
          <w:sz w:val="16"/>
          <w:szCs w:val="16"/>
          <w:color w:val="auto"/>
        </w:rPr>
        <w:t>underwriters exercise their option to purchase additional shares of our common stock to cover over-allotments in full), after deducting the underwriting discounts</w:t>
      </w:r>
    </w:p>
    <w:p>
      <w:pPr>
        <w:spacing w:after="0" w:line="3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commissions and estimated offering expenses of approximately $ million payable by us. Our proceeds from the sale of shares of our common stock in the concurrent private placement will be approximately $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use 100% of the net proceeds of this offering and the concurrent private placement, together with our cash and cash equivalents, to pay down</w:t>
      </w:r>
    </w:p>
    <w:p>
      <w:pPr>
        <w:spacing w:after="0" w:line="50" w:lineRule="exact"/>
        <w:rPr>
          <w:sz w:val="20"/>
          <w:szCs w:val="20"/>
          <w:color w:val="auto"/>
        </w:rPr>
      </w:pPr>
    </w:p>
    <w:p>
      <w:pPr>
        <w:jc w:val="both"/>
        <w:ind w:right="120" w:firstLine="8"/>
        <w:spacing w:after="0" w:line="281" w:lineRule="auto"/>
        <w:tabs>
          <w:tab w:leader="none" w:pos="4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million (or $ million if the underwriters exercise their option to purchase additional shares of our common stock to cover over-allotments in full) of outstanding indebtedness under the Revolving Credit Facility (SunTrust), which matures in full on February 27, 2019, on or about the date of the closing of this offering. After giving effect to the use of proceeds to pay down a portion of the outstanding balance under the Revolving Credit Facility (SunTrust),</w:t>
      </w:r>
    </w:p>
    <w:p>
      <w:pPr>
        <w:spacing w:after="0" w:line="2" w:lineRule="exact"/>
        <w:rPr>
          <w:sz w:val="20"/>
          <w:szCs w:val="20"/>
          <w:color w:val="auto"/>
        </w:rPr>
      </w:pPr>
    </w:p>
    <w:p>
      <w:pPr>
        <w:ind w:right="20" w:firstLine="8"/>
        <w:spacing w:after="0" w:line="290" w:lineRule="auto"/>
        <w:tabs>
          <w:tab w:leader="none" w:pos="4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million (or $ million if the underwriters exercise their option to purchase additional shares of our common stock to cover over-allotments in full) will remain outstanding under the facility. To the extent we raise more or less proceeds from this offering and the concurrent private placement, we will pay down more or less of the facility. We do not intend to terminate the facility and may reborrow the amount we repay, subject to certain conditions. As of December 31, 2013, amounts outstanding under our Revolving Credit Facility (SunTrust) bore interest at a rate of LIBOR plus 225 basis points.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Board intends to declare a dividend of $ per share for the quarter ending . Shares offered by this prospectus will be entitled to receive this dividend payment. We anticipate that this dividend will be paid from income generated primarily by interest earned on our investment portfolio.</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3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for purposes of additional liquidity and we recorded a net expense of $0.2 million and $0.1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 As of December 31, 2013, our issued and outstanding shares totaled 37,026,023, as adjusted for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2013</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July 31, 2013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2013</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31, 2013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2013</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30, 2014</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w w:val="99"/>
              </w:rPr>
              <w:t>December 31, 2012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Dividend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3"/>
            <w:vMerge w:val="continue"/>
          </w:tcPr>
          <w:p>
            <w:pPr>
              <w:spacing w:after="0"/>
              <w:rPr>
                <w:sz w:val="14"/>
                <w:szCs w:val="14"/>
                <w:color w:val="auto"/>
              </w:rPr>
            </w:pP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5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May 9, 2012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June 30, 2012</w:t>
            </w:r>
          </w:p>
        </w:tc>
        <w:tc>
          <w:tcPr>
            <w:tcW w:w="44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September 30, 2012</w:t>
            </w:r>
          </w:p>
        </w:tc>
        <w:tc>
          <w:tcPr>
            <w:tcW w:w="4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1"/>
                <w:szCs w:val="11"/>
                <w:color w:val="auto"/>
              </w:rPr>
              <w:t>(1)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December 31, 2012</w:t>
            </w:r>
          </w:p>
        </w:tc>
        <w:tc>
          <w:tcPr>
            <w:tcW w:w="440" w:type="dxa"/>
            <w:vAlign w:val="bottom"/>
          </w:tcPr>
          <w:p>
            <w:pPr>
              <w:spacing w:after="0"/>
              <w:rPr>
                <w:sz w:val="19"/>
                <w:szCs w:val="19"/>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capital gains, determined on a tax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actual consolidated capitalization of TPG Specialty Lending, Inc. at December 31, 2013;</w:t>
      </w:r>
    </w:p>
    <w:p>
      <w:pPr>
        <w:spacing w:after="0" w:line="90" w:lineRule="exact"/>
        <w:rPr>
          <w:rFonts w:ascii="Arial" w:cs="Arial" w:eastAsia="Arial" w:hAnsi="Arial"/>
          <w:sz w:val="18"/>
          <w:szCs w:val="18"/>
          <w:color w:val="auto"/>
        </w:rPr>
      </w:pPr>
    </w:p>
    <w:p>
      <w:pPr>
        <w:ind w:left="900" w:hanging="325"/>
        <w:spacing w:after="0" w:line="28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consolidated capitalization of TPG Specialty Lending, Inc. on a pro forma basis at December 31, 2013 to give effect to (i) our December 31, 2013 capital call for $65 million (4,234,501 shares issued at the September 30, 2013 net asset value per share of $15.35, which closed on January 15, 2014), (ii) our February 13, 2014 dividend reinvestment plan issuance for $7.8 million (502,200 shares issued at the December 31, 2013 net asset</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900"/>
        <w:spacing w:after="0"/>
        <w:tabs>
          <w:tab w:leader="none" w:pos="3780" w:val="left"/>
          <w:tab w:leader="none" w:pos="9160" w:val="left"/>
          <w:tab w:leader="none" w:pos="10640" w:val="left"/>
        </w:tabs>
        <w:rPr>
          <w:sz w:val="20"/>
          <w:szCs w:val="20"/>
          <w:color w:val="auto"/>
        </w:rPr>
      </w:pPr>
      <w:r>
        <w:rPr>
          <w:rFonts w:ascii="Arial" w:cs="Arial" w:eastAsia="Arial" w:hAnsi="Arial"/>
          <w:sz w:val="18"/>
          <w:szCs w:val="18"/>
          <w:color w:val="auto"/>
        </w:rPr>
        <w:t>value per share of $15.52), (iii) $</w:t>
      </w:r>
      <w:r>
        <w:rPr>
          <w:sz w:val="20"/>
          <w:szCs w:val="20"/>
          <w:color w:val="auto"/>
        </w:rPr>
        <w:tab/>
      </w:r>
      <w:r>
        <w:rPr>
          <w:rFonts w:ascii="Arial" w:cs="Arial" w:eastAsia="Arial" w:hAnsi="Arial"/>
          <w:sz w:val="18"/>
          <w:szCs w:val="18"/>
          <w:color w:val="auto"/>
        </w:rPr>
        <w:t>million of investments funded from December 31, 2013 through</w:t>
      </w:r>
      <w:r>
        <w:rPr>
          <w:sz w:val="20"/>
          <w:szCs w:val="20"/>
          <w:color w:val="auto"/>
        </w:rPr>
        <w:tab/>
      </w:r>
      <w:r>
        <w:rPr>
          <w:rFonts w:ascii="Arial" w:cs="Arial" w:eastAsia="Arial" w:hAnsi="Arial"/>
          <w:sz w:val="18"/>
          <w:szCs w:val="18"/>
          <w:color w:val="auto"/>
        </w:rPr>
        <w:t>, 2014, (iv) $</w:t>
      </w:r>
      <w:r>
        <w:rPr>
          <w:sz w:val="20"/>
          <w:szCs w:val="20"/>
          <w:color w:val="auto"/>
        </w:rPr>
        <w:tab/>
      </w:r>
      <w:r>
        <w:rPr>
          <w:rFonts w:ascii="Arial" w:cs="Arial" w:eastAsia="Arial" w:hAnsi="Arial"/>
          <w:sz w:val="16"/>
          <w:szCs w:val="16"/>
          <w:color w:val="auto"/>
        </w:rPr>
        <w:t>million of</w:t>
      </w:r>
    </w:p>
    <w:p>
      <w:pPr>
        <w:spacing w:after="0" w:line="9" w:lineRule="exact"/>
        <w:rPr>
          <w:sz w:val="20"/>
          <w:szCs w:val="20"/>
          <w:color w:val="auto"/>
        </w:rPr>
      </w:pPr>
    </w:p>
    <w:p>
      <w:pPr>
        <w:ind w:left="900"/>
        <w:spacing w:after="0"/>
        <w:tabs>
          <w:tab w:leader="none" w:pos="7480" w:val="left"/>
        </w:tabs>
        <w:rPr>
          <w:sz w:val="20"/>
          <w:szCs w:val="20"/>
          <w:color w:val="auto"/>
        </w:rPr>
      </w:pPr>
      <w:r>
        <w:rPr>
          <w:rFonts w:ascii="Arial" w:cs="Arial" w:eastAsia="Arial" w:hAnsi="Arial"/>
          <w:sz w:val="18"/>
          <w:szCs w:val="18"/>
          <w:color w:val="auto"/>
        </w:rPr>
        <w:t>drawdowns from our revolving credit facilities from December 31, 2013 through</w:t>
      </w:r>
      <w:r>
        <w:rPr>
          <w:sz w:val="20"/>
          <w:szCs w:val="20"/>
          <w:color w:val="auto"/>
        </w:rPr>
        <w:tab/>
      </w:r>
      <w:r>
        <w:rPr>
          <w:rFonts w:ascii="Arial" w:cs="Arial" w:eastAsia="Arial" w:hAnsi="Arial"/>
          <w:sz w:val="15"/>
          <w:szCs w:val="15"/>
          <w:color w:val="auto"/>
        </w:rPr>
        <w:t>, 2014 and (v) the private placement of $</w:t>
      </w:r>
    </w:p>
    <w:p>
      <w:pPr>
        <w:spacing w:after="0" w:line="9" w:lineRule="exact"/>
        <w:rPr>
          <w:sz w:val="20"/>
          <w:szCs w:val="20"/>
          <w:color w:val="auto"/>
        </w:rPr>
      </w:pPr>
    </w:p>
    <w:p>
      <w:pPr>
        <w:ind w:left="900"/>
        <w:spacing w:after="0"/>
        <w:tabs>
          <w:tab w:leader="none" w:pos="4500" w:val="left"/>
        </w:tabs>
        <w:rPr>
          <w:sz w:val="20"/>
          <w:szCs w:val="20"/>
          <w:color w:val="auto"/>
        </w:rPr>
      </w:pPr>
      <w:r>
        <w:rPr>
          <w:rFonts w:ascii="Arial" w:cs="Arial" w:eastAsia="Arial" w:hAnsi="Arial"/>
          <w:sz w:val="18"/>
          <w:szCs w:val="18"/>
          <w:color w:val="auto"/>
        </w:rPr>
        <w:t>million of our common stock at a price of $</w:t>
      </w:r>
      <w:r>
        <w:rPr>
          <w:sz w:val="20"/>
          <w:szCs w:val="20"/>
          <w:color w:val="auto"/>
        </w:rPr>
        <w:tab/>
      </w:r>
      <w:r>
        <w:rPr>
          <w:rFonts w:ascii="Arial" w:cs="Arial" w:eastAsia="Arial" w:hAnsi="Arial"/>
          <w:sz w:val="16"/>
          <w:szCs w:val="16"/>
          <w:color w:val="auto"/>
        </w:rPr>
        <w:t>per share to certain of our existing investors (the mid-point of the range on the front cover of this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prospectus); and</w:t>
      </w:r>
    </w:p>
    <w:p>
      <w:pPr>
        <w:sectPr>
          <w:pgSz w:w="11900" w:h="16838" w:orient="portrait"/>
          <w:cols w:equalWidth="0" w:num="1">
            <w:col w:w="11420"/>
          </w:cols>
          <w:pgMar w:left="240" w:top="459" w:right="239" w:bottom="1440" w:gutter="0" w:footer="0" w:header="0"/>
          <w:type w:val="continuous"/>
        </w:sectPr>
      </w:pPr>
    </w:p>
    <w:p>
      <w:pPr>
        <w:spacing w:after="0" w:line="84"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consolidated capitalization of TPG Specialty Lending, Inc. on a pro forma basis at December 31, 2013, as further adjusted to reflect the assumed</w:t>
      </w:r>
    </w:p>
    <w:p>
      <w:pPr>
        <w:spacing w:after="0" w:line="50" w:lineRule="exact"/>
        <w:rPr>
          <w:sz w:val="20"/>
          <w:szCs w:val="20"/>
          <w:color w:val="auto"/>
        </w:rPr>
      </w:pPr>
    </w:p>
    <w:p>
      <w:pPr>
        <w:ind w:left="900" w:right="80"/>
        <w:spacing w:after="0" w:line="255" w:lineRule="auto"/>
        <w:rPr>
          <w:sz w:val="20"/>
          <w:szCs w:val="20"/>
          <w:color w:val="auto"/>
        </w:rPr>
      </w:pPr>
      <w:r>
        <w:rPr>
          <w:rFonts w:ascii="Arial" w:cs="Arial" w:eastAsia="Arial" w:hAnsi="Arial"/>
          <w:sz w:val="18"/>
          <w:szCs w:val="18"/>
          <w:color w:val="auto"/>
        </w:rPr>
        <w:t>sale of shares of our common stock in this offering at the initial public offering price of $ per share (the mid-point of the range on the front cover of this prospectus) after deducting the underwriting discounts and commissions and estimated offering expenses of approximately $ million payable by us and application of the net proceeds as discussed in more detail under “Use of Proceeds.”</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the consolidated financial statements and the related notes thereto included elsewhere in this prospectus.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(1)</w:t>
            </w:r>
          </w:p>
        </w:tc>
        <w:tc>
          <w:tcPr>
            <w:tcW w:w="1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Adjusted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1240" w:type="dxa"/>
            <w:vAlign w:val="bottom"/>
            <w:gridSpan w:val="3"/>
            <w:vMerge w:val="continue"/>
          </w:tcPr>
          <w:p>
            <w:pPr>
              <w:spacing w:after="0"/>
              <w:rPr>
                <w:sz w:val="15"/>
                <w:szCs w:val="15"/>
                <w:color w:val="auto"/>
              </w:rPr>
            </w:pPr>
          </w:p>
        </w:tc>
        <w:tc>
          <w:tcPr>
            <w:tcW w:w="1060" w:type="dxa"/>
            <w:vAlign w:val="bottom"/>
            <w:gridSpan w:val="3"/>
          </w:tcPr>
          <w:p>
            <w:pPr>
              <w:ind w:left="160"/>
              <w:spacing w:after="0" w:line="176"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0"/>
                <w:szCs w:val="20"/>
                <w:b w:val="1"/>
                <w:bCs w:val="1"/>
                <w:color w:val="auto"/>
                <w:vertAlign w:val="superscript"/>
              </w:rPr>
              <w:t>(1)</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9"/>
              </w:rPr>
              <w:t>($ in thousands)</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ind w:left="44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(1)</w:t>
            </w:r>
          </w:p>
        </w:tc>
        <w:tc>
          <w:tcPr>
            <w:tcW w:w="1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1,016,451</w:t>
            </w:r>
          </w:p>
        </w:tc>
        <w:tc>
          <w:tcPr>
            <w:tcW w:w="1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3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2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8"/>
                <w:szCs w:val="18"/>
                <w:color w:val="auto"/>
              </w:rPr>
              <w:t>:</w:t>
            </w: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credit facilities</w:t>
            </w:r>
            <w:r>
              <w:rPr>
                <w:rFonts w:ascii="Arial" w:cs="Arial" w:eastAsia="Arial" w:hAnsi="Arial"/>
                <w:sz w:val="11"/>
                <w:szCs w:val="11"/>
                <w:color w:val="auto"/>
              </w:rPr>
              <w:t>(1)</w:t>
            </w:r>
          </w:p>
        </w:tc>
        <w:tc>
          <w:tcPr>
            <w:tcW w:w="2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432,267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ind w:left="440"/>
              <w:spacing w:after="0"/>
              <w:rPr>
                <w:sz w:val="20"/>
                <w:szCs w:val="20"/>
                <w:color w:val="auto"/>
              </w:rPr>
            </w:pPr>
            <w:r>
              <w:rPr>
                <w:rFonts w:ascii="Arial" w:cs="Arial" w:eastAsia="Arial" w:hAnsi="Arial"/>
                <w:sz w:val="18"/>
                <w:szCs w:val="18"/>
                <w:color w:val="auto"/>
                <w:w w:val="87"/>
              </w:rPr>
              <w:t>Management fees payable to affiliate</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Incentive fees payable to affiliate</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ind w:left="440"/>
              <w:spacing w:after="0"/>
              <w:rPr>
                <w:sz w:val="20"/>
                <w:szCs w:val="20"/>
                <w:color w:val="auto"/>
              </w:rPr>
            </w:pPr>
            <w:r>
              <w:rPr>
                <w:rFonts w:ascii="Arial" w:cs="Arial" w:eastAsia="Arial" w:hAnsi="Arial"/>
                <w:sz w:val="18"/>
                <w:szCs w:val="18"/>
                <w:color w:val="auto"/>
              </w:rPr>
              <w:t>Dividends payable</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3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w:t>
            </w:r>
          </w:p>
        </w:tc>
        <w:tc>
          <w:tcPr>
            <w:tcW w:w="2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464,454</w:t>
            </w:r>
          </w:p>
        </w:tc>
        <w:tc>
          <w:tcPr>
            <w:tcW w:w="18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Stockholders’ Equity</w:t>
            </w:r>
            <w:r>
              <w:rPr>
                <w:rFonts w:ascii="Arial" w:cs="Arial" w:eastAsia="Arial" w:hAnsi="Arial"/>
                <w:sz w:val="18"/>
                <w:szCs w:val="18"/>
                <w:color w:val="auto"/>
                <w:w w:val="89"/>
              </w:rPr>
              <w:t>:</w:t>
            </w:r>
          </w:p>
        </w:tc>
        <w:tc>
          <w:tcPr>
            <w:tcW w:w="13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0" w:type="dxa"/>
            <w:vAlign w:val="bottom"/>
            <w:gridSpan w:val="3"/>
          </w:tcPr>
          <w:p>
            <w:pPr>
              <w:ind w:left="440"/>
              <w:spacing w:after="0"/>
              <w:rPr>
                <w:sz w:val="20"/>
                <w:szCs w:val="20"/>
                <w:color w:val="auto"/>
              </w:rPr>
            </w:pPr>
            <w:r>
              <w:rPr>
                <w:rFonts w:ascii="Arial" w:cs="Arial" w:eastAsia="Arial" w:hAnsi="Arial"/>
                <w:sz w:val="18"/>
                <w:szCs w:val="18"/>
                <w:color w:val="auto"/>
                <w:w w:val="91"/>
              </w:rPr>
              <w:t>Preferred stock, $0.01 par value; 100,000,000 shares authorized;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2"/>
          </w:tcPr>
          <w:p>
            <w:pPr>
              <w:ind w:left="640"/>
              <w:spacing w:after="0"/>
              <w:rPr>
                <w:sz w:val="20"/>
                <w:szCs w:val="20"/>
                <w:color w:val="auto"/>
              </w:rPr>
            </w:pPr>
            <w:r>
              <w:rPr>
                <w:rFonts w:ascii="Arial" w:cs="Arial" w:eastAsia="Arial" w:hAnsi="Arial"/>
                <w:sz w:val="18"/>
                <w:szCs w:val="18"/>
                <w:color w:val="auto"/>
                <w:w w:val="88"/>
              </w:rPr>
              <w:t>no shares issued and outstanding</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1"/>
              </w:rPr>
              <w:t>Common stock, $0.01 par value; 100,000,000 shares authorized;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1"/>
              </w:rPr>
              <w:t>37,027,022 shares issued and 37,026,023 shares outstanding,</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actual</w:t>
            </w: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pro forma;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shares issued and</w:t>
            </w:r>
          </w:p>
        </w:tc>
        <w:tc>
          <w:tcPr>
            <w:tcW w:w="21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shares outstanding, as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adjusted pro forma</w:t>
            </w:r>
            <w:r>
              <w:rPr>
                <w:rFonts w:ascii="Arial" w:cs="Arial" w:eastAsia="Arial" w:hAnsi="Arial"/>
                <w:sz w:val="11"/>
                <w:szCs w:val="11"/>
                <w:color w:val="auto"/>
              </w:rPr>
              <w:t>(2)</w:t>
            </w:r>
          </w:p>
        </w:tc>
        <w:tc>
          <w:tcPr>
            <w:tcW w:w="2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552,436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Treasury stock at cost; 999 shares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ind w:left="440"/>
              <w:spacing w:after="0"/>
              <w:rPr>
                <w:sz w:val="20"/>
                <w:szCs w:val="20"/>
                <w:color w:val="auto"/>
              </w:rPr>
            </w:pPr>
            <w:r>
              <w:rPr>
                <w:rFonts w:ascii="Arial" w:cs="Arial" w:eastAsia="Arial" w:hAnsi="Arial"/>
                <w:sz w:val="18"/>
                <w:szCs w:val="18"/>
                <w:color w:val="auto"/>
                <w:w w:val="88"/>
              </w:rPr>
              <w:t>Undistributed net investment income</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8"/>
              </w:rPr>
              <w:t>Net unrealized gains on investments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gridSpan w:val="3"/>
          </w:tcPr>
          <w:p>
            <w:pPr>
              <w:ind w:left="440"/>
              <w:spacing w:after="0"/>
              <w:rPr>
                <w:sz w:val="20"/>
                <w:szCs w:val="20"/>
                <w:color w:val="auto"/>
              </w:rPr>
            </w:pPr>
            <w:r>
              <w:rPr>
                <w:rFonts w:ascii="Arial" w:cs="Arial" w:eastAsia="Arial" w:hAnsi="Arial"/>
                <w:sz w:val="18"/>
                <w:szCs w:val="18"/>
                <w:color w:val="auto"/>
              </w:rPr>
              <w:t>Undistributed net realized gains on investments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2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0" w:type="dxa"/>
            <w:vAlign w:val="bottom"/>
            <w:gridSpan w:val="3"/>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1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w w:val="95"/>
              </w:rPr>
              <w:t>Net Asset Value Per Share</w:t>
            </w:r>
          </w:p>
        </w:tc>
        <w:tc>
          <w:tcPr>
            <w:tcW w:w="2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900" w:type="dxa"/>
            <w:vAlign w:val="bottom"/>
            <w:gridSpan w:val="14"/>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0060" w:type="dxa"/>
            <w:vAlign w:val="bottom"/>
            <w:gridSpan w:val="15"/>
          </w:tcPr>
          <w:p>
            <w:pPr>
              <w:spacing w:after="0"/>
              <w:rPr>
                <w:sz w:val="20"/>
                <w:szCs w:val="20"/>
                <w:color w:val="auto"/>
              </w:rPr>
            </w:pPr>
            <w:r>
              <w:rPr>
                <w:rFonts w:ascii="Arial" w:cs="Arial" w:eastAsia="Arial" w:hAnsi="Arial"/>
                <w:sz w:val="18"/>
                <w:szCs w:val="18"/>
                <w:color w:val="auto"/>
                <w:w w:val="97"/>
              </w:rPr>
              <w:t>(1)   Includes the effect of investments funded and drawdowns from our revolving credit facilities from December 31, 2013 through</w:t>
            </w:r>
          </w:p>
        </w:tc>
        <w:tc>
          <w:tcPr>
            <w:tcW w:w="1360" w:type="dxa"/>
            <w:vAlign w:val="bottom"/>
          </w:tcPr>
          <w:p>
            <w:pPr>
              <w:ind w:left="240"/>
              <w:spacing w:after="0"/>
              <w:rPr>
                <w:sz w:val="20"/>
                <w:szCs w:val="20"/>
                <w:color w:val="auto"/>
              </w:rPr>
            </w:pPr>
            <w:r>
              <w:rPr>
                <w:rFonts w:ascii="Arial" w:cs="Arial" w:eastAsia="Arial" w:hAnsi="Arial"/>
                <w:sz w:val="18"/>
                <w:szCs w:val="18"/>
                <w:color w:val="auto"/>
                <w:w w:val="85"/>
              </w:rPr>
              <w:t>, 2014; does not</w:t>
            </w:r>
          </w:p>
        </w:tc>
        <w:tc>
          <w:tcPr>
            <w:tcW w:w="0" w:type="dxa"/>
            <w:vAlign w:val="bottom"/>
          </w:tcPr>
          <w:p>
            <w:pPr>
              <w:spacing w:after="0"/>
              <w:rPr>
                <w:sz w:val="1"/>
                <w:szCs w:val="1"/>
                <w:color w:val="auto"/>
              </w:rPr>
            </w:pPr>
          </w:p>
        </w:tc>
      </w:tr>
      <w:tr>
        <w:trPr>
          <w:trHeight w:val="222"/>
        </w:trPr>
        <w:tc>
          <w:tcPr>
            <w:tcW w:w="9000" w:type="dxa"/>
            <w:vAlign w:val="bottom"/>
            <w:gridSpan w:val="12"/>
          </w:tcPr>
          <w:p>
            <w:pPr>
              <w:ind w:left="460"/>
              <w:spacing w:after="0"/>
              <w:rPr>
                <w:sz w:val="20"/>
                <w:szCs w:val="20"/>
                <w:color w:val="auto"/>
              </w:rPr>
            </w:pPr>
            <w:r>
              <w:rPr>
                <w:rFonts w:ascii="Arial" w:cs="Arial" w:eastAsia="Arial" w:hAnsi="Arial"/>
                <w:sz w:val="18"/>
                <w:szCs w:val="18"/>
                <w:color w:val="auto"/>
                <w:w w:val="98"/>
              </w:rPr>
              <w:t>include pipeline investments that we believe may occur prior to the closing of our private placement and IPO.</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620" w:right="186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currently seeking stockholder consent to increase the number of authorized shares of common stock to 400 million shares. 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asset value per share of our common stock immediately after the completion of this offering. The net asset value per share is determined by dividing the value of (a) total assets minus liabilities by (b) the total number of shares outstanding.</w:t>
      </w:r>
    </w:p>
    <w:p>
      <w:pPr>
        <w:spacing w:after="0" w:line="10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Our net asset value as of December 31, 2013 was $574.7 million for a net asset value per common share of $15.52. After giving effect to our December 31, 2013 capital call for $65 million, our February 13, 2014 dividend reinvestment plan issuance for $7.8 million, investments funded of $ million from December 31, 2013 through , 2014, $ million in net drawdowns from our revolving credit facilities from December 31, 2013 through ,</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2014, and the sale of $ million of our common stock at the initial public offering price (assumed for purposes of this prospectus to be the mid-point of the range on the front cover) to certain of our existing investors in the concurrent private placement, our pro forma net asset value before completion of this offering as of December 31, 2013 would have been $ million or $ per share. We refer to these items as the “pro forma items” in the table below.</w:t>
      </w:r>
    </w:p>
    <w:p>
      <w:pPr>
        <w:spacing w:after="0" w:line="109"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After giving effect to the sale of shares to be sold in this offering at the initial public offering price of $ per share (the mid-point of the range on the front cover of this prospectus), the deduction of the underwriting discount and estimated expenses of this offering payable by us, and the application of the net</w:t>
      </w:r>
    </w:p>
    <w:p>
      <w:pPr>
        <w:ind w:right="300"/>
        <w:spacing w:after="0" w:line="281" w:lineRule="auto"/>
        <w:rPr>
          <w:sz w:val="20"/>
          <w:szCs w:val="20"/>
          <w:color w:val="auto"/>
        </w:rPr>
      </w:pPr>
      <w:r>
        <w:rPr>
          <w:rFonts w:ascii="Arial" w:cs="Arial" w:eastAsia="Arial" w:hAnsi="Arial"/>
          <w:sz w:val="16"/>
          <w:szCs w:val="16"/>
          <w:color w:val="auto"/>
        </w:rPr>
        <w:t>proceeds as discussed in more detail under “Use of Proceeds,” our net asset value would have been approximately $ million, or $ per share. That net asset value represents an immediate dilution of $ per share, or %, to new investors who purchase our common stock in the offering at the initial public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The foregoing assumes no exercise of the underwriters’ option to purchase additional shares to cover over-allotments. If the underwriters’ option to</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20" w:type="dxa"/>
            <w:vAlign w:val="bottom"/>
            <w:gridSpan w:val="2"/>
          </w:tcPr>
          <w:p>
            <w:pPr>
              <w:spacing w:after="0"/>
              <w:rPr>
                <w:sz w:val="20"/>
                <w:szCs w:val="20"/>
                <w:color w:val="auto"/>
              </w:rPr>
            </w:pPr>
            <w:r>
              <w:rPr>
                <w:rFonts w:ascii="Arial" w:cs="Arial" w:eastAsia="Arial" w:hAnsi="Arial"/>
                <w:sz w:val="18"/>
                <w:szCs w:val="18"/>
                <w:color w:val="auto"/>
                <w:w w:val="90"/>
              </w:rPr>
              <w:t>purchase additional shares to cover over-allotments is exercised in full, the immediate dilution to shares sold in this offering would instead be $</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300" w:type="dxa"/>
            <w:vAlign w:val="bottom"/>
          </w:tcPr>
          <w:p>
            <w:pPr>
              <w:ind w:left="440"/>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Net asset value per share as of December 31, 2013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 value per share attributable to pro forma items described above</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Pro forma net asset value per share without giving effect to this offering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asset value per share giving effect to this offering</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90"/>
              </w:rPr>
              <w:t>Dilution per share to new stockholders (without exercise of the underwriters’ option to purchase additional shares of our common stock to cover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over-allotments)</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The following table summarizes, as of December 31, 2013, on the pro forma basis as described above, the total cash consideration paid to us and the average price per share paid by our existing stockholders prior to this offering and the concurrent private placement, by certain of our existing investors and our</w:t>
      </w:r>
    </w:p>
    <w:p>
      <w:pPr>
        <w:spacing w:after="0"/>
        <w:tabs>
          <w:tab w:leader="none" w:pos="6160" w:val="left"/>
        </w:tabs>
        <w:rPr>
          <w:sz w:val="20"/>
          <w:szCs w:val="20"/>
          <w:color w:val="auto"/>
        </w:rPr>
      </w:pPr>
      <w:r>
        <w:rPr>
          <w:rFonts w:ascii="Arial" w:cs="Arial" w:eastAsia="Arial" w:hAnsi="Arial"/>
          <w:sz w:val="18"/>
          <w:szCs w:val="18"/>
          <w:color w:val="auto"/>
        </w:rPr>
        <w:t>Adviser in the concurrent private placement at the initial public offering price of $</w:t>
      </w:r>
      <w:r>
        <w:rPr>
          <w:sz w:val="20"/>
          <w:szCs w:val="20"/>
          <w:color w:val="auto"/>
        </w:rPr>
        <w:tab/>
      </w:r>
      <w:r>
        <w:rPr>
          <w:rFonts w:ascii="Arial" w:cs="Arial" w:eastAsia="Arial" w:hAnsi="Arial"/>
          <w:sz w:val="16"/>
          <w:szCs w:val="16"/>
          <w:color w:val="auto"/>
        </w:rPr>
        <w:t>per share, and by the new investors in this offering at an initial public</w:t>
      </w:r>
    </w:p>
    <w:p>
      <w:pPr>
        <w:spacing w:after="0" w:line="9"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5"/>
          <w:szCs w:val="15"/>
          <w:color w:val="auto"/>
        </w:rPr>
        <w:t>per share and prior to deducting the estimated underwriting discount and offering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Avg. Price</w:t>
            </w:r>
          </w:p>
        </w:tc>
      </w:tr>
      <w:tr>
        <w:trPr>
          <w:trHeight w:val="142"/>
        </w:trPr>
        <w:tc>
          <w:tcPr>
            <w:tcW w:w="6120" w:type="dxa"/>
            <w:vAlign w:val="bottom"/>
          </w:tcPr>
          <w:p>
            <w:pPr>
              <w:spacing w:after="0"/>
              <w:rPr>
                <w:sz w:val="12"/>
                <w:szCs w:val="12"/>
                <w:color w:val="auto"/>
              </w:rPr>
            </w:pP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Percentage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Percentage</w:t>
            </w:r>
          </w:p>
        </w:tc>
        <w:tc>
          <w:tcPr>
            <w:tcW w:w="6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Shares to be sold in the concurrent private placement</w:t>
            </w:r>
            <w:r>
              <w:rPr>
                <w:rFonts w:ascii="Arial" w:cs="Arial" w:eastAsia="Arial" w:hAnsi="Arial"/>
                <w:sz w:val="11"/>
                <w:szCs w:val="11"/>
                <w:color w:val="auto"/>
              </w:rPr>
              <w:t>(1)</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ind w:right="172"/>
              <w:spacing w:after="0"/>
              <w:rPr>
                <w:sz w:val="20"/>
                <w:szCs w:val="20"/>
                <w:color w:val="auto"/>
              </w:rPr>
            </w:pPr>
            <w:r>
              <w:rPr>
                <w:rFonts w:ascii="Arial" w:cs="Arial" w:eastAsia="Arial" w:hAnsi="Arial"/>
                <w:sz w:val="18"/>
                <w:szCs w:val="18"/>
                <w:color w:val="auto"/>
                <w:w w:val="74"/>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ind w:right="432"/>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4"/>
              </w:rPr>
              <w:t>%</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ind w:right="172"/>
              <w:spacing w:after="0"/>
              <w:rPr>
                <w:sz w:val="20"/>
                <w:szCs w:val="20"/>
                <w:color w:val="auto"/>
              </w:rPr>
            </w:pPr>
            <w:r>
              <w:rPr>
                <w:rFonts w:ascii="Arial" w:cs="Arial" w:eastAsia="Arial" w:hAnsi="Arial"/>
                <w:sz w:val="18"/>
                <w:szCs w:val="18"/>
                <w:color w:val="auto"/>
                <w:w w:val="74"/>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ind w:right="432"/>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8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the private placement, we will sell shares to certain existing investors, including the Adviser. See “Related-Party Transactions and Certain Relationships” and “Control Persons and Principal Stockholders” for information about the Adviser.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The selected financial data in this section is not intended to replace the consolidated financial statements and is qualified in its entirety by the consolidated financial statements and related notes included in this prospectus.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w w:val="87"/>
              </w:rPr>
              <w:t>Consolidated Statement of Operations Data:</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20" w:type="dxa"/>
            <w:vAlign w:val="bottom"/>
            <w:tcBorders>
              <w:bottom w:val="single" w:sz="8" w:color="auto"/>
            </w:tcBorders>
            <w:vMerge w:val="continue"/>
          </w:tcPr>
          <w:p>
            <w:pPr>
              <w:spacing w:after="0"/>
              <w:rPr>
                <w:sz w:val="13"/>
                <w:szCs w:val="13"/>
                <w:color w:val="auto"/>
              </w:rPr>
            </w:pPr>
          </w:p>
        </w:tc>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640" w:type="dxa"/>
            <w:vAlign w:val="bottom"/>
            <w:gridSpan w:val="3"/>
            <w:vMerge w:val="continue"/>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2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Operations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Share—basic and diluted</w:t>
            </w:r>
            <w:r>
              <w:rPr>
                <w:rFonts w:ascii="Arial" w:cs="Arial" w:eastAsia="Arial" w:hAnsi="Arial"/>
                <w:sz w:val="11"/>
                <w:szCs w:val="11"/>
                <w:b w:val="1"/>
                <w:bCs w:val="1"/>
                <w:color w:val="auto"/>
              </w:rPr>
              <w:t>(1)</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vMerge w:val="restart"/>
          </w:tcPr>
          <w:p>
            <w:pPr>
              <w:jc w:val="right"/>
              <w:ind w:right="1972"/>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 Balance Sheet Data</w:t>
            </w:r>
          </w:p>
        </w:tc>
        <w:tc>
          <w:tcPr>
            <w:tcW w:w="4640" w:type="dxa"/>
            <w:vAlign w:val="bottom"/>
            <w:vMerge w:val="restart"/>
          </w:tcPr>
          <w:p>
            <w:pPr>
              <w:jc w:val="right"/>
              <w:ind w:right="4562"/>
              <w:spacing w:after="0"/>
              <w:rPr>
                <w:sz w:val="20"/>
                <w:szCs w:val="20"/>
                <w:color w:val="auto"/>
              </w:rPr>
            </w:pPr>
            <w:r>
              <w:rPr>
                <w:rFonts w:ascii="Arial" w:cs="Arial" w:eastAsia="Arial" w:hAnsi="Arial"/>
                <w:sz w:val="8"/>
                <w:szCs w:val="8"/>
                <w:b w:val="1"/>
                <w:bCs w:val="1"/>
                <w:color w:val="auto"/>
                <w:w w:val="73"/>
              </w:rPr>
              <w:t>:</w:t>
            </w: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7"/>
                <w:szCs w:val="7"/>
                <w:color w:val="auto"/>
              </w:rPr>
            </w:pPr>
          </w:p>
        </w:tc>
        <w:tc>
          <w:tcPr>
            <w:tcW w:w="2480" w:type="dxa"/>
            <w:vAlign w:val="bottom"/>
            <w:tcBorders>
              <w:bottom w:val="single" w:sz="8" w:color="auto"/>
            </w:tcBorders>
            <w:vMerge w:val="continue"/>
          </w:tcPr>
          <w:p>
            <w:pPr>
              <w:spacing w:after="0"/>
              <w:rPr>
                <w:sz w:val="7"/>
                <w:szCs w:val="7"/>
                <w:color w:val="auto"/>
              </w:rPr>
            </w:pPr>
          </w:p>
        </w:tc>
        <w:tc>
          <w:tcPr>
            <w:tcW w:w="46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ind w:right="39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7"/>
                <w:szCs w:val="7"/>
                <w:color w:val="auto"/>
              </w:rPr>
            </w:pPr>
          </w:p>
        </w:tc>
        <w:tc>
          <w:tcPr>
            <w:tcW w:w="400" w:type="dxa"/>
            <w:vAlign w:val="bottom"/>
            <w:vMerge w:val="restart"/>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480" w:type="dxa"/>
            <w:vAlign w:val="bottom"/>
          </w:tcPr>
          <w:p>
            <w:pPr>
              <w:spacing w:after="0"/>
              <w:rPr>
                <w:sz w:val="2"/>
                <w:szCs w:val="2"/>
                <w:color w:val="auto"/>
              </w:rPr>
            </w:pPr>
          </w:p>
        </w:tc>
        <w:tc>
          <w:tcPr>
            <w:tcW w:w="4640" w:type="dxa"/>
            <w:vAlign w:val="bottom"/>
            <w:vMerge w:val="continue"/>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vMerge w:val="continue"/>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in millions, except per share amounts)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161.8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653.9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1,039.2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833.1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331.8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353.3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8"/>
              </w:rPr>
              <w:t>479.8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1"/>
                <w:szCs w:val="11"/>
                <w:color w:val="auto"/>
              </w:rPr>
              <w:t>(1)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15.19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14.71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1"/>
                <w:szCs w:val="11"/>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1"/>
                <w:szCs w:val="11"/>
                <w:color w:val="auto"/>
              </w:rPr>
              <w:t>(2)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yield of debt and income producing securities at fair value</w:t>
            </w:r>
            <w:r>
              <w:rPr>
                <w:rFonts w:ascii="Arial" w:cs="Arial" w:eastAsia="Arial" w:hAnsi="Arial"/>
                <w:sz w:val="11"/>
                <w:szCs w:val="11"/>
                <w:color w:val="auto"/>
              </w:rPr>
              <w:t>(3)</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 securities at amortized cost</w:t>
            </w:r>
            <w:r>
              <w:rPr>
                <w:rFonts w:ascii="Arial" w:cs="Arial" w:eastAsia="Arial" w:hAnsi="Arial"/>
                <w:sz w:val="11"/>
                <w:szCs w:val="11"/>
                <w:color w:val="auto"/>
              </w:rPr>
              <w:t>(3)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debt investments as a percentage of principal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fair value of debt investments as a percentage of call price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prospectus.</w:t>
      </w:r>
    </w:p>
    <w:p>
      <w:pPr>
        <w:spacing w:after="0" w:line="50"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$0.01 per share) and accordingly the information is not meaningful. Excluding the effect of the initial seed funding, total return for the period July 1, 2011 through December 31, 2011 would be (1.58%). Our total return set forth in the table above reflects the Adviser’s waiver of its right to receive a portion of the Management Fee prior to this IPO. Following this IPO, the Adviser does not intend to waive its right to receive the full Management Fee. The Management Fee, excluding the effects of the waiver, would have been $13.4 million, $8.9 million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$1.6 million for the years ended December 31, 2013, December 31, 2012 and December 31, 2011, respectively.</w:t>
      </w:r>
    </w:p>
    <w:p>
      <w:pPr>
        <w:spacing w:after="0" w:line="83" w:lineRule="exact"/>
        <w:rPr>
          <w:rFonts w:ascii="Arial" w:cs="Arial" w:eastAsia="Arial" w:hAnsi="Arial"/>
          <w:sz w:val="16"/>
          <w:szCs w:val="16"/>
          <w:color w:val="auto"/>
        </w:rPr>
      </w:pPr>
    </w:p>
    <w:p>
      <w:pPr>
        <w:ind w:left="460" w:right="240" w:hanging="452"/>
        <w:spacing w:after="0" w:line="28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Weighted average yield on debt and income-producing securities at fair value is computed as (a) the annual stated interest rate or yield earned plus additional interest, if any, as a result of arrangements for each period between us and other lenders in any syndication plus the net annual amortization of original issue discount and market discount earned on accruing debt and income-producing securities for investments made in the period, divided by</w:t>
      </w:r>
    </w:p>
    <w:p>
      <w:pPr>
        <w:spacing w:after="0" w:line="1" w:lineRule="exact"/>
        <w:rPr>
          <w:rFonts w:ascii="Arial" w:cs="Arial" w:eastAsia="Arial" w:hAnsi="Arial"/>
          <w:sz w:val="16"/>
          <w:szCs w:val="16"/>
          <w:color w:val="auto"/>
        </w:rPr>
      </w:pP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$2.2 billion aggregate principal amount of investments and retained approximately $1.5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2013, based on fair value, our borrowers had weighted average annual revenue of $202 million and weighted average annual EBITDA of $35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average investment based on fair value in each of our portfolio companies was $38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expect that no single investment will represent more than 15% of our total investment portfolio, based on fair value. The debt in which we invest typically is not rated by any rating agency, but if these instruments were rated, they would likely receive a rating of below investment grade (that is, below BBB- or Baa3).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no industry represented more than 17% of our portfolio based on fair value.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December 31, 2013,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99.8% of the fair value of our portfolio was invested in secured debt, including 86.3% in first-lien debt investments. We carefully diligence and structure investments to include strong investor covenants. As a result, we structure investments with a view to creating opportunities for early intervention in the event of non-performance or stress. As of December 31, 2013, the credit agreements underlying our debt investments had a weighted average of 3.0 financial covenants per asset. In addition, we seek to retain effective voting control in investments over the loans or particular class of securities in which we invest through maintaining affirmative voting positions or negotiating consent rights that allow us to retain a blocking position. As of December 31, 2013, we had effective voting control in 92% of the debt investments in our portfolio by fair value, and we held an agency or lead position in 60% of our portfolio investments by fair value. We also aim for our loans to mature on a medium term, between two to six years after origination. For the year ended December 31, 2013, the weighted average term on new investment commitments in new portfolio companies was 5.0 years.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 transaction.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a substantial majority of our portfolio investments were sourced through our direct or proprietary relationships.</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Based on fair value as of December 31, 2013, we had call protection on 94.4% of our debt investments, with weighted average call prices based on fair value of 106.7% for one year, 103.5% for two years and 101.4% for the third year, in each case from the date of the initial investment. Based on fair value as of December 31, 2013, 98.8% of our debt investments bore interest at floating rates, subject to interest rate floors, which we believe helps act as a portfolio-wide hedge against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generate income from dividends on direct equity investments, capital gains on the sales of loans and debt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equity securities and various loan origination and other fees. Our debt investments typically have a term of two to six years, and, based on fair value as of December 31, 2013, 98.8% bear interest at a floating rate, subject to interest rate floors. Interest on debt securities is generally payable quarterly or semiannually. Some of our investments provide for deferred interest payments or PIK interest.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Revolving Credit Facility (Natixis).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fair value as of December 31, 2012, our portfolio consisted of 89.0% first-lien debt investments, 10.7% second-lien debt investments, and 0.3% equity investments. As of December 31, 2013 and December 31, 2012, our weighted average total yield on investments at fair value (which includes interest income and amortization of fees and discounts) was 10.4% and 10.6%, respectively, and our weighted average total yield on investments at amortized cost (which includes interest income and amortization of fees and discounts) was 10.6% and 10.7%, respectively.</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2013 and December 31, 2012, we had investments in 27 and 21 portfolio companies, respectively, with an aggregate fair value of $1,016.5 million and $653.9 million, respectively.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For the year ended December 31, 2011, we made new investment commitments of $197.2 million in seven new portfolio companies and had no repayments.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investment activity for the years ended December 31, 2013, 2012 and 2011 is presented below (information presented herein is at par value unless otherwise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Gross originations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897.5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1,071.7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 new investment commitments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714.2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603.9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680.6</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First-lien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161.0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193.1</w:t>
            </w:r>
          </w:p>
        </w:tc>
        <w:tc>
          <w:tcPr>
            <w:tcW w:w="5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new investment commitment amount in new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portfolio companies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term for new investment commitments in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new portfolio companies (in years)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Percentage of new debt investment commitments at floating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98.0%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Percentage of new debt investment commitments at fixed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rates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Weighted average spread over LIBOR of new floating rate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investment commitments</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b w:val="1"/>
                <w:bCs w:val="1"/>
                <w:color w:val="auto"/>
              </w:rPr>
              <w:t>Weighted average interest rate on investments sold or paid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20"/>
              <w:spacing w:after="0"/>
              <w:rPr>
                <w:sz w:val="20"/>
                <w:szCs w:val="20"/>
                <w:color w:val="auto"/>
              </w:rPr>
            </w:pPr>
            <w:r>
              <w:rPr>
                <w:rFonts w:ascii="Arial" w:cs="Arial" w:eastAsia="Arial" w:hAnsi="Arial"/>
                <w:sz w:val="18"/>
                <w:szCs w:val="18"/>
                <w:b w:val="1"/>
                <w:bCs w:val="1"/>
                <w:color w:val="auto"/>
              </w:rPr>
              <w:t>down</w:t>
            </w:r>
          </w:p>
        </w:tc>
        <w:tc>
          <w:tcPr>
            <w:tcW w:w="160" w:type="dxa"/>
            <w:vAlign w:val="bottom"/>
          </w:tcPr>
          <w:p>
            <w:pPr>
              <w:spacing w:after="0"/>
              <w:rPr>
                <w:sz w:val="19"/>
                <w:szCs w:val="19"/>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our investments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December 31, 2013</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7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Equity investments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1,016.5</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December 31, 2013 and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6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Percentage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w w:val="96"/>
              </w:rPr>
              <w:t>Cost</w:t>
            </w:r>
          </w:p>
        </w:tc>
        <w:tc>
          <w:tcPr>
            <w:tcW w:w="6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1"/>
                <w:szCs w:val="11"/>
                <w:color w:val="auto"/>
              </w:rPr>
              <w:t>(1)</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weighted average yields and interest rates of our debt investments at fair value as of December 31, 2013 and December 31,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December 31, 2013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2"/>
              </w:rPr>
              <w:t>December 31, 2012</w:t>
            </w:r>
          </w:p>
        </w:tc>
        <w:tc>
          <w:tcPr>
            <w:tcW w:w="0" w:type="dxa"/>
            <w:vAlign w:val="bottom"/>
          </w:tcPr>
          <w:p>
            <w:pPr>
              <w:spacing w:after="0"/>
              <w:rPr>
                <w:sz w:val="1"/>
                <w:szCs w:val="1"/>
                <w:color w:val="auto"/>
              </w:rPr>
            </w:pPr>
          </w:p>
        </w:tc>
      </w:tr>
      <w:tr>
        <w:trPr>
          <w:trHeight w:val="20"/>
        </w:trPr>
        <w:tc>
          <w:tcPr>
            <w:tcW w:w="7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Weighted average total yield of debt and income producing securities</w:t>
            </w:r>
          </w:p>
        </w:tc>
        <w:tc>
          <w:tcPr>
            <w:tcW w:w="8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10.6%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Weighted average interest rate of debt and income producing securities</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 investments</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57"/>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2"/>
          </w:tcPr>
          <w:p>
            <w:pPr>
              <w:ind w:left="460"/>
              <w:spacing w:after="0"/>
              <w:rPr>
                <w:sz w:val="20"/>
                <w:szCs w:val="20"/>
                <w:color w:val="auto"/>
              </w:rPr>
            </w:pPr>
            <w:r>
              <w:rPr>
                <w:rFonts w:ascii="Arial" w:cs="Arial" w:eastAsia="Arial" w:hAnsi="Arial"/>
                <w:sz w:val="18"/>
                <w:szCs w:val="18"/>
                <w:color w:val="auto"/>
                <w:w w:val="99"/>
              </w:rPr>
              <w:t>Operating results for the years ended December 31, 2013, 2012 and 2011 were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taxes, including excise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realized gains on investments</w:t>
            </w:r>
            <w:r>
              <w:rPr>
                <w:rFonts w:ascii="Arial" w:cs="Arial" w:eastAsia="Arial" w:hAnsi="Arial"/>
                <w:sz w:val="11"/>
                <w:szCs w:val="11"/>
                <w:color w:val="auto"/>
              </w:rPr>
              <w:t>(1)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1"/>
                <w:szCs w:val="11"/>
                <w:color w:val="auto"/>
              </w:rPr>
              <w:t>(1)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5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from investments increased from $5.3 million for the year ended December 31, 2011 to $49.1 million for the year ended December 31, 2012, primarily due to the increase in the size of our portfolio. The average size of our total investment portfolio at fair value increased from $57 million during the year ended December 31, 2011 to $417 million during the year ended December 31, 2012. In addition, prepayment fees increased from zero for the year ended December 31, 2011 to $0.9 million for the year ended December 31, 2012. These prepayment fees resulted from full paydowns on two portfolio investments. There was no dividend income in the year ended December 31, 2011. Dividend income was $1.2 million for the year ended December 31, 2012 due to the receipt of a dividend in the fourth quarter of 2012 from a non-controlled, affiliated investment. There was no other income in the year ended December 31, 2011. Other income for the year ended December 31, 2012 was $0.7 million primarily due to higher amendment and agency fees earned during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2013, 2012 and 2011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2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gridSpan w:val="3"/>
          </w:tcPr>
          <w:p>
            <w:pPr>
              <w:jc w:val="center"/>
              <w:ind w:left="344"/>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Initial organization</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(net of waivers)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Incentive fees related to Pre-incentive fee net investment income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Professional fees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Expenses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20" w:type="dxa"/>
            <w:vAlign w:val="bottom"/>
            <w:vMerge w:val="restart"/>
          </w:tcPr>
          <w:p>
            <w:pPr>
              <w:jc w:val="right"/>
              <w:ind w:right="3432"/>
              <w:spacing w:after="0"/>
              <w:rPr>
                <w:sz w:val="20"/>
                <w:szCs w:val="20"/>
                <w:color w:val="auto"/>
              </w:rPr>
            </w:pPr>
            <w:r>
              <w:rPr>
                <w:rFonts w:ascii="Arial" w:cs="Arial" w:eastAsia="Arial" w:hAnsi="Arial"/>
                <w:sz w:val="18"/>
                <w:szCs w:val="18"/>
                <w:color w:val="auto"/>
              </w:rPr>
              <w:t>65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Interest, including other debt financing expenses, increased from $0.8 million for the year ended December 31, 2011 to $6.0 million for the year ended December 31, 2012. This increase was primarily due to the addition of our Revolving Credit Facility (Natixis) in May 2012 and our Revolving Credit Facility (SunTrust) in August 2012 and an increase in the weighted average debt outstanding from $11 million for the year ended December 31, 2011 to $111 million for the year ended December 31, 2012. The weighted average interest rate on our debt outstanding decreased from 3.0% for the year ended December 31, 2011 to 2.9% for the year ended December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 as described below.</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Management Fees (net of waivers) increased from $1.6 million for the year ended December 31, 2011 to $5.2 million for the year ended December 31, 2012. Management Fees increased from $1.6 million for the year ended December 31, 2011 to $8.9 million for the year ended December 31, 2012 due to the increase in total assets, which increased from an average of $115 million for the year ended December 31, 2011 to an average of $611 million for the year ended December 31, 2012. Management Fees waived increased from $7 thousand for the year ended December 31, 2011 to $3.7 million for the year ended December 31, 2012 due to an increase in total assets.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IPO, the Adviser does not intend to waive its right to receive the full Management Fee.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Incentive Fees related to pre-Incentive Fee net investment income for the year ended December 31, 2011. Incentive fees related to pre-Incentive Fee net investment income were $5.3 million for the year ended December 31, 2012 due to an increase in the size of the portfolio and related increase in pre-Incentive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Fee net investment income. Incentive Fees related to capital gains increased from $0.3 million for the year ended December 31, 2011 to $1.7 million for the year ended December 31, 2012 due to changes in unrealized gains and losses on our investments and realized gains on our investments.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Professional fees increased from $1.6 million for the year ended December 31, 2011 to $2.9 million for the year ended December 31, 2012 and other general and administrative fees increased from $0.8 million for the year ended December 31, 2011 to $1.5 million for the year ended December 31, 2012, both due to an increase in costs associated with servicing a growing investment portfolio. A significant portion of our expenses for the year ended December 31, 2011 were related to the initial organization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each of the calendar years ended December 31, 2013 and 2012 we recorded a net expense of $0.2 million and $0.1 million, respectively,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 For the calendar year ended December 31, 2011, we did not incur any U.S. federal excise tax.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had $4.4 million of net realized gains. During the year ended December 31, 2011, we had no net realized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realized gains and losses on investments during the years ended December 31, 2013, 2012 and 2011 consisted of the following (certain gains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have been rounded to zero):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Attachmate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SumTotal</w:t>
            </w:r>
          </w:p>
        </w:tc>
        <w:tc>
          <w:tcPr>
            <w:tcW w:w="120" w:type="dxa"/>
            <w:vAlign w:val="bottom"/>
          </w:tcPr>
          <w:p>
            <w:pPr>
              <w:spacing w:after="0"/>
              <w:rPr>
                <w:sz w:val="18"/>
                <w:szCs w:val="18"/>
                <w:color w:val="auto"/>
              </w:rPr>
            </w:pP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Subtotal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b w:val="1"/>
                <w:bCs w:val="1"/>
                <w:color w:val="auto"/>
              </w:rPr>
              <w:t>Net 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ind w:left="114"/>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Since we began investing in 2011 through December 31, 2013, our exited investments have resulted in an aggregate cash flow realized gross internal rate of return to us of 17.6% (based on cash invested of $359 million and total proceeds from these exited investments of $405 million). Eighty percent of these exited investments resulted in an aggregate cash flow realized gross internal rate of return to us of 10% or greater.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capital invested for an investment is the sum of capital invested and realized losses on hedging activity, with respect to the investment.</w:t>
      </w:r>
    </w:p>
    <w:p>
      <w:pPr>
        <w:spacing w:after="0" w:line="113" w:lineRule="exact"/>
        <w:rPr>
          <w:rFonts w:ascii="Arial" w:cs="Arial" w:eastAsia="Arial" w:hAnsi="Arial"/>
          <w:sz w:val="16"/>
          <w:szCs w:val="16"/>
          <w:color w:val="auto"/>
        </w:rPr>
      </w:pPr>
    </w:p>
    <w:p>
      <w:pPr>
        <w:ind w:left="1480" w:right="48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w:t>
      </w:r>
    </w:p>
    <w:p>
      <w:pPr>
        <w:spacing w:after="0" w:line="5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Realized losses on hedging activity, with respect to an investment, represent any inception-to-date realized losses on foreign currency forward contracts allocable to the investment.</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realized returns from an investment is the sum of realized returns and realized gains on hedging activity, with respect to the investment.</w:t>
      </w:r>
    </w:p>
    <w:p>
      <w:pPr>
        <w:spacing w:after="0" w:line="113" w:lineRule="exact"/>
        <w:rPr>
          <w:rFonts w:ascii="Arial" w:cs="Arial" w:eastAsia="Arial" w:hAnsi="Arial"/>
          <w:sz w:val="16"/>
          <w:szCs w:val="16"/>
          <w:color w:val="auto"/>
        </w:rPr>
      </w:pPr>
    </w:p>
    <w:p>
      <w:pPr>
        <w:jc w:val="both"/>
        <w:ind w:left="1480" w:right="80" w:hanging="446"/>
        <w:spacing w:after="0" w:line="306"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w:t>
      </w:r>
    </w:p>
    <w:p>
      <w:pPr>
        <w:spacing w:after="0" w:line="25" w:lineRule="exact"/>
        <w:rPr>
          <w:rFonts w:ascii="Arial" w:cs="Arial" w:eastAsia="Arial" w:hAnsi="Arial"/>
          <w:sz w:val="16"/>
          <w:szCs w:val="16"/>
          <w:color w:val="auto"/>
        </w:rPr>
      </w:pPr>
    </w:p>
    <w:p>
      <w:pPr>
        <w:ind w:left="1480" w:right="600" w:hanging="446"/>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Realized gains on hedging activity, with respect to an investment, represents any inception-to-date realized gains on foreign currency forward contracts allocable to the investment.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 Expense, Including Excise Tax” above.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Change in Unrealized Gains/Losses”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See“—Critical Accounting Policies— Investments at Fair Value.”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years ended December 31, 2013, 2012 and 2011, the net change in unrealized gains (losses) on our investment portfolio, including losses on foreign currency forward contracts,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020" w:type="dxa"/>
            <w:vAlign w:val="bottom"/>
            <w:vMerge w:val="restart"/>
          </w:tcPr>
          <w:p>
            <w:pPr>
              <w:jc w:val="right"/>
              <w:ind w:right="2372"/>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net change in unrealized gains (losses) for the years ended December 31, 2013, 2012 and 2011 consisted of the following (certain gains (losses) have been rounded to zero):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Campus Management,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Centaur, LLC.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Embarcadero Technologies,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eResearch Technology,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Federal Signal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Global Geophysical</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Infogix,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Intelident Solutions,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International Equipment Solutions, Inc.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Kewill,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Mandalay Baseball Properties,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Mannington Mills,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Mediware Information Systems,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Metalico,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MSC Software Corporation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Network Merchants,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PAI Group,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Soho House Bond Ltd.</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Solarsoft, LP (f/k/a CMS-XKO Holding Company, LP)</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SRS Software, LLC.</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Teletrac,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Vivint, Inc.</w:t>
            </w:r>
          </w:p>
        </w:tc>
        <w:tc>
          <w:tcPr>
            <w:tcW w:w="12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w:t>
            </w:r>
            <w:r>
              <w:rPr>
                <w:rFonts w:ascii="Arial" w:cs="Arial" w:eastAsia="Arial" w:hAnsi="Arial"/>
                <w:sz w:val="18"/>
                <w:szCs w:val="18"/>
                <w:u w:val="single" w:color="auto"/>
                <w:color w:val="auto"/>
                <w:w w:val="71"/>
              </w:rPr>
              <w:t>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1"/>
              </w:rPr>
              <w:t>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company investments, excluding unrealized losses on foreign currency forward contracts.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the year ended December 31, 2012, we had $9.2 million in unrealized appreciation on 13 portfolio company investments, which was partially offset by $2.0 million in unrealized depreciation on five portfolio company investments. For the year ended December 31, 2011, we had $2.4 million in unrealized appreciation on six portfolio company investments, which was partially offset by $0.1 million in unrealized depreciation on one portfolio company investment.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and 2011,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existing investors terminate on the completion of this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2013, 2012 and 2011, our asset coverage ratio was 232.9%, 244.6% and 211.7%, respectively.</w:t>
      </w:r>
    </w:p>
    <w:p>
      <w:pPr>
        <w:spacing w:after="0" w:line="14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and cash equivalents as of December 31, 2013, taken together with cash available under our credit facilities and proceeds from this offering, is expected to be sufficient for our investing activities and to conduct our operations in the near term. On February 27, 2014, we terminated the Revolving Credit Facility (DBTCA), effective March 4, 2014. The outstanding balance under the Revolving Credit Facility (DBTCA) was paid down prior to terminating the facility.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December 31, 2012, we had $161.8 million in cash and cash equivalents, an increase of $18.1 million from December 31, 2011. The increase was primarily attributable to additional borrowings under the debt facilities and proceeds from investor drawdown notices received near December 31, 2012. During the year ended December 31, 2012, we used $430.1 million in operating activities, primarily as a result of funding of portfolio investments of $760.7 million. This was partially offset by proceeds from investments of $119.1 million, repayments on investments of $190.6 million, an increase in net assets resulting from operations of $39.6 million and other operating activity of $18.7 million. Lastly, cash provided by financing activities was $448.2 million during the period, primarily due to proceeds from issuance of common stock of $287.7 million and net borrowings on debt of $176.8 million, partially offset by debt issuance costs of $5.3 million and dividends paid of $11.0 million.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2013, we had $6.3 million of restricted cash in our wholly owned subsidiary TPG SL SPV, an increase of $2.0 million from December 31, 2012.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Revolving Credit Facility (Natixis),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 Revolving Credit Facility (Natixis).”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2012 and 2011,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December 31, 2013, we have drawn down a total of $0.5 billion of capital and issued 34.7 million shares, excluding equity and shares issued through our dividend reinvestment plan. As of December 31, 2013, $1.0 billion of capital commitments remained unfunded.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years ended December 31, 2013, 2012 and 2011, we delivered drawdown notices to our investors relating to the issuance of 3,713,053 shares, 19,199,421 shares and 11,770,448 shares, respectively, of our common stock for aggregate proceeds of $57 million, $288 million and $173 million, respectively. Proceeds from the issuances were used in investing activities and for other general corporate purposes.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December 31, 2013, we delivered a capital drawdown notice to our investors relating to the sale of 4,234,501 shares of our common stock for an aggregate offering price of $65.0 million. The sale closed on January 15, 2014. This capital drawdown notice is not reflected in the number of shares issued for the year ended December 31, 2013 in the prior paragraph or the consolidated financial statements for the year ended December 31, 2013.</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drawdowns noted above, during the years ended December 31, 2013 and 2012, we issued 1,730,042 and 613,020 shares of our common stock, respectively, to investors who have not opted out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dividend reinvestment plan for proceeds of $26.4 million and $9.2 million, respectively. We did not issue any shares to investors through our dividend reinvestment plan for the year ended December 31, 2011. On February 13, 2014, we issued 502,200 shares of our common stock through our dividend reinvestment plan for $7.8 million, which is not reflected in the number of shares issued for the year ended December 31, 2013 in this section or the consolidated financial statements for the year ended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432.3</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r>
              <w:rPr>
                <w:rFonts w:ascii="Arial" w:cs="Arial" w:eastAsia="Arial" w:hAnsi="Arial"/>
                <w:sz w:val="11"/>
                <w:szCs w:val="11"/>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9"/>
                <w:szCs w:val="19"/>
                <w:color w:val="auto"/>
              </w:rPr>
            </w:pPr>
          </w:p>
        </w:tc>
        <w:tc>
          <w:tcPr>
            <w:tcW w:w="6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gridSpan w:val="5"/>
          </w:tcPr>
          <w:p>
            <w:pPr>
              <w:ind w:left="40"/>
              <w:spacing w:after="0" w:line="115" w:lineRule="exact"/>
              <w:rPr>
                <w:sz w:val="20"/>
                <w:szCs w:val="20"/>
                <w:color w:val="auto"/>
              </w:rPr>
            </w:pPr>
            <w:r>
              <w:rPr>
                <w:rFonts w:ascii="Arial" w:cs="Arial" w:eastAsia="Arial" w:hAnsi="Arial"/>
                <w:sz w:val="12"/>
                <w:szCs w:val="12"/>
                <w:b w:val="1"/>
                <w:bCs w:val="1"/>
                <w:color w:val="auto"/>
              </w:rPr>
              <w:t>Borrowings</w:t>
            </w:r>
          </w:p>
        </w:tc>
        <w:tc>
          <w:tcPr>
            <w:tcW w:w="80" w:type="dxa"/>
            <w:vAlign w:val="bottom"/>
          </w:tcPr>
          <w:p>
            <w:pPr>
              <w:spacing w:after="0"/>
              <w:rPr>
                <w:sz w:val="10"/>
                <w:szCs w:val="10"/>
                <w:color w:val="auto"/>
              </w:rPr>
            </w:pPr>
          </w:p>
        </w:tc>
        <w:tc>
          <w:tcPr>
            <w:tcW w:w="580" w:type="dxa"/>
            <w:vAlign w:val="bottom"/>
          </w:tcPr>
          <w:p>
            <w:pPr>
              <w:jc w:val="right"/>
              <w:ind w:right="18"/>
              <w:spacing w:after="0" w:line="115"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r>
      <w:tr>
        <w:trPr>
          <w:trHeight w:val="176"/>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5"/>
                <w:szCs w:val="15"/>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Total Facility</w:t>
            </w:r>
          </w:p>
        </w:tc>
        <w:tc>
          <w:tcPr>
            <w:tcW w:w="42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Outstanding</w:t>
            </w:r>
          </w:p>
        </w:tc>
        <w:tc>
          <w:tcPr>
            <w:tcW w:w="7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Available</w:t>
            </w:r>
            <w:r>
              <w:rPr>
                <w:rFonts w:ascii="Arial" w:cs="Arial" w:eastAsia="Arial" w:hAnsi="Arial"/>
                <w:sz w:val="20"/>
                <w:szCs w:val="20"/>
                <w:b w:val="1"/>
                <w:bCs w:val="1"/>
                <w:color w:val="auto"/>
                <w:vertAlign w:val="superscript"/>
              </w:rPr>
              <w:t>(1)</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5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w:t>
            </w:r>
            <w:r>
              <w:rPr>
                <w:rFonts w:ascii="Arial" w:cs="Arial" w:eastAsia="Arial" w:hAnsi="Arial"/>
                <w:sz w:val="18"/>
                <w:szCs w:val="18"/>
                <w:u w:val="single" w:color="auto"/>
                <w:color w:val="auto"/>
                <w:w w:val="93"/>
              </w:rPr>
              <w:t>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7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intend to use the net proceeds of this offering and the concurrent private placement, together with our cash and cash equivalents, to pay down</w:t>
      </w:r>
    </w:p>
    <w:p>
      <w:pPr>
        <w:spacing w:after="0" w:line="32" w:lineRule="exact"/>
        <w:rPr>
          <w:sz w:val="20"/>
          <w:szCs w:val="20"/>
          <w:color w:val="auto"/>
        </w:rPr>
      </w:pPr>
    </w:p>
    <w:p>
      <w:pPr>
        <w:ind w:left="1120" w:hanging="666"/>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million of outstanding indebtedness under the Revolving Credit Facility (SunTrust). See “Use of Proceeds.”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January 21, 2014, we amended the Revolving Credit Facility (Natixis)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(SunTrust) to increase the size of the facility to $581.3 million.</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As of December 31, 2013, 2012 and 2011, we were in compliance with the terms of our debt arrangements. We intend to continue to utilize our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facilities to fund investments and for other general corporate purposes.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certain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(SunTrust). The second amended and restated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60" w:hanging="446"/>
        <w:spacing w:after="0" w:line="268"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borrow amounts in U.S. dollars or certain other permitted currencies. Amounts drawn under the Revolving Credit Facility (SunTrust),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of our domestic subsidiaries that are formed or acquired by us in the future. The Revolving Credit Facility (SunTrust)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plan to use the proceeds of this offering to pay down the Revolving Credit Facility (SunTrust), but the credit facility will not be terminated. Affiliates of certain of the underwriters are lenders under the Revolving Credit Facility (SunTrust).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8, 2012, the “Natixis Closing Date,” our wholly owned subsidiary TPG SL SPV, LLC, a Delaware limited liability company, entered into a credit and security agreement with Natixis, New York Branch. Also on May 8, 2012, we contributed certain investments to TPG SL SPV pursuant to the terms of a Master Sale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Contribution Agreement by and between us and TPG SL SPV. We consolidate TPG SL SPV in our consolidated financial statements, and no gain or loss was recognized as a result of the contribution. Proceeds from the Revolving Credit Facility (Natixis)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our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On September 28, 2011, we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which we refer to as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July 2013, we reduced the capacity of the Revolving Credit Facility (DBTCA) from $250 million to $100 million. The elective reduction did not have a significant effect on our liquidity as (i) our borrowings are limited by the 1940 Act’s asset coverage requirement; and (ii) there was adequate availability under our other credit facilities.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November 5, 2013, we entered into an agreement to amend the Revolving Credit Facility (DBTCA) by extending the stated maturity date from December 22, 2013 to June 30, 2014. The Revolving Credit Facility (DBTCA) would have matured upon the earlier of June 30, 2014 and 25 days prior to this offering. On February 27, 2014, we terminated the Revolving Credit Facility (DBTCA), effective March 4, 2014. The outstanding balance under the Revolving Credit Facility (DBTCA) was paid down prior to terminating the facility. We did not incur any fees or penalties in conjunction with the termination.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our existing investors.</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We could have elected either the LIBOR or prime rate at the time of draw-down, and loans could have been converted from one rate to another at any time, subject to certain conditions. We also paid a fee of 0.375% on undrawn amounts of the Revolving Credit Facility (DBTCA). In respect of each letter of credit, we paid a fee and a fixed rate while the letter of credit was outstanding.</w:t>
      </w:r>
    </w:p>
    <w:p>
      <w:pPr>
        <w:spacing w:after="0" w:line="11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us and our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2013, 2012 and 2011, we had the following commitments to fund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2013</w:t>
            </w:r>
          </w:p>
        </w:tc>
        <w:tc>
          <w:tcPr>
            <w:tcW w:w="1140" w:type="dxa"/>
            <w:vAlign w:val="bottom"/>
          </w:tcPr>
          <w:p>
            <w:pPr>
              <w:spacing w:after="0"/>
              <w:rPr>
                <w:sz w:val="14"/>
                <w:szCs w:val="14"/>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December 31, 2012</w:t>
            </w:r>
          </w:p>
        </w:tc>
        <w:tc>
          <w:tcPr>
            <w:tcW w:w="5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2011</w:t>
            </w: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32.0</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1660" w:type="dxa"/>
            <w:vAlign w:val="bottom"/>
            <w:gridSpan w:val="2"/>
          </w:tcPr>
          <w:p>
            <w:pPr>
              <w:jc w:val="right"/>
              <w:ind w:right="299"/>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2013, 2012 and 2011, we had $1.5 billion, $1.4 billion and $1.2 billion, respectively, in total capital commitments from investors ($1.0 billion, $0.9 billion and $1.0 billion unfunded, respectively). Of these amounts, $117.1 million, $114.1 million and $70.4 million, respectively, is from the Adviser and its affiliates ($76.7 million, $76.6 million and $60.3 million unfunded, respectively). These unfunded commitments will no longer remain in effect following the completion of this IPO.</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2013, 2012 and 2011, we had outstanding commitments to fund investments totaling $55.0 million, $32.0 million and $6.8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5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r>
              <w:rPr>
                <w:rFonts w:ascii="Arial" w:cs="Arial" w:eastAsia="Arial" w:hAnsi="Arial"/>
                <w:sz w:val="11"/>
                <w:szCs w:val="11"/>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1"/>
              </w:rPr>
              <w:t>32.0</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322.5</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6"/>
              <w:spacing w:after="0"/>
              <w:rPr>
                <w:sz w:val="20"/>
                <w:szCs w:val="20"/>
                <w:color w:val="auto"/>
              </w:rPr>
            </w:pPr>
            <w:r>
              <w:rPr>
                <w:rFonts w:ascii="Arial" w:cs="Arial" w:eastAsia="Arial" w:hAnsi="Arial"/>
                <w:sz w:val="18"/>
                <w:szCs w:val="18"/>
                <w:color w:val="auto"/>
                <w:w w:val="91"/>
              </w:rPr>
              <w:t>32.0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$ 77.8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February 27, 2014, we terminated the Revolving Credit Facility (DBTCA), effective March 4, 2014. The outstanding balance under the Revolving Credit Facility (DBTCA) was paid down prior to terminating the facility.</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Administration Agreement;</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880" w:val="left"/>
          <w:tab w:leader="none" w:pos="4140" w:val="left"/>
        </w:tabs>
        <w:rPr>
          <w:sz w:val="20"/>
          <w:szCs w:val="20"/>
          <w:color w:val="auto"/>
        </w:rPr>
      </w:pPr>
      <w:r>
        <w:rPr>
          <w:rFonts w:ascii="Arial" w:cs="Arial" w:eastAsia="Arial" w:hAnsi="Arial"/>
          <w:sz w:val="18"/>
          <w:szCs w:val="18"/>
          <w:color w:val="auto"/>
        </w:rPr>
        <w:t>•</w:t>
        <w:tab/>
        <w:t>the Adviser’s agreement to purchase $</w:t>
      </w:r>
      <w:r>
        <w:rPr>
          <w:sz w:val="20"/>
          <w:szCs w:val="20"/>
          <w:color w:val="auto"/>
        </w:rPr>
        <w:tab/>
      </w:r>
      <w:r>
        <w:rPr>
          <w:rFonts w:ascii="Arial" w:cs="Arial" w:eastAsia="Arial" w:hAnsi="Arial"/>
          <w:sz w:val="16"/>
          <w:szCs w:val="16"/>
          <w:color w:val="auto"/>
        </w:rPr>
        <w:t>million of our common stock in the concurrent private placement at the initial public offering price.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interest rate risk and currency risk. See “—Results of Operations—Hedging.”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annual financial statements included elsewhere in this prospectus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2013, 98.8% of our debt investments at fair value in our portfolio bore interest at floating rates, subject to interest rate floors. Our credit facilities also bear interest at floating rates.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that our consolidated balance sheet as of December 31, 2013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2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Basis Point Change</w:t>
            </w:r>
          </w:p>
        </w:tc>
        <w:tc>
          <w:tcPr>
            <w:tcW w:w="1700" w:type="dxa"/>
            <w:vAlign w:val="bottom"/>
          </w:tcPr>
          <w:p>
            <w:pPr>
              <w:spacing w:after="0"/>
              <w:rPr>
                <w:sz w:val="14"/>
                <w:szCs w:val="14"/>
                <w:color w:val="auto"/>
              </w:rPr>
            </w:pPr>
          </w:p>
        </w:tc>
        <w:tc>
          <w:tcPr>
            <w:tcW w:w="19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Income</w:t>
            </w:r>
          </w:p>
        </w:tc>
        <w:tc>
          <w:tcPr>
            <w:tcW w:w="14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Interest Expense</w:t>
            </w:r>
          </w:p>
        </w:tc>
        <w:tc>
          <w:tcPr>
            <w:tcW w:w="460" w:type="dxa"/>
            <w:vAlign w:val="bottom"/>
          </w:tcPr>
          <w:p>
            <w:pPr>
              <w:spacing w:after="0"/>
              <w:rPr>
                <w:sz w:val="14"/>
                <w:szCs w:val="14"/>
                <w:color w:val="auto"/>
              </w:rPr>
            </w:pPr>
          </w:p>
        </w:tc>
        <w:tc>
          <w:tcPr>
            <w:tcW w:w="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Net 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14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We apply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6 to our consolidated financial statements included elsewhere in this prospectus for more information on the fair value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on-going analyses of tax laws, regulations and interpretations thereof.</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The report of our independent registered public accounting firm, KPMG LLP, on the senior securities table as of December 31, 2013 is attached as an exhibit to the registration statement of which this prospectus is a 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Asset</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34"/>
        </w:trPr>
        <w:tc>
          <w:tcPr>
            <w:tcW w:w="4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7"/>
              </w:rPr>
              <w:t>Treasury</w:t>
            </w:r>
          </w:p>
        </w:tc>
        <w:tc>
          <w:tcPr>
            <w:tcW w:w="12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Coverage</w:t>
            </w:r>
          </w:p>
        </w:tc>
        <w:tc>
          <w:tcPr>
            <w:tcW w:w="138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4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1"/>
                <w:szCs w:val="11"/>
                <w:b w:val="1"/>
                <w:bCs w:val="1"/>
                <w:color w:val="auto"/>
              </w:rPr>
              <w:t>Securities</w:t>
            </w:r>
            <w:r>
              <w:rPr>
                <w:rFonts w:ascii="Arial" w:cs="Arial" w:eastAsia="Arial" w:hAnsi="Arial"/>
                <w:sz w:val="17"/>
                <w:szCs w:val="17"/>
                <w:b w:val="1"/>
                <w:bCs w:val="1"/>
                <w:color w:val="auto"/>
                <w:vertAlign w:val="superscript"/>
              </w:rPr>
              <w:t>(1)</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42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228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12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6"/>
              </w:rPr>
              <w:t>Unit</w:t>
            </w:r>
            <w:r>
              <w:rPr>
                <w:rFonts w:ascii="Arial" w:cs="Arial" w:eastAsia="Arial" w:hAnsi="Arial"/>
                <w:sz w:val="20"/>
                <w:szCs w:val="20"/>
                <w:b w:val="1"/>
                <w:bCs w:val="1"/>
                <w:color w:val="auto"/>
                <w:w w:val="96"/>
                <w:vertAlign w:val="superscript"/>
              </w:rPr>
              <w:t>(2)</w:t>
            </w:r>
          </w:p>
        </w:tc>
        <w:tc>
          <w:tcPr>
            <w:tcW w:w="138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20"/>
                <w:szCs w:val="20"/>
                <w:b w:val="1"/>
                <w:bCs w:val="1"/>
                <w:color w:val="auto"/>
                <w:w w:val="93"/>
                <w:vertAlign w:val="superscript"/>
              </w:rPr>
              <w:t>(3)</w:t>
            </w:r>
          </w:p>
        </w:tc>
        <w:tc>
          <w:tcPr>
            <w:tcW w:w="7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Per Unit</w:t>
            </w:r>
            <w:r>
              <w:rPr>
                <w:rFonts w:ascii="Arial" w:cs="Arial" w:eastAsia="Arial" w:hAnsi="Arial"/>
                <w:sz w:val="20"/>
                <w:szCs w:val="20"/>
                <w:b w:val="1"/>
                <w:bCs w:val="1"/>
                <w:color w:val="auto"/>
                <w:w w:val="90"/>
                <w:vertAlign w:val="superscript"/>
              </w:rPr>
              <w:t>(4)</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Revolving Credit Facilities</w:t>
            </w:r>
          </w:p>
        </w:tc>
        <w:tc>
          <w:tcPr>
            <w:tcW w:w="2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432.3</w:t>
            </w:r>
          </w:p>
        </w:tc>
        <w:tc>
          <w:tcPr>
            <w:tcW w:w="680" w:type="dxa"/>
            <w:vAlign w:val="bottom"/>
          </w:tcPr>
          <w:p>
            <w:pPr>
              <w:spacing w:after="0"/>
              <w:rPr>
                <w:sz w:val="18"/>
                <w:szCs w:val="18"/>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$2,329.5</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88"/>
              </w:rPr>
              <w:t>$2,445.9</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December 31, 2011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680" w:type="dxa"/>
            <w:vAlign w:val="bottom"/>
          </w:tcPr>
          <w:p>
            <w:pPr>
              <w:spacing w:after="0"/>
              <w:rPr>
                <w:sz w:val="19"/>
                <w:szCs w:val="19"/>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$2,116.7</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we have originated more than $2.2 billion aggregate principal amount of investments and retained approximately $1.5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believe we will be one of the largest BDCs by total assets at the time of an initial public offering.</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December 31, 2013, our portfolio consisted of 86.3% first-lien debt investments, 13.5% second-lien debt investments and 0.2% equity investments. Approximately 98.8% of our investments based on fair value as of December 31, 2013 are floating rate in nature, subject to interest rate floors, which we believe helps act as a portfolio-wide hedge against inflation. As of December 31, 2013 and 2012, we had debt and equity investments in 27 and 21 portfolio companies, respectively. As of December 31, 2013, our average investment in each of our portfolio companies was $37.6 million.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our portfolio was invested across 17 different industries. The largest industries in our portfolio, based on fair value as of December 31, 2013, were business services, financial services, and healthcare and pharmaceuticals, which represented, as a percentage of our portfolio, 16.5%, 11.6%, and 10.8%, respectively. We expect that no single investment will represent more than 15% of our total investment portfolio, based on fair value. See “Portfolio Companies” for more information on our portfolio as of December 31, 2013.</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an “emerging growth company” under the JOBS Act and will be subject to reduced public company reporting requirements. Further, Section 107 of the JOBS Act also provides that an “emerging growth company” can take advantage of the extended transition period provided in Section 7(a)(2)(B)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To date, we have conducted private offerings of our common stock to investors in reliance on exemptions from the registration requirements of the Securities Act and other applicable securities laws. At the closing of each private offering, investors made capital commitments to purchase our common stock from time to time at net asset value. The majority of our existing investors, as measured by total capital commitments, are participants in our dividend reinvestment plan.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31, 2013, we reached a $1.5 billion cap on private offering commitments with our investors, which includes a $100 million capital commitment by the Adviser. We have drawn $582.5 million of these capital commitments as of the date of this prospectus,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Certain of our existing investors, including our Adviser, have agreed to purchase $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in the aggregate of our common stock during the period beginning after four full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32"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December 31, 2013, our Adviser owned 6.3% of our common stock and had committed $100 million in equity capital under a subscription agreement like those entered into with our existing investors. See “Management,” “Related-Party Transactions and Certain Relationships” and “Control Persons and Principal Stockholders.”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Limited availability of capital for middle-market companies</w:t>
      </w:r>
      <w:r>
        <w:rPr>
          <w:rFonts w:ascii="Arial" w:cs="Arial" w:eastAsia="Arial" w:hAnsi="Arial"/>
          <w:sz w:val="16"/>
          <w:szCs w:val="16"/>
          <w:color w:val="auto"/>
        </w:rPr>
        <w:t>. We believe that certain structural changes in the market have reduced the amount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industry data and research company, at $1.07 trillion as of December 2013, will continue to drive deal activity. We expect that private equity firms will continue to pursue acquisitions and to seek to leverage their equity investments with secured loans provided by companies such as ours.</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 dynamics.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114935</wp:posOffset>
            </wp:positionV>
            <wp:extent cx="2975610" cy="21355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7561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139700</wp:posOffset>
            </wp:positionV>
            <wp:extent cx="2915920" cy="20326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1592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40"/>
        <w:spacing w:after="0"/>
        <w:rPr>
          <w:sz w:val="20"/>
          <w:szCs w:val="20"/>
          <w:color w:val="auto"/>
        </w:rPr>
      </w:pPr>
      <w:r>
        <w:rPr>
          <w:rFonts w:ascii="Arial" w:cs="Arial" w:eastAsia="Arial" w:hAnsi="Arial"/>
          <w:sz w:val="14"/>
          <w:szCs w:val="14"/>
          <w:i w:val="1"/>
          <w:iCs w:val="1"/>
          <w:color w:val="auto"/>
        </w:rPr>
        <w:t>Source: Preqin as of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3"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26" w:lineRule="exact"/>
        <w:rPr>
          <w:sz w:val="20"/>
          <w:szCs w:val="20"/>
          <w:color w:val="auto"/>
        </w:rPr>
      </w:pPr>
    </w:p>
    <w:p>
      <w:pPr>
        <w:ind w:left="900" w:right="54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 tight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61"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50" w:lineRule="exact"/>
        <w:rPr>
          <w:rFonts w:ascii="Arial" w:cs="Arial" w:eastAsia="Arial" w:hAnsi="Arial"/>
          <w:sz w:val="18"/>
          <w:szCs w:val="18"/>
          <w:color w:val="auto"/>
        </w:rPr>
      </w:pPr>
    </w:p>
    <w:p>
      <w:pPr>
        <w:ind w:left="1480" w:right="120" w:hanging="446"/>
        <w:spacing w:after="0" w:line="258" w:lineRule="auto"/>
        <w:tabs>
          <w:tab w:leader="none" w:pos="1480" w:val="left"/>
        </w:tabs>
        <w:numPr>
          <w:ilvl w:val="1"/>
          <w:numId w:val="60"/>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1" w:lineRule="exact"/>
        <w:rPr>
          <w:rFonts w:ascii="Arial" w:cs="Arial" w:eastAsia="Arial" w:hAnsi="Arial"/>
          <w:sz w:val="21"/>
          <w:szCs w:val="21"/>
          <w:color w:val="auto"/>
          <w:vertAlign w:val="superscript"/>
        </w:rPr>
      </w:pPr>
    </w:p>
    <w:p>
      <w:pPr>
        <w:ind w:left="1480" w:right="180" w:hanging="446"/>
        <w:spacing w:after="0" w:line="277" w:lineRule="auto"/>
        <w:tabs>
          <w:tab w:leader="none" w:pos="1480" w:val="left"/>
        </w:tabs>
        <w:numPr>
          <w:ilvl w:val="1"/>
          <w:numId w:val="60"/>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We carefully diligence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46" w:lineRule="exact"/>
        <w:rPr>
          <w:rFonts w:ascii="Arial" w:cs="Arial" w:eastAsia="Arial" w:hAnsi="Arial"/>
          <w:sz w:val="20"/>
          <w:szCs w:val="20"/>
          <w:color w:val="auto"/>
          <w:vertAlign w:val="superscript"/>
        </w:rPr>
      </w:pPr>
    </w:p>
    <w:p>
      <w:pPr>
        <w:jc w:val="both"/>
        <w:ind w:left="1480" w:right="460" w:hanging="446"/>
        <w:spacing w:after="0" w:line="272" w:lineRule="auto"/>
        <w:tabs>
          <w:tab w:leader="none" w:pos="1480" w:val="left"/>
        </w:tabs>
        <w:numPr>
          <w:ilvl w:val="1"/>
          <w:numId w:val="60"/>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1" w:lineRule="exact"/>
        <w:rPr>
          <w:rFonts w:ascii="Arial" w:cs="Arial" w:eastAsia="Arial" w:hAnsi="Arial"/>
          <w:sz w:val="20"/>
          <w:szCs w:val="20"/>
          <w:color w:val="auto"/>
          <w:vertAlign w:val="superscript"/>
        </w:rPr>
      </w:pPr>
    </w:p>
    <w:p>
      <w:pPr>
        <w:ind w:left="1480" w:right="20" w:hanging="446"/>
        <w:spacing w:after="0" w:line="235" w:lineRule="auto"/>
        <w:tabs>
          <w:tab w:leader="none" w:pos="1480" w:val="left"/>
        </w:tabs>
        <w:numPr>
          <w:ilvl w:val="1"/>
          <w:numId w:val="60"/>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76" w:lineRule="exact"/>
        <w:rPr>
          <w:rFonts w:ascii="Arial" w:cs="Arial" w:eastAsia="Arial" w:hAnsi="Arial"/>
          <w:sz w:val="22"/>
          <w:szCs w:val="22"/>
          <w:color w:val="auto"/>
          <w:vertAlign w:val="superscript"/>
        </w:rPr>
      </w:pPr>
    </w:p>
    <w:p>
      <w:pPr>
        <w:ind w:left="900" w:right="12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sector and operational issues and carefully managing risks. The information gathered on market trends through this process also informs our underwriting for new loans.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1.7% of the more than 2,400 investment opportunities our Investment Team reviewed from our inception through December 31, 2013.</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invested approximately $1.5 billion. As of December 31, 2013, we had a portfolio of investments in 27 portfolio companies totaling $1,016.5 million that we believe exhibits strong credit quality and broad industry composition. As of December 31, 2013, approximately 98.8% of our debt investments bore interest at floating rates, subject to interest rate floors, and 86.3% of the fair value of our portfolio was invested in first-lien debt investments. We believe this portfolio will allow us to generate meaningful investment income, and consequently dividend income, for our stockholders.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is based on our returns, as opposed to transaction volume, which we believe fosters a focus on credit quality when originating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9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71"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13"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December 31, 2013:</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24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5"/>
              </w:rPr>
              <w:t>Investments at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in millions)</w:t>
            </w:r>
          </w:p>
        </w:tc>
        <w:tc>
          <w:tcPr>
            <w:tcW w:w="2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jc w:val="center"/>
              <w:ind w:left="1452"/>
              <w:spacing w:after="0"/>
              <w:rPr>
                <w:sz w:val="20"/>
                <w:szCs w:val="20"/>
                <w:color w:val="auto"/>
              </w:rPr>
            </w:pPr>
            <w:r>
              <w:rPr>
                <w:rFonts w:ascii="Arial" w:cs="Arial" w:eastAsia="Arial" w:hAnsi="Arial"/>
                <w:sz w:val="18"/>
                <w:szCs w:val="18"/>
                <w:color w:val="auto"/>
                <w:w w:val="79"/>
              </w:rPr>
              <w:t>1</w:t>
            </w:r>
          </w:p>
        </w:tc>
        <w:tc>
          <w:tcPr>
            <w:tcW w:w="250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gridSpan w:val="2"/>
            <w:vMerge w:val="continue"/>
            <w:shd w:val="clear" w:color="auto" w:fill="CCEEFF"/>
          </w:tcPr>
          <w:p>
            <w:pPr>
              <w:spacing w:after="0"/>
              <w:rPr>
                <w:sz w:val="17"/>
                <w:szCs w:val="17"/>
                <w:color w:val="auto"/>
              </w:rPr>
            </w:pPr>
          </w:p>
        </w:tc>
        <w:tc>
          <w:tcPr>
            <w:tcW w:w="2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859.4</w:t>
            </w:r>
          </w:p>
        </w:tc>
        <w:tc>
          <w:tcPr>
            <w:tcW w:w="102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2</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3</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34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4</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79"/>
              </w:rPr>
              <w:t>5</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580" w:type="dxa"/>
            <w:vAlign w:val="bottom"/>
            <w:gridSpan w:val="3"/>
          </w:tcPr>
          <w:p>
            <w:pPr>
              <w:ind w:left="24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53" w:lineRule="exact"/>
        <w:rPr>
          <w:sz w:val="20"/>
          <w:szCs w:val="20"/>
          <w:color w:val="auto"/>
        </w:rPr>
      </w:pPr>
    </w:p>
    <w:p>
      <w:pPr>
        <w:ind w:left="900" w:right="100" w:hanging="325"/>
        <w:spacing w:after="0" w:line="25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55" w:lineRule="exact"/>
        <w:rPr>
          <w:rFonts w:ascii="Arial" w:cs="Arial" w:eastAsia="Arial" w:hAnsi="Arial"/>
          <w:sz w:val="18"/>
          <w:szCs w:val="18"/>
          <w:color w:val="auto"/>
        </w:rPr>
      </w:pPr>
    </w:p>
    <w:p>
      <w:pPr>
        <w:ind w:left="1480" w:right="240" w:hanging="446"/>
        <w:spacing w:after="0" w:line="275"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that is subject to the first-priority security interest.</w:t>
      </w:r>
    </w:p>
    <w:p>
      <w:pPr>
        <w:spacing w:after="0" w:line="38" w:lineRule="exact"/>
        <w:rPr>
          <w:rFonts w:ascii="Arial" w:cs="Arial" w:eastAsia="Arial" w:hAnsi="Arial"/>
          <w:sz w:val="18"/>
          <w:szCs w:val="18"/>
          <w:color w:val="auto"/>
        </w:rPr>
      </w:pPr>
    </w:p>
    <w:p>
      <w:pPr>
        <w:ind w:left="1480" w:hanging="446"/>
        <w:spacing w:after="0" w:line="296"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306" w:lineRule="auto"/>
        <w:rPr>
          <w:sz w:val="20"/>
          <w:szCs w:val="20"/>
          <w:color w:val="auto"/>
        </w:rPr>
      </w:pPr>
      <w:r>
        <w:rPr>
          <w:rFonts w:ascii="Arial" w:cs="Arial" w:eastAsia="Arial" w:hAnsi="Arial"/>
          <w:sz w:val="16"/>
          <w:szCs w:val="16"/>
          <w:color w:val="auto"/>
        </w:rPr>
        <w:t>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20" w:lineRule="exact"/>
        <w:rPr>
          <w:sz w:val="20"/>
          <w:szCs w:val="20"/>
          <w:color w:val="auto"/>
        </w:rPr>
      </w:pPr>
    </w:p>
    <w:p>
      <w:pPr>
        <w:ind w:left="1480" w:right="100" w:hanging="446"/>
        <w:spacing w:after="0" w:line="310" w:lineRule="auto"/>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6"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57" w:lineRule="exact"/>
        <w:rPr>
          <w:rFonts w:ascii="Arial" w:cs="Arial" w:eastAsia="Arial" w:hAnsi="Arial"/>
          <w:sz w:val="18"/>
          <w:szCs w:val="18"/>
          <w:color w:val="auto"/>
        </w:rPr>
      </w:pPr>
    </w:p>
    <w:p>
      <w:pPr>
        <w:ind w:left="900" w:right="40" w:hanging="325"/>
        <w:spacing w:after="0" w:line="293"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“Mezzanine” debt. </w:t>
      </w:r>
      <w:r>
        <w:rPr>
          <w:rFonts w:ascii="Arial" w:cs="Arial" w:eastAsia="Arial" w:hAnsi="Arial"/>
          <w:sz w:val="16"/>
          <w:szCs w:val="16"/>
          <w:color w:val="auto"/>
        </w:rPr>
        <w:t>Structurally, mezzanine debt usually ranks subordinate in priority of payment to first-lien and second-lien debt, is often</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1" w:lineRule="exact"/>
        <w:rPr>
          <w:sz w:val="20"/>
          <w:szCs w:val="20"/>
          <w:color w:val="auto"/>
        </w:rPr>
      </w:pPr>
    </w:p>
    <w:p>
      <w:pPr>
        <w:ind w:left="440" w:hanging="324"/>
        <w:spacing w:after="0"/>
        <w:tabs>
          <w:tab w:leader="none" w:pos="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13" w:lineRule="exact"/>
        <w:rPr>
          <w:rFonts w:ascii="Arial" w:cs="Arial" w:eastAsia="Arial" w:hAnsi="Arial"/>
          <w:sz w:val="16"/>
          <w:szCs w:val="16"/>
          <w:color w:val="auto"/>
        </w:rPr>
      </w:pPr>
    </w:p>
    <w:p>
      <w:pPr>
        <w:ind w:left="440" w:right="100" w:hanging="324"/>
        <w:spacing w:after="0" w:line="256"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2013 and December 31, 2012, we had made investments with an aggregate fair value of $1,016.5 million and $653.9 million, respectively, in 27 and 21 portfolio companies, respectively. See “Portfolio Companies” for more information on these investments, including a list of companies and type and amount of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877.2</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131.1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137.5</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1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Amortized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Net Unrealized</w:t>
            </w:r>
          </w:p>
        </w:tc>
        <w:tc>
          <w:tcPr>
            <w:tcW w:w="100" w:type="dxa"/>
            <w:vAlign w:val="bottom"/>
          </w:tcPr>
          <w:p>
            <w:pPr>
              <w:spacing w:after="0"/>
              <w:rPr>
                <w:sz w:val="10"/>
                <w:szCs w:val="10"/>
                <w:color w:val="auto"/>
              </w:rPr>
            </w:pPr>
          </w:p>
        </w:tc>
      </w:tr>
      <w:tr>
        <w:trPr>
          <w:trHeight w:val="176"/>
        </w:trPr>
        <w:tc>
          <w:tcPr>
            <w:tcW w:w="9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5"/>
                <w:szCs w:val="15"/>
                <w:color w:val="auto"/>
              </w:rPr>
            </w:pPr>
          </w:p>
        </w:tc>
        <w:tc>
          <w:tcPr>
            <w:tcW w:w="980" w:type="dxa"/>
            <w:vAlign w:val="bottom"/>
            <w:gridSpan w:val="2"/>
          </w:tcPr>
          <w:p>
            <w:pPr>
              <w:jc w:val="right"/>
              <w:ind w:right="580"/>
              <w:spacing w:after="0" w:line="176" w:lineRule="exact"/>
              <w:rPr>
                <w:sz w:val="20"/>
                <w:szCs w:val="20"/>
                <w:color w:val="auto"/>
              </w:rPr>
            </w:pPr>
            <w:r>
              <w:rPr>
                <w:rFonts w:ascii="Arial" w:cs="Arial" w:eastAsia="Arial" w:hAnsi="Arial"/>
                <w:sz w:val="13"/>
                <w:szCs w:val="13"/>
                <w:b w:val="1"/>
                <w:bCs w:val="1"/>
                <w:color w:val="auto"/>
                <w:w w:val="83"/>
              </w:rPr>
              <w:t>Cost</w:t>
            </w:r>
            <w:r>
              <w:rPr>
                <w:rFonts w:ascii="Arial" w:cs="Arial" w:eastAsia="Arial" w:hAnsi="Arial"/>
                <w:sz w:val="20"/>
                <w:szCs w:val="20"/>
                <w:b w:val="1"/>
                <w:bCs w:val="1"/>
                <w:color w:val="auto"/>
                <w:w w:val="83"/>
                <w:vertAlign w:val="superscript"/>
              </w:rPr>
              <w:t>(1)</w:t>
            </w:r>
          </w:p>
        </w:tc>
        <w:tc>
          <w:tcPr>
            <w:tcW w:w="5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92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582.3</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69.6</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644.4</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6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Automotive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6.1%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Business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16.5%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Education</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Financial services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7.2%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Insurance</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Metals and mining</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80" w:type="dxa"/>
            <w:vAlign w:val="bottom"/>
            <w:gridSpan w:val="3"/>
          </w:tcPr>
          <w:p>
            <w:pPr>
              <w:jc w:val="right"/>
              <w:ind w:right="58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60" w:type="dxa"/>
            <w:vAlign w:val="bottom"/>
            <w:vMerge w:val="restart"/>
          </w:tcPr>
          <w:p>
            <w:pPr>
              <w:jc w:val="right"/>
              <w:ind w:right="453"/>
              <w:spacing w:after="0"/>
              <w:rPr>
                <w:sz w:val="20"/>
                <w:szCs w:val="20"/>
                <w:color w:val="auto"/>
              </w:rPr>
            </w:pPr>
            <w:r>
              <w:rPr>
                <w:rFonts w:ascii="Arial" w:cs="Arial" w:eastAsia="Arial" w:hAnsi="Arial"/>
                <w:sz w:val="18"/>
                <w:szCs w:val="18"/>
                <w:color w:val="auto"/>
              </w:rPr>
              <w:t>96</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2013 and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14.2%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South</w:t>
            </w:r>
          </w:p>
        </w:tc>
        <w:tc>
          <w:tcPr>
            <w:tcW w:w="3760" w:type="dxa"/>
            <w:vAlign w:val="bottom"/>
            <w:gridSpan w:val="3"/>
          </w:tcPr>
          <w:p>
            <w:pPr>
              <w:jc w:val="right"/>
              <w:ind w:right="600"/>
              <w:spacing w:after="0"/>
              <w:rPr>
                <w:sz w:val="20"/>
                <w:szCs w:val="20"/>
                <w:color w:val="auto"/>
              </w:rPr>
            </w:pPr>
            <w:r>
              <w:rPr>
                <w:rFonts w:ascii="Arial" w:cs="Arial" w:eastAsia="Arial" w:hAnsi="Arial"/>
                <w:sz w:val="18"/>
                <w:szCs w:val="18"/>
                <w:color w:val="auto"/>
              </w:rPr>
              <w:t>19.7%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19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3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2012,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3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9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9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16"/>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Portfolio Company Commitments</w:t>
            </w:r>
          </w:p>
        </w:tc>
        <w:tc>
          <w:tcPr>
            <w:tcW w:w="13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7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of December 31, 2013 and 2012, we had $1.5 billion and $1.4 billion, respectively, in total capital commitments from investors ($1.0 billion and $0.9 billion unfunded, respectively), of which $117.1 million and $114.1 million, respectively, is from the Adviser and its affiliates ($76.7 million and $76.6 million unfunded, respectively). The obligations under these capital commitments will terminate upon completion of this IPO.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table set forth below contains certain information as of December 31, 2013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December 31, 2013,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Investment</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8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79"/>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3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(Par amounts 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8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($53,452</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11/2017)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12/23/2011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$ 52,828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$ 53,720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($36,733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6/2017)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36,182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($4,611 par, due 6/2017)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($21,553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12/2016)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12/31/2012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($44,394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8/2015)</w:t>
            </w:r>
          </w:p>
        </w:tc>
        <w:tc>
          <w:tcPr>
            <w:tcW w:w="108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8/31/2011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45,837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($67,933</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4/2018)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66,405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 xml:space="preserve">Aptean Holdings, Inc. f/k/a Consona Holdings, Inc. </w:t>
            </w:r>
            <w:r>
              <w:rPr>
                <w:rFonts w:ascii="Arial" w:cs="Arial" w:eastAsia="Arial" w:hAnsi="Arial"/>
                <w:sz w:val="11"/>
                <w:szCs w:val="11"/>
                <w:color w:val="auto"/>
                <w:w w:val="97"/>
              </w:rPr>
              <w:t>(3)(4)</w:t>
            </w:r>
            <w:r>
              <w:rPr>
                <w:rFonts w:ascii="Arial" w:cs="Arial" w:eastAsia="Arial" w:hAnsi="Arial"/>
                <w:sz w:val="18"/>
                <w:szCs w:val="18"/>
                <w:color w:val="auto"/>
                <w:w w:val="97"/>
              </w:rPr>
              <w:t xml:space="preserve">  First-lien loan ($29,625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8/2018)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29,477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33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($42,500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12/2019)</w:t>
            </w: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12/18/2013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41,437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First-lien loan ($29,659</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Second-lien loan ($47,430</w:t>
            </w: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3/2017)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PIK)</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3/2/2012</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51,817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($46,560</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2/2018)</w:t>
            </w: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47,142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First-lien loan ($29,625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2820" w:type="dxa"/>
            <w:vAlign w:val="bottom"/>
            <w:gridSpan w:val="3"/>
          </w:tcPr>
          <w:p>
            <w:pPr>
              <w:ind w:left="680"/>
              <w:spacing w:after="0"/>
              <w:rPr>
                <w:sz w:val="20"/>
                <w:szCs w:val="20"/>
                <w:color w:val="auto"/>
              </w:rPr>
            </w:pPr>
            <w:r>
              <w:rPr>
                <w:rFonts w:ascii="Arial" w:cs="Arial" w:eastAsia="Arial" w:hAnsi="Arial"/>
                <w:sz w:val="18"/>
                <w:szCs w:val="18"/>
                <w:color w:val="auto"/>
              </w:rPr>
              <w:t>par, due 9/2018)</w:t>
            </w: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9/30/2013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29,032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00" w:type="dxa"/>
            <w:vAlign w:val="bottom"/>
            <w:gridSpan w:val="2"/>
          </w:tcPr>
          <w:p>
            <w:pPr>
              <w:ind w:left="2280"/>
              <w:spacing w:after="0"/>
              <w:rPr>
                <w:sz w:val="20"/>
                <w:szCs w:val="20"/>
                <w:color w:val="auto"/>
              </w:rPr>
            </w:pPr>
            <w:r>
              <w:rPr>
                <w:rFonts w:ascii="Arial" w:cs="Arial" w:eastAsia="Arial" w:hAnsi="Arial"/>
                <w:sz w:val="18"/>
                <w:szCs w:val="18"/>
                <w:color w:val="auto"/>
                <w:w w:val="99"/>
              </w:rPr>
              <w:t>99</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Fair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Investment</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in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1"/>
        </w:trPr>
        <w:tc>
          <w:tcPr>
            <w:tcW w:w="352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(Par amounts in thousands)</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($42,479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($76,337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118,136</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($71,634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($35,625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12/2017)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($2,000 par, due 12/2017)</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($14,813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6/2018)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loan ($10,000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par, due 2/2020)</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($34,886 par,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3/2017)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Second-lien bond (GBP</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7,000 par, due 10/2018)</w:t>
            </w: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First-lien loan ($34,737 par,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due 5/2018)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First-lien loan ($7,483 par,</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11/2018)</w:t>
            </w:r>
          </w:p>
        </w:tc>
        <w:tc>
          <w:tcPr>
            <w:tcW w:w="110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Second-lien loan ($12,000</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par, due 5/2019)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Insurance</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w w:val="99"/>
              </w:rPr>
              <w:t>First-lien loan ($31,888 par,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80" w:type="dxa"/>
            <w:vAlign w:val="bottom"/>
            <w:gridSpan w:val="3"/>
          </w:tcPr>
          <w:p>
            <w:pPr>
              <w:ind w:left="480"/>
              <w:spacing w:after="0"/>
              <w:rPr>
                <w:sz w:val="20"/>
                <w:szCs w:val="20"/>
                <w:color w:val="auto"/>
              </w:rPr>
            </w:pPr>
            <w:r>
              <w:rPr>
                <w:rFonts w:ascii="Arial" w:cs="Arial" w:eastAsia="Arial" w:hAnsi="Arial"/>
                <w:sz w:val="18"/>
                <w:szCs w:val="18"/>
                <w:color w:val="auto"/>
              </w:rPr>
              <w:t>due 6/2017)</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31,433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31,808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First-lien revolving loan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($850 par, due 6/2017)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w w:val="86"/>
              </w:rPr>
              <w:t>100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Investment</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Initial</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amount</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340" w:type="dxa"/>
            <w:vAlign w:val="bottom"/>
            <w:gridSpan w:val="2"/>
            <w:vMerge w:val="restart"/>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2"/>
          </w:tcPr>
          <w:p>
            <w:pPr>
              <w:jc w:val="center"/>
              <w:ind w:right="12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79"/>
              </w:rPr>
              <w:t>in</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24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1"/>
        </w:trPr>
        <w:tc>
          <w:tcPr>
            <w:tcW w:w="760" w:type="dxa"/>
            <w:vAlign w:val="bottom"/>
            <w:tcBorders>
              <w:bottom w:val="single" w:sz="8" w:color="auto"/>
            </w:tcBorders>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(Par amounts in thousands)</w:t>
            </w:r>
          </w:p>
        </w:tc>
        <w:tc>
          <w:tcPr>
            <w:tcW w:w="2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Interest</w:t>
            </w: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3"/>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Manufacturing</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Jeeves Information</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(SEK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177,161 par, due 6/2018)</w:t>
            </w: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($35,650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11/2019)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($19,936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10/2016)</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First-lien loan ($40,883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9/2016)</w:t>
            </w:r>
          </w:p>
        </w:tc>
        <w:tc>
          <w:tcPr>
            <w:tcW w:w="8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6"/>
              </w:rPr>
              <w:t>Second-lien loan ($52,500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par, due 10/2019)</w:t>
            </w:r>
          </w:p>
        </w:tc>
        <w:tc>
          <w:tcPr>
            <w:tcW w:w="88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Network Merchants, Inc</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Non-Voting Preferred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Units (774,099 units)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w w:val="95"/>
              </w:rPr>
              <w:t>Healthcare and pharmaceuticals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spacing w:after="0"/>
              <w:rPr>
                <w:sz w:val="20"/>
                <w:szCs w:val="20"/>
                <w:color w:val="auto"/>
              </w:rPr>
            </w:pPr>
            <w:r>
              <w:rPr>
                <w:rFonts w:ascii="Arial" w:cs="Arial" w:eastAsia="Arial" w:hAnsi="Arial"/>
                <w:sz w:val="18"/>
                <w:szCs w:val="18"/>
                <w:color w:val="auto"/>
              </w:rPr>
              <w:t>SRS Parent Corp.</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w w:val="99"/>
              </w:rPr>
              <w:t>Common Shares Class 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(1,980 shares)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122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Common Shares Class B</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(2,953,020 shares)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4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3"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December 31, 2013, we do not “control” any of the portfolio companies nor are any of our portfolio companies considered to be “affiliates” (see Note 4 to our consolidated financial statements). Certain portfolio company investments are subject to contractual restrictions on sales.</w:t>
      </w:r>
    </w:p>
    <w:p>
      <w:pPr>
        <w:ind w:left="460" w:right="50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0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20" w:hanging="452"/>
        <w:spacing w:after="0" w:line="323"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investment, or a portion thereof, is held within TPG SL SPV, LLC, a wholly-owned subsidiary of us and is pledged as collateral supporting the amounts outstanding under the Revolving Credit Facility (Natixis) (see Note 7 to our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ind w:left="460" w:right="120" w:hanging="452"/>
        <w:spacing w:after="0" w:line="261"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table, we may be entitled to receive additional interest as a result of an arrangement with other lenders in the syndication.</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240" w:top="459"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and an IPO Committee and may establish additional committees from time to time as necessary. In connection with this IPO, we are forming a nominating and corporate governance committee and a compensation committee.</w:t>
      </w:r>
    </w:p>
    <w:p>
      <w:pPr>
        <w:spacing w:after="0" w:line="118"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2014 annual meeting of stockholders.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Expiration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8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75"/>
              </w:rPr>
              <w:t>Age</w:t>
            </w:r>
          </w:p>
        </w:tc>
        <w:tc>
          <w:tcPr>
            <w:tcW w:w="4800" w:type="dxa"/>
            <w:vAlign w:val="bottom"/>
            <w:gridSpan w:val="2"/>
            <w:vMerge w:val="continue"/>
          </w:tcPr>
          <w:p>
            <w:pPr>
              <w:spacing w:after="0"/>
              <w:rPr>
                <w:sz w:val="14"/>
                <w:szCs w:val="14"/>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of Term</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Independent Directors</w:t>
            </w: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66</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50</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w:t>
            </w: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37</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Director and Co-Chief Executive Officer</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51</w:t>
            </w: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Co-Chief Executive Officer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8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8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3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Bankruptcy Institute. He holds a degree in Finance from Rochester Institute of Technology. Mr. Fishman’s extensive experience in the credit markets provides the Board with valuable industry-specific knowledge.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Position</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7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75"/>
              </w:rPr>
              <w:t>Age</w:t>
            </w:r>
          </w:p>
        </w:tc>
        <w:tc>
          <w:tcPr>
            <w:tcW w:w="3220" w:type="dxa"/>
            <w:vAlign w:val="bottom"/>
            <w:gridSpan w:val="2"/>
            <w:vMerge w:val="continue"/>
          </w:tcPr>
          <w:p>
            <w:pPr>
              <w:spacing w:after="0"/>
              <w:rPr>
                <w:sz w:val="14"/>
                <w:szCs w:val="14"/>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46</w:t>
            </w:r>
          </w:p>
        </w:tc>
        <w:tc>
          <w:tcPr>
            <w:tcW w:w="5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Vice President</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Chief Financial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Meagher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Chief Compliance Officer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Vice President and Secretary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18"/>
                <w:szCs w:val="18"/>
                <w:color w:val="auto"/>
              </w:rPr>
            </w:pPr>
          </w:p>
        </w:tc>
        <w:tc>
          <w:tcPr>
            <w:tcW w:w="3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Vice President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16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Ronald Cami </w:t>
      </w:r>
      <w:r>
        <w:rPr>
          <w:rFonts w:ascii="Arial" w:cs="Arial" w:eastAsia="Arial" w:hAnsi="Arial"/>
          <w:sz w:val="16"/>
          <w:szCs w:val="16"/>
          <w:color w:val="auto"/>
        </w:rPr>
        <w:t>is a Vice President of TSL. Mr. Cami joined TPG as Partner and General Counsel in June 2010. From 2000 until he joined TPG in 2010,</w:t>
      </w:r>
      <w:r>
        <w:rPr>
          <w:rFonts w:ascii="Arial" w:cs="Arial" w:eastAsia="Arial" w:hAnsi="Arial"/>
          <w:sz w:val="16"/>
          <w:szCs w:val="16"/>
          <w:b w:val="1"/>
          <w:bCs w:val="1"/>
          <w:color w:val="auto"/>
        </w:rPr>
        <w:t xml:space="preserve"> </w:t>
      </w:r>
      <w:r>
        <w:rPr>
          <w:rFonts w:ascii="Arial" w:cs="Arial" w:eastAsia="Arial" w:hAnsi="Arial"/>
          <w:sz w:val="16"/>
          <w:szCs w:val="16"/>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Alan Kirshenbaum </w:t>
      </w:r>
      <w:r>
        <w:rPr>
          <w:rFonts w:ascii="Arial" w:cs="Arial" w:eastAsia="Arial" w:hAnsi="Arial"/>
          <w:sz w:val="18"/>
          <w:szCs w:val="18"/>
          <w:color w:val="auto"/>
        </w:rPr>
        <w:t>is Chief Financial Officer of TSL. Prior to being named Chief Financial Officer, Mr. Kirshenbaum was a Vice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is a Certified Public Accountant and received a B.S. from Rutgers University in 1994 and an M.B.A. from New York University’s Stern School of Business in 2003.</w:t>
      </w:r>
    </w:p>
    <w:p>
      <w:pPr>
        <w:spacing w:after="0" w:line="14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Justin Meagher </w:t>
      </w:r>
      <w:r>
        <w:rPr>
          <w:rFonts w:ascii="Arial" w:cs="Arial" w:eastAsia="Arial" w:hAnsi="Arial"/>
          <w:sz w:val="18"/>
          <w:szCs w:val="18"/>
          <w:color w:val="auto"/>
        </w:rPr>
        <w:t>is the Chief Compliance Officer of TSL. Since 2013, he has been a Principal and Deputy Chief Compliance Officer of TSSP. From 2009</w:t>
      </w:r>
      <w:r>
        <w:rPr>
          <w:rFonts w:ascii="Arial" w:cs="Arial" w:eastAsia="Arial" w:hAnsi="Arial"/>
          <w:sz w:val="18"/>
          <w:szCs w:val="18"/>
          <w:b w:val="1"/>
          <w:bCs w:val="1"/>
          <w:color w:val="auto"/>
        </w:rPr>
        <w:t xml:space="preserve"> </w:t>
      </w:r>
      <w:r>
        <w:rPr>
          <w:rFonts w:ascii="Arial" w:cs="Arial" w:eastAsia="Arial" w:hAnsi="Arial"/>
          <w:sz w:val="18"/>
          <w:szCs w:val="18"/>
          <w:color w:val="auto"/>
        </w:rPr>
        <w:t>to 2013, Mr. Meagher held multiple senior legal and compliance positions at Lehman Brothers Holdings, Inc. following its bankruptcy filing. During 2008, Mr. Meagher was Managing Director and Chief Compliance Officer of Diamond Lake Investment Group, L.P. From 2001 to 2007, Mr. Meagher was legal counsel and Deputy Chief of Compliance for Clinton Group, Inc. Mr. Meagher received a B.A. from Iona College, an M.A. from New York University and a J.D. from New York Law School.</w:t>
      </w:r>
    </w:p>
    <w:p>
      <w:pPr>
        <w:spacing w:after="0" w:line="1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Jennifer Mello </w:t>
      </w:r>
      <w:r>
        <w:rPr>
          <w:rFonts w:ascii="Arial" w:cs="Arial" w:eastAsia="Arial" w:hAnsi="Arial"/>
          <w:sz w:val="16"/>
          <w:szCs w:val="16"/>
          <w:color w:val="auto"/>
        </w:rPr>
        <w:t>is a Vice President and Secretary of TSL. Since 2012, Ms. Mello has been the General Counsel and Principal of TSSP and,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TSSP, she was Deputy General Counsel of TPG. Prior to joining TPG, she was a senior attorney at the law firm of Cleary Gottlieb Steen &amp; Hamilton LLP.</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Ms. Mello received her J.D. from Northwestern University School of Law and her B.S. from the Edmund A. Walsh School of Foreign Service at Georgetown University.</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 He is also a TPG and TSSP Partner and has been the Global Chief Financial Officer and Chief Risk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TSSP since 2013. Prior to joining TSSP, Mr. Pluss was a Managing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3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ours. See “—Biographical Information—Interested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this IPO, under the terms of an agreement between TSL and Universities Superannuation Scheme Ltd., or USS, USS had the right to nominate one director to our Board. This right to nominate was not exercised by USS and terminates in connection with this IPO.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In addition, prior to this IPO, under the terms of agreements between TSL and Oregon Public Employees Retirement Fund, State Teachers Retirement System of Ohio, State of New Jersey Common Pension Fund B, and USS, TSL was required to invite a representative from each to attend the meetings of the Board (including any meeting of the IPO Committee) in a nonvoting observer capacity. The observer rights terminate in connection with this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Board has met once in 2014,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at this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the NYSE corporate governance rules and Rule 10A-3 under the Exchange Act.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Audit Committee has the sole authority to approve the engagement, and review the performance of, our independent registered public accounting firm.</w:t>
      </w:r>
    </w:p>
    <w:p>
      <w:pPr>
        <w:spacing w:after="0" w:line="2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twice in 2014, held eight meetings in 2013 and acted on various occasions by written consent.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is responsible for:</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Nominating and Corporate Governance Committee are Messrs. Ross, Higginbotham and Tanemura, each of whom is independent for</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purposes of the NYSE corporate governance rules, and serves as Chairman. The Nominating and Corporate Governance Committee will meet one time each year and at additional times as necessary to carry out its responsibilities.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900" w:right="68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Investment Advisory Agreement and the Administration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“—Compensation and Insider Participation— Compensation of Executive Officers.”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the NYSE</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corporate governance rules. serves as Chairman. The Compensation Committee will meet one time each year and at additional times as necessary to carry out its responsibilities.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initial public offering of our common stock, including:</w:t>
      </w:r>
    </w:p>
    <w:p>
      <w:pPr>
        <w:spacing w:after="0" w:line="5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preparation of this registration statement and prospectus in connection with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issuance and sale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negotiation of the terms and conditions of any underwriting agreements relating to an initial public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authorization of certain of our officers to execute and deliver the documents relevant to an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IPO Committee acts solely in an advisory capacity to the Board and is not authorized to take any actions on behalf of the Board or us.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Messrs. Easterly, Fishman and Tanemura are members of the IPO Committee. Mr. Easterly serves as Chairman. The IPO Committee has held one meeting in 2014 and one meeting in 2013. Following this IPO, we will no longer have an IPO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consummation of this offering, we will maintain a corporate governance section on our website, which contains copies of the charters for the committees of our Board of Directors. The corporate governance section may be found at http://www.tpgspecialtylending.com in the “Investor Relations” section of our website. Information on our website is not incorporated into or part of this prospectus. The corporate governance section contains the following documents, which are available in print to any stockholder who requests a copy in writing at 345 California Street, Suite 3300, San Francisco, CA 94104, Attention: TSL Investor Relations, or by 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p>
      <w:pPr>
        <w:spacing w:after="0" w:line="6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Relations”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301 Commerce Street, Suite 3300, Fort Worth, TX 76102. Please refer to the text of our bylaws (including Article II, paragraph (K)), which are on file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Board believes that the inclusion of diversity as one of many factors considered in selecting director nominees is consistent with the Board’s goal of creating a Board that best serves the needs of TSL and the interests of its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$75,000 annual retainer, which will be $100,000 following this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or Paid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in Cash</w:t>
            </w:r>
          </w:p>
        </w:tc>
        <w:tc>
          <w:tcPr>
            <w:tcW w:w="7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$98,000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entered into by and between us and the Adviser and the Administration Agreement entered into between us and the Adviser.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9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Twenty of these personnel are dedicated to our business, including 16 investment professionals. The TSSP members of the Investment Review Committee are Joshua Easterly, Michael Fishman, Alan Waxman and David Stiepleman.</w:t>
      </w:r>
    </w:p>
    <w:p>
      <w:pPr>
        <w:spacing w:after="0" w:line="10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the date of this prospectus, our Adviser owned 6.2% of our common stock and had committed $100 million in equity capital under a subscription agreement like those entered into with our existing investors. The</w:t>
      </w:r>
    </w:p>
    <w:p>
      <w:pPr>
        <w:spacing w:after="0" w:line="1"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Adviser has agreed to purchase $</w:t>
      </w:r>
      <w:r>
        <w:rPr>
          <w:sz w:val="20"/>
          <w:szCs w:val="20"/>
          <w:color w:val="auto"/>
        </w:rPr>
        <w:tab/>
      </w:r>
      <w:r>
        <w:rPr>
          <w:rFonts w:ascii="Arial" w:cs="Arial" w:eastAsia="Arial" w:hAnsi="Arial"/>
          <w:sz w:val="16"/>
          <w:szCs w:val="16"/>
          <w:color w:val="auto"/>
        </w:rPr>
        <w:t>million of our common stock in the concurrent private placement. Immediately after the concurrent private placement</w:t>
      </w:r>
    </w:p>
    <w:p>
      <w:pPr>
        <w:spacing w:after="0" w:line="9"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and this offering, the Adviser will hold shares, or % of common stock (assuming an initial public offering price equal to the mid-point of the range on the front cover of this prospectus). See “Related-Party Transactions and Certain Relationships” and “Control Persons and Principal Stockholders.”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has also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See “Related-Party Transactions and Certain Relationships.”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Investment Advisory Agreement, we pay the Adviser the Management Fee and may also pay certain Incentive Fees.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this IPO, the Adviser has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the completion of this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4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this IPO and for the quarter in which this IPO is completed) and for pre-Incentive fee net investment income in excess of 1.82% quarterly, 17.5% of all remaining pre-Incentive Fee net investment income for that quarter (an increase from 15% prior to the completion of this IPO and for the quarter in which this IPO is completed). The 100% “catch-up” provision for pre-Incentive Fee net investment income in excess of the 1.5% “hurdle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6" w:lineRule="exact"/>
        <w:rPr>
          <w:sz w:val="20"/>
          <w:szCs w:val="20"/>
          <w:color w:val="auto"/>
        </w:rPr>
      </w:pPr>
    </w:p>
    <w:p>
      <w:pPr>
        <w:ind w:left="90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5"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this IPO is completed equals 15%, and following the completion of this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this IPO is completed, the Incentive Fee rate will be 17.5%. The weighted percentage is intended to ensure that for each fiscal year following the completion of this IPO, the portion of our realized capital gains that accrued prior to the end of the quarter in which this IPO is completed will be subject to an Incentive Fee rate of 15% and the portion of our realized capital gains that accrued following the end of the quarter in which this IPO is completed will be subject to an Incentive Fee rate of 17.5%. Although unrealized gains that occur after the quarter in which the IPO occurs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the IPO occurs for the same reason.</w:t>
      </w:r>
    </w:p>
    <w:p>
      <w:pPr>
        <w:spacing w:after="0" w:line="12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3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Following this IPO,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Prior to the completion of this IPO, if cumulative net realized losses from our inception exceeded the aggregate dollar amount of dividends paid by us through that date, the Adviser would forgo the right to receive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quarterly Incentive Fee payments with respect to pre-Incentive Fee net investment income until the time that cumulative net realized losses were less than or equal to the aggregate amount of dividend payments. To date, cumulative net realized losses from our inception have not exceeded the aggregate dollar amount of dividends paid by us. The Adviser does not intend to continue forgoing its right to this fee following the completion of this IPO.</w:t>
      </w:r>
    </w:p>
    <w:p>
      <w:pPr>
        <w:spacing w:after="0" w:line="10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9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Following the IPO, the base against which the hurdle rate is calculated will be determined as described above in this section.</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 See “Risk Factors—Risks Related to Our Business and Structure—We are dependent upon management personnel of the Adviser for our future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7" w:lineRule="exact"/>
        <w:rPr>
          <w:sz w:val="20"/>
          <w:szCs w:val="20"/>
          <w:color w:val="auto"/>
        </w:rPr>
      </w:pPr>
    </w:p>
    <w:p>
      <w:pPr>
        <w:ind w:left="460" w:right="3560" w:firstLine="3097"/>
        <w:spacing w:after="0" w:line="604" w:lineRule="auto"/>
        <w:rPr>
          <w:sz w:val="20"/>
          <w:szCs w:val="20"/>
          <w:color w:val="auto"/>
        </w:rPr>
      </w:pPr>
      <w:r>
        <w:rPr>
          <w:rFonts w:ascii="Arial" w:cs="Arial" w:eastAsia="Arial" w:hAnsi="Arial"/>
          <w:sz w:val="15"/>
          <w:szCs w:val="15"/>
          <w:b w:val="1"/>
          <w:bCs w:val="1"/>
          <w:color w:val="auto"/>
        </w:rPr>
        <w:t xml:space="preserve">Quarterly Incentive Fee Based on Net Investment Income </w:t>
      </w:r>
      <w:r>
        <w:rPr>
          <w:rFonts w:ascii="Arial" w:cs="Arial" w:eastAsia="Arial" w:hAnsi="Arial"/>
          <w:sz w:val="15"/>
          <w:szCs w:val="15"/>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-35560</wp:posOffset>
            </wp:positionV>
            <wp:extent cx="4587875" cy="814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878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88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0.513%</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example assumes that this IPO of our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10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8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w w:val="84"/>
              </w:rPr>
              <w:t>Cumulative</w:t>
            </w:r>
          </w:p>
        </w:tc>
        <w:tc>
          <w:tcPr>
            <w:tcW w:w="104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Investment</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Depreciation</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(cost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basis)</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million</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(sale</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at IPO</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IPO</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(sale</w:t>
            </w: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basis)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FMV</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price)</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6</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million</w:t>
            </w: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million</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(sale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FMV</w:t>
            </w:r>
          </w:p>
        </w:tc>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w:t>
            </w:r>
          </w:p>
        </w:tc>
        <w:tc>
          <w:tcPr>
            <w:tcW w:w="10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8"/>
                <w:szCs w:val="18"/>
                <w:color w:val="auto"/>
              </w:rPr>
              <w:t>Year 8</w:t>
            </w:r>
          </w:p>
        </w:tc>
        <w:tc>
          <w:tcPr>
            <w:tcW w:w="16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million</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(sale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475"/>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9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2:</w:t>
      </w:r>
    </w:p>
    <w:p>
      <w:pPr>
        <w:spacing w:after="0" w:line="171"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17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3:</w:t>
      </w:r>
    </w:p>
    <w:p>
      <w:pPr>
        <w:spacing w:after="0" w:line="90"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85"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4:</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172"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5:</w:t>
      </w:r>
    </w:p>
    <w:p>
      <w:pPr>
        <w:spacing w:after="0" w:line="171" w:lineRule="exact"/>
        <w:rPr>
          <w:sz w:val="20"/>
          <w:szCs w:val="20"/>
          <w:color w:val="auto"/>
        </w:rPr>
      </w:pPr>
    </w:p>
    <w:p>
      <w:pPr>
        <w:ind w:left="1500" w:right="360"/>
        <w:spacing w:after="0" w:line="268"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132"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6:</w:t>
      </w:r>
    </w:p>
    <w:p>
      <w:pPr>
        <w:spacing w:after="0" w:line="171" w:lineRule="exact"/>
        <w:rPr>
          <w:sz w:val="20"/>
          <w:szCs w:val="20"/>
          <w:color w:val="auto"/>
        </w:rPr>
      </w:pPr>
    </w:p>
    <w:p>
      <w:pPr>
        <w:ind w:left="1500" w:right="1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85" w:lineRule="exact"/>
        <w:rPr>
          <w:sz w:val="20"/>
          <w:szCs w:val="20"/>
          <w:color w:val="auto"/>
        </w:rPr>
      </w:pPr>
    </w:p>
    <w:p>
      <w:pPr>
        <w:ind w:left="1500" w:right="10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7:</w:t>
      </w:r>
    </w:p>
    <w:p>
      <w:pPr>
        <w:spacing w:after="0" w:line="171" w:lineRule="exact"/>
        <w:rPr>
          <w:sz w:val="20"/>
          <w:szCs w:val="20"/>
          <w:color w:val="auto"/>
        </w:rPr>
      </w:pPr>
    </w:p>
    <w:p>
      <w:pPr>
        <w:ind w:left="1500"/>
        <w:spacing w:after="0" w:line="33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8:</w:t>
      </w:r>
    </w:p>
    <w:p>
      <w:pPr>
        <w:spacing w:after="0" w:line="171" w:lineRule="exact"/>
        <w:rPr>
          <w:sz w:val="20"/>
          <w:szCs w:val="20"/>
          <w:color w:val="auto"/>
        </w:rPr>
      </w:pPr>
    </w:p>
    <w:p>
      <w:pPr>
        <w:ind w:left="1500" w:right="20"/>
        <w:spacing w:after="0" w:line="33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85"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60"/>
          </w:cols>
          <w:pgMar w:left="240" w:top="459" w:right="3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“Risk Factors— Risks Related to Our Business and Structure—We are dependent upon management personnel of the Adviser for our future success.”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this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2,604,620 shares, or 6.2%, of our common stock as of the date of this prospectus. The Adviser has agreed</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purchase $ million of our common stock in the concurrent private placement. Immediately after the private placement and this offering, the Adviser will hold shares, or % of our common stock (assuming an initial public offering price equal to the mid-point of the range on the front cover of this prospectus).</w:t>
      </w:r>
    </w:p>
    <w:p>
      <w:pPr>
        <w:spacing w:after="0" w:line="144"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The Adviser has entered into the 10b5-1 Plan under which Goldman, Sachs &amp; Co., as agent for the Adviser, will buy up to $25 million in the aggregate of our common stock during the period beginning after four full calendar weeks after the closing of this offering and ending on the earlier of the date on which all the capital committed to the 10b5-1 Plan has been exhausted or December 31, 2014, subject to certain conditions. The 10b5-1 Plan will require Goldman, Sachs</w:t>
      </w:r>
    </w:p>
    <w:p>
      <w:pPr>
        <w:spacing w:after="0" w:line="1" w:lineRule="exact"/>
        <w:rPr>
          <w:sz w:val="20"/>
          <w:szCs w:val="20"/>
          <w:color w:val="auto"/>
        </w:rPr>
      </w:pPr>
    </w:p>
    <w:p>
      <w:pPr>
        <w:ind w:firstLine="8"/>
        <w:spacing w:after="0" w:line="307" w:lineRule="auto"/>
        <w:tabs>
          <w:tab w:leader="none" w:pos="181" w:val="left"/>
        </w:tabs>
        <w:numPr>
          <w:ilvl w:val="0"/>
          <w:numId w:val="99"/>
        </w:numPr>
        <w:rPr>
          <w:rFonts w:ascii="Arial" w:cs="Arial" w:eastAsia="Arial" w:hAnsi="Arial"/>
          <w:sz w:val="15"/>
          <w:szCs w:val="15"/>
          <w:color w:val="auto"/>
        </w:rPr>
      </w:pPr>
      <w:r>
        <w:rPr>
          <w:rFonts w:ascii="Arial" w:cs="Arial" w:eastAsia="Arial" w:hAnsi="Arial"/>
          <w:sz w:val="15"/>
          <w:szCs w:val="15"/>
          <w:color w:val="auto"/>
        </w:rPr>
        <w:t>Co. to purchase for the Adviser shares of common stock offered for sale below a price equal to the price to the initial public offering price per share through the date we announce our second quarter 2014 earnings and, from and after that date, below our most recently reported net asset value per share as of the date of a trade. The purchase 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meaning the shares purchased will be locked-up until 365 days after the date of this prospectus. Under the 10b5-1 Plan, Goldman, Sachs &amp; Co. will increase the volume of purchases made as the price of our common stock declines, subject to volume restrictions. See “Shares Eligible for Future Sale—Lock-Up Agreements.”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Certain members of the Adviser’s senior management and Investment Review Committee are and will continue to be active in other investment funds affiliated with TSSP and TPG that pursue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directors and officers are directors or officers of the Adviser or its affiliates. See “Management—Biographical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Immediately prior to the completion of this offering and the concurrent private placement there will be 41,762,724 shares of common stock issued and outstanding and 56 stockholders of record. The following table sets forth certain ownership information as indicated in our books and records of each current director, our executive officers, the executive officers and directors as a group, and each person known to us to beneficially own 5% or more of the outstanding shares of our common stock. To our knowledge, except as indicated in the footnotes to the table, each of the stockholders listed below has sole voting or investment power with respect to shares beneficially owned by such stockholder. 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Unless otherwise indicated by footnote, the address for each listed individual is 301 Commerce Street, Suite 3300, Fort Worth, TX 76102.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Individual or Identity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5779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1"/>
          <w:szCs w:val="11"/>
          <w:color w:val="auto"/>
        </w:rPr>
        <w:t>(3)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1"/>
          <w:szCs w:val="11"/>
          <w:color w:val="auto"/>
        </w:rPr>
        <w:t>(4)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Named Executive Officers Who Are Not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1"/>
          <w:szCs w:val="11"/>
          <w:color w:val="auto"/>
        </w:rPr>
        <w:t>(5)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and Executive Officers as a Group (12 persons)</w:t>
      </w:r>
      <w:r>
        <w:rPr>
          <w:rFonts w:ascii="Arial" w:cs="Arial" w:eastAsia="Arial" w:hAnsi="Arial"/>
          <w:sz w:val="10"/>
          <w:szCs w:val="10"/>
          <w:color w:val="auto"/>
        </w:rPr>
        <w:t>(6)(7)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Five-Percent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New Jersey Common Pension Fund B</w:t>
      </w:r>
      <w:r>
        <w:rPr>
          <w:rFonts w:ascii="Arial" w:cs="Arial" w:eastAsia="Arial" w:hAnsi="Arial"/>
          <w:sz w:val="11"/>
          <w:szCs w:val="11"/>
          <w:color w:val="auto"/>
        </w:rPr>
        <w:t>(8)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1"/>
          <w:szCs w:val="11"/>
          <w:color w:val="auto"/>
        </w:rPr>
        <w:t>(9)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1"/>
          <w:szCs w:val="11"/>
          <w:color w:val="auto"/>
        </w:rPr>
        <w:t>(10)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1"/>
          <w:szCs w:val="11"/>
          <w:color w:val="auto"/>
        </w:rPr>
        <w:t>(7)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1"/>
          <w:szCs w:val="11"/>
          <w:color w:val="auto"/>
        </w:rPr>
        <w:t>(11)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1"/>
          <w:szCs w:val="11"/>
          <w:color w:val="auto"/>
        </w:rPr>
        <w:t>(12)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1"/>
          <w:szCs w:val="11"/>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 State Retirement System</w:t>
      </w: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Percentage of Common Stock Outstanding</w:t>
            </w:r>
          </w:p>
        </w:tc>
        <w:tc>
          <w:tcPr>
            <w:tcW w:w="640" w:type="dxa"/>
            <w:vAlign w:val="bottom"/>
            <w:tcBorders>
              <w:bottom w:val="single" w:sz="8" w:color="auto"/>
            </w:tcBorders>
          </w:tcPr>
          <w:p>
            <w:pPr>
              <w:spacing w:after="0"/>
              <w:rPr>
                <w:sz w:val="14"/>
                <w:szCs w:val="14"/>
                <w:color w:val="auto"/>
              </w:rPr>
            </w:pPr>
          </w:p>
        </w:tc>
      </w:tr>
      <w:tr>
        <w:trPr>
          <w:trHeight w:val="115"/>
        </w:trPr>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rPr>
              <w:t>Immediately Prior to This</w:t>
            </w:r>
          </w:p>
        </w:tc>
        <w:tc>
          <w:tcPr>
            <w:tcW w:w="660" w:type="dxa"/>
            <w:vAlign w:val="bottom"/>
          </w:tcPr>
          <w:p>
            <w:pPr>
              <w:spacing w:after="0"/>
              <w:rPr>
                <w:sz w:val="10"/>
                <w:szCs w:val="10"/>
                <w:color w:val="auto"/>
              </w:rPr>
            </w:pPr>
          </w:p>
        </w:tc>
        <w:tc>
          <w:tcPr>
            <w:tcW w:w="198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rPr>
              <w:t>Immediately After This</w:t>
            </w:r>
          </w:p>
        </w:tc>
      </w:tr>
      <w:tr>
        <w:trPr>
          <w:trHeight w:val="176"/>
        </w:trPr>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612"/>
              <w:spacing w:after="0" w:line="176" w:lineRule="exact"/>
              <w:rPr>
                <w:sz w:val="20"/>
                <w:szCs w:val="20"/>
                <w:color w:val="auto"/>
              </w:rPr>
            </w:pPr>
            <w:r>
              <w:rPr>
                <w:rFonts w:ascii="Arial" w:cs="Arial" w:eastAsia="Arial" w:hAnsi="Arial"/>
                <w:sz w:val="13"/>
                <w:szCs w:val="13"/>
                <w:b w:val="1"/>
                <w:bCs w:val="1"/>
                <w:color w:val="auto"/>
                <w:w w:val="95"/>
              </w:rPr>
              <w:t>Offering</w:t>
            </w:r>
            <w:r>
              <w:rPr>
                <w:rFonts w:ascii="Arial" w:cs="Arial" w:eastAsia="Arial" w:hAnsi="Arial"/>
                <w:sz w:val="20"/>
                <w:szCs w:val="20"/>
                <w:b w:val="1"/>
                <w:bCs w:val="1"/>
                <w:color w:val="auto"/>
                <w:w w:val="95"/>
                <w:vertAlign w:val="superscript"/>
              </w:rPr>
              <w:t>(1)</w:t>
            </w:r>
          </w:p>
        </w:tc>
        <w:tc>
          <w:tcPr>
            <w:tcW w:w="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Offering</w:t>
            </w:r>
            <w:r>
              <w:rPr>
                <w:rFonts w:ascii="Arial" w:cs="Arial" w:eastAsia="Arial" w:hAnsi="Arial"/>
                <w:sz w:val="20"/>
                <w:szCs w:val="20"/>
                <w:b w:val="1"/>
                <w:bCs w:val="1"/>
                <w:color w:val="auto"/>
                <w:w w:val="92"/>
                <w:vertAlign w:val="superscript"/>
              </w:rPr>
              <w:t>(2)</w:t>
            </w:r>
          </w:p>
        </w:tc>
        <w:tc>
          <w:tcPr>
            <w:tcW w:w="640" w:type="dxa"/>
            <w:vAlign w:val="bottom"/>
            <w:tcBorders>
              <w:bottom w:val="single" w:sz="8" w:color="auto"/>
            </w:tcBorders>
          </w:tcPr>
          <w:p>
            <w:pPr>
              <w:spacing w:after="0"/>
              <w:rPr>
                <w:sz w:val="15"/>
                <w:szCs w:val="15"/>
                <w:color w:val="auto"/>
              </w:rPr>
            </w:pPr>
          </w:p>
        </w:tc>
      </w:tr>
      <w:tr>
        <w:trPr>
          <w:trHeight w:val="129"/>
        </w:trPr>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jc w:val="center"/>
              <w:ind w:right="617"/>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1"/>
                <w:szCs w:val="11"/>
                <w:color w:val="auto"/>
              </w:rPr>
            </w:pPr>
          </w:p>
        </w:tc>
      </w:tr>
      <w:tr>
        <w:trPr>
          <w:trHeight w:val="149"/>
        </w:trPr>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Type of</w:t>
            </w:r>
          </w:p>
        </w:tc>
        <w:tc>
          <w:tcPr>
            <w:tcW w:w="1340" w:type="dxa"/>
            <w:vAlign w:val="bottom"/>
            <w:gridSpan w:val="2"/>
          </w:tcPr>
          <w:p>
            <w:pPr>
              <w:jc w:val="center"/>
              <w:ind w:left="59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spacing w:after="0"/>
              <w:rPr>
                <w:sz w:val="12"/>
                <w:szCs w:val="12"/>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66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68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-8255</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266065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540385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814705</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1089025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1363345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1637665</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1912620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2186940</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2461260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448" w:lineRule="exact"/>
        <w:rPr>
          <w:sz w:val="20"/>
          <w:szCs w:val="20"/>
          <w:color w:val="auto"/>
        </w:rPr>
      </w:pPr>
    </w:p>
    <w:p>
      <w:pPr>
        <w:sectPr>
          <w:pgSz w:w="11900" w:h="16838" w:orient="portrait"/>
          <w:cols w:equalWidth="0" w:num="2">
            <w:col w:w="4760" w:space="720"/>
            <w:col w:w="5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060" w:type="dxa"/>
            <w:vAlign w:val="bottom"/>
          </w:tcPr>
          <w:p>
            <w:pPr>
              <w:ind w:left="180"/>
              <w:spacing w:after="0"/>
              <w:rPr>
                <w:sz w:val="20"/>
                <w:szCs w:val="20"/>
                <w:color w:val="auto"/>
              </w:rPr>
            </w:pPr>
            <w:r>
              <w:rPr>
                <w:rFonts w:ascii="Arial" w:cs="Arial" w:eastAsia="Arial" w:hAnsi="Arial"/>
                <w:sz w:val="18"/>
                <w:szCs w:val="18"/>
                <w:color w:val="auto"/>
                <w:w w:val="84"/>
              </w:rPr>
              <w:t>Represents less than 0.1%.</w:t>
            </w:r>
          </w:p>
        </w:tc>
        <w:tc>
          <w:tcPr>
            <w:tcW w:w="8480" w:type="dxa"/>
            <w:vAlign w:val="bottom"/>
          </w:tcPr>
          <w:p>
            <w:pPr>
              <w:spacing w:after="0"/>
              <w:rPr>
                <w:sz w:val="18"/>
                <w:szCs w:val="18"/>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Assumes the issuance of</w:t>
            </w:r>
          </w:p>
        </w:tc>
        <w:tc>
          <w:tcPr>
            <w:tcW w:w="8480" w:type="dxa"/>
            <w:vAlign w:val="bottom"/>
          </w:tcPr>
          <w:p>
            <w:pPr>
              <w:spacing w:after="0"/>
              <w:rPr>
                <w:sz w:val="20"/>
                <w:szCs w:val="20"/>
                <w:color w:val="auto"/>
              </w:rPr>
            </w:pPr>
            <w:r>
              <w:rPr>
                <w:rFonts w:ascii="Arial" w:cs="Arial" w:eastAsia="Arial" w:hAnsi="Arial"/>
                <w:sz w:val="18"/>
                <w:szCs w:val="18"/>
                <w:color w:val="auto"/>
                <w:w w:val="87"/>
              </w:rPr>
              <w:t>shares in connection with the private placement, based on an assumed price per share equal to the mid-point of the range</w:t>
            </w:r>
          </w:p>
        </w:tc>
      </w:tr>
      <w:tr>
        <w:trPr>
          <w:trHeight w:val="216"/>
        </w:trPr>
        <w:tc>
          <w:tcPr>
            <w:tcW w:w="340" w:type="dxa"/>
            <w:vAlign w:val="bottom"/>
          </w:tcPr>
          <w:p>
            <w:pPr>
              <w:spacing w:after="0"/>
              <w:rPr>
                <w:sz w:val="18"/>
                <w:szCs w:val="18"/>
                <w:color w:val="auto"/>
              </w:rPr>
            </w:pPr>
          </w:p>
        </w:tc>
        <w:tc>
          <w:tcPr>
            <w:tcW w:w="10920" w:type="dxa"/>
            <w:vAlign w:val="bottom"/>
            <w:gridSpan w:val="3"/>
          </w:tcPr>
          <w:p>
            <w:pPr>
              <w:ind w:left="120"/>
              <w:spacing w:after="0"/>
              <w:rPr>
                <w:sz w:val="20"/>
                <w:szCs w:val="20"/>
                <w:color w:val="auto"/>
              </w:rPr>
            </w:pPr>
            <w:r>
              <w:rPr>
                <w:rFonts w:ascii="Arial" w:cs="Arial" w:eastAsia="Arial" w:hAnsi="Arial"/>
                <w:sz w:val="18"/>
                <w:szCs w:val="18"/>
                <w:color w:val="auto"/>
              </w:rPr>
              <w:t>on the front cover of this prospectus.</w:t>
            </w:r>
          </w:p>
        </w:tc>
      </w:t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Based on the issuance of</w:t>
            </w:r>
          </w:p>
        </w:tc>
        <w:tc>
          <w:tcPr>
            <w:tcW w:w="8480" w:type="dxa"/>
            <w:vAlign w:val="bottom"/>
          </w:tcPr>
          <w:p>
            <w:pPr>
              <w:ind w:left="20"/>
              <w:spacing w:after="0"/>
              <w:rPr>
                <w:sz w:val="20"/>
                <w:szCs w:val="20"/>
                <w:color w:val="auto"/>
              </w:rPr>
            </w:pPr>
            <w:r>
              <w:rPr>
                <w:rFonts w:ascii="Arial" w:cs="Arial" w:eastAsia="Arial" w:hAnsi="Arial"/>
                <w:sz w:val="18"/>
                <w:szCs w:val="18"/>
                <w:color w:val="auto"/>
                <w:w w:val="89"/>
              </w:rPr>
              <w:t>shares offered by this prospectus (excluding any shares to be sold pursuant to the underwriters’ over-allotment option).</w:t>
            </w:r>
          </w:p>
        </w:tc>
      </w:tr>
    </w:tbl>
    <w:p>
      <w:pPr>
        <w:ind w:left="460" w:right="32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60" w:right="420" w:hanging="452"/>
        <w:spacing w:after="0" w:line="261"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shares owned by officers that are not “Named Executive Officers,” as defined in Item 402 of Regulation S-K, as promulgated under the 1933 Act.</w:t>
      </w:r>
    </w:p>
    <w:p>
      <w:pPr>
        <w:spacing w:after="0" w:line="38" w:lineRule="exact"/>
        <w:rPr>
          <w:rFonts w:ascii="Arial" w:cs="Arial" w:eastAsia="Arial" w:hAnsi="Arial"/>
          <w:sz w:val="16"/>
          <w:szCs w:val="16"/>
          <w:color w:val="auto"/>
        </w:rPr>
      </w:pPr>
    </w:p>
    <w:p>
      <w:pPr>
        <w:ind w:left="460" w:right="200" w:hanging="452"/>
        <w:spacing w:after="0" w:line="30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our Adviser; (ii) 435,346 shares of common stock, or the TSL FOF Shares, held by TSL FOF, L.P., a Delaware limited partnership, or TSL FOF; and (iii) 66 shares of common stock held by Tarrant Advisors, Inc., a Delaware corporation, or Tarrant, and, together with our Adviser and TSL FOF, the TPG Funds.</w:t>
      </w:r>
    </w:p>
    <w:p>
      <w:pPr>
        <w:spacing w:after="0" w:line="2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business and affairs of our Adviser are managed by its board of managers, whose sole members are Messrs. Bonderman, Coulter and Waxman. Any decision or determination by the board of managers requires the approval of each of Messrs. Bonderman, Coulter and Waxman.</w:t>
      </w:r>
    </w:p>
    <w:p>
      <w:pPr>
        <w:spacing w:after="0" w:line="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our Adviser. Because of the relationship between Holdings II Sub and our Adviser, Group Advisors may be deemed to beneficially own the TSL Shares. The principal business of Group Advisors is serving as the sole ultimate general partner, managing member or similar entity of related entities (including our Adviser) engaged in making or recommending investments in securities of public and private companies.</w:t>
      </w:r>
    </w:p>
    <w:p>
      <w:pPr>
        <w:spacing w:after="0" w:line="39"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our Adviser. Because of the investment by Equity Partners in our Adviser, Tarrant Capital may be deemed to beneficially own 2,206,629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Adviser is required to solicit voting instructions from Equity Partners and Holdings II Sub in respect of the shares of common stock beneficially owned by Equity Partners and Holdings II Sub, respectively, in connection with any matter on which our Adviser is entitled to vote the TSL Shares. Our Adviser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our Adviser to vote proxies in respect of its TSL Shares proportionately in accordance with such instructions.</w:t>
      </w:r>
    </w:p>
    <w:p>
      <w:pPr>
        <w:spacing w:after="0" w:line="35"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Messrs. Bonderman and Coulter are officers and sole stockholders of each of Tarrant Capital and Group Advisors. As officers and sole stockholders of Group Advisors, Mr. Bonderman and Mr. Coulter may indirectly issue voting instructions to our Adviser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our Adviser,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9th Floor Trenton, NJ 08608.</w:t>
      </w:r>
    </w:p>
    <w:p>
      <w:pPr>
        <w:spacing w:after="0" w:line="49" w:lineRule="exact"/>
        <w:rPr>
          <w:rFonts w:ascii="Arial" w:cs="Arial" w:eastAsia="Arial" w:hAnsi="Arial"/>
          <w:sz w:val="15"/>
          <w:szCs w:val="15"/>
          <w:color w:val="auto"/>
        </w:rPr>
      </w:pPr>
    </w:p>
    <w:p>
      <w:pPr>
        <w:ind w:left="460" w:hanging="452"/>
        <w:spacing w:after="0" w:line="281"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following completion of the offering. We are not part of a “family of investment companies,” as that term is defined in the 1940 Act.</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900" w:type="dxa"/>
            <w:vAlign w:val="bottom"/>
            <w:gridSpan w:val="2"/>
          </w:tcPr>
          <w:p>
            <w:pPr>
              <w:jc w:val="center"/>
              <w:ind w:left="1722"/>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76"/>
        </w:trPr>
        <w:tc>
          <w:tcPr>
            <w:tcW w:w="38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Beneficially Owned</w:t>
            </w:r>
            <w:r>
              <w:rPr>
                <w:rFonts w:ascii="Arial" w:cs="Arial" w:eastAsia="Arial" w:hAnsi="Arial"/>
                <w:sz w:val="20"/>
                <w:szCs w:val="20"/>
                <w:b w:val="1"/>
                <w:bCs w:val="1"/>
                <w:color w:val="auto"/>
                <w:w w:val="90"/>
                <w:vertAlign w:val="superscript"/>
              </w:rPr>
              <w:t>(1)(2)</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8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Joshua Easterly</w:t>
            </w:r>
          </w:p>
        </w:tc>
        <w:tc>
          <w:tcPr>
            <w:tcW w:w="3900" w:type="dxa"/>
            <w:vAlign w:val="bottom"/>
            <w:gridSpan w:val="2"/>
          </w:tcPr>
          <w:p>
            <w:pPr>
              <w:jc w:val="center"/>
              <w:ind w:left="1722"/>
              <w:spacing w:after="0"/>
              <w:rPr>
                <w:sz w:val="20"/>
                <w:szCs w:val="20"/>
                <w:color w:val="auto"/>
              </w:rPr>
            </w:pPr>
            <w:r>
              <w:rPr>
                <w:rFonts w:ascii="Arial" w:cs="Arial" w:eastAsia="Arial" w:hAnsi="Arial"/>
                <w:sz w:val="18"/>
                <w:szCs w:val="18"/>
                <w:color w:val="auto"/>
                <w:w w:val="88"/>
              </w:rPr>
              <w:t>$50,001 -$100,000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Michael Fishman</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Richard Higginbotham</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John Ross</w:t>
            </w:r>
          </w:p>
        </w:tc>
        <w:tc>
          <w:tcPr>
            <w:tcW w:w="1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Ronald Tanemura</w:t>
            </w:r>
          </w:p>
        </w:tc>
        <w:tc>
          <w:tcPr>
            <w:tcW w:w="18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December 31, 2013, multiplied by our net asset value per share as of December 31,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26"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action will be required on the part of a registered stockholder to have its cash dividend or other distribution reinvested in our common stock. A registered stockholder will be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will set up an account for shares acquired through the plan for each stockholder who has not elected to receive cash dividends or distributions in cash and hold the shares in non-certificated form.</w:t>
      </w:r>
    </w:p>
    <w:p>
      <w:pPr>
        <w:spacing w:after="0" w:line="1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0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correspondence concerning the plan should be directed to the plan administrator by mail at TPG Specialty Lending Inc., c/o State Street Bank and Trust Company, 1 Lincoln Street, Boston, Massachusetts 02145.</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us and to an investment in shares of our common stock. This summary also includes a description of our distribution policy and certain risks related thereto. This summary does not purport to be a complete description of the income tax considerations applicable to such an investment. For example, we have not described tax consequences that may be relevant to certain types of stockholders subject to special treatment under U.S. federal income tax laws, including:</w:t>
      </w:r>
    </w:p>
    <w:p>
      <w:pPr>
        <w:spacing w:after="0" w:line="32"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entities taxed as partnerships and partners therein;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persons holding our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 stockholders who have a “functional currency” other than the U.S. dollar.</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summary assumes that investors will hold our common stock as a capital asset, which generally means as property held for investment. The discussion is based upon the Code, U.S.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the IRS, regarding this offering or the statements made and the conclusions reached in this summary and we cannot assure you that the IRS will agree with such statements or conclusions. This summary does not discuss any aspects of:</w:t>
      </w:r>
    </w:p>
    <w:p>
      <w:pPr>
        <w:spacing w:after="0" w:line="35"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 federal estate or gift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foreign, state or local tax;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unearned income Medicare contribution tax pursuant to the Health Care and Education Reconciliation Act of 2010.</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that is for U.S. federal income tax purposes:</w:t>
      </w:r>
    </w:p>
    <w:p>
      <w:pPr>
        <w:spacing w:after="0" w:line="5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domestic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otherwise subject to U.S. federal income tax on a net income basis in respect of our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after December 31, 2013 may be eligible for look-through tax treatment if Congress extends certain rules to apply to such taxable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90"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25" w:lineRule="exact"/>
        <w:rPr>
          <w:rFonts w:ascii="Arial" w:cs="Arial" w:eastAsia="Arial" w:hAnsi="Arial"/>
          <w:sz w:val="16"/>
          <w:szCs w:val="16"/>
          <w:color w:val="auto"/>
        </w:rPr>
      </w:pPr>
    </w:p>
    <w:p>
      <w:pPr>
        <w:ind w:left="1480" w:right="40" w:hanging="446"/>
        <w:spacing w:after="0" w:line="306" w:lineRule="auto"/>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39"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8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“Distributions”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“Dividend Reinvestment Plan” for a description of our dividend policy and obligations. One or more of the considerations described below, however, could result in the deferral of dividend distributions until the end of the fiscal year:</w:t>
      </w:r>
    </w:p>
    <w:p>
      <w:pPr>
        <w:spacing w:after="0" w:line="51" w:lineRule="exact"/>
        <w:rPr>
          <w:sz w:val="20"/>
          <w:szCs w:val="20"/>
          <w:color w:val="auto"/>
        </w:rPr>
      </w:pPr>
    </w:p>
    <w:p>
      <w:pPr>
        <w:ind w:left="900" w:right="60" w:hanging="325"/>
        <w:spacing w:after="0" w:line="306"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50"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and, after the adjusted tax basis is reduced to zero, will constitute capital gains to such U.S. stockholder.</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dividends declared by us in October, November, or December of any calendar year, payable to holders of our common shares of record on a specified date in such a month, which are actually paid during January of the following calendar year, will be treated as if paid by us and received by such 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62" w:lineRule="exact"/>
        <w:rPr>
          <w:sz w:val="20"/>
          <w:szCs w:val="20"/>
          <w:color w:val="auto"/>
        </w:rPr>
      </w:pPr>
    </w:p>
    <w:p>
      <w:pPr>
        <w:ind w:left="900" w:right="10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 not later than our first payment of the same type of dividend following such declaration; and</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Any such election will not alter the general rule that a holder of our common shares will be treated as receiving a dividend in the taxable year in which the dividend is distributed, subject to the October, November, or December dividend declaration rule discussed immediately above.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If a U.S. stockholder sells or otherwise disposes of shares of our common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of such distributions on our common stock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Limitation with respect to Certain U.S. Stockholders on Deductions for Certain Fees and Expenses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Whether an investment in the shares of our common stock is appropriate for a Non-U.S. stockholder will depend upon that person’s particular circumstances. An investment in the shares of our common stock by a Non-U.S. stockholder may have adverse tax consequences as compared to a direct investment in the assets in which we will invest. Non-U.S. stockholders should consult their tax advisors before investing in our common stock.</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holder could have received the underlying income free of tax; or (ii) such holder qualifies for, and complies with the procedures for claiming, an exemption or reduced rate under an applicable income tax treaty; or (iii) such holder qualifies, and complies with the procedures for claiming, an exemption by reason of its status as a foreign government-related entity.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 rules expired for taxable years beginning after December 31, 2013. Further legislation is required to make the exemption available with respect to taxable years that commence after December 31, 2013. </w:t>
      </w:r>
      <w:r>
        <w:rPr>
          <w:rFonts w:ascii="Arial" w:cs="Arial" w:eastAsia="Arial" w:hAnsi="Arial"/>
          <w:sz w:val="16"/>
          <w:szCs w:val="16"/>
          <w:b w:val="1"/>
          <w:bCs w:val="1"/>
          <w:color w:val="auto"/>
        </w:rPr>
        <w:t>We cannot assure you that Congress will enact an extension or that any such</w:t>
      </w:r>
      <w:r>
        <w:rPr>
          <w:rFonts w:ascii="Arial" w:cs="Arial" w:eastAsia="Arial" w:hAnsi="Arial"/>
          <w:sz w:val="16"/>
          <w:szCs w:val="16"/>
          <w:color w:val="auto"/>
        </w:rPr>
        <w:t xml:space="preserve"> </w:t>
      </w:r>
      <w:r>
        <w:rPr>
          <w:rFonts w:ascii="Arial" w:cs="Arial" w:eastAsia="Arial" w:hAnsi="Arial"/>
          <w:sz w:val="16"/>
          <w:szCs w:val="16"/>
          <w:b w:val="1"/>
          <w:bCs w:val="1"/>
          <w:color w:val="auto"/>
        </w:rPr>
        <w:t>extension will apply to all dividends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distribute with respect to taxable years commencing after December 31, 2013</w:t>
      </w:r>
      <w:r>
        <w:rPr>
          <w:rFonts w:ascii="Arial" w:cs="Arial" w:eastAsia="Arial" w:hAnsi="Arial"/>
          <w:sz w:val="16"/>
          <w:szCs w:val="16"/>
          <w:color w:val="auto"/>
        </w:rPr>
        <w:t>. If Congress does extend the exemption, dividends that we designate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1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other applicable tax certification establishing its entitlement to the exemption or reduced rate, or otherwise establishing an exemption from backup withholding.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20"/>
          </w:cols>
          <w:pgMar w:left="24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our certificate of incorporation, which was adopted on March 8, 2011, our authorized capital stock consists of 100,000,000 shares of</w:t>
      </w:r>
    </w:p>
    <w:p>
      <w:pPr>
        <w:spacing w:after="0" w:line="3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common stock, par value $0.01 per share, of which shares are outstanding as of the date of this offering, and 100,000,000 shares of preferred stock, par value $0.01 per share, of which no shares are outstanding as of the date of this offering. We are currently seeking stockholder consent to increase the number of authorized shares of common stock to 400,000,000 shares. See “The Company—Recent Developments.”</w:t>
      </w:r>
    </w:p>
    <w:p>
      <w:pPr>
        <w:spacing w:after="0" w:line="10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applied to list our common stock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Immediately prior to this offering and our concurrent private placement, our only securities outstanding were 41,762,724 shares of our common stock, as adjusted to reflect the stock split.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December 31,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9"/>
              </w:rPr>
              <w:t>Amount Held by Us</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200" w:type="dxa"/>
            <w:vAlign w:val="bottom"/>
            <w:vMerge w:val="restart"/>
          </w:tcPr>
          <w:p>
            <w:pPr>
              <w:spacing w:after="0"/>
              <w:rPr>
                <w:sz w:val="12"/>
                <w:szCs w:val="12"/>
                <w:color w:val="auto"/>
              </w:rPr>
            </w:pPr>
          </w:p>
        </w:tc>
        <w:tc>
          <w:tcPr>
            <w:tcW w:w="19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Amount</w:t>
            </w: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Held by Us or for Our</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96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7"/>
              </w:rPr>
              <w:t>Authorized</w:t>
            </w:r>
          </w:p>
        </w:tc>
        <w:tc>
          <w:tcPr>
            <w:tcW w:w="22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9"/>
              </w:rPr>
              <w:t>for Our Account</w:t>
            </w:r>
          </w:p>
        </w:tc>
        <w:tc>
          <w:tcPr>
            <w:tcW w:w="13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Account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100,000,000</w:t>
            </w:r>
          </w:p>
        </w:tc>
        <w:tc>
          <w:tcPr>
            <w:tcW w:w="10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w:t>
            </w:r>
          </w:p>
        </w:tc>
        <w:tc>
          <w:tcPr>
            <w:tcW w:w="10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37,026,023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To date, we have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includes a $100 million capital commitment by our Adviser. As of the date of this prospectus, we have drawn $582.5 million of these capital commitments, and issued $43.4 million of equity through our dividend reinvestment plan. Our existing investors’ obligations to purchase additional shares from the undrawn portion of their capital commitments will terminate upon the completion of this IPO.</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of our existing investors, including our Adviser, have agreed to purchase $ million of our common stock in a private placement transaction at a purchase price per share equal to our initial public offering price per share. The private placement transaction is subject to certain customary closing conditions and also subject to, and will close concurrently with, the completion of this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Prior to this IPO, each share of common stock entitled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we proposed to issue, but this provision will no longer apply following this IPO.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terms of our certificate of incorporation, our Board is authorized to issue shares of preferred stock in one or more series without stockholder approval. 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39" w:lineRule="exact"/>
        <w:rPr>
          <w:sz w:val="20"/>
          <w:szCs w:val="20"/>
          <w:color w:val="auto"/>
        </w:rPr>
      </w:pPr>
    </w:p>
    <w:p>
      <w:pPr>
        <w:ind w:left="90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certification of incorporation limits our directors’ liability to the fullest extent permitted under Delaware corporate law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1940 Act. Specifically, our directors will not be personally liable to us or our stockholders for any breach of fiduciary duty as a director, except for any liability:</w:t>
      </w:r>
    </w:p>
    <w:p>
      <w:pPr>
        <w:spacing w:after="0" w:line="107"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90" w:lineRule="exact"/>
        <w:rPr>
          <w:sz w:val="20"/>
          <w:szCs w:val="20"/>
          <w:color w:val="auto"/>
        </w:rPr>
      </w:pPr>
    </w:p>
    <w:p>
      <w:pPr>
        <w:ind w:left="900" w:right="16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90" w:lineRule="exact"/>
        <w:rPr>
          <w:sz w:val="20"/>
          <w:szCs w:val="20"/>
          <w:color w:val="auto"/>
        </w:rPr>
      </w:pPr>
    </w:p>
    <w:p>
      <w:pPr>
        <w:ind w:left="900" w:right="20" w:hanging="325"/>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 (subject to obtaining stockholder consent that we currently are seeking) may not be taken by written action in lieu of a meeting;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(subject to obtaining stockholder consent that we currently are seeking) not by written consent.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following this offering, our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90"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this IPO) or pursuant to any subscription agreement by and among us, the Adviser and such principal stockholder entered into prior to this IPO;</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Following this offering, 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90" w:lineRule="exact"/>
        <w:rPr>
          <w:sz w:val="20"/>
          <w:szCs w:val="20"/>
          <w:color w:val="auto"/>
        </w:rPr>
      </w:pPr>
    </w:p>
    <w:p>
      <w:pPr>
        <w:ind w:left="900" w:right="6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December 31, 2013 and 2012, our asset coverage was 232.9% and 244.6%, respectively. Following this IPO and the repayment of indebtedness as contemplated under “Use of Proceeds,” and based on the value of our total assets as of December 31, 2013 after giving effect to the pro forma as adjusted assumptions under “Capitalization”, our asset coverage ratio would be approximately %.</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59" w:lineRule="exact"/>
        <w:rPr>
          <w:sz w:val="20"/>
          <w:szCs w:val="20"/>
          <w:color w:val="auto"/>
        </w:rPr>
      </w:pPr>
    </w:p>
    <w:p>
      <w:pPr>
        <w:ind w:left="900" w:right="280" w:hanging="325"/>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19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4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51" w:lineRule="exact"/>
        <w:rPr>
          <w:sz w:val="20"/>
          <w:szCs w:val="20"/>
          <w:color w:val="auto"/>
        </w:rPr>
      </w:pPr>
    </w:p>
    <w:p>
      <w:pPr>
        <w:ind w:left="900" w:right="4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cannot assure you, however, when or whether the SEC will grant our exemptive relief request or that, if granted, it will be on the terms set forth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325"/>
        <w:spacing w:after="0" w:line="256"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right="400" w:hanging="318"/>
        <w:spacing w:after="0" w:line="268" w:lineRule="auto"/>
        <w:tabs>
          <w:tab w:leader="none" w:pos="192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50" w:lineRule="exact"/>
        <w:rPr>
          <w:rFonts w:ascii="Arial" w:cs="Arial" w:eastAsia="Arial" w:hAnsi="Arial"/>
          <w:sz w:val="18"/>
          <w:szCs w:val="18"/>
          <w:color w:val="auto"/>
        </w:rPr>
      </w:pPr>
    </w:p>
    <w:p>
      <w:pPr>
        <w:ind w:left="1920" w:hanging="318"/>
        <w:spacing w:after="0" w:line="259" w:lineRule="auto"/>
        <w:tabs>
          <w:tab w:leader="none" w:pos="192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59" w:lineRule="exact"/>
        <w:rPr>
          <w:rFonts w:ascii="Arial" w:cs="Arial" w:eastAsia="Arial" w:hAnsi="Arial"/>
          <w:sz w:val="18"/>
          <w:szCs w:val="18"/>
          <w:color w:val="auto"/>
        </w:rPr>
      </w:pPr>
    </w:p>
    <w:p>
      <w:pPr>
        <w:ind w:left="1920" w:hanging="318"/>
        <w:spacing w:after="0"/>
        <w:tabs>
          <w:tab w:leader="none" w:pos="192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 million and capital and surplus of not less than $2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required by the Advisers Act and the 1940 Act, we and the Adviser have adopted a Code of Business Conduct and Ethics which applies to, among others, our and our Adviser’s executive officers, including our Chief Executive Officer and Chief Financial Officer, as well as our and our Adviser’s officers, directors and employees. The Code of Business Conduct and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In addition, the code may be found at http://www.tpgspecialtylending.com in the “Investor Relations” section of our website. You may also obtain copies of the code of ethics, after paying a duplicating fee, by electronic request at the following e-mail address: publicinfo@sec.gov, or by writing the SEC’s Public Reference Section at 100 F Street, Room 1580 N.E. Washington, D.C. 20549. We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51" w:lineRule="exact"/>
        <w:rPr>
          <w:sz w:val="20"/>
          <w:szCs w:val="20"/>
          <w:color w:val="auto"/>
        </w:rPr>
      </w:pPr>
    </w:p>
    <w:p>
      <w:pPr>
        <w:ind w:left="900" w:right="440" w:hanging="325"/>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25"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1" w:lineRule="exact"/>
        <w:rPr>
          <w:sz w:val="20"/>
          <w:szCs w:val="20"/>
          <w:color w:val="auto"/>
        </w:rPr>
      </w:pPr>
    </w:p>
    <w:p>
      <w:pPr>
        <w:ind w:left="900" w:right="100" w:hanging="325"/>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common stock less attractive as a result of our taking advantage of exemptions available to emerging growth companies. The result may be a less active trading market for our common stock and our stock price may be more volatile.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90"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2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You may obtain information about how the Adviser voted proxies, free of charge, by making a written request for proxy voting information to: TSL Adviser, 345 California Street, Suite 3300 San Francisco, CA 94104, Attention: TSL Investor Relations, or by emailing us at </w:t>
      </w:r>
      <w:r>
        <w:rPr>
          <w:rFonts w:ascii="Arial" w:cs="Arial" w:eastAsia="Arial" w:hAnsi="Arial"/>
          <w:sz w:val="18"/>
          <w:szCs w:val="18"/>
          <w:i w:val="1"/>
          <w:iCs w:val="1"/>
          <w:color w:val="auto"/>
        </w:rPr>
        <w:t xml:space="preserve">IRTSL </w:t>
      </w:r>
      <w:r>
        <w:rPr>
          <w:sz w:val="1"/>
          <w:szCs w:val="1"/>
          <w:color w:val="auto"/>
        </w:rPr>
        <w:drawing>
          <wp:inline distT="0" distB="0" distL="0" distR="0">
            <wp:extent cx="77470" cy="774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8"/>
          <w:szCs w:val="18"/>
          <w:i w:val="1"/>
          <w:iCs w:val="1"/>
          <w:color w:val="auto"/>
        </w:rPr>
        <w:t xml:space="preserve"> tpg.com. </w:t>
      </w:r>
      <w:r>
        <w:rPr>
          <w:rFonts w:ascii="Arial" w:cs="Arial" w:eastAsia="Arial" w:hAnsi="Arial"/>
          <w:sz w:val="18"/>
          <w:szCs w:val="18"/>
          <w:color w:val="auto"/>
        </w:rPr>
        <w:t>The SEC also</w:t>
      </w:r>
      <w:r>
        <w:rPr>
          <w:rFonts w:ascii="Arial" w:cs="Arial" w:eastAsia="Arial" w:hAnsi="Arial"/>
          <w:sz w:val="18"/>
          <w:szCs w:val="18"/>
          <w:i w:val="1"/>
          <w:iCs w:val="1"/>
          <w:color w:val="auto"/>
        </w:rPr>
        <w:t xml:space="preserve"> maintains a website at http://www.sec.gov that contains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generally will not receive any nonpublic personal information relating to stockholders who purchase common stock in this IPO.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We cannot predict the effect, if any, that sales of shares or the availability of shares for sale will have on the market price of our common stock prevailing from time to time. Sales of substantial amounts of our common stock in the public market, or the perception that such sales could occur, could adversely affect the prevailing market price of our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completion of this offering and the concurrent private placement, based on an assumed initial public offering price per share equal to the mid-point of</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range on the cover of this prospectus, shares of our common stock will be issued and outstanding. If the underwriters exercise their over-allotment option to purchase additional shares in full, shares of our common stock will be issued and outstanding immediately after the completion of this offering and the concurrent private placement.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completion of this offering and the concurrent private placement, based on an assumed initial public offering price per share equal to the mid-point of</w:t>
      </w:r>
    </w:p>
    <w:p>
      <w:pPr>
        <w:spacing w:after="0" w:line="38"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range on the cover of this prospectus, shares of our common stock outstanding will not be considered “restricted” securities under the meaning of Rule 144 and will be freely tradeable without restriction under the Securities Act (subject to any lock-up agreements as described below) and shares of</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common stock outstanding will be “restricted” securities under the meaning of Rule 144 under the Securities Act, and may not be sold in the absence of registration under the Securities Act unless an exemption from registration is available, including the exemption provided by Rule 144. Additionally, any shares purchased in this offering by our affiliates, as that term is defined in Rule 144 under the Securities Act, would only be able to be sold in compliance with the Rule 144 limitations described below. See “Risk Factors—Risks Related to this Offering—Prior to this offering, there has been no public market for our common stock, and we cannot assure you that a market for our common stock will develop or that the market price of shares of our common stock will not decline following the offering.”</w:t>
      </w:r>
    </w:p>
    <w:p>
      <w:pPr>
        <w:spacing w:after="0" w:line="14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the Adviser, our directors, executive officers and substantially all of our existing stockholders have agreed with the underwriters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will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case of the Company, the lock-up period in the previous paragraph is the period ending 180 days after the date of this prospectus. In the case of our Adviser, including shares of common stock beneficially owned by our executive officers through the Adviser, the lock-up period is the period ending 365 days after the date of this prospectus. In the case of our directors, executive officers and existing stockholders, the lock-up period in the previous paragraph is 180 days after the date of this prospectus for all shares of common stock held by those stockholders and 270 days after the date of this prospectus for 50% of the shares of common stock held by those stockholders. Each lock-up period is subject to extension in certain circumstances. See “Underwriting.”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tabs>
          <w:tab w:leader="none" w:pos="7760" w:val="left"/>
        </w:tabs>
        <w:rPr>
          <w:sz w:val="20"/>
          <w:szCs w:val="20"/>
          <w:color w:val="auto"/>
        </w:rPr>
      </w:pPr>
      <w:r>
        <w:rPr>
          <w:rFonts w:ascii="Arial" w:cs="Arial" w:eastAsia="Arial" w:hAnsi="Arial"/>
          <w:sz w:val="18"/>
          <w:szCs w:val="18"/>
          <w:color w:val="auto"/>
        </w:rPr>
        <w:t>We are offering the shares of common stock described in this prospectus through a number of</w:t>
      </w:r>
      <w:r>
        <w:rPr>
          <w:sz w:val="20"/>
          <w:szCs w:val="20"/>
          <w:color w:val="auto"/>
        </w:rPr>
        <w:tab/>
      </w:r>
      <w:r>
        <w:rPr>
          <w:rFonts w:ascii="Arial" w:cs="Arial" w:eastAsia="Arial" w:hAnsi="Arial"/>
          <w:sz w:val="16"/>
          <w:szCs w:val="16"/>
          <w:color w:val="auto"/>
        </w:rPr>
        <w:t>underwriters. J.P. Morgan Securities LLC, Merrill</w:t>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Lynch, Pierce, Fenner &amp; Smith Incorporated, Goldman, Sachs &amp; Co., Citigroup Global Markets Inc., Wells Fargo Securities, LLC and Barclays Capital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1" w:lineRule="exact"/>
        <w:rPr>
          <w:sz w:val="20"/>
          <w:szCs w:val="20"/>
          <w:color w:val="auto"/>
        </w:rPr>
      </w:pPr>
    </w:p>
    <w:p>
      <w:pPr>
        <w:ind w:left="1840"/>
        <w:spacing w:after="0"/>
        <w:tabs>
          <w:tab w:leader="none" w:pos="84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J.P. Morgan Securities LLC</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7975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31750</wp:posOffset>
            </wp:positionV>
            <wp:extent cx="7975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 prospectus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to certain dealers at that price less a concession not in excess of $ per share. Any such dealers may resell shares to certain other brokers or dealers at a discount of up to $ per share from the initial public offering price. After the initial public offering of the shares, the offering price and other selling terms may be changed by the underwriters.</w:t>
      </w:r>
    </w:p>
    <w:p>
      <w:pPr>
        <w:spacing w:after="0" w:line="144" w:lineRule="exact"/>
        <w:rPr>
          <w:sz w:val="20"/>
          <w:szCs w:val="20"/>
          <w:color w:val="auto"/>
        </w:rPr>
      </w:pPr>
    </w:p>
    <w:p>
      <w:pPr>
        <w:ind w:left="460"/>
        <w:spacing w:after="0"/>
        <w:tabs>
          <w:tab w:leader="none" w:pos="4360" w:val="left"/>
        </w:tabs>
        <w:rPr>
          <w:sz w:val="20"/>
          <w:szCs w:val="20"/>
          <w:color w:val="auto"/>
        </w:rPr>
      </w:pPr>
      <w:r>
        <w:rPr>
          <w:rFonts w:ascii="Arial" w:cs="Arial" w:eastAsia="Arial" w:hAnsi="Arial"/>
          <w:sz w:val="18"/>
          <w:szCs w:val="18"/>
          <w:color w:val="auto"/>
        </w:rPr>
        <w:t>The underwriters have an option to buy up to</w:t>
      </w:r>
      <w:r>
        <w:rPr>
          <w:sz w:val="20"/>
          <w:szCs w:val="20"/>
          <w:color w:val="auto"/>
        </w:rPr>
        <w:tab/>
      </w:r>
      <w:r>
        <w:rPr>
          <w:rFonts w:ascii="Arial" w:cs="Arial" w:eastAsia="Arial" w:hAnsi="Arial"/>
          <w:sz w:val="15"/>
          <w:szCs w:val="15"/>
          <w:color w:val="auto"/>
        </w:rPr>
        <w:t>additional shares of common stock from us to cover sales of shares by the underwriters which</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exceed the number of shares specified in the table above. The underwriters have 30 days from the date of this prospectus to exercise this over-allotment option. If any shares are purchased with this over-allotment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 common</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Without</w:t>
            </w:r>
          </w:p>
        </w:tc>
        <w:tc>
          <w:tcPr>
            <w:tcW w:w="13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 full</w:t>
            </w:r>
          </w:p>
        </w:tc>
      </w:tr>
      <w:tr>
        <w:trPr>
          <w:trHeight w:val="149"/>
        </w:trPr>
        <w:tc>
          <w:tcPr>
            <w:tcW w:w="2440" w:type="dxa"/>
            <w:vAlign w:val="bottom"/>
          </w:tcPr>
          <w:p>
            <w:pPr>
              <w:spacing w:after="0"/>
              <w:rPr>
                <w:sz w:val="12"/>
                <w:szCs w:val="12"/>
                <w:color w:val="auto"/>
              </w:rPr>
            </w:pPr>
          </w:p>
        </w:tc>
        <w:tc>
          <w:tcPr>
            <w:tcW w:w="3960" w:type="dxa"/>
            <w:vAlign w:val="bottom"/>
            <w:gridSpan w:val="2"/>
          </w:tcPr>
          <w:p>
            <w:pPr>
              <w:jc w:val="center"/>
              <w:ind w:left="3039"/>
              <w:spacing w:after="0" w:line="149" w:lineRule="exact"/>
              <w:rPr>
                <w:sz w:val="20"/>
                <w:szCs w:val="20"/>
                <w:color w:val="auto"/>
              </w:rPr>
            </w:pPr>
            <w:r>
              <w:rPr>
                <w:rFonts w:ascii="Arial" w:cs="Arial" w:eastAsia="Arial" w:hAnsi="Arial"/>
                <w:sz w:val="14"/>
                <w:szCs w:val="14"/>
                <w:b w:val="1"/>
                <w:bCs w:val="1"/>
                <w:color w:val="auto"/>
                <w:w w:val="87"/>
              </w:rPr>
              <w:t>over-allotment</w:t>
            </w:r>
          </w:p>
        </w:tc>
        <w:tc>
          <w:tcPr>
            <w:tcW w:w="2280" w:type="dxa"/>
            <w:vAlign w:val="bottom"/>
            <w:gridSpan w:val="3"/>
          </w:tcPr>
          <w:p>
            <w:pPr>
              <w:jc w:val="center"/>
              <w:ind w:left="1142"/>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2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exercise</w:t>
            </w:r>
          </w:p>
        </w:tc>
      </w:tr>
      <w:tr>
        <w:trPr>
          <w:trHeight w:val="210"/>
        </w:trPr>
        <w:tc>
          <w:tcPr>
            <w:tcW w:w="2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356"/>
        </w:trPr>
        <w:tc>
          <w:tcPr>
            <w:tcW w:w="2440" w:type="dxa"/>
            <w:vAlign w:val="bottom"/>
          </w:tcPr>
          <w:p>
            <w:pPr>
              <w:spacing w:after="0"/>
              <w:rPr>
                <w:sz w:val="24"/>
                <w:szCs w:val="24"/>
                <w:color w:val="auto"/>
              </w:rPr>
            </w:pPr>
          </w:p>
        </w:tc>
        <w:tc>
          <w:tcPr>
            <w:tcW w:w="3120" w:type="dxa"/>
            <w:vAlign w:val="bottom"/>
          </w:tcPr>
          <w:p>
            <w:pPr>
              <w:jc w:val="right"/>
              <w:ind w:right="1019"/>
              <w:spacing w:after="0"/>
              <w:rPr>
                <w:sz w:val="20"/>
                <w:szCs w:val="20"/>
                <w:color w:val="auto"/>
              </w:rPr>
            </w:pPr>
            <w:r>
              <w:rPr>
                <w:rFonts w:ascii="Arial" w:cs="Arial" w:eastAsia="Arial" w:hAnsi="Arial"/>
                <w:sz w:val="18"/>
                <w:szCs w:val="18"/>
                <w:color w:val="auto"/>
              </w:rPr>
              <w:t>157</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20" w:hanging="157"/>
        <w:spacing w:after="0" w:line="332"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legal and accounting expenses, and up to reimbursement of underwriter’s counsel fees, but excluding the underwriting discounts, will be approximately $ .</w:t>
      </w:r>
    </w:p>
    <w:p>
      <w:pPr>
        <w:spacing w:after="0" w:line="85" w:lineRule="exact"/>
        <w:rPr>
          <w:sz w:val="20"/>
          <w:szCs w:val="20"/>
          <w:color w:val="auto"/>
        </w:rPr>
      </w:pPr>
    </w:p>
    <w:p>
      <w:pPr>
        <w:sectPr>
          <w:pgSz w:w="11900" w:h="16838" w:orient="portrait"/>
          <w:cols w:equalWidth="0" w:num="2">
            <w:col w:w="100" w:space="520"/>
            <w:col w:w="10720"/>
          </w:cols>
          <w:pgMar w:left="240" w:top="459" w:right="319" w:bottom="1440" w:gutter="0" w:footer="0" w:header="0"/>
          <w:type w:val="continuous"/>
        </w:sectPr>
      </w:pPr>
    </w:p>
    <w:p>
      <w:pPr>
        <w:ind w:right="42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agreed that we will not, subject to certain exceptions, (i) offer, pledge,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Merrill Lynch, Pierce, Fenner &amp; Smith Incorporated and Goldman, Sachs &amp; Co. for a period of 180 days after the date of this prospectus, other than the shares of our common stock to be sold hereunder. Notwithstanding the foregoing, to the extent we are not an emerging growth company, if (1) during the last 17 days of the 180-day restricted period, we issue an earnings release or material news or a material event relating to our company occurs; or (2) prior to the expiration of the 180-day restricted period, we announce that we will release earnings results during the 16-day period beginning on the last day of the 180-day period, the restrictions described above shall continue to apply until the expiration of the 18-day period beginning on the issuance of the earnings release or the occurrence of the material news or material event.</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Adviser, our directors, executive officers and substantially all of our existing stockholders have entered into lock-up agreements with the underwriters prior to the commencement of this offering pursuant to which each of these persons or entities, with limited exceptions, for a period of 365 days after the date of this prospectus in the case of our Adviser, and in the case of our directors, executive officers and existing shareholders, 180 days after the date of this prospectus for all shares of common stock held by those stockholders and 270 days after the date of this prospectus for 50% of the shares of common stock held by those stockholders, may not, subject to certain exceptions, without the prior written consent of J.P. Morgan Securities LLC, Merrill Lynch, Pierce, Fenner &amp; Smith Incorporated and Goldman, Sachs &amp; Co.,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Notwithstanding the foregoing, to the extent we are not an emerging growth company, if (1) during the last 17 days of the applicable restricted period, we issue an earnings release or material news or a material event relating to our company occurs; or (2) prior to the expiration of the applicable restricted period, we announce that we will release earnings results during the 16-day period beginning on the last day of the applicable period, the restrictions described above shall continue to apply until the expiration of the 18-day period beginning on the issuance of the earnings release or the occurrence of the material news or material event.</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240" w:top="459" w:right="31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lock-ups will apply to all shares of our common stock acquired as of the date of the IPO, including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Pursuant to FINRA Rule 5110(g)(1), shares received by our existing shareholders in the capital drawdowns of September 26, 2013 and January 15, 2014 who are related to FINRA members participating in this offering may not be sold, transferred, assigned, pledged, or hypothecated, or be the subject of any hedging, short sale, derivative, put, or call transaction that would result in the effective economic disposition of the securities for a period of 180 days immediately following the date of this offering, subject to limited exceptions.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approved for listing/quotation on the NYSE under the symbol “TSLX”.</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59" w:lineRule="exact"/>
        <w:rPr>
          <w:sz w:val="20"/>
          <w:szCs w:val="20"/>
          <w:color w:val="auto"/>
        </w:rPr>
      </w:pPr>
    </w:p>
    <w:p>
      <w:pPr>
        <w:ind w:left="5580" w:right="4200" w:hanging="5005"/>
        <w:spacing w:after="0" w:line="525" w:lineRule="auto"/>
        <w:tabs>
          <w:tab w:leader="none" w:pos="89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 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use 100% of the net proceeds of this offering, together with our cash and cash equivalents, to pay down outstanding indebtedness under the Revolving Credit Facility (SunTrust). We do not, however, intend to terminate the facility and may reborrow the amount we repay, subject to certain conditions. Affiliates of certain underwriters are lenders under the Revolving Credit Facility (SunTrust). Accordingly, affiliates of certain of the underwriters may receive more than 5% of the proceeds of this offering to the extent the proceeds are used to pay down outstanding indebtedness under the Revolving Credit Facility (SunTrust).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under common control with TPG Capital BD, LLC, an underwriter of this offering.</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Goldman, Sachs &amp; Co. is acting as the agent for Adviser for the 10b5-1 Plan, under which it will buy up to $25 million in the aggregate of our common stock during the period beginning after four full calendar weeks after the closing of this offering and ending on the earlier of the date on which all the capital committed to the plan has been exhausted or December 31, 2014, subject to certain conditions. See “Related-Party Transactions and Certain Relationships.”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business address of J.P. Morgan Securities LLC is 383 Madison Avenue, New York, New York 10179. The principal business address of Merrill Lynch, Pierce, Fenner &amp; Smith Incorporated is One Bryant Park, New York, New York 10036. The principal business address of Goldman, Sachs &amp; Co. is 200 West Street, New York, New York 10282. The principal business address of Citigroup Global Markets Inc. is 388 Greenwich Street, New York, New York 10013. The principal business address of Wells Fargo Securities, LLC is 550 South Tryon Street, Charlotte, North Carolina 28202. The principal business address of Barclays Capital Inc. is 745 Seventh Avenue New York, NY 10019.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and any other materials relating to the common stock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In addition, Sutherland Asbill &amp; Brennan LLP and Morris, Nichols, Arsht &amp; Tunnell LLP will pass on certain legal matters for us in connection with the offering. Cleary Gottlieb Steen &amp; Hamilton LLP also represents the Adviser. Certain legal matters in connection with the offering will be passed upon for the underwriters by Fried, Frank, Harris, Shriver &amp; Jacobson LLP.</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w:t>
      </w:r>
      <w:r>
        <w:rPr>
          <w:rFonts w:ascii="Arial" w:cs="Arial" w:eastAsia="Arial" w:hAnsi="Arial"/>
          <w:sz w:val="16"/>
          <w:szCs w:val="16"/>
          <w:i w:val="1"/>
          <w:iCs w:val="1"/>
          <w:color w:val="auto"/>
        </w:rPr>
        <w:t xml:space="preserve">IRTSL </w:t>
      </w:r>
      <w:r>
        <w:rPr>
          <w:sz w:val="1"/>
          <w:szCs w:val="1"/>
          <w:color w:val="auto"/>
        </w:rPr>
        <w:drawing>
          <wp:inline distT="0" distB="0" distL="0" distR="0">
            <wp:extent cx="77470" cy="7747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16"/>
          <w:szCs w:val="16"/>
          <w:i w:val="1"/>
          <w:iCs w:val="1"/>
          <w:color w:val="auto"/>
        </w:rPr>
        <w:t xml:space="preserve"> tpg.com</w:t>
      </w:r>
      <w:r>
        <w:rPr>
          <w:rFonts w:ascii="Arial" w:cs="Arial" w:eastAsia="Arial" w:hAnsi="Arial"/>
          <w:sz w:val="16"/>
          <w:szCs w:val="16"/>
          <w:color w:val="auto"/>
        </w:rPr>
        <w:t>. The SEC maintains a website that contains reports,</w:t>
      </w:r>
      <w:r>
        <w:rPr>
          <w:rFonts w:ascii="Arial" w:cs="Arial" w:eastAsia="Arial" w:hAnsi="Arial"/>
          <w:sz w:val="16"/>
          <w:szCs w:val="16"/>
          <w:i w:val="1"/>
          <w:iCs w:val="1"/>
          <w:color w:val="auto"/>
        </w:rPr>
        <w:t xml:space="preserve">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72">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Consolidated Statements of Changes in Net Assets for the Years Ended December 31, 2013, 2012 and 2011</w:t>
              </w:r>
            </w:hyperlink>
          </w:p>
        </w:tc>
        <w:tc>
          <w:tcPr>
            <w:tcW w:w="3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432,267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100,000,000 shares authorized, 37,027,022 and 31,583,953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and 37,026,023 and 31,582,954 shares outstanding, respectively (1)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10,469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11,790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(7,135)</w:t>
            </w: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57,700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Total net change in unrealized gains</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realized gains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Weighted average shares of common stock outstanding—basic and diluted</w:t>
            </w:r>
          </w:p>
        </w:tc>
        <w:tc>
          <w:tcPr>
            <w:tcW w:w="4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34,635,208</w:t>
            </w:r>
          </w:p>
        </w:tc>
        <w:tc>
          <w:tcPr>
            <w:tcW w:w="940" w:type="dxa"/>
            <w:vAlign w:val="bottom"/>
            <w:vMerge w:val="restart"/>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20,541,475</w:t>
            </w:r>
          </w:p>
        </w:tc>
        <w:tc>
          <w:tcPr>
            <w:tcW w:w="9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1"/>
                <w:szCs w:val="11"/>
                <w:color w:val="auto"/>
              </w:rPr>
            </w:pPr>
          </w:p>
        </w:tc>
        <w:tc>
          <w:tcPr>
            <w:tcW w:w="68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440" w:type="dxa"/>
            <w:vAlign w:val="bottom"/>
            <w:gridSpan w:val="3"/>
            <w:vMerge w:val="continue"/>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right"/>
              <w:ind w:right="15"/>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revolving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Aptean Holdings, Inc. f/k/a Consona Holdings,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12/18/2013</w:t>
            </w:r>
          </w:p>
        </w:tc>
        <w:tc>
          <w:tcPr>
            <w:tcW w:w="680" w:type="dxa"/>
            <w:vAlign w:val="bottom"/>
          </w:tcPr>
          <w:p>
            <w:pPr>
              <w:jc w:val="right"/>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F-5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($42,479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($76,337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3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($71,634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($35,625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revolving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loan ($2,000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108,722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($14,813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6/2018)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($10,000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2/2020)</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($34,886 par,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bond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(GBP 7,000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10/2018)</w:t>
            </w: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($34,737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($7,483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11/2018)</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($12,000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06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8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Insurance</w:t>
            </w:r>
          </w:p>
        </w:tc>
        <w:tc>
          <w:tcPr>
            <w:tcW w:w="1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($31,888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31,433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31,808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($850 par,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Jeeves Information</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 (SEK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177,161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($35,650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($19,936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($40,883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9/2016)</w:t>
            </w: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Non-Voting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Preferred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6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61"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hanging="452"/>
        <w:spacing w:after="0" w:line="250"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right="260" w:hanging="452"/>
        <w:spacing w:after="0" w:line="300" w:lineRule="auto"/>
        <w:tabs>
          <w:tab w:leader="none" w:pos="4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00" w:hanging="452"/>
        <w:spacing w:after="0" w:line="261"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share amounts)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Debt Investments</w:t>
      </w:r>
    </w:p>
    <w:p>
      <w:pPr>
        <w:spacing w:after="0" w:line="97" w:lineRule="exact"/>
        <w:rPr>
          <w:sz w:val="20"/>
          <w:szCs w:val="20"/>
          <w:color w:val="auto"/>
        </w:rPr>
      </w:pPr>
    </w:p>
    <w:p>
      <w:pPr>
        <w:ind w:right="1440" w:firstLine="432"/>
        <w:spacing w:after="0" w:line="339" w:lineRule="auto"/>
        <w:rPr>
          <w:sz w:val="20"/>
          <w:szCs w:val="20"/>
          <w:color w:val="auto"/>
        </w:rPr>
      </w:pPr>
      <w:r>
        <w:rPr>
          <w:rFonts w:ascii="Arial" w:cs="Arial" w:eastAsia="Arial" w:hAnsi="Arial"/>
          <w:sz w:val="16"/>
          <w:szCs w:val="16"/>
          <w:b w:val="1"/>
          <w:bCs w:val="1"/>
          <w:color w:val="auto"/>
        </w:rPr>
        <w:t xml:space="preserve">Aerospace and defense </w:t>
      </w:r>
      <w:r>
        <w:rPr>
          <w:rFonts w:ascii="Arial" w:cs="Arial" w:eastAsia="Arial" w:hAnsi="Arial"/>
          <w:sz w:val="16"/>
          <w:szCs w:val="16"/>
          <w:color w:val="auto"/>
        </w:rPr>
        <w:t xml:space="preserve">MSC.Software Corporation </w:t>
      </w:r>
      <w:r>
        <w:rPr>
          <w:rFonts w:ascii="Arial" w:cs="Arial" w:eastAsia="Arial" w:hAnsi="Arial"/>
          <w:sz w:val="10"/>
          <w:szCs w:val="10"/>
          <w:color w:val="auto"/>
        </w:rPr>
        <w:t>(3)(4)(5)</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320" w:firstLine="432"/>
        <w:spacing w:after="0" w:line="378" w:lineRule="auto"/>
        <w:rPr>
          <w:sz w:val="20"/>
          <w:szCs w:val="20"/>
          <w:color w:val="auto"/>
        </w:rPr>
      </w:pPr>
      <w:r>
        <w:rPr>
          <w:rFonts w:ascii="Arial" w:cs="Arial" w:eastAsia="Arial" w:hAnsi="Arial"/>
          <w:sz w:val="15"/>
          <w:szCs w:val="15"/>
          <w:b w:val="1"/>
          <w:bCs w:val="1"/>
          <w:color w:val="auto"/>
        </w:rPr>
        <w:t xml:space="preserve">Beverage, food and tobacco </w:t>
      </w:r>
      <w:r>
        <w:rPr>
          <w:rFonts w:ascii="Arial" w:cs="Arial" w:eastAsia="Arial" w:hAnsi="Arial"/>
          <w:sz w:val="15"/>
          <w:szCs w:val="15"/>
          <w:color w:val="auto"/>
        </w:rPr>
        <w:t xml:space="preserve">AFS Technologies, Inc. </w:t>
      </w:r>
      <w:r>
        <w:rPr>
          <w:rFonts w:ascii="Arial" w:cs="Arial" w:eastAsia="Arial" w:hAnsi="Arial"/>
          <w:sz w:val="10"/>
          <w:szCs w:val="10"/>
          <w:color w:val="auto"/>
        </w:rPr>
        <w:t>(3)(4)(5)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Checkers Drive-In Restaurants, Inc. </w:t>
      </w: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Consona Holdings, Inc.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Attachmate Corporation </w:t>
      </w:r>
      <w:r>
        <w:rPr>
          <w:rFonts w:ascii="Arial" w:cs="Arial" w:eastAsia="Arial" w:hAnsi="Arial"/>
          <w:sz w:val="11"/>
          <w:szCs w:val="11"/>
          <w:color w:val="auto"/>
        </w:rPr>
        <w:t>(3)(5)</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Signal Corporation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International Equipment Solutions, Inc.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0" w:firstLine="432"/>
        <w:spacing w:after="0" w:line="378" w:lineRule="auto"/>
        <w:rPr>
          <w:sz w:val="20"/>
          <w:szCs w:val="20"/>
          <w:color w:val="auto"/>
        </w:rPr>
      </w:pPr>
      <w:r>
        <w:rPr>
          <w:rFonts w:ascii="Arial" w:cs="Arial" w:eastAsia="Arial" w:hAnsi="Arial"/>
          <w:sz w:val="15"/>
          <w:szCs w:val="15"/>
          <w:b w:val="1"/>
          <w:bCs w:val="1"/>
          <w:color w:val="auto"/>
        </w:rPr>
        <w:t xml:space="preserve">Construction and building </w:t>
      </w:r>
      <w:r>
        <w:rPr>
          <w:rFonts w:ascii="Arial" w:cs="Arial" w:eastAsia="Arial" w:hAnsi="Arial"/>
          <w:sz w:val="15"/>
          <w:szCs w:val="15"/>
          <w:color w:val="auto"/>
        </w:rPr>
        <w:t xml:space="preserve">Mannington Mills, Inc. </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20"/>
                <w:szCs w:val="20"/>
                <w:b w:val="1"/>
                <w:bCs w:val="1"/>
                <w:color w:val="auto"/>
                <w:w w:val="94"/>
                <w:vertAlign w:val="superscript"/>
              </w:rPr>
              <w:t>(2)</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-8255</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($56,266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12/23/2011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$ 55,423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$ 55,984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534"/>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($38,951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revolving loan ($555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par, 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($19,878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12/31/2012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58,185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($46,884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Second-lien bond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11/16/2012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56,004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56,557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($29,925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8/13/2012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 ($926</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par, 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6/25/2012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($41,608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($29,391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9/2016)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9/18/2012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71,940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Second-lien loan</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($50,537 par,</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(incl. 2.00%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3/2017)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PIK)</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640" w:type="dxa"/>
            <w:vAlign w:val="bottom"/>
          </w:tcPr>
          <w:p>
            <w:pPr>
              <w:ind w:left="1060"/>
              <w:spacing w:after="0"/>
              <w:rPr>
                <w:sz w:val="20"/>
                <w:szCs w:val="20"/>
                <w:color w:val="auto"/>
              </w:rPr>
            </w:pPr>
            <w:r>
              <w:rPr>
                <w:rFonts w:ascii="Arial" w:cs="Arial" w:eastAsia="Arial" w:hAnsi="Arial"/>
                <w:sz w:val="18"/>
                <w:szCs w:val="18"/>
                <w:color w:val="auto"/>
              </w:rPr>
              <w:t>F-9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-6403975</wp:posOffset>
            </wp:positionV>
            <wp:extent cx="7246620" cy="411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-5786755</wp:posOffset>
            </wp:positionV>
            <wp:extent cx="7246620" cy="411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-4826000</wp:posOffset>
            </wp:positionV>
            <wp:extent cx="7246620" cy="411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-4243070</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-3625850</wp:posOffset>
            </wp:positionV>
            <wp:extent cx="7246620" cy="411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-3042285</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-2425065</wp:posOffset>
            </wp:positionV>
            <wp:extent cx="7246620"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-1979295</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-1361440</wp:posOffset>
            </wp:positionV>
            <wp:extent cx="7246620" cy="411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-778510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820" w:space="720"/>
            <w:col w:w="6820"/>
          </w:cols>
          <w:pgMar w:left="240" w:top="459" w:right="29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Environmental Services</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Synagro Technologies, Inc. </w:t>
            </w:r>
            <w:r>
              <w:rPr>
                <w:rFonts w:ascii="Arial" w:cs="Arial" w:eastAsia="Arial" w:hAnsi="Arial"/>
                <w:sz w:val="11"/>
                <w:szCs w:val="11"/>
                <w:color w:val="auto"/>
              </w:rPr>
              <w:t>(3)</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($3,134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10/2014)</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Financial services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($59,714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58,223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eResearch Technology, Inc.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($24,937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6"/>
        </w:trPr>
        <w:tc>
          <w:tcPr>
            <w:tcW w:w="3920" w:type="dxa"/>
            <w:vAlign w:val="bottom"/>
            <w:gridSpan w:val="3"/>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($37,500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36,439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36,563</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110,407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(incl. 4.00%</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($5,000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Insurance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Office products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($21,562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10/17/2011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Transportation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Teletrac,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642,421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651,944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F-10</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4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5"/>
                <w:szCs w:val="15"/>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5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12/28/2012</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(2,953,020 shares)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50"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56,857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26,438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(48,301)</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(26,997)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660"/>
              <w:spacing w:after="0"/>
              <w:rPr>
                <w:sz w:val="20"/>
                <w:szCs w:val="20"/>
                <w:color w:val="auto"/>
              </w:rPr>
            </w:pPr>
            <w:r>
              <w:rPr>
                <w:rFonts w:ascii="Arial" w:cs="Arial" w:eastAsia="Arial" w:hAnsi="Arial"/>
                <w:sz w:val="18"/>
                <w:szCs w:val="18"/>
                <w:b w:val="1"/>
                <w:bCs w:val="1"/>
                <w:color w:val="auto"/>
              </w:rPr>
              <w:t>Transactions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94,893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574,696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66,983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39,595</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(9,630)</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loss on foreign currency forward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foreign currency forward contracts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(6,728)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(602,988)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(760,668)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46,390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214,293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190,594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(289,631)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(430,099)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1,332,688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(801,569)</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(1,155,852)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56,857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287,692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(10,968)</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131,277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(158,354)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161,825</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8,792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Excise taxes paid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29,770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26,438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1,870</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40" w:firstLine="8"/>
        <w:spacing w:after="0" w:line="347" w:lineRule="auto"/>
        <w:tabs>
          <w:tab w:leader="none" w:pos="176"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860" w:firstLine="8"/>
        <w:spacing w:after="0" w:line="347" w:lineRule="auto"/>
        <w:tabs>
          <w:tab w:leader="none" w:pos="176"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60" w:right="2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term capital gains, if any, would be generally distributed at least annually, although the Company may decide to retain such capital gains for investment.</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the Financial Accounting Standards Board (“FASB”) issued Accounting Standards Update No. 2011-11 (“ASU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which requires entities to disclose information about offsetting and related arrangements to enable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effect of those arrangements on the statement of assets and liabilities. In January 2013, the FASB issued Accounting Standards Update No. 2013-01 (“ASU 2013-01”),“</w:t>
      </w:r>
      <w:r>
        <w:rPr>
          <w:rFonts w:ascii="Arial" w:cs="Arial" w:eastAsia="Arial" w:hAnsi="Arial"/>
          <w:sz w:val="18"/>
          <w:szCs w:val="18"/>
          <w:i w:val="1"/>
          <w:iCs w:val="1"/>
          <w:color w:val="auto"/>
        </w:rPr>
        <w:t>Clarifying the Scope of Disclosures about Offsetting Assets and Liabilities,</w:t>
      </w:r>
      <w:r>
        <w:rPr>
          <w:rFonts w:ascii="Arial" w:cs="Arial" w:eastAsia="Arial" w:hAnsi="Arial"/>
          <w:sz w:val="18"/>
          <w:szCs w:val="18"/>
          <w:color w:val="auto"/>
        </w:rPr>
        <w:t>” which clarified the types of instruments and transactions that are subject to the disclosure requirements established by ASU 2011-11. The Company’s adoption of ASU 2011-11 and ASU 2013-01 did not have a significant impact on the Company’s financial statements. See Note 5 for additional disclosure resulting from the adoption of ASU 2011-11 and ASU 2013-01.</w:t>
      </w:r>
    </w:p>
    <w:p>
      <w:pPr>
        <w:spacing w:after="0" w:line="222" w:lineRule="exact"/>
        <w:rPr>
          <w:sz w:val="20"/>
          <w:szCs w:val="20"/>
          <w:color w:val="auto"/>
        </w:rPr>
      </w:pPr>
    </w:p>
    <w:p>
      <w:pPr>
        <w:ind w:right="7900" w:firstLine="8"/>
        <w:spacing w:after="0" w:line="347" w:lineRule="auto"/>
        <w:tabs>
          <w:tab w:leader="none" w:pos="176"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were $13.4 million, $8.9 million, and $1.6 million,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2013, 2012, and 2011, Management Fees of $7.1 million, $3.7 million, and $7 thousand, respectively, were waived. Any waived Management Fees are not subject to recoupment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180" w:hanging="446"/>
        <w:spacing w:after="0" w:line="291"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 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0"/>
        <w:spacing w:after="0" w:line="332" w:lineRule="auto"/>
        <w:rPr>
          <w:sz w:val="20"/>
          <w:szCs w:val="20"/>
          <w:color w:val="auto"/>
        </w:rPr>
      </w:pPr>
      <w:r>
        <w:rPr>
          <w:rFonts w:ascii="Arial" w:cs="Arial" w:eastAsia="Arial" w:hAnsi="Arial"/>
          <w:sz w:val="16"/>
          <w:szCs w:val="16"/>
          <w:color w:val="auto"/>
        </w:rPr>
        <w:t>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4"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right="20" w:hanging="446"/>
        <w:spacing w:after="0" w:line="287"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131,082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137,482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997,298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67,332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644,421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180" w:hanging="567"/>
        <w:spacing w:after="0" w:line="268" w:lineRule="auto"/>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460"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2013</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Automotive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Business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Metals and mining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40" w:type="dxa"/>
            <w:vAlign w:val="bottom"/>
            <w:gridSpan w:val="4"/>
          </w:tcPr>
          <w:p>
            <w:pPr>
              <w:jc w:val="right"/>
              <w:ind w:right="1500"/>
              <w:spacing w:after="0"/>
              <w:rPr>
                <w:sz w:val="20"/>
                <w:szCs w:val="20"/>
                <w:color w:val="auto"/>
              </w:rPr>
            </w:pPr>
            <w:r>
              <w:rPr>
                <w:rFonts w:ascii="Arial" w:cs="Arial" w:eastAsia="Arial" w:hAnsi="Arial"/>
                <w:sz w:val="18"/>
                <w:szCs w:val="18"/>
                <w:color w:val="auto"/>
                <w:w w:val="88"/>
              </w:rPr>
              <w:t>The geographic composition of Investments at fair value at December 31, 2013 and 2012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South</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980" w:firstLine="8"/>
        <w:spacing w:after="0" w:line="391" w:lineRule="auto"/>
        <w:tabs>
          <w:tab w:leader="none" w:pos="176"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Foreign Currency Forward Contracts</w:t>
            </w: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2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January 24, 2014</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(28,440)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(29,366)</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British Pound (GBP)</w:t>
            </w:r>
          </w:p>
        </w:tc>
        <w:tc>
          <w:tcPr>
            <w:tcW w:w="20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07" w:lineRule="exact"/>
        <w:rPr>
          <w:sz w:val="20"/>
          <w:szCs w:val="20"/>
          <w:color w:val="auto"/>
        </w:rPr>
      </w:pPr>
    </w:p>
    <w:p>
      <w:pPr>
        <w:ind w:right="8560" w:firstLine="8"/>
        <w:spacing w:after="0" w:line="347" w:lineRule="auto"/>
        <w:tabs>
          <w:tab w:leader="none" w:pos="176"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Hierarchy at 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$854,972</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560"/>
              <w:spacing w:after="0"/>
              <w:rPr>
                <w:sz w:val="20"/>
                <w:szCs w:val="20"/>
                <w:color w:val="auto"/>
              </w:rPr>
            </w:pPr>
            <w:r>
              <w:rPr>
                <w:rFonts w:ascii="Arial" w:cs="Arial" w:eastAsia="Arial" w:hAnsi="Arial"/>
                <w:sz w:val="18"/>
                <w:szCs w:val="18"/>
                <w:color w:val="auto"/>
              </w:rPr>
              <w:t>33,952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1,016,451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1,015,207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Level 2</w:t>
            </w:r>
          </w:p>
        </w:tc>
        <w:tc>
          <w:tcPr>
            <w:tcW w:w="11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$582,287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16,467</w:t>
            </w:r>
          </w:p>
        </w:tc>
        <w:tc>
          <w:tcPr>
            <w:tcW w:w="5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53,190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0" w:type="dxa"/>
            <w:vAlign w:val="bottom"/>
            <w:tcBorders>
              <w:right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5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00" w:type="dxa"/>
            <w:vAlign w:val="bottom"/>
            <w:gridSpan w:val="3"/>
          </w:tcPr>
          <w:p>
            <w:pPr>
              <w:jc w:val="right"/>
              <w:ind w:right="1234"/>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$ 854,972</w:t>
            </w:r>
          </w:p>
        </w:tc>
        <w:tc>
          <w:tcPr>
            <w:tcW w:w="5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$ 103,530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$ 960,307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(179,800)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$ 514,104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440" w:type="dxa"/>
            <w:vAlign w:val="bottom"/>
          </w:tcPr>
          <w:p>
            <w:pPr>
              <w:spacing w:after="0"/>
              <w:rPr>
                <w:sz w:val="12"/>
                <w:szCs w:val="12"/>
                <w:color w:val="auto"/>
              </w:rPr>
            </w:pPr>
          </w:p>
        </w:tc>
        <w:tc>
          <w:tcPr>
            <w:tcW w:w="3360" w:type="dxa"/>
            <w:vAlign w:val="bottom"/>
            <w:gridSpan w:val="3"/>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December 31, 2013 on</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 2012 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3260" w:type="dxa"/>
            <w:vAlign w:val="bottom"/>
            <w:gridSpan w:val="2"/>
          </w:tcPr>
          <w:p>
            <w:pPr>
              <w:jc w:val="right"/>
              <w:ind w:right="162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December 31, 2013</w:t>
            </w:r>
          </w:p>
        </w:tc>
        <w:tc>
          <w:tcPr>
            <w:tcW w:w="1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854,972</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85"/>
              </w:rPr>
              <w:t>Income Approach</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 — 13.12%(9.81%)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103,530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9.32% —9.87%(9.59%)</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8"/>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Weighted Average</w:t>
            </w: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1,805</w:t>
            </w:r>
          </w:p>
        </w:tc>
        <w:tc>
          <w:tcPr>
            <w:tcW w:w="1920" w:type="dxa"/>
            <w:vAlign w:val="bottom"/>
            <w:gridSpan w:val="2"/>
          </w:tcPr>
          <w:p>
            <w:pPr>
              <w:ind w:left="400"/>
              <w:spacing w:after="0"/>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rPr>
                <w:sz w:val="20"/>
                <w:szCs w:val="20"/>
                <w:color w:val="auto"/>
              </w:rPr>
            </w:pPr>
            <w:r>
              <w:rPr>
                <w:rFonts w:ascii="Arial" w:cs="Arial" w:eastAsia="Arial" w:hAnsi="Arial"/>
                <w:sz w:val="14"/>
                <w:szCs w:val="14"/>
                <w:color w:val="auto"/>
              </w:rPr>
              <w:t>Cost of Capital (WACC)</w:t>
            </w:r>
          </w:p>
        </w:tc>
        <w:tc>
          <w:tcPr>
            <w:tcW w:w="2160" w:type="dxa"/>
            <w:vAlign w:val="bottom"/>
            <w:gridSpan w:val="2"/>
          </w:tcPr>
          <w:p>
            <w:pPr>
              <w:jc w:val="right"/>
              <w:ind w:right="420"/>
              <w:spacing w:after="0"/>
              <w:rPr>
                <w:sz w:val="20"/>
                <w:szCs w:val="20"/>
                <w:color w:val="auto"/>
              </w:rPr>
            </w:pPr>
            <w:r>
              <w:rPr>
                <w:rFonts w:ascii="Arial" w:cs="Arial" w:eastAsia="Arial" w:hAnsi="Arial"/>
                <w:sz w:val="14"/>
                <w:szCs w:val="14"/>
                <w:color w:val="auto"/>
              </w:rPr>
              <w:t>12.1% — 15.3%(14.0%)</w:t>
            </w:r>
          </w:p>
        </w:tc>
        <w:tc>
          <w:tcPr>
            <w:tcW w:w="1440" w:type="dxa"/>
            <w:vAlign w:val="bottom"/>
            <w:gridSpan w:val="2"/>
          </w:tcPr>
          <w:p>
            <w:pPr>
              <w:ind w:left="860"/>
              <w:spacing w:after="0"/>
              <w:rPr>
                <w:sz w:val="20"/>
                <w:szCs w:val="20"/>
                <w:color w:val="auto"/>
              </w:rPr>
            </w:pPr>
            <w:r>
              <w:rPr>
                <w:rFonts w:ascii="Arial" w:cs="Arial" w:eastAsia="Arial" w:hAnsi="Arial"/>
                <w:sz w:val="14"/>
                <w:szCs w:val="14"/>
                <w:color w:val="auto"/>
                <w:w w:val="93"/>
              </w:rPr>
              <w:t>Decrease</w:t>
            </w:r>
          </w:p>
        </w:tc>
      </w:tr>
      <w:tr>
        <w:trPr>
          <w:trHeight w:val="203"/>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30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9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December 31, 2012</w:t>
            </w:r>
          </w:p>
        </w:tc>
        <w:tc>
          <w:tcPr>
            <w:tcW w:w="1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Valuation</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Range (Weighted</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30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1920" w:type="dxa"/>
            <w:vAlign w:val="bottom"/>
            <w:gridSpan w:val="2"/>
          </w:tcPr>
          <w:p>
            <w:pPr>
              <w:ind w:left="380"/>
              <w:spacing w:after="0"/>
              <w:rPr>
                <w:sz w:val="20"/>
                <w:szCs w:val="20"/>
                <w:color w:val="auto"/>
              </w:rPr>
            </w:pPr>
            <w:r>
              <w:rPr>
                <w:rFonts w:ascii="Arial" w:cs="Arial" w:eastAsia="Arial" w:hAnsi="Arial"/>
                <w:sz w:val="14"/>
                <w:szCs w:val="14"/>
                <w:b w:val="1"/>
                <w:bCs w:val="1"/>
                <w:color w:val="auto"/>
              </w:rPr>
              <w:t>Technique</w:t>
            </w: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Unobservable Input</w:t>
            </w:r>
          </w:p>
        </w:tc>
        <w:tc>
          <w:tcPr>
            <w:tcW w:w="2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514,104</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9"/>
              </w:rPr>
              <w:t>Income Approach (1)</w:t>
            </w:r>
          </w:p>
        </w:tc>
        <w:tc>
          <w:tcPr>
            <w:tcW w:w="5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Market Yield</w:t>
            </w:r>
          </w:p>
        </w:tc>
        <w:tc>
          <w:tcPr>
            <w:tcW w:w="40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 - 11.29% (9.71%)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53,190</w:t>
            </w:r>
          </w:p>
        </w:tc>
        <w:tc>
          <w:tcPr>
            <w:tcW w:w="19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Income Approach</w:t>
            </w:r>
          </w:p>
        </w:tc>
        <w:tc>
          <w:tcPr>
            <w:tcW w:w="1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Market Yield</w:t>
            </w:r>
          </w:p>
        </w:tc>
        <w:tc>
          <w:tcPr>
            <w:tcW w:w="2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10.78% -10.78% (10.78%)</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3080" w:type="dxa"/>
            <w:vAlign w:val="bottom"/>
          </w:tcPr>
          <w:p>
            <w:pPr>
              <w:spacing w:after="0" w:line="154" w:lineRule="exact"/>
              <w:rPr>
                <w:sz w:val="20"/>
                <w:szCs w:val="20"/>
                <w:color w:val="auto"/>
              </w:rPr>
            </w:pPr>
            <w:r>
              <w:rPr>
                <w:rFonts w:ascii="Arial" w:cs="Arial" w:eastAsia="Arial" w:hAnsi="Arial"/>
                <w:sz w:val="14"/>
                <w:szCs w:val="14"/>
                <w:color w:val="auto"/>
              </w:rPr>
              <w:t>Equity investments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2,000</w:t>
            </w:r>
          </w:p>
        </w:tc>
        <w:tc>
          <w:tcPr>
            <w:tcW w:w="1920" w:type="dxa"/>
            <w:vAlign w:val="bottom"/>
            <w:gridSpan w:val="2"/>
          </w:tcPr>
          <w:p>
            <w:pPr>
              <w:ind w:left="380"/>
              <w:spacing w:after="0" w:line="154" w:lineRule="exact"/>
              <w:rPr>
                <w:sz w:val="20"/>
                <w:szCs w:val="20"/>
                <w:color w:val="auto"/>
              </w:rPr>
            </w:pPr>
            <w:r>
              <w:rPr>
                <w:rFonts w:ascii="Arial" w:cs="Arial" w:eastAsia="Arial" w:hAnsi="Arial"/>
                <w:sz w:val="14"/>
                <w:szCs w:val="14"/>
                <w:color w:val="auto"/>
              </w:rPr>
              <w:t>Market Approach (2)</w:t>
            </w: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ind w:left="460" w:right="220" w:hanging="452"/>
        <w:spacing w:after="0" w:line="246"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Company’s Level 3 equity investments, multiples of similar companies’ revenues, earnings before income taxes, depreciation and amortization (“EBITDA”) or some combination thereof and comparable market transactions are typically used.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$ 432,267</w:t>
            </w:r>
          </w:p>
        </w:tc>
        <w:tc>
          <w:tcPr>
            <w:tcW w:w="7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550,000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500" w:firstLine="453"/>
        <w:spacing w:after="0" w:line="516" w:lineRule="auto"/>
        <w:tabs>
          <w:tab w:leader="none" w:pos="147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amount available considers any limitations related to the respective debt facilities’ borrowing bases. For the years ended December 31, 2013, 2012 and 2011, the components of interest expense were as follows:</w:t>
      </w:r>
    </w:p>
    <w:tbl>
      <w:tblPr>
        <w:tblLayout w:type="fixed"/>
        <w:tblInd w:w="92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820"/>
              <w:spacing w:after="0" w:line="150" w:lineRule="exact"/>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tcPr>
          <w:p>
            <w:pPr>
              <w:jc w:val="right"/>
              <w:ind w:right="1260"/>
              <w:spacing w:after="0" w:line="15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line="150" w:lineRule="exact"/>
              <w:rPr>
                <w:sz w:val="20"/>
                <w:szCs w:val="20"/>
                <w:color w:val="auto"/>
              </w:rPr>
            </w:pPr>
            <w:r>
              <w:rPr>
                <w:rFonts w:ascii="Arial" w:cs="Arial" w:eastAsia="Arial" w:hAnsi="Arial"/>
                <w:sz w:val="14"/>
                <w:szCs w:val="14"/>
                <w:b w:val="1"/>
                <w:bCs w:val="1"/>
                <w:color w:val="auto"/>
                <w:w w:val="93"/>
              </w:rPr>
              <w:t>Year Ended</w:t>
            </w:r>
          </w:p>
        </w:tc>
      </w:t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Commitment fees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10,469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356"/>
        </w:trPr>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0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Amounts drawn under the amended and restated Revolving Credit Facility (Natixis) and the original credit and security agreement bear interest at LIBOR plus a margin or base rate plus a margin or, in the case of the amended and restated Revolving Credit Facility (Natixis), the lenders’ cost of funds plus a margin, in each case at TPG SL SPV’s option. TPG SL SPV’s ability to borrow at lenders’ cost of funds plus a margin lowers the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20" w:firstLine="8"/>
        <w:spacing w:after="0" w:line="417" w:lineRule="auto"/>
        <w:tabs>
          <w:tab w:leader="none" w:pos="176"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4"/>
              </w:rPr>
              <w:t>December 31, 2013</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54,974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2013 and 2012, the Company had $1.5 billion and $1.4 billion, respectively, in total capital commitments from investors ($1.0 billion and $0.9 billion unfunded, respectively). Of these amounts, $117.1 million and $114.1 million, respectively, is from the Adviser and its affiliates ($76.7 million and $76.6 million unfunded,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4"/>
                <w:szCs w:val="14"/>
                <w:b w:val="1"/>
                <w:bCs w:val="1"/>
                <w:color w:val="auto"/>
                <w:w w:val="91"/>
              </w:rPr>
              <w:t>December 31, 2013</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gridSpan w:val="3"/>
          </w:tcPr>
          <w:p>
            <w:pPr>
              <w:jc w:val="center"/>
              <w:ind w:right="92"/>
              <w:spacing w:after="0" w:line="115" w:lineRule="exact"/>
              <w:rPr>
                <w:sz w:val="20"/>
                <w:szCs w:val="20"/>
                <w:color w:val="auto"/>
              </w:rPr>
            </w:pPr>
            <w:r>
              <w:rPr>
                <w:rFonts w:ascii="Arial" w:cs="Arial" w:eastAsia="Arial" w:hAnsi="Arial"/>
                <w:sz w:val="12"/>
                <w:szCs w:val="12"/>
                <w:b w:val="1"/>
                <w:bCs w:val="1"/>
                <w:color w:val="auto"/>
                <w:w w:val="95"/>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2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4"/>
              </w:rPr>
              <w:t>2,079,224</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September 26, 2013</w:t>
            </w:r>
          </w:p>
        </w:tc>
        <w:tc>
          <w:tcPr>
            <w:tcW w:w="2380" w:type="dxa"/>
            <w:vAlign w:val="bottom"/>
          </w:tcPr>
          <w:p>
            <w:pPr>
              <w:spacing w:after="0"/>
              <w:rPr>
                <w:sz w:val="19"/>
                <w:szCs w:val="19"/>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84"/>
              </w:rPr>
              <w:t>1,633,829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4"/>
              </w:rPr>
              <w:t>3,713,053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248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February 22,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May 31,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3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September 26, 2012</w:t>
            </w: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1"/>
                <w:szCs w:val="11"/>
                <w:color w:val="auto"/>
              </w:rPr>
              <w:t>(2)</w:t>
            </w:r>
          </w:p>
        </w:tc>
        <w:tc>
          <w:tcPr>
            <w:tcW w:w="2480" w:type="dxa"/>
            <w:vAlign w:val="bottom"/>
            <w:gridSpan w:val="2"/>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480" w:type="dxa"/>
            <w:vAlign w:val="bottom"/>
            <w:gridSpan w:val="2"/>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3320" w:type="dxa"/>
            <w:vAlign w:val="bottom"/>
            <w:gridSpan w:val="4"/>
          </w:tcPr>
          <w:p>
            <w:pPr>
              <w:jc w:val="right"/>
              <w:ind w:right="2012"/>
              <w:spacing w:after="0"/>
              <w:rPr>
                <w:sz w:val="20"/>
                <w:szCs w:val="20"/>
                <w:color w:val="auto"/>
              </w:rPr>
            </w:pPr>
            <w:r>
              <w:rPr>
                <w:rFonts w:ascii="Arial" w:cs="Arial" w:eastAsia="Arial" w:hAnsi="Arial"/>
                <w:sz w:val="18"/>
                <w:szCs w:val="18"/>
                <w:color w:val="auto"/>
              </w:rPr>
              <w:t>F-31</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right="280" w:hanging="440"/>
        <w:spacing w:after="0" w:line="254" w:lineRule="auto"/>
        <w:tabs>
          <w:tab w:leader="none" w:pos="1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ind w:left="1920" w:right="720" w:hanging="440"/>
        <w:spacing w:after="0" w:line="261" w:lineRule="auto"/>
        <w:tabs>
          <w:tab w:leader="none" w:pos="1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3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87"/>
              </w:rPr>
              <w:t>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xml:space="preserve">Shares Issued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08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Record Date</w:t>
            </w:r>
          </w:p>
        </w:tc>
        <w:tc>
          <w:tcPr>
            <w:tcW w:w="254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December 31, 2012</w:t>
            </w:r>
          </w:p>
        </w:tc>
        <w:tc>
          <w:tcPr>
            <w:tcW w:w="5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rPr>
              <w:t>May 7, 2013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5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6, 2013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September 30,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November 5, 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4"/>
                <w:szCs w:val="14"/>
                <w:b w:val="1"/>
                <w:bCs w:val="1"/>
                <w:color w:val="auto"/>
              </w:rPr>
              <w:t>December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04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jc w:val="right"/>
              <w:ind w:right="130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102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 xml:space="preserve">Shares Issued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r>
              <w:rPr>
                <w:rFonts w:ascii="Arial" w:cs="Arial" w:eastAsia="Arial" w:hAnsi="Arial"/>
                <w:sz w:val="11"/>
                <w:szCs w:val="11"/>
                <w:color w:val="auto"/>
              </w:rPr>
              <w:t>(1)</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31, 2011</w:t>
            </w:r>
          </w:p>
        </w:tc>
        <w:tc>
          <w:tcPr>
            <w:tcW w:w="5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May 16, 2012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7, 2012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November 13, 2012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38"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2013</w:t>
            </w:r>
          </w:p>
        </w:tc>
        <w:tc>
          <w:tcPr>
            <w:tcW w:w="2340" w:type="dxa"/>
            <w:vAlign w:val="bottom"/>
            <w:gridSpan w:val="3"/>
          </w:tcPr>
          <w:p>
            <w:pPr>
              <w:ind w:left="1240"/>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1"/>
                <w:szCs w:val="11"/>
                <w:color w:val="auto"/>
              </w:rPr>
              <w:t>(1)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34,635,208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1920" w:right="160" w:hanging="440"/>
        <w:spacing w:after="0" w:line="268" w:lineRule="auto"/>
        <w:tabs>
          <w:tab w:leader="none" w:pos="1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2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60" w:type="dxa"/>
            <w:vAlign w:val="bottom"/>
            <w:gridSpan w:val="2"/>
          </w:tcPr>
          <w:p>
            <w:pPr>
              <w:jc w:val="right"/>
              <w:ind w:right="15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jc w:val="right"/>
              <w:spacing w:after="0" w:line="129" w:lineRule="exact"/>
              <w:rPr>
                <w:sz w:val="20"/>
                <w:szCs w:val="20"/>
                <w:color w:val="auto"/>
              </w:rPr>
            </w:pPr>
            <w:r>
              <w:rPr>
                <w:rFonts w:ascii="Arial" w:cs="Arial" w:eastAsia="Arial" w:hAnsi="Arial"/>
                <w:sz w:val="10"/>
                <w:szCs w:val="10"/>
                <w:b w:val="1"/>
                <w:bCs w:val="1"/>
                <w:color w:val="auto"/>
              </w:rPr>
              <w:t xml:space="preserve">Dividend per Share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March 31, 2013</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1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6"/>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rPr>
              <w:t>July 31, 2013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2013</w:t>
            </w:r>
          </w:p>
        </w:tc>
        <w:tc>
          <w:tcPr>
            <w:tcW w:w="25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0"/>
              </w:rPr>
              <w:t>October 31, 2013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w w:val="90"/>
              </w:rPr>
              <w:t>January 30, 2014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660" w:type="dxa"/>
            <w:vAlign w:val="bottom"/>
            <w:vMerge w:val="restart"/>
          </w:tcPr>
          <w:p>
            <w:pPr>
              <w:spacing w:after="0"/>
              <w:rPr>
                <w:sz w:val="10"/>
                <w:szCs w:val="10"/>
                <w:color w:val="auto"/>
              </w:rPr>
            </w:pPr>
          </w:p>
        </w:tc>
        <w:tc>
          <w:tcPr>
            <w:tcW w:w="22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spacing w:after="0"/>
              <w:rPr>
                <w:sz w:val="10"/>
                <w:szCs w:val="10"/>
                <w:color w:val="auto"/>
              </w:rPr>
            </w:pPr>
          </w:p>
        </w:tc>
        <w:tc>
          <w:tcPr>
            <w:tcW w:w="11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7"/>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2012</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right="40" w:hanging="567"/>
        <w:spacing w:after="0" w:line="261" w:lineRule="auto"/>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2013</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(7,211)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for tax purposes,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not book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(670)</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(3)(4)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value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color w:val="auto"/>
              </w:rPr>
              <w:t>Total from investment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increase in net assets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22"/>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37,026,023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31,582,954</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b w:val="1"/>
                <w:bCs w:val="1"/>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34,635,208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20,541,475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1,402,970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1,211,246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total contributed capital to total committed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end of period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Year of formation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66" w:lineRule="exact"/>
        <w:rPr>
          <w:sz w:val="20"/>
          <w:szCs w:val="20"/>
          <w:color w:val="auto"/>
        </w:rPr>
      </w:pPr>
    </w:p>
    <w:p>
      <w:pPr>
        <w:ind w:left="460" w:right="40" w:hanging="452"/>
        <w:spacing w:after="0" w:line="283"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420" w:hanging="452"/>
        <w:spacing w:after="0" w:line="250"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20" w:hanging="452"/>
        <w:spacing w:after="0" w:line="261"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15,461</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1"/>
                <w:szCs w:val="11"/>
                <w:color w:val="auto"/>
              </w:rPr>
              <w:t>(1)</w:t>
            </w: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(23.31)</w:t>
            </w:r>
          </w:p>
        </w:tc>
      </w:tr>
    </w:tbl>
    <w:p>
      <w:pPr>
        <w:spacing w:after="0" w:line="66" w:lineRule="exact"/>
        <w:rPr>
          <w:sz w:val="20"/>
          <w:szCs w:val="20"/>
          <w:color w:val="auto"/>
        </w:rPr>
      </w:pPr>
    </w:p>
    <w:p>
      <w:pPr>
        <w:ind w:left="900" w:right="20" w:hanging="446"/>
        <w:spacing w:after="0" w:line="268"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60"/>
          </w:cols>
          <w:pgMar w:left="240" w:top="460" w:right="6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APPENDIX A – DESCRIPTION OF SECURITIES RATINGS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&amp; Poor’s Long-Term Credit Issue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Standard &amp; Poor’s long-term issue credit ratings have been published by Standard &amp; Poor’s Financial Services LLC:</w:t>
      </w:r>
    </w:p>
    <w:p>
      <w:pPr>
        <w:spacing w:after="0" w:line="194" w:lineRule="exact"/>
        <w:rPr>
          <w:sz w:val="20"/>
          <w:szCs w:val="20"/>
          <w:color w:val="auto"/>
        </w:rPr>
      </w:pPr>
    </w:p>
    <w:p>
      <w:pPr>
        <w:ind w:right="740" w:firstLine="8"/>
        <w:spacing w:after="0" w:line="268" w:lineRule="auto"/>
        <w:tabs>
          <w:tab w:leader="none" w:pos="424"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 An obligation rated ‘AAA’ has the highest rating assigned by Standard &amp; Poor’s. The obligor’s capacity to meet its financial commitment on the obligation is extremely strong.</w:t>
      </w:r>
    </w:p>
    <w:p>
      <w:pPr>
        <w:spacing w:after="0" w:line="132" w:lineRule="exact"/>
        <w:rPr>
          <w:sz w:val="20"/>
          <w:szCs w:val="20"/>
          <w:color w:val="auto"/>
        </w:rPr>
      </w:pPr>
    </w:p>
    <w:p>
      <w:pPr>
        <w:ind w:right="220" w:firstLine="8"/>
        <w:spacing w:after="0" w:line="268" w:lineRule="auto"/>
        <w:tabs>
          <w:tab w:leader="none" w:pos="297"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 An obligation rated ‘AA’ differs from the highest-rated obligations only to a small degree. The obligor’s capacity to meet its financial commitment on the obligation is very strong.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An obligation rated ‘A’ is somewhat more susceptible to the adverse effects of changes in circumstances and economic conditions than obligations in higher-rated categories. However, the obligor’s capacity to meet its financial commitment on the obligation is still strong.</w:t>
      </w:r>
    </w:p>
    <w:p>
      <w:pPr>
        <w:spacing w:after="0" w:line="126" w:lineRule="exact"/>
        <w:rPr>
          <w:sz w:val="20"/>
          <w:szCs w:val="20"/>
          <w:color w:val="auto"/>
        </w:rPr>
      </w:pPr>
    </w:p>
    <w:p>
      <w:pPr>
        <w:ind w:right="140" w:firstLine="8"/>
        <w:spacing w:after="0" w:line="332" w:lineRule="auto"/>
        <w:tabs>
          <w:tab w:leader="none" w:pos="395" w:val="left"/>
        </w:tabs>
        <w:numPr>
          <w:ilvl w:val="0"/>
          <w:numId w:val="158"/>
        </w:numPr>
        <w:rPr>
          <w:rFonts w:ascii="Arial" w:cs="Arial" w:eastAsia="Arial" w:hAnsi="Arial"/>
          <w:sz w:val="16"/>
          <w:szCs w:val="16"/>
          <w:b w:val="1"/>
          <w:bCs w:val="1"/>
          <w:color w:val="auto"/>
        </w:rPr>
      </w:pPr>
      <w:r>
        <w:rPr>
          <w:rFonts w:ascii="Arial" w:cs="Arial" w:eastAsia="Arial" w:hAnsi="Arial"/>
          <w:sz w:val="16"/>
          <w:szCs w:val="16"/>
          <w:color w:val="auto"/>
        </w:rPr>
        <w:t>- An obligation rated ‘BBB’ exhibits adequate protection parameters. However, adverse economic conditions or changing circumstances are more likely to lead to a weakened capacity of the obligor to meet its financial commitment on the obligation.</w:t>
      </w:r>
    </w:p>
    <w:p>
      <w:pPr>
        <w:spacing w:after="0" w:line="7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BB, B, CCC, CC, and C </w:t>
      </w:r>
      <w:r>
        <w:rPr>
          <w:rFonts w:ascii="Arial" w:cs="Arial" w:eastAsia="Arial" w:hAnsi="Arial"/>
          <w:sz w:val="18"/>
          <w:szCs w:val="18"/>
          <w:color w:val="auto"/>
        </w:rPr>
        <w:t>- Obligations rated ‘BB’, ‘B’, ‘CCC’, ‘CC’, and ‘C’ are regarded as having significant speculative characteristics. ‘BB’ indicates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least degree of speculation and ‘C’ the highest. While such obligations will likely have some quality and protective characteristics, these may be outweighed by large uncertainties or major exposures to adverse conditions.</w:t>
      </w:r>
    </w:p>
    <w:p>
      <w:pPr>
        <w:spacing w:after="0" w:line="138" w:lineRule="exact"/>
        <w:rPr>
          <w:sz w:val="20"/>
          <w:szCs w:val="20"/>
          <w:color w:val="auto"/>
        </w:rPr>
      </w:pPr>
    </w:p>
    <w:p>
      <w:pPr>
        <w:ind w:right="360" w:firstLine="8"/>
        <w:spacing w:after="0" w:line="332" w:lineRule="auto"/>
        <w:tabs>
          <w:tab w:leader="none" w:pos="278"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 An obligation rated ‘BB’ is less vulnerable to nonpayment than other speculative issues. However, it faces major ongoing uncertainties or exposure to adverse business, financial, or economic conditions which could lead to the obligor’s inadequate capacity to meet its financial commitment on the obligation.</w:t>
      </w:r>
    </w:p>
    <w:p>
      <w:pPr>
        <w:spacing w:after="0" w:line="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An obligation rated ‘B’ is more vulnerable to nonpayment than obligations rated ‘BB’, but the obligor currently has the capacity to meet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on the obligation. Adverse business, financial, or economic conditions will likely impair the obligor’s capacity or willingness to meet its financial commitment on the obligation.</w:t>
      </w:r>
    </w:p>
    <w:p>
      <w:pPr>
        <w:spacing w:after="0" w:line="138" w:lineRule="exact"/>
        <w:rPr>
          <w:sz w:val="20"/>
          <w:szCs w:val="20"/>
          <w:color w:val="auto"/>
        </w:rPr>
      </w:pPr>
    </w:p>
    <w:p>
      <w:pPr>
        <w:ind w:firstLine="8"/>
        <w:spacing w:after="0" w:line="259" w:lineRule="auto"/>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 An obligation rated ‘CCC’ is currently vulnerable to nonpayment, and is dependent upon favorable business, financial, and economic conditions for the obligor to meet its financial commitment on the obligation. In the event of adverse business, financial, or economic conditions, the obligor is not likely to have the capacity to meet its financial commitment on the obligation.</w:t>
      </w:r>
    </w:p>
    <w:p>
      <w:pPr>
        <w:spacing w:after="0" w:line="140" w:lineRule="exact"/>
        <w:rPr>
          <w:sz w:val="20"/>
          <w:szCs w:val="20"/>
          <w:color w:val="auto"/>
        </w:rPr>
      </w:pPr>
    </w:p>
    <w:p>
      <w:pPr>
        <w:ind w:right="100" w:firstLine="8"/>
        <w:spacing w:after="0" w:line="268" w:lineRule="auto"/>
        <w:tabs>
          <w:tab w:leader="none" w:pos="297"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 An obligation rated ‘CC’ is currently highly vulnerable to nonpayment. The ‘CC’ rating is used when a default has not yet occurred, but Standard &amp; Poor’s expects default to be a virtual certainty, regardless of the anticipated time to default.</w:t>
      </w:r>
    </w:p>
    <w:p>
      <w:pPr>
        <w:spacing w:after="0" w:line="12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An obligation rated ‘C’ is currently highly vulnerable to nonpayment, and the obligation is expected to have lower relative seniority or lower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compared to obligations that are rated higher.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 An obligation rated ‘D’ is in default or in breach of an imputed promise. For non-hybrid capital instruments, the ‘D’ rating category is used when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an obligation are not made on the date due, unless Standard &amp; Poor’s believes that such payments will be made within five business days in the absence of a stated grace period or within the earlier of the stated grace period or 30 calendar days. The ‘D’ rating also will be used upon the filing of a bankruptcy petition or the taking of similar action and where default on an obligation is a virtual certainty, for example due to automatic stay provisions. An obligation’s rating is lowered to ‘D’ if it is subject to a distressed exchange offer.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ratings from ‘AA’ to ‘CCC’ may be modified by the addition of a plus (+) or minus (-) sign to show relative standing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 rating categories.</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NR </w:t>
      </w:r>
      <w:r>
        <w:rPr>
          <w:rFonts w:ascii="Arial" w:cs="Arial" w:eastAsia="Arial" w:hAnsi="Arial"/>
          <w:sz w:val="18"/>
          <w:szCs w:val="18"/>
          <w:color w:val="auto"/>
        </w:rPr>
        <w:t>- This indicates that no rating has been requested, or that there is insufficient information on which to base a rating, or that Standard &amp; Poor’s does not rate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obligation as a matter of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Moody’s Long-Term Corporate Obligation Ratings: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descriptions of Moody’s long-term corporate obligation ratings have been published by Moody’s Investors Service, Inc. and Moody’s Analytics,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Aaa </w:t>
      </w:r>
      <w:r>
        <w:rPr>
          <w:rFonts w:ascii="Arial" w:cs="Arial" w:eastAsia="Arial" w:hAnsi="Arial"/>
          <w:sz w:val="18"/>
          <w:szCs w:val="18"/>
          <w:color w:val="auto"/>
        </w:rPr>
        <w:t>- Obligations rated Aaa are judged to be of the highest quality, with minimal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Aa </w:t>
      </w:r>
      <w:r>
        <w:rPr>
          <w:rFonts w:ascii="Arial" w:cs="Arial" w:eastAsia="Arial" w:hAnsi="Arial"/>
          <w:sz w:val="18"/>
          <w:szCs w:val="18"/>
          <w:color w:val="auto"/>
        </w:rPr>
        <w:t>- Obligations rated Aa are judged to be of high quality and are subject to very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Obligations rated A are considered upper-medium grade and are subject to low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Baa </w:t>
      </w:r>
      <w:r>
        <w:rPr>
          <w:rFonts w:ascii="Arial" w:cs="Arial" w:eastAsia="Arial" w:hAnsi="Arial"/>
          <w:sz w:val="15"/>
          <w:szCs w:val="15"/>
          <w:color w:val="auto"/>
        </w:rPr>
        <w:t>- Obligations rated Baa are subject to moderate credit risk. They are considered medium grade and as such may possess certain speculative characteristics.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 </w:t>
      </w:r>
      <w:r>
        <w:rPr>
          <w:rFonts w:ascii="Arial" w:cs="Arial" w:eastAsia="Arial" w:hAnsi="Arial"/>
          <w:sz w:val="18"/>
          <w:szCs w:val="18"/>
          <w:color w:val="auto"/>
        </w:rPr>
        <w:t>- Obligations rated Ba are judged to have speculative elements and are subject to substantial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Obligations rated B are considered speculative and are subject to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Caa </w:t>
      </w:r>
      <w:r>
        <w:rPr>
          <w:rFonts w:ascii="Arial" w:cs="Arial" w:eastAsia="Arial" w:hAnsi="Arial"/>
          <w:sz w:val="18"/>
          <w:szCs w:val="18"/>
          <w:color w:val="auto"/>
        </w:rPr>
        <w:t>- Obligations rated Caa are judged to be of poor standing and are subject to very high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 </w:t>
      </w:r>
      <w:r>
        <w:rPr>
          <w:rFonts w:ascii="Arial" w:cs="Arial" w:eastAsia="Arial" w:hAnsi="Arial"/>
          <w:sz w:val="16"/>
          <w:szCs w:val="16"/>
          <w:color w:val="auto"/>
        </w:rPr>
        <w:t>- Obligations rated Ca are highly speculative and are likely in, or very near, default, with some prospect of recovery of principal and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Obligations rated C are the lowest rated class of bonds and are typically in default, with little prospect for recovery of principal or interest.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Moody’s appends numerical modifiers 1, 2, and 3 to each generic rating classification from Aa through Caa. The modifier 1 indicates that the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ranks in the higher end of its generic rating category; the modifier 2 indicates a mid-range ranking; and the modifier 3 indicates a ranking in the lower end of that generic rating category.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Corporate Bond Ratings: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descriptions of Fitch Ratings’ long-term corporate finance obligations ratings have been published by Fitch Ratings, Inc. and Fitch Ratings Ltd:</w:t>
      </w:r>
    </w:p>
    <w:p>
      <w:pPr>
        <w:spacing w:after="0" w:line="194" w:lineRule="exact"/>
        <w:rPr>
          <w:sz w:val="20"/>
          <w:szCs w:val="20"/>
          <w:color w:val="auto"/>
        </w:rPr>
      </w:pPr>
    </w:p>
    <w:p>
      <w:pPr>
        <w:ind w:right="320" w:firstLine="8"/>
        <w:spacing w:after="0" w:line="268" w:lineRule="auto"/>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 Highest credit quality. ‘AAA’ ratings denote the lowest expectation of credit risk. They are assigned only in cases of exceptionally strong capacity for payment of financial commitments. This capacity is highly unlikely to be adversely affected by foreseeable events.</w:t>
      </w:r>
    </w:p>
    <w:p>
      <w:pPr>
        <w:spacing w:after="0" w:line="132" w:lineRule="exact"/>
        <w:rPr>
          <w:sz w:val="20"/>
          <w:szCs w:val="20"/>
          <w:color w:val="auto"/>
        </w:rPr>
      </w:pPr>
    </w:p>
    <w:p>
      <w:pPr>
        <w:ind w:firstLine="8"/>
        <w:spacing w:after="0" w:line="268" w:lineRule="auto"/>
        <w:tabs>
          <w:tab w:leader="none" w:pos="297"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 Very high credit quality. ‘AA’ ratings denote expectations of very low credit risk. They indicate very strong capacity for payment of financial commitments. This capacity is not significantly vulnerable to foreseeable events.</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High credit quality. ‘A’ ratings denote expectations of low credit risk. The capacity for payment of financial commitments is considered strong.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may, nevertheless, be more vulnerable to adverse business or economic conditions than is the case for higher ratings.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8"/>
        <w:spacing w:after="0" w:line="332" w:lineRule="auto"/>
        <w:tabs>
          <w:tab w:leader="none" w:pos="395" w:val="left"/>
        </w:tabs>
        <w:numPr>
          <w:ilvl w:val="0"/>
          <w:numId w:val="164"/>
        </w:numPr>
        <w:rPr>
          <w:rFonts w:ascii="Arial" w:cs="Arial" w:eastAsia="Arial" w:hAnsi="Arial"/>
          <w:sz w:val="16"/>
          <w:szCs w:val="16"/>
          <w:b w:val="1"/>
          <w:bCs w:val="1"/>
          <w:color w:val="auto"/>
        </w:rPr>
      </w:pPr>
      <w:r>
        <w:rPr>
          <w:rFonts w:ascii="Arial" w:cs="Arial" w:eastAsia="Arial" w:hAnsi="Arial"/>
          <w:sz w:val="16"/>
          <w:szCs w:val="16"/>
          <w:color w:val="auto"/>
        </w:rPr>
        <w:t>- Good credit quality. ‘BBB’ ratings indicate that expectations of credit risk are currently low. The capacity for payment of financial commitments is considered adequate but adverse business or economic conditions are more likely to impair this capacity.</w:t>
      </w:r>
    </w:p>
    <w:p>
      <w:pPr>
        <w:spacing w:after="0" w:line="85" w:lineRule="exact"/>
        <w:rPr>
          <w:sz w:val="20"/>
          <w:szCs w:val="20"/>
          <w:color w:val="auto"/>
        </w:rPr>
      </w:pPr>
    </w:p>
    <w:p>
      <w:pPr>
        <w:ind w:right="280" w:firstLine="8"/>
        <w:spacing w:after="0" w:line="268" w:lineRule="auto"/>
        <w:tabs>
          <w:tab w:leader="none" w:pos="278"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 Speculative. ‘BB’ ratings indicate an elevated vulnerability to credit risk, particularly in the event of adverse changes in business or economic conditions over time; however, business or financial alternatives may be available to allow financial commitments to be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Highly speculative. ‘B’ ratings indicate that material credit risk is present.</w:t>
      </w:r>
    </w:p>
    <w:p>
      <w:pPr>
        <w:spacing w:after="0" w:line="177" w:lineRule="exact"/>
        <w:rPr>
          <w:sz w:val="20"/>
          <w:szCs w:val="20"/>
          <w:color w:val="auto"/>
        </w:rPr>
      </w:pPr>
    </w:p>
    <w:p>
      <w:pPr>
        <w:ind w:left="440" w:hanging="432"/>
        <w:spacing w:after="0"/>
        <w:tabs>
          <w:tab w:leader="none" w:pos="44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 Substantial credit risk. ‘CCC’ ratings indicate that substantial credit risk is present.</w:t>
      </w:r>
    </w:p>
    <w:p>
      <w:pPr>
        <w:spacing w:after="0" w:line="171" w:lineRule="exact"/>
        <w:rPr>
          <w:sz w:val="20"/>
          <w:szCs w:val="20"/>
          <w:color w:val="auto"/>
        </w:rPr>
      </w:pPr>
    </w:p>
    <w:p>
      <w:pPr>
        <w:ind w:left="300" w:hanging="292"/>
        <w:spacing w:after="0"/>
        <w:tabs>
          <w:tab w:leader="none" w:pos="30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 Very high levels of credit risk. ‘CC’ ratings indicate very high levels of credit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Exceptionally high levels of credit risk. ‘C’ indicates exceptionally high levels of credit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Defaulted obligations typically are not assigned ‘RD’ or ‘D’ ratings, but are instead rated in the ‘B’ to ‘C’ rating categories, depending upon their recovery prospects and other relevant characteristics. This approach better aligns obligations that have comparable overall expected loss but varying vulnerability to default and loss.</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Plus (+) or Minus (-) </w:t>
      </w:r>
      <w:r>
        <w:rPr>
          <w:rFonts w:ascii="Arial" w:cs="Arial" w:eastAsia="Arial" w:hAnsi="Arial"/>
          <w:sz w:val="18"/>
          <w:szCs w:val="18"/>
          <w:color w:val="auto"/>
        </w:rPr>
        <w:t>- The modifiers “+” or “-” may be appended to a rating to denote relative status within major rating categories. Such suffixes are not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‘AAA’ obligation rating category, or to corporate finance obligation ratings in the categories below ‘CCC’.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Arial" w:cs="Arial" w:eastAsia="Arial" w:hAnsi="Arial"/>
          <w:sz w:val="24"/>
          <w:szCs w:val="24"/>
          <w:b w:val="1"/>
          <w:bCs w:val="1"/>
          <w:color w:val="auto"/>
        </w:rPr>
        <w:t>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313690</wp:posOffset>
            </wp:positionV>
            <wp:extent cx="15176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00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680" w:type="dxa"/>
            <w:vAlign w:val="bottom"/>
          </w:tcPr>
          <w:p>
            <w:pPr>
              <w:jc w:val="right"/>
              <w:ind w:right="458"/>
              <w:spacing w:after="0"/>
              <w:rPr>
                <w:sz w:val="20"/>
                <w:szCs w:val="20"/>
                <w:color w:val="auto"/>
              </w:rPr>
            </w:pPr>
            <w:r>
              <w:rPr>
                <w:rFonts w:ascii="Arial" w:cs="Arial" w:eastAsia="Arial" w:hAnsi="Arial"/>
                <w:sz w:val="32"/>
                <w:szCs w:val="32"/>
                <w:b w:val="1"/>
                <w:bCs w:val="1"/>
                <w:color w:val="auto"/>
              </w:rPr>
              <w:t>BofA Merrill Lynch</w:t>
            </w:r>
          </w:p>
        </w:tc>
        <w:tc>
          <w:tcPr>
            <w:tcW w:w="374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454"/>
        </w:trPr>
        <w:tc>
          <w:tcPr>
            <w:tcW w:w="3000" w:type="dxa"/>
            <w:vAlign w:val="bottom"/>
          </w:tcPr>
          <w:p>
            <w:pPr>
              <w:ind w:left="440"/>
              <w:spacing w:after="0"/>
              <w:rPr>
                <w:sz w:val="20"/>
                <w:szCs w:val="20"/>
                <w:color w:val="auto"/>
              </w:rPr>
            </w:pPr>
            <w:r>
              <w:rPr>
                <w:rFonts w:ascii="Arial" w:cs="Arial" w:eastAsia="Arial" w:hAnsi="Arial"/>
                <w:sz w:val="22"/>
                <w:szCs w:val="22"/>
                <w:b w:val="1"/>
                <w:bCs w:val="1"/>
                <w:color w:val="auto"/>
              </w:rPr>
              <w:t>Citigroup</w:t>
            </w:r>
          </w:p>
        </w:tc>
        <w:tc>
          <w:tcPr>
            <w:tcW w:w="4680" w:type="dxa"/>
            <w:vAlign w:val="bottom"/>
          </w:tcPr>
          <w:p>
            <w:pPr>
              <w:jc w:val="right"/>
              <w:ind w:right="1598"/>
              <w:spacing w:after="0"/>
              <w:rPr>
                <w:sz w:val="20"/>
                <w:szCs w:val="20"/>
                <w:color w:val="auto"/>
              </w:rPr>
            </w:pPr>
            <w:r>
              <w:rPr>
                <w:rFonts w:ascii="Arial" w:cs="Arial" w:eastAsia="Arial" w:hAnsi="Arial"/>
                <w:sz w:val="22"/>
                <w:szCs w:val="22"/>
                <w:b w:val="1"/>
                <w:bCs w:val="1"/>
                <w:color w:val="auto"/>
              </w:rPr>
              <w:t>Wells Fargo Securities</w:t>
            </w:r>
          </w:p>
        </w:tc>
        <w:tc>
          <w:tcPr>
            <w:tcW w:w="3740" w:type="dxa"/>
            <w:vAlign w:val="bottom"/>
          </w:tcPr>
          <w:p>
            <w:pPr>
              <w:jc w:val="right"/>
              <w:ind w:right="414"/>
              <w:spacing w:after="0"/>
              <w:rPr>
                <w:sz w:val="20"/>
                <w:szCs w:val="20"/>
                <w:color w:val="auto"/>
              </w:rPr>
            </w:pPr>
            <w:r>
              <w:rPr>
                <w:rFonts w:ascii="Arial" w:cs="Arial" w:eastAsia="Arial" w:hAnsi="Arial"/>
                <w:sz w:val="22"/>
                <w:szCs w:val="22"/>
                <w:b w:val="1"/>
                <w:bCs w:val="1"/>
                <w:color w:val="auto"/>
              </w:rPr>
              <w:t>Barclays</w:t>
            </w:r>
          </w:p>
        </w:tc>
      </w:tr>
      <w:tr>
        <w:trPr>
          <w:trHeight w:val="567"/>
        </w:trPr>
        <w:tc>
          <w:tcPr>
            <w:tcW w:w="3000" w:type="dxa"/>
            <w:vAlign w:val="bottom"/>
          </w:tcPr>
          <w:p>
            <w:pPr>
              <w:spacing w:after="0"/>
              <w:rPr>
                <w:sz w:val="24"/>
                <w:szCs w:val="24"/>
                <w:color w:val="auto"/>
              </w:rPr>
            </w:pPr>
          </w:p>
        </w:tc>
        <w:tc>
          <w:tcPr>
            <w:tcW w:w="4680" w:type="dxa"/>
            <w:vAlign w:val="bottom"/>
          </w:tcPr>
          <w:p>
            <w:pPr>
              <w:jc w:val="right"/>
              <w:ind w:right="1238"/>
              <w:spacing w:after="0"/>
              <w:rPr>
                <w:sz w:val="20"/>
                <w:szCs w:val="20"/>
                <w:color w:val="auto"/>
              </w:rPr>
            </w:pPr>
            <w:r>
              <w:rPr>
                <w:rFonts w:ascii="Arial" w:cs="Arial" w:eastAsia="Arial" w:hAnsi="Arial"/>
                <w:sz w:val="22"/>
                <w:szCs w:val="22"/>
                <w:b w:val="1"/>
                <w:bCs w:val="1"/>
                <w:i w:val="1"/>
                <w:iCs w:val="1"/>
                <w:color w:val="auto"/>
              </w:rPr>
              <w:t>Co-Managers</w:t>
            </w:r>
          </w:p>
        </w:tc>
        <w:tc>
          <w:tcPr>
            <w:tcW w:w="3740" w:type="dxa"/>
            <w:vAlign w:val="bottom"/>
          </w:tcPr>
          <w:p>
            <w:pPr>
              <w:spacing w:after="0"/>
              <w:rPr>
                <w:sz w:val="24"/>
                <w:szCs w:val="24"/>
                <w:color w:val="auto"/>
              </w:rPr>
            </w:pPr>
          </w:p>
        </w:tc>
      </w:tr>
      <w:tr>
        <w:trPr>
          <w:trHeight w:val="446"/>
        </w:trPr>
        <w:tc>
          <w:tcPr>
            <w:tcW w:w="3000" w:type="dxa"/>
            <w:vAlign w:val="bottom"/>
          </w:tcPr>
          <w:p>
            <w:pPr>
              <w:spacing w:after="0"/>
              <w:rPr>
                <w:sz w:val="20"/>
                <w:szCs w:val="20"/>
                <w:color w:val="auto"/>
              </w:rPr>
            </w:pPr>
            <w:r>
              <w:rPr>
                <w:rFonts w:ascii="Arial" w:cs="Arial" w:eastAsia="Arial" w:hAnsi="Arial"/>
                <w:sz w:val="22"/>
                <w:szCs w:val="22"/>
                <w:b w:val="1"/>
                <w:bCs w:val="1"/>
                <w:color w:val="auto"/>
              </w:rPr>
              <w:t>TPG Capital BD, LLC</w:t>
            </w:r>
          </w:p>
        </w:tc>
        <w:tc>
          <w:tcPr>
            <w:tcW w:w="4680" w:type="dxa"/>
            <w:vAlign w:val="bottom"/>
          </w:tcPr>
          <w:p>
            <w:pPr>
              <w:jc w:val="right"/>
              <w:ind w:right="458"/>
              <w:spacing w:after="0"/>
              <w:rPr>
                <w:sz w:val="20"/>
                <w:szCs w:val="20"/>
                <w:color w:val="auto"/>
              </w:rPr>
            </w:pPr>
            <w:r>
              <w:rPr>
                <w:rFonts w:ascii="Arial" w:cs="Arial" w:eastAsia="Arial" w:hAnsi="Arial"/>
                <w:sz w:val="22"/>
                <w:szCs w:val="22"/>
                <w:b w:val="1"/>
                <w:bCs w:val="1"/>
                <w:color w:val="auto"/>
              </w:rPr>
              <w:t>Janney Montgomery Scott</w:t>
            </w:r>
          </w:p>
        </w:tc>
        <w:tc>
          <w:tcPr>
            <w:tcW w:w="374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2056"/>
        </w:trPr>
        <w:tc>
          <w:tcPr>
            <w:tcW w:w="3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68"/>
        </w:trPr>
        <w:tc>
          <w:tcPr>
            <w:tcW w:w="300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20" w:type="dxa"/>
            <w:vAlign w:val="bottom"/>
            <w:gridSpan w:val="6"/>
          </w:tcPr>
          <w:p>
            <w:pPr>
              <w:jc w:val="center"/>
              <w:ind w:right="3640"/>
              <w:spacing w:after="0"/>
              <w:rPr>
                <w:sz w:val="20"/>
                <w:szCs w:val="20"/>
                <w:color w:val="auto"/>
              </w:rPr>
            </w:pPr>
            <w:r>
              <w:rPr>
                <w:rFonts w:ascii="Arial" w:cs="Arial" w:eastAsia="Arial" w:hAnsi="Arial"/>
                <w:sz w:val="18"/>
                <w:szCs w:val="18"/>
                <w:b w:val="1"/>
                <w:bCs w:val="1"/>
                <w:color w:val="auto"/>
                <w:w w:val="98"/>
              </w:rPr>
              <w:t>TPG SPECIALTY LENDING, INC.</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jc w:val="center"/>
              <w:ind w:right="4780"/>
              <w:spacing w:after="0"/>
              <w:rPr>
                <w:sz w:val="20"/>
                <w:szCs w:val="20"/>
                <w:color w:val="auto"/>
              </w:rPr>
            </w:pPr>
            <w:r>
              <w:rPr>
                <w:rFonts w:ascii="Arial" w:cs="Arial" w:eastAsia="Arial" w:hAnsi="Arial"/>
                <w:sz w:val="18"/>
                <w:szCs w:val="18"/>
                <w:b w:val="1"/>
                <w:bCs w:val="1"/>
                <w:color w:val="auto"/>
                <w:w w:val="92"/>
              </w:rPr>
              <w:t>PART C</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5"/>
          </w:tcPr>
          <w:p>
            <w:pPr>
              <w:jc w:val="center"/>
              <w:ind w:right="4060"/>
              <w:spacing w:after="0"/>
              <w:rPr>
                <w:sz w:val="20"/>
                <w:szCs w:val="20"/>
                <w:color w:val="auto"/>
              </w:rPr>
            </w:pPr>
            <w:r>
              <w:rPr>
                <w:rFonts w:ascii="Arial" w:cs="Arial" w:eastAsia="Arial" w:hAnsi="Arial"/>
                <w:sz w:val="18"/>
                <w:szCs w:val="18"/>
                <w:b w:val="1"/>
                <w:bCs w:val="1"/>
                <w:color w:val="auto"/>
                <w:w w:val="93"/>
              </w:rPr>
              <w:t>Other Information</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1018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18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40" w:type="dxa"/>
            <w:vAlign w:val="bottom"/>
            <w:gridSpan w:val="9"/>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940" w:type="dxa"/>
            <w:vAlign w:val="bottom"/>
            <w:gridSpan w:val="9"/>
            <w:vMerge w:val="restart"/>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9"/>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72">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80">
              <w:r>
                <w:rPr>
                  <w:rFonts w:ascii="Arial" w:cs="Arial" w:eastAsia="Arial" w:hAnsi="Arial"/>
                  <w:sz w:val="18"/>
                  <w:szCs w:val="18"/>
                  <w:color w:val="0000EE"/>
                  <w:w w:val="87"/>
                </w:rPr>
                <w:t>Consolidated Statements of Changes in Net Assets for the Years Ended December 31, 2013, 2012 and 2011</w:t>
              </w:r>
            </w:hyperlink>
          </w:p>
        </w:tc>
        <w:tc>
          <w:tcPr>
            <w:tcW w:w="3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1">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20" w:hanging="912"/>
        <w:spacing w:after="0"/>
        <w:tabs>
          <w:tab w:leader="none" w:pos="92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4" w:lineRule="exact"/>
        <w:rPr>
          <w:sz w:val="20"/>
          <w:szCs w:val="20"/>
          <w:color w:val="auto"/>
        </w:rPr>
      </w:pPr>
    </w:p>
    <w:p>
      <w:pPr>
        <w:ind w:left="1300" w:right="800" w:hanging="1292"/>
        <w:spacing w:after="0" w:line="268"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line="268"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(d)(1)</w:t>
            </w:r>
          </w:p>
        </w:tc>
        <w:tc>
          <w:tcPr>
            <w:tcW w:w="10360" w:type="dxa"/>
            <w:vAlign w:val="bottom"/>
          </w:tcPr>
          <w:p>
            <w:pPr>
              <w:ind w:left="440"/>
              <w:spacing w:after="0"/>
              <w:rPr>
                <w:sz w:val="20"/>
                <w:szCs w:val="20"/>
                <w:color w:val="auto"/>
              </w:rPr>
            </w:pPr>
            <w:r>
              <w:rPr>
                <w:rFonts w:ascii="Arial" w:cs="Arial" w:eastAsia="Arial" w:hAnsi="Arial"/>
                <w:sz w:val="18"/>
                <w:szCs w:val="18"/>
                <w:color w:val="auto"/>
                <w:w w:val="94"/>
              </w:rPr>
              <w:t>Form of Subscription Agreement in connection with the Private Offerings (incorporated by reference to Exhibit 4.1 to the Company’s</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(d)(2)</w:t>
            </w:r>
          </w:p>
        </w:tc>
        <w:tc>
          <w:tcPr>
            <w:tcW w:w="10360" w:type="dxa"/>
            <w:vAlign w:val="bottom"/>
          </w:tcPr>
          <w:p>
            <w:pPr>
              <w:ind w:left="440"/>
              <w:spacing w:after="0"/>
              <w:rPr>
                <w:sz w:val="20"/>
                <w:szCs w:val="20"/>
                <w:color w:val="auto"/>
              </w:rPr>
            </w:pPr>
            <w:r>
              <w:rPr>
                <w:rFonts w:ascii="Arial" w:cs="Arial" w:eastAsia="Arial" w:hAnsi="Arial"/>
                <w:sz w:val="18"/>
                <w:szCs w:val="18"/>
                <w:color w:val="auto"/>
                <w:w w:val="90"/>
              </w:rPr>
              <w:t>Form of Common Stock Certificate (incorporated by reference to Exhibit 4.2 to the Company’s Annual Report on Form 10-K filed on March</w:t>
            </w:r>
          </w:p>
        </w:tc>
      </w:tr>
      <w:tr>
        <w:trPr>
          <w:trHeight w:val="222"/>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22, 2012)</w:t>
            </w:r>
          </w:p>
        </w:tc>
      </w:tr>
    </w:tbl>
    <w:p>
      <w:pPr>
        <w:spacing w:after="0" w:line="102" w:lineRule="exact"/>
        <w:rPr>
          <w:sz w:val="20"/>
          <w:szCs w:val="20"/>
          <w:color w:val="auto"/>
        </w:rPr>
      </w:pPr>
    </w:p>
    <w:p>
      <w:pPr>
        <w:ind w:left="1300" w:right="260" w:hanging="1292"/>
        <w:spacing w:after="0" w:line="268"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10.7 to the Company’s Annual Report on Form 10-K filed on March 22, 2012)</w:t>
      </w:r>
    </w:p>
    <w:p>
      <w:pPr>
        <w:spacing w:after="0" w:line="77" w:lineRule="exact"/>
        <w:rPr>
          <w:rFonts w:ascii="Arial" w:cs="Arial" w:eastAsia="Arial" w:hAnsi="Arial"/>
          <w:sz w:val="18"/>
          <w:szCs w:val="18"/>
          <w:color w:val="auto"/>
        </w:rPr>
      </w:pPr>
    </w:p>
    <w:p>
      <w:pPr>
        <w:ind w:left="1300" w:hanging="1292"/>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00" w:right="180" w:hanging="1292"/>
        <w:spacing w:after="0" w:line="332" w:lineRule="auto"/>
        <w:tabs>
          <w:tab w:leader="none" w:pos="1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1" w:lineRule="exact"/>
        <w:rPr>
          <w:rFonts w:ascii="Arial" w:cs="Arial" w:eastAsia="Arial" w:hAnsi="Arial"/>
          <w:sz w:val="16"/>
          <w:szCs w:val="16"/>
          <w:color w:val="auto"/>
        </w:rPr>
      </w:pPr>
    </w:p>
    <w:p>
      <w:pPr>
        <w:ind w:left="1300" w:hanging="1292"/>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Form of Underwriting Agreement (1)</w:t>
      </w:r>
    </w:p>
    <w:p>
      <w:pPr>
        <w:spacing w:after="0" w:line="117" w:lineRule="exact"/>
        <w:rPr>
          <w:rFonts w:ascii="Arial" w:cs="Arial" w:eastAsia="Arial" w:hAnsi="Arial"/>
          <w:sz w:val="18"/>
          <w:szCs w:val="18"/>
          <w:color w:val="auto"/>
        </w:rPr>
      </w:pPr>
    </w:p>
    <w:p>
      <w:pPr>
        <w:ind w:left="1300" w:hanging="1292"/>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(j)(1)</w:t>
            </w:r>
          </w:p>
        </w:tc>
        <w:tc>
          <w:tcPr>
            <w:tcW w:w="10520" w:type="dxa"/>
            <w:vAlign w:val="bottom"/>
          </w:tcPr>
          <w:p>
            <w:pPr>
              <w:ind w:left="440"/>
              <w:spacing w:after="0"/>
              <w:rPr>
                <w:sz w:val="20"/>
                <w:szCs w:val="20"/>
                <w:color w:val="auto"/>
              </w:rPr>
            </w:pPr>
            <w:r>
              <w:rPr>
                <w:rFonts w:ascii="Arial" w:cs="Arial" w:eastAsia="Arial" w:hAnsi="Arial"/>
                <w:sz w:val="18"/>
                <w:szCs w:val="18"/>
                <w:color w:val="auto"/>
                <w:w w:val="87"/>
              </w:rPr>
              <w:t>Custodian Agreement dated November 29, 2012 between TPG Specialty Lending, Inc. and State Street Bank and Trust Company (incorporated</w:t>
            </w:r>
          </w:p>
        </w:tc>
      </w:tr>
      <w:tr>
        <w:trPr>
          <w:trHeight w:val="222"/>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by reference to Exhibit 10.1 to the Company’s Current Report on Form 8-K filed on December 4, 2012)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(k)(1)</w:t>
            </w:r>
          </w:p>
        </w:tc>
        <w:tc>
          <w:tcPr>
            <w:tcW w:w="10520" w:type="dxa"/>
            <w:vAlign w:val="bottom"/>
          </w:tcPr>
          <w:p>
            <w:pPr>
              <w:ind w:left="440"/>
              <w:spacing w:after="0"/>
              <w:rPr>
                <w:sz w:val="20"/>
                <w:szCs w:val="20"/>
                <w:color w:val="auto"/>
              </w:rPr>
            </w:pPr>
            <w:r>
              <w:rPr>
                <w:rFonts w:ascii="Arial" w:cs="Arial" w:eastAsia="Arial" w:hAnsi="Arial"/>
                <w:sz w:val="18"/>
                <w:szCs w:val="18"/>
                <w:color w:val="auto"/>
                <w:w w:val="92"/>
              </w:rPr>
              <w:t>Form of Indemnification Agreement between the Company and certain officers and directors (incorporated by reference to Exhibit 10.3 to</w:t>
            </w:r>
          </w:p>
        </w:tc>
      </w:tr>
      <w:tr>
        <w:trPr>
          <w:trHeight w:val="222"/>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65"/>
        </w:trPr>
        <w:tc>
          <w:tcPr>
            <w:tcW w:w="86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Administration Agreement, dated as of March 15, 2011, between the Company and the Adviser (incorporated by reference to Exhibit 10.1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March 15,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(k)(3)</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Americas, as Administrative Agent, and Lenders Party Thereto (incorporated by reference to Exhibit 10.1 to the Company’s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(k)(4)</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Trust Company Americas, as Administrative Agent, and Lenders Party Thereto (incorporated by reference to Exhibit 10.2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Quarterly Report on Form 10-Q for the quarter ended September 30, 2011, filed on November 14,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(k)(5)</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Bank Trust Company Americas, as Administrative Agent, and Lenders Party (incorporated by reference to Exhibit 10.6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22,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Hereto, Natixis, New York Branch, as Facility Agent and The Bank of New York Mellon Trust Company, N.A., as Collateral Agent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Master Sale and Contribution Agreement by and between TPG Specialty Lending, Inc., as the Originator and TPG SL SPV, LLC, as the Buyer,</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May 8, 2012 (incorporated by reference to Exhibit 10.2 to the Company’s Quarterly Report on Form 10-Q filed on August 13,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(k)(8)</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Hereto and SunTrust Bank, as Administrative Agent, JPMorgan Chase Bank, N.A., as Syndication Agent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10.2 to the Company’s Quarterly Report on Form 10-Q filed on November 14,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(k)(11)</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 to the Company’s Quarterly Report on Form 10-Q filed on May 10,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party thereto, SunTrust Bank as administrative agent and JPMorgan Chase Bank N.A. as syndication agent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July 9,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(k)(13)</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Amendment No. 1 dated July 17, 2013 to Revolving Credit and Security Agreement, dated May 8, 2012, among TPG SL SPV, LLC,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Borrower, the Lenders from Time to Time Parties Hereto, Natixis, New York Branch, as Facility Agent and The Bank of New York Mellon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August 9, 2013)</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(k)(14)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Borrower, Deutsche Bank Trust Company Americas, as Administrative Agent, and Lenders Named Herein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 to the Company’s Current Report on Form 8-K filed on November 7,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Revolving Credit and Security Agreement, dated as of January 21, 2014, among TPG SL SPV, LLC, as Borrower, the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Lenders from Time to Time Parties Hereto, Natixis, New York Branch, as Facility Agent and State Street Bank and Trust Company, as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Collateral Agent (incorporated by reference to Exhibit 10.18 to the Company’s Annual Report on Form 10-K filed on March 4,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Master Sale and Contribution Agreement by and between TPG Specialty Lending, Inc., as the Originator and TPG SL</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SPV, LLC, as the Buyer, dated as of January 21, 2014 (incorporated by reference to Exhibit 10.19 to the Company’s Annual Report on Form 10-</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K filed on March 4,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(k)(17)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Amended and Restated Senior Secured Credit Agreement, dated February 27, 2014, among TPG Specialty Lending, Inc., as Borrower,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the Lenders Party Hereto and SunTrust Bank, as Administrative Agent, and JPMorgan Chase Bank, N.A., as Syndication Agent (incorporated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bl>
    <w:p>
      <w:pPr>
        <w:spacing w:after="0" w:line="102" w:lineRule="exact"/>
        <w:rPr>
          <w:sz w:val="20"/>
          <w:szCs w:val="20"/>
          <w:color w:val="auto"/>
        </w:rPr>
      </w:pPr>
    </w:p>
    <w:p>
      <w:pPr>
        <w:ind w:left="1260" w:hanging="1252"/>
        <w:spacing w:after="0"/>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Form of Opinion and Consent of Cleary Gottlieb Steen &amp; Hamilton LLP (1)</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(n)(1)</w:t>
            </w:r>
          </w:p>
        </w:tc>
        <w:tc>
          <w:tcPr>
            <w:tcW w:w="4240" w:type="dxa"/>
            <w:vAlign w:val="bottom"/>
          </w:tcPr>
          <w:p>
            <w:pPr>
              <w:ind w:left="420"/>
              <w:spacing w:after="0"/>
              <w:rPr>
                <w:sz w:val="20"/>
                <w:szCs w:val="20"/>
                <w:color w:val="auto"/>
              </w:rPr>
            </w:pPr>
            <w:r>
              <w:rPr>
                <w:rFonts w:ascii="Arial" w:cs="Arial" w:eastAsia="Arial" w:hAnsi="Arial"/>
                <w:sz w:val="18"/>
                <w:szCs w:val="18"/>
                <w:color w:val="auto"/>
                <w:w w:val="90"/>
              </w:rPr>
              <w:t>Consent of Cleary Gottlieb Steen &amp; Hamilton LLP (1)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(n)(2)</w:t>
            </w:r>
          </w:p>
        </w:tc>
        <w:tc>
          <w:tcPr>
            <w:tcW w:w="4240" w:type="dxa"/>
            <w:vAlign w:val="bottom"/>
          </w:tcPr>
          <w:p>
            <w:pPr>
              <w:ind w:left="420"/>
              <w:spacing w:after="0"/>
              <w:rPr>
                <w:sz w:val="20"/>
                <w:szCs w:val="20"/>
                <w:color w:val="auto"/>
              </w:rPr>
            </w:pPr>
            <w:r>
              <w:rPr>
                <w:rFonts w:ascii="Arial" w:cs="Arial" w:eastAsia="Arial" w:hAnsi="Arial"/>
                <w:sz w:val="18"/>
                <w:szCs w:val="18"/>
                <w:color w:val="auto"/>
              </w:rPr>
              <w:t>Consent of KPMG LLP</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(n)(3)</w:t>
            </w:r>
          </w:p>
        </w:tc>
        <w:tc>
          <w:tcPr>
            <w:tcW w:w="4240" w:type="dxa"/>
            <w:vAlign w:val="bottom"/>
          </w:tcPr>
          <w:p>
            <w:pPr>
              <w:ind w:left="420"/>
              <w:spacing w:after="0"/>
              <w:rPr>
                <w:sz w:val="20"/>
                <w:szCs w:val="20"/>
                <w:color w:val="auto"/>
              </w:rPr>
            </w:pPr>
            <w:r>
              <w:rPr>
                <w:rFonts w:ascii="Arial" w:cs="Arial" w:eastAsia="Arial" w:hAnsi="Arial"/>
                <w:sz w:val="18"/>
                <w:szCs w:val="18"/>
                <w:color w:val="auto"/>
              </w:rPr>
              <w:t>Report of KPMG LLP</w:t>
            </w:r>
          </w:p>
        </w:tc>
      </w:tr>
    </w:tbl>
    <w:p>
      <w:pPr>
        <w:spacing w:after="0" w:line="102" w:lineRule="exact"/>
        <w:rPr>
          <w:sz w:val="20"/>
          <w:szCs w:val="20"/>
          <w:color w:val="auto"/>
        </w:rPr>
      </w:pPr>
    </w:p>
    <w:p>
      <w:pPr>
        <w:ind w:left="1260" w:hanging="1252"/>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Code of Ethics of TPG Specialty Lending, Inc. and TSL Advisers, LLC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“Underwriting” in this Registration Statement is incorporated herein by reference.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registration fee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listing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All of the expenses set forth above shall be borne by the Registrant.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$ 6,440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-125730</wp:posOffset>
            </wp:positionV>
            <wp:extent cx="72466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440"/>
        <w:spacing w:after="0"/>
        <w:rPr>
          <w:sz w:val="20"/>
          <w:szCs w:val="20"/>
          <w:color w:val="auto"/>
        </w:rPr>
      </w:pPr>
      <w:r>
        <w:rPr>
          <w:rFonts w:ascii="Arial" w:cs="Arial" w:eastAsia="Arial" w:hAnsi="Arial"/>
          <w:sz w:val="18"/>
          <w:szCs w:val="18"/>
          <w:color w:val="auto"/>
        </w:rPr>
        <w:t>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72466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jc w:val="right"/>
        <w:ind w:right="320"/>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jc w:val="right"/>
        <w:ind w:right="32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49530</wp:posOffset>
            </wp:positionV>
            <wp:extent cx="72466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0" w:lineRule="exact"/>
        <w:rPr>
          <w:sz w:val="20"/>
          <w:szCs w:val="20"/>
          <w:color w:val="auto"/>
        </w:rPr>
      </w:pPr>
    </w:p>
    <w:p>
      <w:pPr>
        <w:jc w:val="right"/>
        <w:ind w:right="320"/>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jc w:val="right"/>
        <w:ind w:right="32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49530</wp:posOffset>
            </wp:positionV>
            <wp:extent cx="72466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0" w:lineRule="exact"/>
        <w:rPr>
          <w:sz w:val="20"/>
          <w:szCs w:val="20"/>
          <w:color w:val="auto"/>
        </w:rPr>
      </w:pPr>
    </w:p>
    <w:p>
      <w:pPr>
        <w:jc w:val="right"/>
        <w:ind w:right="32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49530</wp:posOffset>
            </wp:positionV>
            <wp:extent cx="3689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77"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$14,440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27940</wp:posOffset>
            </wp:positionV>
            <wp:extent cx="3689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C-3</w:t>
      </w:r>
    </w:p>
    <w:p>
      <w:pPr>
        <w:sectPr>
          <w:pgSz w:w="11900" w:h="16838" w:orient="portrait"/>
          <w:cols w:equalWidth="0" w:num="2">
            <w:col w:w="5220" w:space="360"/>
            <w:col w:w="5840"/>
          </w:cols>
          <w:pgMar w:left="240" w:top="459" w:right="23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 of Holders of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9740" w:type="dxa"/>
            <w:vAlign w:val="bottom"/>
            <w:gridSpan w:val="3"/>
          </w:tcPr>
          <w:p>
            <w:pPr>
              <w:ind w:left="460"/>
              <w:spacing w:after="0"/>
              <w:rPr>
                <w:sz w:val="20"/>
                <w:szCs w:val="20"/>
                <w:color w:val="auto"/>
              </w:rPr>
            </w:pPr>
            <w:r>
              <w:rPr>
                <w:rFonts w:ascii="Arial" w:cs="Arial" w:eastAsia="Arial" w:hAnsi="Arial"/>
                <w:sz w:val="18"/>
                <w:szCs w:val="18"/>
                <w:color w:val="auto"/>
                <w:w w:val="97"/>
              </w:rPr>
              <w:t>The following table sets forth the approximate number of record holders of our common stock as of December 31,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Arial" w:cs="Arial" w:eastAsia="Arial" w:hAnsi="Arial"/>
                <w:sz w:val="14"/>
                <w:szCs w:val="14"/>
                <w:b w:val="1"/>
                <w:bCs w:val="1"/>
                <w:color w:val="auto"/>
                <w:w w:val="94"/>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40"/>
          </w:cols>
          <w:pgMar w:left="240" w:top="460" w:right="3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4th day of March, 2014.</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1800"/>
        <w:spacing w:after="0"/>
        <w:tabs>
          <w:tab w:leader="none" w:pos="6540" w:val="left"/>
          <w:tab w:leader="none" w:pos="102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460" w:right="499" w:bottom="1440" w:gutter="0" w:footer="0" w:header="0"/>
        </w:sectPr>
      </w:pPr>
    </w:p>
    <w:p>
      <w:pPr>
        <w:spacing w:after="0" w:line="222"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Michael Fishman</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Joshua Easterly</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Alan Kirshenbaum</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A. Ross</w:t>
      </w:r>
    </w:p>
    <w:p>
      <w:pPr>
        <w:spacing w:after="0" w:line="2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Richard A. Higginbotham</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0444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Ronald K. Tanemura</w:t>
      </w:r>
    </w:p>
    <w:p>
      <w:pPr>
        <w:spacing w:after="0" w:line="200" w:lineRule="exact"/>
        <w:rPr>
          <w:sz w:val="20"/>
          <w:szCs w:val="20"/>
          <w:color w:val="auto"/>
        </w:rPr>
      </w:pPr>
    </w:p>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 and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Chairman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Chairman of the Audit Committee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March 4,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March 4, 2014</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March 4,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March 4,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March 4,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March 4, 2014</w:t>
      </w:r>
    </w:p>
    <w:p>
      <w:pPr>
        <w:sectPr>
          <w:pgSz w:w="11900" w:h="16838" w:orient="portrait"/>
          <w:cols w:equalWidth="0" w:num="3">
            <w:col w:w="3560" w:space="720"/>
            <w:col w:w="4860" w:space="720"/>
            <w:col w:w="1300"/>
          </w:cols>
          <w:pgMar w:left="240" w:top="460" w:right="49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use of our report dated March 4, 2014, with respect to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and our report dated March 4, 2014 on the consolidated senior securities schedule of the Company included herein, and to the references to our firm under the headings “Senior Securities” and “Experts” in the prospectus.</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ectPr>
          <w:pgSz w:w="11900" w:h="16838" w:orient="portrait"/>
          <w:cols w:equalWidth="0" w:num="1">
            <w:col w:w="11420"/>
          </w:cols>
          <w:pgMar w:left="240" w:top="121"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(n)(3)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date of March 4, 2014, we reported on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which are included in the prospectus. In connection with our audits of the aforementioned consolidated financial statements, we also audited the related consolidated financial statement schedule in the registration statement, under the caption “Senior Securities”. This financial statement schedule is the responsibility of the Company’s management. Our responsibility is to express an opinion on this financial statement schedule based on our audit.</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ectPr>
          <w:pgSz w:w="11900" w:h="16838" w:orient="portrait"/>
          <w:cols w:equalWidth="0" w:num="1">
            <w:col w:w="11420"/>
          </w:cols>
          <w:pgMar w:left="240" w:top="125" w:right="239" w:bottom="1440"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21183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4,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February 18,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333-193986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Greene: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that we received in telephone conversations with the Staff on February 20, February 26, and February 27, 2014 with respect to the above referenced Registration Statement on Form N-2 filed on February 18, 2014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filed today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Registration Statement, together with this letter via EDGAR submission.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letter are used as defined in Amendment No. 1.</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Staff’s comments are set forth in bold below, followed in each case by the Company’s response. Unless otherwise indicated, all page references in the responses set forth below are to the pages of Amendment No. 1.</w:t>
      </w:r>
    </w:p>
    <w:p>
      <w:pPr>
        <w:spacing w:after="0" w:line="72" w:lineRule="exact"/>
        <w:rPr>
          <w:sz w:val="20"/>
          <w:szCs w:val="20"/>
          <w:color w:val="auto"/>
        </w:rPr>
      </w:pPr>
    </w:p>
    <w:p>
      <w:pPr>
        <w:ind w:left="460" w:right="120" w:hanging="452"/>
        <w:spacing w:after="0" w:line="347" w:lineRule="auto"/>
        <w:tabs>
          <w:tab w:leader="none" w:pos="46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3 in our letter dated January 10, 2014, including Appendix 1 showing where the information required by Parts A and B of Form N-2 have been included in the registration statement. Please include Appendix 1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6089015" cy="120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89015" cy="12001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response to the Staff’s comment, the Company has included information indicating how the information required by Parts A and B of the Form N-2 have been included in the registration statement. The information disclosed in the registration statement is the same as that included in Appendix 1 to the Company’s response letter dated January 30, 2014.</w:t>
      </w:r>
    </w:p>
    <w:p>
      <w:pPr>
        <w:spacing w:after="0" w:line="204" w:lineRule="exact"/>
        <w:rPr>
          <w:sz w:val="20"/>
          <w:szCs w:val="20"/>
          <w:color w:val="auto"/>
        </w:rPr>
      </w:pPr>
    </w:p>
    <w:p>
      <w:pPr>
        <w:ind w:left="460" w:right="180" w:hanging="452"/>
        <w:spacing w:after="0" w:line="289" w:lineRule="auto"/>
        <w:tabs>
          <w:tab w:leader="none" w:pos="46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Comment 29 in our letter dated January 10, 2014. Please include a statement in footnote 5 that the Company will accrue (but not pay) a capital gain incentive fee with respect to unrealized appreciation given the fact that a capital gains incentive fee would be owed to the Investment Advisor if the Company were to sell its investment portfolios at such time.</w:t>
      </w:r>
    </w:p>
    <w:p>
      <w:pPr>
        <w:spacing w:after="0" w:line="162"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added the requested disclosure on pages 20 and 115.</w:t>
      </w:r>
    </w:p>
    <w:p>
      <w:pPr>
        <w:spacing w:after="0" w:line="248" w:lineRule="exact"/>
        <w:rPr>
          <w:rFonts w:ascii="Arial" w:cs="Arial" w:eastAsia="Arial" w:hAnsi="Arial"/>
          <w:sz w:val="17"/>
          <w:szCs w:val="17"/>
          <w:b w:val="1"/>
          <w:bCs w:val="1"/>
          <w:color w:val="auto"/>
        </w:rPr>
      </w:pPr>
    </w:p>
    <w:p>
      <w:pPr>
        <w:jc w:val="both"/>
        <w:ind w:left="460" w:right="120" w:hanging="452"/>
        <w:spacing w:after="0" w:line="266" w:lineRule="auto"/>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responses to Comments 30 &amp; 32 in our letter dated January 10, 2014. Please further specify the assumptions relating to the fee table on p. 19, either in the lead-in or in footnote 1. How much money will the Company be raising, for example? How much leverage will the Company have?</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respectfully notes the lead-in paragraph to the table, which states the following assumptions:</w:t>
      </w:r>
    </w:p>
    <w:p>
      <w:pPr>
        <w:spacing w:after="0" w:line="131" w:lineRule="exact"/>
        <w:rPr>
          <w:sz w:val="20"/>
          <w:szCs w:val="20"/>
          <w:color w:val="auto"/>
        </w:rPr>
      </w:pPr>
    </w:p>
    <w:p>
      <w:pPr>
        <w:ind w:left="900" w:hanging="325"/>
        <w:spacing w:after="0"/>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expenses shown in the table under “estimated annual expenses” are based on estimated amounts for our current fiscal year and assume that</w:t>
      </w:r>
    </w:p>
    <w:p>
      <w:pPr>
        <w:sectPr>
          <w:pgSz w:w="11900" w:h="16838" w:orient="portrait"/>
          <w:cols w:equalWidth="0" w:num="1">
            <w:col w:w="11380"/>
          </w:cols>
          <w:pgMar w:left="240" w:top="274" w:right="279" w:bottom="1440" w:gutter="0" w:footer="0" w:header="0"/>
        </w:sectPr>
      </w:pPr>
    </w:p>
    <w:p>
      <w:pPr>
        <w:spacing w:after="0" w:line="46" w:lineRule="exact"/>
        <w:rPr>
          <w:sz w:val="20"/>
          <w:szCs w:val="20"/>
          <w:color w:val="auto"/>
        </w:rPr>
      </w:pPr>
    </w:p>
    <w:p>
      <w:pPr>
        <w:ind w:left="900" w:right="140"/>
        <w:spacing w:after="0" w:line="255" w:lineRule="auto"/>
        <w:rPr>
          <w:sz w:val="20"/>
          <w:szCs w:val="20"/>
          <w:color w:val="auto"/>
        </w:rPr>
      </w:pPr>
      <w:r>
        <w:rPr>
          <w:rFonts w:ascii="Arial" w:cs="Arial" w:eastAsia="Arial" w:hAnsi="Arial"/>
          <w:sz w:val="18"/>
          <w:szCs w:val="18"/>
          <w:color w:val="auto"/>
        </w:rPr>
        <w:t>we issue shares of common stock in the offering and the concurrent private placement, based on an offering price equal to the mid-point of the range as set forth on the cover of the prospectus, and the underwriters do not exercise their option to purchase any additional shares to cover overallotments.</w:t>
      </w:r>
    </w:p>
    <w:p>
      <w:pPr>
        <w:sectPr>
          <w:pgSz w:w="11900" w:h="16838" w:orient="portrait"/>
          <w:cols w:equalWidth="0" w:num="1">
            <w:col w:w="11380"/>
          </w:cols>
          <w:pgMar w:left="240" w:top="274" w:right="279" w:bottom="1440" w:gutter="0" w:footer="0" w:header="0"/>
          <w:type w:val="continuous"/>
        </w:sectPr>
      </w:pPr>
    </w:p>
    <w:p>
      <w:pPr>
        <w:spacing w:after="0" w:line="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expenses in the table are based on the assumption that we will have $ million of borrowings outstanding under our credit facilities, after giving effect to the offering and the concurrent private placement and the expected repayment of indebtedness as discussed in more detail under “Use of Proceeds.”</w:t>
      </w:r>
    </w:p>
    <w:p>
      <w:pPr>
        <w:spacing w:after="0" w:line="181" w:lineRule="exact"/>
        <w:rPr>
          <w:sz w:val="20"/>
          <w:szCs w:val="20"/>
          <w:color w:val="auto"/>
        </w:rPr>
      </w:pPr>
    </w:p>
    <w:p>
      <w:pPr>
        <w:sectPr>
          <w:pgSz w:w="11900" w:h="16838" w:orient="portrait"/>
          <w:cols w:equalWidth="0" w:num="2">
            <w:col w:w="640" w:space="260"/>
            <w:col w:w="10480"/>
          </w:cols>
          <w:pgMar w:left="240" w:top="274"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These amounts, along with the sales load and offering expenses, will be further detailed in subsequent filings as we approach the launch of the offering.</w:t>
      </w:r>
    </w:p>
    <w:p>
      <w:pPr>
        <w:spacing w:after="0" w:line="271" w:lineRule="exact"/>
        <w:rPr>
          <w:sz w:val="20"/>
          <w:szCs w:val="20"/>
          <w:color w:val="auto"/>
        </w:rPr>
      </w:pPr>
    </w:p>
    <w:p>
      <w:pPr>
        <w:ind w:left="460" w:hanging="452"/>
        <w:spacing w:after="0" w:line="261" w:lineRule="auto"/>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responses to Comments 31 &amp; 70 in our letter dated January 10, 2014. Please clarify whether the Company will bear any additional organizational expenses beyond the $1.5 million already disclosed. Please also clarify whether the Company or the Adviser will bear the expenses of the offering. In general, please confirm how the Administrative Agreement expense provisions work. Is there any recoupment of expenses?</w:t>
      </w:r>
    </w:p>
    <w:p>
      <w:pPr>
        <w:sectPr>
          <w:pgSz w:w="11900" w:h="16838" w:orient="portrait"/>
          <w:cols w:equalWidth="0" w:num="1">
            <w:col w:w="11380"/>
          </w:cols>
          <w:pgMar w:left="240" w:top="274" w:right="27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respectfully advises the Staff that under both the Investment Advisory Agreement and the Administration Agreement, the Company was responsible for up to $1.5 million of initial organizational expenses in connection with the creation of the Company. As disclosed, that amount was exceeded in 2011 and therefore expensed in the Company’s statement of operations in 2011. All organizational expenses in excess of that amount were borne by the Adviser.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noted in the response to Comment 31 and as further described on pages 86 to 87 and F-19 to F-20, under the Administration Agreement, the Adviser furnishes the Company with office facilities and equipment, provides the Company with clerical, bookkeeping and record keeping services at such facilities and provides the Company with other administrative services necessary to conduct the Company’s day-to-day operations. The Company reimburses the Adviser for the allocable portion (subject to the review and approval of the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For the years ended December 31, 2012 and 2011, the Company incurred expenses of $1.0 million and $0.3 million, respectively, for administrative services payable to the Adviser under the terms of the Administration Agreement.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pursuant to these reimbursement provisions, the Adviser does not recoup any expenses from the Company.</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As noted in the responses to Comments 31 &amp; 70, and as disclosed in Note 9 to the Company’s annual consolidated financial statements on page F-31, costs associated with the private placements of the Company’s stock pursuant to the subscription agreements entered into with the Company’s existing investors in 2011 and 2012 were borne by the Adviser. As a result, these costs are not reflected in the Company’s financial statements.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noted in the response to Comment 31, in accordance with the Investment Advisory Agreement and the Administration Agreement, the Company will bear the costs associated with the IPO. Pursuant to FASB ASC 946-20-25-5, the Company will record these offering expenses as a reduction of additional paid-in capital upon the sale of the stock, which is a different accounting treatment than the $1.5 million in organizational expenses the Company incurred prior to commencing operations in 2011.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registration statement similarly makes clear that the Company (and not the Adviser) will bear the expenses of the offering. See, e.g., the cover</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page, which states: “We estimate that we will incur offering expenses of approximately $ million, or approximately $ per share, in connection with this offering.” There is no disclosure to the effect that the Adviser will bear any such expenses, including the underwriting discount.</w:t>
      </w:r>
    </w:p>
    <w:p>
      <w:pPr>
        <w:sectPr>
          <w:pgSz w:w="11900" w:h="16838" w:orient="portrait"/>
          <w:cols w:equalWidth="0" w:num="1">
            <w:col w:w="11420"/>
          </w:cols>
          <w:pgMar w:left="240" w:top="27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60" w:right="80" w:hanging="452"/>
        <w:spacing w:after="0" w:line="258" w:lineRule="auto"/>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In your response to Comment 41 in our letter dated January 10, 2014, you noted that when the Company has drawn down capital commitments in the past, it has issued the shares at a per-share price equal to net asset value per share of common stock as of the close of the last quarter preceding the capital drawdown notice, as adjusted for any changes due to subsequent economic events of which the Board is aware. Please indicate in your response that the valuation procedures upon which the Company relies give the Company confidence that share offerings are not done below net asset value.</w:t>
      </w:r>
    </w:p>
    <w:p>
      <w:pPr>
        <w:spacing w:after="0" w:line="1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respectfully advises that Staff that the Company believes that the valuation procedures employed by the Board and the Company give the Company confidence that share offerings are not done below net asset value, regardless of when such offerings occur, unless otherwise permitted by the Investment Company Act of 1940, as amended.</w:t>
      </w:r>
    </w:p>
    <w:p>
      <w:pPr>
        <w:spacing w:after="0" w:line="204" w:lineRule="exact"/>
        <w:rPr>
          <w:sz w:val="20"/>
          <w:szCs w:val="20"/>
          <w:color w:val="auto"/>
        </w:rPr>
      </w:pPr>
    </w:p>
    <w:p>
      <w:pPr>
        <w:ind w:left="460" w:right="120" w:hanging="452"/>
        <w:spacing w:after="0" w:line="270" w:lineRule="auto"/>
        <w:tabs>
          <w:tab w:leader="none" w:pos="46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Comment 59 in our letter dated January 10, 2014. In particular, we note the disclosure in the registration statement on page 115 that states: “The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 . . . expenses, including travel expenses, incurred by the Adviser, or members of our Investment Team, or payable to third parties, in respect of due diligence on prospective portfolio companies.” The disclosure also states that the Fund reimburses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Please disclose that the Board takes into consideration the reimbursement of these types of expenses, including travel expenses, when determining whether to approve the Investment Advisory Agreement.</w:t>
      </w:r>
    </w:p>
    <w:p>
      <w:pPr>
        <w:spacing w:after="0" w:line="18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added the requested disclosure on pages 116 and 123.</w:t>
      </w:r>
    </w:p>
    <w:p>
      <w:pPr>
        <w:spacing w:after="0" w:line="248" w:lineRule="exact"/>
        <w:rPr>
          <w:rFonts w:ascii="Arial" w:cs="Arial" w:eastAsia="Arial" w:hAnsi="Arial"/>
          <w:sz w:val="17"/>
          <w:szCs w:val="17"/>
          <w:b w:val="1"/>
          <w:bCs w:val="1"/>
          <w:color w:val="auto"/>
        </w:rPr>
      </w:pPr>
    </w:p>
    <w:p>
      <w:pPr>
        <w:ind w:left="460" w:right="360" w:hanging="452"/>
        <w:spacing w:after="0" w:line="261" w:lineRule="auto"/>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Comment 64 of our letter dated January 10, 2014. Please clarify whether the interest rates specified in the Schedule of Investments are the stated amounts for the investments or also include the “additional amounts as a result of an arrangement between the Company and other lenders in any syndication” that are referred to in footnote 6. Please clarify whether there are any end-of-term payments made at the maturity of the loan.</w:t>
      </w:r>
    </w:p>
    <w:p>
      <w:pPr>
        <w:sectPr>
          <w:pgSz w:w="11900" w:h="16838" w:orient="portrait"/>
          <w:cols w:equalWidth="0" w:num="1">
            <w:col w:w="11420"/>
          </w:cols>
          <w:pgMar w:left="240" w:top="274"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Company respectfully advises the Staff that the amounts indicated in the Schedule of Investments are the stated amounts and do not include the additional amounts described in footnote 6. The Company has clarified this point in the registration statement on pages 102, F-8 and F-11.</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also respectfully confirms its response to Comment 64 to the effect that the syndication arrangements do not include an end-of-term payment made at the maturity of the loan.</w:t>
      </w:r>
    </w:p>
    <w:p>
      <w:pPr>
        <w:spacing w:after="0" w:line="193" w:lineRule="exact"/>
        <w:rPr>
          <w:sz w:val="20"/>
          <w:szCs w:val="20"/>
          <w:color w:val="auto"/>
        </w:rPr>
      </w:pPr>
    </w:p>
    <w:p>
      <w:pPr>
        <w:ind w:left="460" w:right="200" w:hanging="452"/>
        <w:spacing w:after="0" w:line="261" w:lineRule="auto"/>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auditors were involved with and agreed with the changes to the financial statements referred to in the responses in your letter dated January 30, 2014 to our Comments 65 and 69 (Statements of Changes in Net Assets, Financial Highlights, Fair Value of Financial Instruments). Please confirm that the auditors do not need to add subsequent dates to their audit opinion in connection with these changes.</w:t>
      </w:r>
    </w:p>
    <w:p>
      <w:pPr>
        <w:spacing w:after="0" w:line="18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Company respectfully confirms that KPMG was involved and agreed with these changes. KPMG has confirmed that it does not believe it was necessary to add subsequent dates to its audit opinion.</w:t>
      </w:r>
    </w:p>
    <w:p>
      <w:pPr>
        <w:spacing w:after="0" w:line="193" w:lineRule="exact"/>
        <w:rPr>
          <w:sz w:val="20"/>
          <w:szCs w:val="20"/>
          <w:color w:val="auto"/>
        </w:rPr>
      </w:pPr>
    </w:p>
    <w:p>
      <w:pPr>
        <w:ind w:left="460" w:hanging="452"/>
        <w:spacing w:after="0" w:line="266" w:lineRule="auto"/>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Comment 69 of our letter dated January 10, 2014. For those investments where the fair value has been identified as the cost of the investment due to the close proximity of the transaction to the measurement date, please specify the dates on which those transactions occurred.</w:t>
      </w:r>
    </w:p>
    <w:p>
      <w:pPr>
        <w:spacing w:after="0" w:line="1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respectfully notes that for the $114.5 million of first-lien debt investments reflected at cost as of December 31, 2012 identified in footnote (1) to the table on F-26, the relevant transactions occurred on December 28 and December 31, 2012.</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the $2 million of equity investments reflected at cost as of December 31, 2012 identified in the table on F-26, the relevant transaction occurred on December 28, 2012.</w:t>
      </w:r>
    </w:p>
    <w:p>
      <w:pPr>
        <w:spacing w:after="0" w:line="170"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w:t>
      </w:r>
    </w:p>
    <w:p>
      <w:pPr>
        <w:sectPr>
          <w:pgSz w:w="11900" w:h="16838" w:orient="portrait"/>
          <w:cols w:equalWidth="0" w:num="1">
            <w:col w:w="11360"/>
          </w:cols>
          <w:pgMar w:left="240" w:top="274" w:right="29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 Adam E. Fleisher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13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Jennifer R. Porter</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Securities and Exchange Commission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Cleary Gottlieb Steen &amp; Hamilton LLP</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Stuart H. Gelfond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D. Tropp</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Fried, Frank, Harris, Shriver &amp; Jacobson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decimal"/>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lvl w:ilvl="1">
      <w:lvlJc w:val="left"/>
      <w:lvlText w:val="•"/>
      <w:numFmt w:val="bullet"/>
      <w:start w:val="1"/>
    </w:lvl>
  </w:abstractNum>
  <w:abstractNum w:abstractNumId="4">
    <w:nsid w:val="7F01579B"/>
    <w:multiLevelType w:val="hybridMultilevel"/>
    <w:lvl w:ilvl="0">
      <w:lvlJc w:val="left"/>
      <w:lvlText w:val="•"/>
      <w:numFmt w:val="bullet"/>
      <w:start w:val="1"/>
    </w:lvl>
    <w:lvl w:ilvl="1">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1)"/>
      <w:numFmt w:val="decimal"/>
      <w:start w:val="1"/>
    </w:lvl>
  </w:abstractNum>
  <w:abstractNum w:abstractNumId="15">
    <w:nsid w:val="7D5E18F8"/>
    <w:multiLevelType w:val="hybridMultilevel"/>
    <w:lvl w:ilvl="0">
      <w:lvlJc w:val="left"/>
      <w:lvlText w:val="(%1)"/>
      <w:numFmt w:val="decimal"/>
      <w:start w:val="3"/>
    </w:lvl>
  </w:abstractNum>
  <w:abstractNum w:abstractNumId="16">
    <w:nsid w:val="5F3534A4"/>
    <w:multiLevelType w:val="hybridMultilevel"/>
    <w:lvl w:ilvl="0">
      <w:lvlJc w:val="left"/>
      <w:lvlText w:val="(%1)"/>
      <w:numFmt w:val="decimal"/>
      <w:start w:val="5"/>
    </w:lvl>
  </w:abstractNum>
  <w:abstractNum w:abstractNumId="17">
    <w:nsid w:val="73A1821B"/>
    <w:multiLevelType w:val="hybridMultilevel"/>
    <w:lvl w:ilvl="0">
      <w:lvlJc w:val="left"/>
      <w:lvlText w:val="•"/>
      <w:numFmt w:val="bullet"/>
      <w:start w:val="1"/>
    </w:lvl>
    <w:lvl w:ilvl="1">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1)"/>
      <w:numFmt w:val="lowerRoman"/>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1)"/>
      <w:numFmt w:val="decimal"/>
      <w:start w:val="1"/>
    </w:lvl>
  </w:abstractNum>
  <w:abstractNum w:abstractNumId="33">
    <w:nsid w:val="97E1B4E"/>
    <w:multiLevelType w:val="hybridMultilevel"/>
    <w:lvl w:ilvl="0">
      <w:lvlJc w:val="left"/>
      <w:lvlText w:val="(%1)"/>
      <w:numFmt w:val="decimal"/>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1)"/>
      <w:numFmt w:val="decimal"/>
      <w:start w:val="2"/>
    </w:lvl>
  </w:abstractNum>
  <w:abstractNum w:abstractNumId="37">
    <w:nsid w:val="415E286C"/>
    <w:multiLevelType w:val="hybridMultilevel"/>
    <w:lvl w:ilvl="0">
      <w:lvlJc w:val="left"/>
      <w:lvlText w:val="(%1)"/>
      <w:numFmt w:val="decimal"/>
      <w:start w:val="1"/>
    </w:lvl>
  </w:abstractNum>
  <w:abstractNum w:abstractNumId="38">
    <w:nsid w:val="7C58FD05"/>
    <w:multiLevelType w:val="hybridMultilevel"/>
    <w:lvl w:ilvl="0">
      <w:lvlJc w:val="left"/>
      <w:lvlText w:val="(%1)"/>
      <w:numFmt w:val="decimal"/>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1)"/>
      <w:numFmt w:val="decimal"/>
      <w:start w:val="1"/>
    </w:lvl>
  </w:abstractNum>
  <w:abstractNum w:abstractNumId="43">
    <w:nsid w:val="3C5991AA"/>
    <w:multiLevelType w:val="hybridMultilevel"/>
    <w:lvl w:ilvl="0">
      <w:lvlJc w:val="left"/>
      <w:lvlText w:val="•"/>
      <w:numFmt w:val="bullet"/>
      <w:start w:val="1"/>
    </w:lvl>
    <w:lvl w:ilvl="1">
      <w:lvlJc w:val="left"/>
      <w:lvlText w:val="º"/>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1)"/>
      <w:numFmt w:val="decimal"/>
      <w:start w:val="1"/>
    </w:lvl>
  </w:abstractNum>
  <w:abstractNum w:abstractNumId="46">
    <w:nsid w:val="39B7AAA2"/>
    <w:multiLevelType w:val="hybridMultilevel"/>
    <w:lvl w:ilvl="0">
      <w:lvlJc w:val="left"/>
      <w:lvlText w:val="(%1)"/>
      <w:numFmt w:val="decimal"/>
      <w:start w:val="3"/>
    </w:lvl>
    <w:lvl w:ilvl="1">
      <w:lvlJc w:val="left"/>
      <w:lvlText w:val="$"/>
      <w:numFmt w:val="bullet"/>
      <w:start w:val="1"/>
    </w:lvl>
  </w:abstractNum>
  <w:abstractNum w:abstractNumId="47">
    <w:nsid w:val="2B0D8DBE"/>
    <w:multiLevelType w:val="hybridMultilevel"/>
    <w:lvl w:ilvl="0">
      <w:lvlJc w:val="left"/>
      <w:lvlText w:val="•"/>
      <w:numFmt w:val="bullet"/>
      <w:start w:val="1"/>
    </w:lvl>
    <w:lvl w:ilvl="1">
      <w:lvlJc w:val="left"/>
      <w:lvlText w:val="º"/>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1)"/>
      <w:numFmt w:val="decimal"/>
      <w:start w:val="1"/>
    </w:lvl>
  </w:abstractNum>
  <w:abstractNum w:abstractNumId="51">
    <w:nsid w:val="2C27173B"/>
    <w:multiLevelType w:val="hybridMultilevel"/>
    <w:lvl w:ilvl="0">
      <w:lvlJc w:val="left"/>
      <w:lvlText w:val="•"/>
      <w:numFmt w:val="bullet"/>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
      <w:numFmt w:val="bullet"/>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1)"/>
      <w:numFmt w:val="decimal"/>
      <w:start w:val="1"/>
    </w:lvl>
  </w:abstractNum>
  <w:abstractNum w:abstractNumId="58">
    <w:nsid w:val="2708C9AF"/>
    <w:multiLevelType w:val="hybridMultilevel"/>
    <w:lvl w:ilvl="0">
      <w:lvlJc w:val="left"/>
      <w:lvlText w:val="•"/>
      <w:numFmt w:val="bullet"/>
      <w:start w:val="1"/>
    </w:lvl>
  </w:abstractNum>
  <w:abstractNum w:abstractNumId="59">
    <w:nsid w:val="5B25ACE2"/>
    <w:multiLevelType w:val="hybridMultilevel"/>
    <w:lvl w:ilvl="0">
      <w:lvlJc w:val="left"/>
      <w:lvlText w:val="•"/>
      <w:numFmt w:val="bullet"/>
      <w:start w:val="1"/>
    </w:lvl>
    <w:lvl w:ilvl="1">
      <w:lvlJc w:val="left"/>
      <w:lvlText w:val="¡"/>
      <w:numFmt w:val="bullet"/>
      <w:start w:val="1"/>
    </w:lvl>
  </w:abstractNum>
  <w:abstractNum w:abstractNumId="60">
    <w:nsid w:val="175DFCF0"/>
    <w:multiLevelType w:val="hybridMultilevel"/>
    <w:lvl w:ilvl="0">
      <w:lvlJc w:val="left"/>
      <w:lvlText w:val="•"/>
      <w:numFmt w:val="bullet"/>
      <w:start w:val="1"/>
    </w:lvl>
  </w:abstractNum>
  <w:abstractNum w:abstractNumId="61">
    <w:nsid w:val="4F97E3E4"/>
    <w:multiLevelType w:val="hybridMultilevel"/>
    <w:lvl w:ilvl="0">
      <w:lvlJc w:val="left"/>
      <w:lvlText w:val="•"/>
      <w:numFmt w:val="bullet"/>
      <w:start w:val="1"/>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lvl w:ilvl="1">
      <w:lvlJc w:val="left"/>
      <w:lvlText w:val="•"/>
      <w:numFmt w:val="bullet"/>
      <w:start w:val="1"/>
    </w:lvl>
  </w:abstractNum>
  <w:abstractNum w:abstractNumId="66">
    <w:nsid w:val="519E3149"/>
    <w:multiLevelType w:val="hybridMultilevel"/>
    <w:lvl w:ilvl="0">
      <w:lvlJc w:val="left"/>
      <w:lvlText w:val="•"/>
      <w:numFmt w:val="bullet"/>
      <w:start w:val="1"/>
    </w:lvl>
    <w:lvl w:ilvl="1">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1)"/>
      <w:numFmt w:val="decimal"/>
      <w:start w:val="1"/>
    </w:lvl>
  </w:abstractNum>
  <w:abstractNum w:abstractNumId="69">
    <w:nsid w:val="4DF72E4E"/>
    <w:multiLevelType w:val="hybridMultilevel"/>
    <w:lvl w:ilvl="0">
      <w:lvlJc w:val="left"/>
      <w:lvlText w:val="(%1)"/>
      <w:numFmt w:val="decimal"/>
      <w:start w:val="1"/>
    </w:lvl>
  </w:abstractNum>
  <w:abstractNum w:abstractNumId="70">
    <w:nsid w:val="5046B5A9"/>
    <w:multiLevelType w:val="hybridMultilevel"/>
    <w:lvl w:ilvl="0">
      <w:lvlJc w:val="left"/>
      <w:lvlText w:val="(%1)"/>
      <w:numFmt w:val="decimal"/>
      <w:start w:val="5"/>
    </w:lvl>
  </w:abstractNum>
  <w:abstractNum w:abstractNumId="71">
    <w:nsid w:val="5D888A08"/>
    <w:multiLevelType w:val="hybridMultilevel"/>
    <w:lvl w:ilvl="0">
      <w:lvlJc w:val="left"/>
      <w:lvlText w:val="•"/>
      <w:numFmt w:val="bullet"/>
      <w:start w:val="1"/>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
      <w:numFmt w:val="bullet"/>
      <w:start w:val="1"/>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abstractNum>
  <w:abstractNum w:abstractNumId="78">
    <w:nsid w:val="20EE1348"/>
    <w:multiLevelType w:val="hybridMultilevel"/>
    <w:lvl w:ilvl="0">
      <w:lvlJc w:val="left"/>
      <w:lvlText w:val="•"/>
      <w:numFmt w:val="bullet"/>
      <w:start w:val="1"/>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1)"/>
      <w:numFmt w:val="lowerRoman"/>
      <w:start w:val="1"/>
    </w:lvl>
  </w:abstractNum>
  <w:abstractNum w:abstractNumId="81">
    <w:nsid w:val="2157F6BC"/>
    <w:multiLevelType w:val="hybridMultilevel"/>
    <w:lvl w:ilvl="0">
      <w:lvlJc w:val="left"/>
      <w:lvlText w:val="(%1)"/>
      <w:numFmt w:val="lowerRoman"/>
      <w:start w:val="2"/>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1)"/>
      <w:numFmt w:val="decimal"/>
    </w:lvl>
    <w:lvl w:ilvl="1">
      <w:lvlJc w:val="left"/>
      <w:lvlText w:val="="/>
      <w:numFmt w:val="bullet"/>
      <w:start w:val="1"/>
    </w:lvl>
  </w:abstractNum>
  <w:abstractNum w:abstractNumId="85">
    <w:nsid w:val="E3E47A8"/>
    <w:multiLevelType w:val="hybridMultilevel"/>
    <w:lvl w:ilvl="0">
      <w:lvlJc w:val="left"/>
      <w:lvlText w:val="(*)"/>
      <w:numFmt w:val="bullet"/>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
      <w:numFmt w:val="bullet"/>
      <w:start w:val="1"/>
    </w:lvl>
  </w:abstractNum>
  <w:abstractNum w:abstractNumId="89">
    <w:nsid w:val="5551B9F3"/>
    <w:multiLevelType w:val="hybridMultilevel"/>
    <w:lvl w:ilvl="0">
      <w:lvlJc w:val="left"/>
      <w:lvlText w:val="•"/>
      <w:numFmt w:val="bullet"/>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
      <w:numFmt w:val="bullet"/>
      <w:start w:val="1"/>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
      <w:numFmt w:val="bullet"/>
      <w:start w:val="1"/>
    </w:lvl>
  </w:abstractNum>
  <w:abstractNum w:abstractNumId="95">
    <w:nsid w:val="7DFF9D09"/>
    <w:multiLevelType w:val="hybridMultilevel"/>
    <w:lvl w:ilvl="0">
      <w:lvlJc w:val="left"/>
      <w:lvlText w:val="•"/>
      <w:numFmt w:val="bullet"/>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
      <w:numFmt w:val="bullet"/>
      <w:start w:val="1"/>
    </w:lvl>
  </w:abstractNum>
  <w:abstractNum w:abstractNumId="98">
    <w:nsid w:val="2A6DE806"/>
    <w:multiLevelType w:val="hybridMultilevel"/>
    <w:lvl w:ilvl="0">
      <w:lvlJc w:val="left"/>
      <w:lvlText w:val="&amp;"/>
      <w:numFmt w:val="bullet"/>
      <w:start w:val="1"/>
    </w:lvl>
  </w:abstractNum>
  <w:abstractNum w:abstractNumId="99">
    <w:nsid w:val="1816F8C4"/>
    <w:multiLevelType w:val="hybridMultilevel"/>
    <w:lvl w:ilvl="0">
      <w:lvlJc w:val="left"/>
      <w:lvlText w:val="(%1)"/>
      <w:numFmt w:val="decimal"/>
      <w:start w:val="3"/>
    </w:lvl>
  </w:abstractNum>
  <w:abstractNum w:abstractNumId="100">
    <w:nsid w:val="37DF2233"/>
    <w:multiLevelType w:val="hybridMultilevel"/>
    <w:lvl w:ilvl="0">
      <w:lvlJc w:val="left"/>
      <w:lvlText w:val="(%1)"/>
      <w:numFmt w:val="decimal"/>
      <w:start w:val="6"/>
    </w:lvl>
  </w:abstractNum>
  <w:abstractNum w:abstractNumId="101">
    <w:nsid w:val="7AB49DAF"/>
    <w:multiLevelType w:val="hybridMultilevel"/>
    <w:lvl w:ilvl="0">
      <w:lvlJc w:val="left"/>
      <w:lvlText w:val="(%1)"/>
      <w:numFmt w:val="decimal"/>
      <w:start w:val="8"/>
    </w:lvl>
  </w:abstractNum>
  <w:abstractNum w:abstractNumId="102">
    <w:nsid w:val="759F82CD"/>
    <w:multiLevelType w:val="hybridMultilevel"/>
    <w:lvl w:ilvl="0">
      <w:lvlJc w:val="left"/>
      <w:lvlText w:val="(%1)"/>
      <w:numFmt w:val="decimal"/>
      <w:start w:val="1"/>
    </w:lvl>
  </w:abstractNum>
  <w:abstractNum w:abstractNumId="103">
    <w:nsid w:val="61E74EA3"/>
    <w:multiLevelType w:val="hybridMultilevel"/>
    <w:lvl w:ilvl="0">
      <w:lvlJc w:val="left"/>
      <w:lvlText w:val="•"/>
      <w:numFmt w:val="bullet"/>
      <w:start w:val="1"/>
    </w:lvl>
  </w:abstractNum>
  <w:abstractNum w:abstractNumId="104">
    <w:nsid w:val="597B4D84"/>
    <w:multiLevelType w:val="hybridMultilevel"/>
    <w:lvl w:ilvl="0">
      <w:lvlJc w:val="left"/>
      <w:lvlText w:val="•"/>
      <w:numFmt w:val="bullet"/>
      <w:start w:val="1"/>
    </w:lvl>
  </w:abstractNum>
  <w:abstractNum w:abstractNumId="105">
    <w:nsid w:val="F819E7F"/>
    <w:multiLevelType w:val="hybridMultilevel"/>
    <w:lvl w:ilvl="0">
      <w:lvlJc w:val="left"/>
      <w:lvlText w:val="•"/>
      <w:numFmt w:val="bullet"/>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
      <w:numFmt w:val="bullet"/>
      <w:start w:val="1"/>
    </w:lvl>
    <w:lvl w:ilvl="1">
      <w:lvlJc w:val="left"/>
      <w:lvlText w:val="•"/>
      <w:numFmt w:val="bullet"/>
      <w:start w:val="1"/>
    </w:lvl>
  </w:abstractNum>
  <w:abstractNum w:abstractNumId="108">
    <w:nsid w:val="631B64D4"/>
    <w:multiLevelType w:val="hybridMultilevel"/>
    <w:lvl w:ilvl="0">
      <w:lvlJc w:val="left"/>
      <w:lvlText w:val="•"/>
      <w:numFmt w:val="bullet"/>
      <w:start w:val="1"/>
    </w:lvl>
  </w:abstractNum>
  <w:abstractNum w:abstractNumId="109">
    <w:nsid w:val="78B5E776"/>
    <w:multiLevelType w:val="hybridMultilevel"/>
    <w:lvl w:ilvl="0">
      <w:lvlJc w:val="left"/>
      <w:lvlText w:val="•"/>
      <w:numFmt w:val="bullet"/>
      <w:start w:val="1"/>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1)"/>
      <w:numFmt w:val="lowerRoman"/>
      <w:start w:val="1"/>
    </w:lvl>
  </w:abstractNum>
  <w:abstractNum w:abstractNumId="113">
    <w:nsid w:val="65968C1C"/>
    <w:multiLevelType w:val="hybridMultilevel"/>
    <w:lvl w:ilvl="0">
      <w:lvlJc w:val="left"/>
      <w:lvlText w:val="•"/>
      <w:numFmt w:val="bullet"/>
      <w:start w:val="1"/>
    </w:lvl>
  </w:abstractNum>
  <w:abstractNum w:abstractNumId="114">
    <w:nsid w:val="46263DEC"/>
    <w:multiLevelType w:val="hybridMultilevel"/>
    <w:lvl w:ilvl="0">
      <w:lvlJc w:val="left"/>
      <w:lvlText w:val="•"/>
      <w:numFmt w:val="bullet"/>
      <w:start w:val="1"/>
    </w:lvl>
  </w:abstractNum>
  <w:abstractNum w:abstractNumId="115">
    <w:nsid w:val="260D8C4A"/>
    <w:multiLevelType w:val="hybridMultilevel"/>
    <w:lvl w:ilvl="0">
      <w:lvlJc w:val="left"/>
      <w:lvlText w:val="•"/>
      <w:numFmt w:val="bullet"/>
      <w:start w:val="1"/>
    </w:lvl>
  </w:abstractNum>
  <w:abstractNum w:abstractNumId="116">
    <w:nsid w:val="73D4D3C4"/>
    <w:multiLevelType w:val="hybridMultilevel"/>
    <w:lvl w:ilvl="0">
      <w:lvlJc w:val="left"/>
      <w:lvlText w:val="•"/>
      <w:numFmt w:val="bullet"/>
      <w:start w:val="1"/>
    </w:lvl>
  </w:abstractNum>
  <w:abstractNum w:abstractNumId="117">
    <w:nsid w:val="746F2E30"/>
    <w:multiLevelType w:val="hybridMultilevel"/>
    <w:lvl w:ilvl="0">
      <w:lvlJc w:val="left"/>
      <w:lvlText w:val="•"/>
      <w:numFmt w:val="bullet"/>
      <w:start w:val="1"/>
    </w:lvl>
  </w:abstractNum>
  <w:abstractNum w:abstractNumId="118">
    <w:nsid w:val="6FDE8AF6"/>
    <w:multiLevelType w:val="hybridMultilevel"/>
    <w:lvl w:ilvl="0">
      <w:lvlJc w:val="left"/>
      <w:lvlText w:val="•"/>
      <w:numFmt w:val="bullet"/>
      <w:start w:val="1"/>
    </w:lvl>
  </w:abstractNum>
  <w:abstractNum w:abstractNumId="119">
    <w:nsid w:val="3FC32E2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0">
    <w:nsid w:val="49C0E823"/>
    <w:multiLevelType w:val="hybridMultilevel"/>
    <w:lvl w:ilvl="0">
      <w:lvlJc w:val="left"/>
      <w:lvlText w:val="•"/>
      <w:numFmt w:val="bullet"/>
      <w:start w:val="1"/>
    </w:lvl>
  </w:abstractNum>
  <w:abstractNum w:abstractNumId="121">
    <w:nsid w:val="14D53685"/>
    <w:multiLevelType w:val="hybridMultilevel"/>
    <w:lvl w:ilvl="0">
      <w:lvlJc w:val="left"/>
      <w:lvlText w:val="•"/>
      <w:numFmt w:val="bullet"/>
      <w:start w:val="1"/>
    </w:lvl>
  </w:abstractNum>
  <w:abstractNum w:abstractNumId="122">
    <w:nsid w:val="230F856C"/>
    <w:multiLevelType w:val="hybridMultilevel"/>
    <w:lvl w:ilvl="0">
      <w:lvlJc w:val="left"/>
      <w:lvlText w:val="•"/>
      <w:numFmt w:val="bullet"/>
      <w:start w:val="1"/>
    </w:lvl>
  </w:abstractNum>
  <w:abstractNum w:abstractNumId="123">
    <w:nsid w:val="6EAA85FB"/>
    <w:multiLevelType w:val="hybridMultilevel"/>
    <w:lvl w:ilvl="0">
      <w:lvlJc w:val="left"/>
      <w:lvlText w:val="•"/>
      <w:numFmt w:val="bullet"/>
      <w:start w:val="1"/>
    </w:lvl>
  </w:abstractNum>
  <w:abstractNum w:abstractNumId="124">
    <w:nsid w:val="3F06ECB2"/>
    <w:multiLevelType w:val="hybridMultilevel"/>
    <w:lvl w:ilvl="0">
      <w:lvlJc w:val="left"/>
      <w:lvlText w:val="•"/>
      <w:numFmt w:val="bullet"/>
      <w:start w:val="1"/>
    </w:lvl>
  </w:abstractNum>
  <w:abstractNum w:abstractNumId="125">
    <w:nsid w:val="3B594807"/>
    <w:multiLevelType w:val="hybridMultilevel"/>
    <w:lvl w:ilvl="0">
      <w:lvlJc w:val="left"/>
      <w:lvlText w:val="(%1)"/>
      <w:numFmt w:val="decimal"/>
      <w:start w:val="1"/>
    </w:lvl>
  </w:abstractNum>
  <w:abstractNum w:abstractNumId="126">
    <w:nsid w:val="6CAA2304"/>
    <w:multiLevelType w:val="hybridMultilevel"/>
    <w:lvl w:ilvl="0">
      <w:lvlJc w:val="left"/>
      <w:lvlText w:val="(%1)"/>
      <w:numFmt w:val="decimal"/>
      <w:start w:val="1"/>
    </w:lvl>
  </w:abstractNum>
  <w:abstractNum w:abstractNumId="127">
    <w:nsid w:val="3F7C2FF4"/>
    <w:multiLevelType w:val="hybridMultilevel"/>
    <w:lvl w:ilvl="0">
      <w:lvlJc w:val="left"/>
      <w:lvlText w:val="(%1)"/>
      <w:numFmt w:val="decimal"/>
      <w:start w:val="1"/>
    </w:lvl>
  </w:abstractNum>
  <w:abstractNum w:abstractNumId="128">
    <w:nsid w:val="25413BEC"/>
    <w:multiLevelType w:val="hybridMultilevel"/>
    <w:lvl w:ilvl="0">
      <w:lvlJc w:val="left"/>
      <w:lvlText w:val="(%1)"/>
      <w:numFmt w:val="decimal"/>
      <w:start w:val="3"/>
    </w:lvl>
  </w:abstractNum>
  <w:abstractNum w:abstractNumId="129">
    <w:nsid w:val="17180B0B"/>
    <w:multiLevelType w:val="hybridMultilevel"/>
    <w:lvl w:ilvl="0">
      <w:lvlJc w:val="left"/>
      <w:lvlText w:val="(%1)"/>
      <w:numFmt w:val="decimal"/>
      <w:start w:val="1"/>
    </w:lvl>
  </w:abstractNum>
  <w:abstractNum w:abstractNumId="130">
    <w:nsid w:val="579328B9"/>
    <w:multiLevelType w:val="hybridMultilevel"/>
    <w:lvl w:ilvl="0">
      <w:lvlJc w:val="left"/>
      <w:lvlText w:val="%1."/>
      <w:numFmt w:val="decimal"/>
      <w:start w:val="1"/>
    </w:lvl>
  </w:abstractNum>
  <w:abstractNum w:abstractNumId="131">
    <w:nsid w:val="5D205E20"/>
    <w:multiLevelType w:val="hybridMultilevel"/>
    <w:lvl w:ilvl="0">
      <w:lvlJc w:val="left"/>
      <w:lvlText w:val="%1."/>
      <w:numFmt w:val="decimal"/>
      <w:start w:val="2"/>
    </w:lvl>
  </w:abstractNum>
  <w:abstractNum w:abstractNumId="132">
    <w:nsid w:val="11CCA8BA"/>
    <w:multiLevelType w:val="hybridMultilevel"/>
    <w:lvl w:ilvl="0">
      <w:lvlJc w:val="left"/>
      <w:lvlText w:val="•"/>
      <w:numFmt w:val="bullet"/>
      <w:start w:val="1"/>
    </w:lvl>
  </w:abstractNum>
  <w:abstractNum w:abstractNumId="133">
    <w:nsid w:val="4D32AB86"/>
    <w:multiLevelType w:val="hybridMultilevel"/>
    <w:lvl w:ilvl="0">
      <w:lvlJc w:val="left"/>
      <w:lvlText w:val="•"/>
      <w:numFmt w:val="bullet"/>
      <w:start w:val="1"/>
    </w:lvl>
  </w:abstractNum>
  <w:abstractNum w:abstractNumId="134">
    <w:nsid w:val="3F07ACC3"/>
    <w:multiLevelType w:val="hybridMultilevel"/>
    <w:lvl w:ilvl="0">
      <w:lvlJc w:val="left"/>
      <w:lvlText w:val="•"/>
      <w:numFmt w:val="bullet"/>
      <w:start w:val="1"/>
    </w:lvl>
  </w:abstractNum>
  <w:abstractNum w:abstractNumId="135">
    <w:nsid w:val="6B47F63E"/>
    <w:multiLevelType w:val="hybridMultilevel"/>
    <w:lvl w:ilvl="0">
      <w:lvlJc w:val="left"/>
      <w:lvlText w:val="%1."/>
      <w:numFmt w:val="decimal"/>
      <w:start w:val="3"/>
    </w:lvl>
  </w:abstractNum>
  <w:abstractNum w:abstractNumId="136">
    <w:nsid w:val="5CB44A05"/>
    <w:multiLevelType w:val="hybridMultilevel"/>
    <w:lvl w:ilvl="0">
      <w:lvlJc w:val="left"/>
      <w:lvlText w:val="(%1)"/>
      <w:numFmt w:val="lowerRoman"/>
      <w:start w:val="1"/>
    </w:lvl>
  </w:abstractNum>
  <w:abstractNum w:abstractNumId="137">
    <w:nsid w:val="16CF80F1"/>
    <w:multiLevelType w:val="hybridMultilevel"/>
    <w:lvl w:ilvl="0">
      <w:lvlJc w:val="left"/>
      <w:lvlText w:val="(%1)"/>
      <w:numFmt w:val="lowerRoman"/>
      <w:start w:val="2"/>
    </w:lvl>
  </w:abstractNum>
  <w:abstractNum w:abstractNumId="138">
    <w:nsid w:val="1C695DEC"/>
    <w:multiLevelType w:val="hybridMultilevel"/>
    <w:lvl w:ilvl="0">
      <w:lvlJc w:val="left"/>
      <w:lvlText w:val="(%1)"/>
      <w:numFmt w:val="decimal"/>
      <w:start w:val="1"/>
    </w:lvl>
  </w:abstractNum>
  <w:abstractNum w:abstractNumId="139">
    <w:nsid w:val="3FCFAED9"/>
    <w:multiLevelType w:val="hybridMultilevel"/>
    <w:lvl w:ilvl="0">
      <w:lvlJc w:val="left"/>
      <w:lvlText w:val="%1."/>
      <w:numFmt w:val="decimal"/>
      <w:start w:val="5"/>
    </w:lvl>
  </w:abstractNum>
  <w:abstractNum w:abstractNumId="140">
    <w:nsid w:val="F856867"/>
    <w:multiLevelType w:val="hybridMultilevel"/>
    <w:lvl w:ilvl="0">
      <w:lvlJc w:val="left"/>
      <w:lvlText w:val="%1."/>
      <w:numFmt w:val="decimal"/>
      <w:start w:val="6"/>
    </w:lvl>
  </w:abstractNum>
  <w:abstractNum w:abstractNumId="141">
    <w:nsid w:val="11B1CC33"/>
    <w:multiLevelType w:val="hybridMultilevel"/>
    <w:lvl w:ilvl="0">
      <w:lvlJc w:val="left"/>
      <w:lvlText w:val="(%1)"/>
      <w:numFmt w:val="decimal"/>
      <w:start w:val="1"/>
    </w:lvl>
  </w:abstractNum>
  <w:abstractNum w:abstractNumId="142">
    <w:nsid w:val="2E22FBB7"/>
    <w:multiLevelType w:val="hybridMultilevel"/>
    <w:lvl w:ilvl="0">
      <w:lvlJc w:val="left"/>
      <w:lvlText w:val="(%1)"/>
      <w:numFmt w:val="decimal"/>
      <w:start w:val="1"/>
    </w:lvl>
  </w:abstractNum>
  <w:abstractNum w:abstractNumId="143">
    <w:nsid w:val="29934699"/>
    <w:multiLevelType w:val="hybridMultilevel"/>
    <w:lvl w:ilvl="0">
      <w:lvlJc w:val="left"/>
      <w:lvlText w:val="•"/>
      <w:numFmt w:val="bullet"/>
      <w:start w:val="1"/>
    </w:lvl>
    <w:lvl w:ilvl="1">
      <w:lvlJc w:val="left"/>
      <w:lvlText w:val="•"/>
      <w:numFmt w:val="bullet"/>
      <w:start w:val="1"/>
    </w:lvl>
  </w:abstractNum>
  <w:abstractNum w:abstractNumId="144">
    <w:nsid w:val="77485850"/>
    <w:multiLevelType w:val="hybridMultilevel"/>
    <w:lvl w:ilvl="0">
      <w:lvlJc w:val="left"/>
      <w:lvlText w:val="•"/>
      <w:numFmt w:val="bullet"/>
      <w:start w:val="1"/>
    </w:lvl>
  </w:abstractNum>
  <w:abstractNum w:abstractNumId="145">
    <w:nsid w:val="744939A3"/>
    <w:multiLevelType w:val="hybridMultilevel"/>
    <w:lvl w:ilvl="0">
      <w:lvlJc w:val="left"/>
      <w:lvlText w:val="•"/>
      <w:numFmt w:val="bullet"/>
      <w:start w:val="1"/>
    </w:lvl>
  </w:abstractNum>
  <w:abstractNum w:abstractNumId="146">
    <w:nsid w:val="4FA0D2E3"/>
    <w:multiLevelType w:val="hybridMultilevel"/>
    <w:lvl w:ilvl="0">
      <w:lvlJc w:val="left"/>
      <w:lvlText w:val="%1."/>
      <w:numFmt w:val="decimal"/>
      <w:start w:val="8"/>
    </w:lvl>
  </w:abstractNum>
  <w:abstractNum w:abstractNumId="147">
    <w:nsid w:val="6B1D2C14"/>
    <w:multiLevelType w:val="hybridMultilevel"/>
    <w:lvl w:ilvl="0">
      <w:lvlJc w:val="left"/>
      <w:lvlText w:val="(%1)"/>
      <w:numFmt w:val="decimal"/>
      <w:start w:val="1"/>
    </w:lvl>
  </w:abstractNum>
  <w:abstractNum w:abstractNumId="148">
    <w:nsid w:val="68B867D3"/>
    <w:multiLevelType w:val="hybridMultilevel"/>
    <w:lvl w:ilvl="0">
      <w:lvlJc w:val="left"/>
      <w:lvlText w:val="(%1)"/>
      <w:numFmt w:val="decimal"/>
      <w:start w:val="1"/>
    </w:lvl>
  </w:abstractNum>
  <w:abstractNum w:abstractNumId="149">
    <w:nsid w:val="3F7F5DD9"/>
    <w:multiLevelType w:val="hybridMultilevel"/>
    <w:lvl w:ilvl="0">
      <w:lvlJc w:val="left"/>
      <w:lvlText w:val="(%1)"/>
      <w:numFmt w:val="decimal"/>
      <w:start w:val="1"/>
    </w:lvl>
  </w:abstractNum>
  <w:abstractNum w:abstractNumId="150">
    <w:nsid w:val="2AE05A34"/>
    <w:multiLevelType w:val="hybridMultilevel"/>
    <w:lvl w:ilvl="0">
      <w:lvlJc w:val="left"/>
      <w:lvlText w:val="(%1)"/>
      <w:numFmt w:val="decimal"/>
      <w:start w:val="1"/>
    </w:lvl>
  </w:abstractNum>
  <w:abstractNum w:abstractNumId="151">
    <w:nsid w:val="32794FF7"/>
    <w:multiLevelType w:val="hybridMultilevel"/>
    <w:lvl w:ilvl="0">
      <w:lvlJc w:val="left"/>
      <w:lvlText w:val="(%1)"/>
      <w:numFmt w:val="decimal"/>
      <w:start w:val="1"/>
    </w:lvl>
  </w:abstractNum>
  <w:abstractNum w:abstractNumId="152">
    <w:nsid w:val="5454945E"/>
    <w:multiLevelType w:val="hybridMultilevel"/>
    <w:lvl w:ilvl="0">
      <w:lvlJc w:val="left"/>
      <w:lvlText w:val="(%1)"/>
      <w:numFmt w:val="decimal"/>
      <w:start w:val="1"/>
    </w:lvl>
  </w:abstractNum>
  <w:abstractNum w:abstractNumId="153">
    <w:nsid w:val="4DEFDFA0"/>
    <w:multiLevelType w:val="hybridMultilevel"/>
    <w:lvl w:ilvl="0">
      <w:lvlJc w:val="left"/>
      <w:lvlText w:val="(%1)"/>
      <w:numFmt w:val="decimal"/>
      <w:start w:val="1"/>
    </w:lvl>
  </w:abstractNum>
  <w:abstractNum w:abstractNumId="154">
    <w:nsid w:val="2123D5F2"/>
    <w:multiLevelType w:val="hybridMultilevel"/>
    <w:lvl w:ilvl="0">
      <w:lvlJc w:val="left"/>
      <w:lvlText w:val="(%1)"/>
      <w:numFmt w:val="decimal"/>
      <w:start w:val="1"/>
    </w:lvl>
  </w:abstractNum>
  <w:abstractNum w:abstractNumId="155">
    <w:nsid w:val="135B8110"/>
    <w:multiLevelType w:val="hybridMultilevel"/>
    <w:lvl w:ilvl="0">
      <w:lvlJc w:val="left"/>
      <w:lvlText w:val="%1"/>
      <w:numFmt w:val="upperLetter"/>
      <w:start w:val="53"/>
    </w:lvl>
  </w:abstractNum>
  <w:abstractNum w:abstractNumId="156">
    <w:nsid w:val="94927A8"/>
    <w:multiLevelType w:val="hybridMultilevel"/>
    <w:lvl w:ilvl="0">
      <w:lvlJc w:val="left"/>
      <w:lvlText w:val="%1"/>
      <w:numFmt w:val="upperLetter"/>
      <w:start w:val="27"/>
    </w:lvl>
  </w:abstractNum>
  <w:abstractNum w:abstractNumId="157">
    <w:nsid w:val="DCDF8F6"/>
    <w:multiLevelType w:val="hybridMultilevel"/>
    <w:lvl w:ilvl="0">
      <w:lvlJc w:val="left"/>
      <w:lvlText w:val="%1"/>
      <w:numFmt w:val="upperLetter"/>
      <w:start w:val="54"/>
    </w:lvl>
  </w:abstractNum>
  <w:abstractNum w:abstractNumId="158">
    <w:nsid w:val="52D7B105"/>
    <w:multiLevelType w:val="hybridMultilevel"/>
    <w:lvl w:ilvl="0">
      <w:lvlJc w:val="left"/>
      <w:lvlText w:val="%1"/>
      <w:numFmt w:val="upperLetter"/>
      <w:start w:val="28"/>
    </w:lvl>
  </w:abstractNum>
  <w:abstractNum w:abstractNumId="159">
    <w:nsid w:val="2E8A6394"/>
    <w:multiLevelType w:val="hybridMultilevel"/>
    <w:lvl w:ilvl="0">
      <w:lvlJc w:val="left"/>
      <w:lvlText w:val="%1"/>
      <w:numFmt w:val="upperLetter"/>
      <w:start w:val="55"/>
    </w:lvl>
  </w:abstractNum>
  <w:abstractNum w:abstractNumId="160">
    <w:nsid w:val="24E60401"/>
    <w:multiLevelType w:val="hybridMultilevel"/>
    <w:lvl w:ilvl="0">
      <w:lvlJc w:val="left"/>
      <w:lvlText w:val="%1"/>
      <w:numFmt w:val="upperLetter"/>
      <w:start w:val="29"/>
    </w:lvl>
  </w:abstractNum>
  <w:abstractNum w:abstractNumId="161">
    <w:nsid w:val="2A6AD9BE"/>
    <w:multiLevelType w:val="hybridMultilevel"/>
    <w:lvl w:ilvl="0">
      <w:lvlJc w:val="left"/>
      <w:lvlText w:val="%1"/>
      <w:numFmt w:val="upperLetter"/>
      <w:start w:val="53"/>
    </w:lvl>
  </w:abstractNum>
  <w:abstractNum w:abstractNumId="162">
    <w:nsid w:val="BAAC1B4"/>
    <w:multiLevelType w:val="hybridMultilevel"/>
    <w:lvl w:ilvl="0">
      <w:lvlJc w:val="left"/>
      <w:lvlText w:val="%1"/>
      <w:numFmt w:val="upperLetter"/>
      <w:start w:val="27"/>
    </w:lvl>
  </w:abstractNum>
  <w:abstractNum w:abstractNumId="163">
    <w:nsid w:val="36B2ACBC"/>
    <w:multiLevelType w:val="hybridMultilevel"/>
    <w:lvl w:ilvl="0">
      <w:lvlJc w:val="left"/>
      <w:lvlText w:val="%1"/>
      <w:numFmt w:val="upperLetter"/>
      <w:start w:val="54"/>
    </w:lvl>
  </w:abstractNum>
  <w:abstractNum w:abstractNumId="164">
    <w:nsid w:val="779D8544"/>
    <w:multiLevelType w:val="hybridMultilevel"/>
    <w:lvl w:ilvl="0">
      <w:lvlJc w:val="left"/>
      <w:lvlText w:val="%1"/>
      <w:numFmt w:val="upperLetter"/>
      <w:start w:val="28"/>
    </w:lvl>
  </w:abstractNum>
  <w:abstractNum w:abstractNumId="165">
    <w:nsid w:val="4AB26E78"/>
    <w:multiLevelType w:val="hybridMultilevel"/>
    <w:lvl w:ilvl="0">
      <w:lvlJc w:val="left"/>
      <w:lvlText w:val="%1"/>
      <w:numFmt w:val="upperLetter"/>
      <w:start w:val="55"/>
    </w:lvl>
  </w:abstractNum>
  <w:abstractNum w:abstractNumId="166">
    <w:nsid w:val="21FAA2FA"/>
    <w:multiLevelType w:val="hybridMultilevel"/>
    <w:lvl w:ilvl="0">
      <w:lvlJc w:val="left"/>
      <w:lvlText w:val="%1"/>
      <w:numFmt w:val="upperLetter"/>
      <w:start w:val="29"/>
    </w:lvl>
  </w:abstractNum>
  <w:abstractNum w:abstractNumId="167">
    <w:nsid w:val="5451CF49"/>
    <w:multiLevelType w:val="hybridMultilevel"/>
    <w:lvl w:ilvl="0">
      <w:lvlJc w:val="left"/>
      <w:lvlText w:val="(%1)"/>
      <w:numFmt w:val="decimal"/>
      <w:start w:val="2"/>
    </w:lvl>
  </w:abstractNum>
  <w:abstractNum w:abstractNumId="168">
    <w:nsid w:val="6181EF69"/>
    <w:multiLevelType w:val="hybridMultilevel"/>
    <w:lvl w:ilvl="0">
      <w:lvlJc w:val="left"/>
      <w:lvlText w:val="(%1)"/>
      <w:numFmt w:val="lowerLetter"/>
      <w:start w:val="1"/>
    </w:lvl>
  </w:abstractNum>
  <w:abstractNum w:abstractNumId="169">
    <w:nsid w:val="3E6400E6"/>
    <w:multiLevelType w:val="hybridMultilevel"/>
    <w:lvl w:ilvl="0">
      <w:lvlJc w:val="left"/>
      <w:lvlText w:val="(%1)"/>
      <w:numFmt w:val="lowerLetter"/>
      <w:start w:val="5"/>
    </w:lvl>
  </w:abstractNum>
  <w:abstractNum w:abstractNumId="170">
    <w:nsid w:val="14217E23"/>
    <w:multiLevelType w:val="hybridMultilevel"/>
    <w:lvl w:ilvl="0">
      <w:lvlJc w:val="left"/>
      <w:lvlText w:val="(%1)"/>
      <w:numFmt w:val="lowerLetter"/>
      <w:start w:val="12"/>
    </w:lvl>
  </w:abstractNum>
  <w:abstractNum w:abstractNumId="171">
    <w:nsid w:val="710757D0"/>
    <w:multiLevelType w:val="hybridMultilevel"/>
    <w:lvl w:ilvl="0">
      <w:lvlJc w:val="left"/>
      <w:lvlText w:val="(%1)"/>
      <w:numFmt w:val="lowerLetter"/>
      <w:start w:val="15"/>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decimal"/>
      <w:start w:val="1"/>
    </w:lvl>
  </w:abstractNum>
  <w:abstractNum w:abstractNumId="174">
    <w:nsid w:val="1A9A9E69"/>
    <w:multiLevelType w:val="hybridMultilevel"/>
    <w:lvl w:ilvl="0">
      <w:lvlJc w:val="left"/>
      <w:lvlText w:val="(%1)"/>
      <w:numFmt w:val="decimal"/>
      <w:start w:val="1"/>
    </w:lvl>
  </w:abstractNum>
  <w:abstractNum w:abstractNumId="175">
    <w:nsid w:val="475E256A"/>
    <w:multiLevelType w:val="hybridMultilevel"/>
    <w:lvl w:ilvl="0">
      <w:lvlJc w:val="left"/>
      <w:lvlText w:val="(%1)"/>
      <w:numFmt w:val="decimal"/>
      <w:start w:val="1"/>
    </w:lvl>
    <w:lvl w:ilvl="1">
      <w:lvlJc w:val="left"/>
      <w:lvlText w:val="(%2)"/>
      <w:numFmt w:val="lowerLetter"/>
      <w:start w:val="1"/>
    </w:lvl>
  </w:abstractNum>
  <w:abstractNum w:abstractNumId="176">
    <w:nsid w:val="368DB37E"/>
    <w:multiLevelType w:val="hybridMultilevel"/>
    <w:lvl w:ilvl="0">
      <w:lvlJc w:val="left"/>
      <w:lvlText w:val="%1."/>
      <w:numFmt w:val="decimal"/>
      <w:start w:val="1"/>
    </w:lvl>
  </w:abstractNum>
  <w:abstractNum w:abstractNumId="177">
    <w:nsid w:val="6A3B714C"/>
    <w:multiLevelType w:val="hybridMultilevel"/>
    <w:lvl w:ilvl="0">
      <w:lvlJc w:val="left"/>
      <w:lvlText w:val="%1."/>
      <w:numFmt w:val="decimal"/>
      <w:start w:val="2"/>
    </w:lvl>
  </w:abstractNum>
  <w:abstractNum w:abstractNumId="178">
    <w:nsid w:val="327B517E"/>
    <w:multiLevelType w:val="hybridMultilevel"/>
    <w:lvl w:ilvl="0">
      <w:lvlJc w:val="left"/>
      <w:lvlText w:val="•"/>
      <w:numFmt w:val="bullet"/>
      <w:start w:val="1"/>
    </w:lvl>
  </w:abstractNum>
  <w:abstractNum w:abstractNumId="179">
    <w:nsid w:val="1F461B51"/>
    <w:multiLevelType w:val="hybridMultilevel"/>
    <w:lvl w:ilvl="0">
      <w:lvlJc w:val="left"/>
      <w:lvlText w:val="%1."/>
      <w:numFmt w:val="decimal"/>
      <w:start w:val="4"/>
    </w:lvl>
  </w:abstractNum>
  <w:abstractNum w:abstractNumId="180">
    <w:nsid w:val="29BACF25"/>
    <w:multiLevelType w:val="hybridMultilevel"/>
    <w:lvl w:ilvl="0">
      <w:lvlJc w:val="left"/>
      <w:lvlText w:val="%1."/>
      <w:numFmt w:val="decimal"/>
      <w:start w:val="5"/>
    </w:lvl>
  </w:abstractNum>
  <w:abstractNum w:abstractNumId="181">
    <w:nsid w:val="5D5BABB3"/>
    <w:multiLevelType w:val="hybridMultilevel"/>
    <w:lvl w:ilvl="0">
      <w:lvlJc w:val="left"/>
      <w:lvlText w:val="%1."/>
      <w:numFmt w:val="decimal"/>
      <w:start w:val="6"/>
    </w:lvl>
  </w:abstractNum>
  <w:abstractNum w:abstractNumId="182">
    <w:nsid w:val="51BF6B48"/>
    <w:multiLevelType w:val="hybridMultilevel"/>
    <w:lvl w:ilvl="0">
      <w:lvlJc w:val="left"/>
      <w:lvlText w:val="%1."/>
      <w:numFmt w:val="decimal"/>
      <w:start w:val="8"/>
    </w:lvl>
  </w:abstractNum>
  <w:abstractNum w:abstractNumId="183">
    <w:nsid w:val="7E0F6384"/>
    <w:multiLevelType w:val="hybridMultilevel"/>
    <w:lvl w:ilvl="0">
      <w:lvlJc w:val="left"/>
      <w:lvlText w:val="%1."/>
      <w:numFmt w:val="decimal"/>
      <w:start w:val="9"/>
    </w:lvl>
  </w:abstractNum>
  <w:abstractNum w:abstractNumId="184">
    <w:nsid w:val="2B4B8B5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2019-12-07T23:55:18Z</dcterms:created>
  <dcterms:modified xsi:type="dcterms:W3CDTF">2019-12-07T23:55:18Z</dcterms:modified>
</cp:coreProperties>
</file>