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Co-Chief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00"/>
              <w:spacing w:after="0"/>
              <w:rPr>
                <w:sz w:val="20"/>
                <w:szCs w:val="20"/>
                <w:color w:val="auto"/>
              </w:rPr>
            </w:pPr>
            <w:r>
              <w:rPr>
                <w:rFonts w:ascii="Arial" w:cs="Arial" w:eastAsia="Arial" w:hAnsi="Arial"/>
                <w:sz w:val="18"/>
                <w:szCs w:val="18"/>
                <w:color w:val="0000FF"/>
              </w:rPr>
              <w:t>12/31/2013</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0000FF"/>
                <w:w w:val="96"/>
              </w:rPr>
              <w:t>3,672.74</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15.35</w:t>
            </w:r>
          </w:p>
        </w:tc>
        <w:tc>
          <w:tcPr>
            <w:tcW w:w="1320" w:type="dxa"/>
            <w:vAlign w:val="bottom"/>
            <w:gridSpan w:val="3"/>
            <w:vMerge w:val="restart"/>
          </w:tcPr>
          <w:p>
            <w:pPr>
              <w:ind w:left="360"/>
              <w:spacing w:after="0"/>
              <w:rPr>
                <w:sz w:val="20"/>
                <w:szCs w:val="20"/>
                <w:color w:val="auto"/>
              </w:rPr>
            </w:pPr>
            <w:r>
              <w:rPr>
                <w:rFonts w:ascii="Arial" w:cs="Arial" w:eastAsia="Arial" w:hAnsi="Arial"/>
                <w:sz w:val="18"/>
                <w:szCs w:val="18"/>
                <w:color w:val="0000FF"/>
              </w:rPr>
              <w:t>33,834.3</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2,604,620 shares of Common Stock of the Issuer, including 33,834.30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(2) Ronald Cami is signing on behalf of Mr. Fishman pursuant to the authorization and designation letter dated July 1, 2013, which was previously filed with the Securities and Exchange Commission.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2019-12-16T08:33:22Z</dcterms:created>
  <dcterms:modified xsi:type="dcterms:W3CDTF">2019-12-16T08:33:22Z</dcterms:modified>
</cp:coreProperties>
</file>