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8"/>
                <w:szCs w:val="18"/>
                <w:color w:val="0000FF"/>
              </w:rPr>
              <w:t>02/08/2012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180"/>
              <w:spacing w:after="0"/>
              <w:rPr>
                <w:sz w:val="20"/>
                <w:szCs w:val="20"/>
                <w:color w:val="auto"/>
              </w:rPr>
            </w:pPr>
            <w:r>
              <w:rPr>
                <w:rFonts w:ascii="Arial" w:cs="Arial" w:eastAsia="Arial" w:hAnsi="Arial"/>
                <w:sz w:val="18"/>
                <w:szCs w:val="18"/>
                <w:color w:val="0000FF"/>
              </w:rPr>
              <w:t>2,271</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985.12</w:t>
            </w: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color w:val="0000FF"/>
              </w:rPr>
              <w:t>13,987</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0"/>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TSL Advisers, LLC ("TSL Advisers") directly holds 13,987 shares of Common Stock of the Issuer (the "TSL Shares"), including 609.9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Waxman pursuant to the authorization and designation letter dated March 10, 2011, which was previously filed with the Securities and Exchange Commission as an exhibit to a Form 3 filed by Mr. Waxman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02/10/2012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Waxman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2019-12-17T04:29:29Z</dcterms:created>
  <dcterms:modified xsi:type="dcterms:W3CDTF">2019-12-17T04:29:29Z</dcterms:modified>
</cp:coreProperties>
</file>