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(Amendment No. 2)</w:t>
      </w:r>
    </w:p>
    <w:p>
      <w:pPr>
        <w:spacing w:after="0" w:line="187"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4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 KELLEY MILLET</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84"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00"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-3738880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-3155950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-2710180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-2126615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-1680845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-1235075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-1030605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827"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COPY SUBJECT TO COMPLETION DATED JUNE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2016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TICC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 KELLEY MILLET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proxy statement (“</w:t>
      </w:r>
      <w:r>
        <w:rPr>
          <w:rFonts w:ascii="Arial" w:cs="Arial" w:eastAsia="Arial" w:hAnsi="Arial"/>
          <w:sz w:val="16"/>
          <w:szCs w:val="16"/>
          <w:u w:val="single" w:color="auto"/>
          <w:color w:val="auto"/>
        </w:rPr>
        <w:t>Proxy Statement</w:t>
      </w:r>
      <w:r>
        <w:rPr>
          <w:rFonts w:ascii="Arial" w:cs="Arial" w:eastAsia="Arial" w:hAnsi="Arial"/>
          <w:sz w:val="16"/>
          <w:szCs w:val="16"/>
          <w:color w:val="auto"/>
        </w:rPr>
        <w:t xml:space="preserve">”) and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are being furnished to the stockholders of TICC Capital Corp., a Maryland corporation (“</w:t>
      </w:r>
      <w:r>
        <w:rPr>
          <w:rFonts w:ascii="Arial" w:cs="Arial" w:eastAsia="Arial" w:hAnsi="Arial"/>
          <w:sz w:val="16"/>
          <w:szCs w:val="16"/>
          <w:u w:val="single" w:color="auto"/>
          <w:color w:val="auto"/>
        </w:rPr>
        <w:t>TICC</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by TPG Specialty Lending, Inc., a Delaware corporation (“</w:t>
      </w:r>
      <w:r>
        <w:rPr>
          <w:rFonts w:ascii="Arial" w:cs="Arial" w:eastAsia="Arial" w:hAnsi="Arial"/>
          <w:sz w:val="16"/>
          <w:szCs w:val="16"/>
          <w:u w:val="single" w:color="auto"/>
          <w:color w:val="auto"/>
        </w:rPr>
        <w:t>TSLX</w:t>
      </w:r>
      <w:r>
        <w:rPr>
          <w:rFonts w:ascii="Arial" w:cs="Arial" w:eastAsia="Arial" w:hAnsi="Arial"/>
          <w:sz w:val="16"/>
          <w:szCs w:val="16"/>
          <w:color w:val="auto"/>
        </w:rPr>
        <w:t>”), in connection with the solicitation of proxies from you, the holders (the “</w:t>
      </w:r>
      <w:r>
        <w:rPr>
          <w:rFonts w:ascii="Arial" w:cs="Arial" w:eastAsia="Arial" w:hAnsi="Arial"/>
          <w:sz w:val="16"/>
          <w:szCs w:val="16"/>
          <w:u w:val="single" w:color="auto"/>
          <w:color w:val="auto"/>
        </w:rPr>
        <w:t>Stockholders</w:t>
      </w:r>
      <w:r>
        <w:rPr>
          <w:rFonts w:ascii="Arial" w:cs="Arial" w:eastAsia="Arial" w:hAnsi="Arial"/>
          <w:sz w:val="16"/>
          <w:szCs w:val="16"/>
          <w:color w:val="auto"/>
        </w:rPr>
        <w:t>”)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to be exercised at the 2016 annual meeting of Stockholders, including any and all postponements, adjournments, continuations or reschedulings thereof, or any other meeting of Stockholders held in lieu thereof (the “</w:t>
      </w:r>
      <w:r>
        <w:rPr>
          <w:rFonts w:ascii="Arial" w:cs="Arial" w:eastAsia="Arial" w:hAnsi="Arial"/>
          <w:sz w:val="16"/>
          <w:szCs w:val="16"/>
          <w:u w:val="single" w:color="auto"/>
          <w:color w:val="auto"/>
        </w:rPr>
        <w:t>2016 Annual Meeting</w:t>
      </w:r>
      <w:r>
        <w:rPr>
          <w:rFonts w:ascii="Arial" w:cs="Arial" w:eastAsia="Arial" w:hAnsi="Arial"/>
          <w:sz w:val="16"/>
          <w:szCs w:val="16"/>
          <w:color w:val="auto"/>
        </w:rPr>
        <w:t>”). Unless the context requires otherwise, we use the terms “we,” “our” or “us” throughout this</w:t>
      </w:r>
    </w:p>
    <w:p>
      <w:pPr>
        <w:spacing w:after="0" w:line="2" w:lineRule="exact"/>
        <w:rPr>
          <w:sz w:val="20"/>
          <w:szCs w:val="20"/>
          <w:color w:val="auto"/>
        </w:rPr>
      </w:pPr>
    </w:p>
    <w:p>
      <w:pPr>
        <w:spacing w:after="0"/>
        <w:tabs>
          <w:tab w:leader="none" w:pos="6940" w:val="left"/>
          <w:tab w:leader="none" w:pos="7900" w:val="left"/>
          <w:tab w:leader="none" w:pos="8840" w:val="left"/>
        </w:tabs>
        <w:rPr>
          <w:sz w:val="20"/>
          <w:szCs w:val="20"/>
          <w:color w:val="auto"/>
        </w:rPr>
      </w:pPr>
      <w:r>
        <w:rPr>
          <w:rFonts w:ascii="Arial" w:cs="Arial" w:eastAsia="Arial" w:hAnsi="Arial"/>
          <w:sz w:val="18"/>
          <w:szCs w:val="18"/>
          <w:color w:val="auto"/>
        </w:rPr>
        <w:t>Proxy Statement to refer to TSLX. The 2016 Annual Meeting is scheduled to be held at [</w:t>
      </w:r>
      <w:r>
        <w:rPr>
          <w:sz w:val="20"/>
          <w:szCs w:val="20"/>
          <w:color w:val="auto"/>
        </w:rPr>
        <w:tab/>
      </w:r>
      <w:r>
        <w:rPr>
          <w:rFonts w:ascii="Arial" w:cs="Arial" w:eastAsia="Arial" w:hAnsi="Arial"/>
          <w:sz w:val="18"/>
          <w:szCs w:val="18"/>
          <w:color w:val="auto"/>
        </w:rPr>
        <w:t>], on [</w:t>
      </w:r>
      <w:r>
        <w:rPr>
          <w:sz w:val="20"/>
          <w:szCs w:val="20"/>
          <w:color w:val="auto"/>
        </w:rPr>
        <w:tab/>
      </w:r>
      <w:r>
        <w:rPr>
          <w:rFonts w:ascii="Arial" w:cs="Arial" w:eastAsia="Arial" w:hAnsi="Arial"/>
          <w:sz w:val="18"/>
          <w:szCs w:val="18"/>
          <w:color w:val="auto"/>
        </w:rPr>
        <w:t>], at [</w:t>
      </w:r>
      <w:r>
        <w:rPr>
          <w:sz w:val="20"/>
          <w:szCs w:val="20"/>
          <w:color w:val="auto"/>
        </w:rPr>
        <w:tab/>
      </w:r>
      <w:r>
        <w:rPr>
          <w:rFonts w:ascii="Arial" w:cs="Arial" w:eastAsia="Arial" w:hAnsi="Arial"/>
          <w:sz w:val="16"/>
          <w:szCs w:val="16"/>
          <w:color w:val="auto"/>
        </w:rPr>
        <w:t>] local time.</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This solicitation is dated [ Stockholders on or about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THIS SOLICITATION IS BEING MADE BY TSLX AND NOT ON</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BEHALF OF THE BOARD OF DIRECTORS OF THE COMPANY</w:t>
      </w:r>
    </w:p>
    <w:p>
      <w:pPr>
        <w:spacing w:after="0" w:line="207" w:lineRule="exact"/>
        <w:rPr>
          <w:sz w:val="20"/>
          <w:szCs w:val="20"/>
          <w:color w:val="auto"/>
        </w:rPr>
      </w:pPr>
    </w:p>
    <w:p>
      <w:pPr>
        <w:ind w:right="480" w:firstLine="416"/>
        <w:spacing w:after="0" w:line="282" w:lineRule="auto"/>
        <w:rPr>
          <w:sz w:val="20"/>
          <w:szCs w:val="20"/>
          <w:color w:val="auto"/>
        </w:rPr>
      </w:pPr>
      <w:r>
        <w:rPr>
          <w:rFonts w:ascii="Arial" w:cs="Arial" w:eastAsia="Arial" w:hAnsi="Arial"/>
          <w:sz w:val="18"/>
          <w:szCs w:val="18"/>
          <w:color w:val="auto"/>
        </w:rPr>
        <w:t xml:space="preserve">], 2016, and this Proxy Statement and the accompanying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are first being sent or given to ], 2016.</w:t>
      </w:r>
    </w:p>
    <w:p>
      <w:pPr>
        <w:spacing w:after="0" w:line="166" w:lineRule="exact"/>
        <w:rPr>
          <w:sz w:val="20"/>
          <w:szCs w:val="20"/>
          <w:color w:val="auto"/>
        </w:rPr>
      </w:pPr>
    </w:p>
    <w:p>
      <w:pPr>
        <w:sectPr>
          <w:pgSz w:w="11900" w:h="16838" w:orient="portrait"/>
          <w:cols w:equalWidth="0" w:num="2">
            <w:col w:w="2340" w:space="480"/>
            <w:col w:w="8560"/>
          </w:cols>
          <w:pgMar w:left="240" w:top="459" w:right="279" w:bottom="1440" w:gutter="0" w:footer="0" w:header="0"/>
          <w:type w:val="continuous"/>
        </w:sectPr>
      </w:pPr>
    </w:p>
    <w:p>
      <w:pPr>
        <w:ind w:right="380" w:firstLine="456"/>
        <w:spacing w:after="0" w:line="277" w:lineRule="auto"/>
        <w:rPr>
          <w:sz w:val="20"/>
          <w:szCs w:val="20"/>
          <w:color w:val="auto"/>
        </w:rPr>
      </w:pPr>
      <w:r>
        <w:rPr>
          <w:rFonts w:ascii="Arial" w:cs="Arial" w:eastAsia="Arial" w:hAnsi="Arial"/>
          <w:sz w:val="18"/>
          <w:szCs w:val="18"/>
          <w:color w:val="auto"/>
        </w:rPr>
        <w:t>We intend to vote all proxies solicited by us at the 2016 Annual Meeting as follows and to vote proxies in our discretion with respect to such other business as may properly come before the 2016 Annual Meeting:</w:t>
      </w:r>
    </w:p>
    <w:p>
      <w:pPr>
        <w:spacing w:after="0" w:line="166" w:lineRule="exact"/>
        <w:rPr>
          <w:sz w:val="20"/>
          <w:szCs w:val="20"/>
          <w:color w:val="auto"/>
        </w:rPr>
      </w:pPr>
    </w:p>
    <w:p>
      <w:pPr>
        <w:ind w:right="100" w:firstLine="464"/>
        <w:spacing w:after="0" w:line="282"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(the “</w:t>
      </w:r>
      <w:r>
        <w:rPr>
          <w:rFonts w:ascii="Arial" w:cs="Arial" w:eastAsia="Arial" w:hAnsi="Arial"/>
          <w:sz w:val="18"/>
          <w:szCs w:val="18"/>
          <w:u w:val="single" w:color="auto"/>
          <w:color w:val="auto"/>
        </w:rPr>
        <w:t>Nominee</w:t>
      </w:r>
      <w:r>
        <w:rPr>
          <w:rFonts w:ascii="Arial" w:cs="Arial" w:eastAsia="Arial" w:hAnsi="Arial"/>
          <w:sz w:val="18"/>
          <w:szCs w:val="18"/>
          <w:color w:val="auto"/>
        </w:rPr>
        <w:t>”) to serve as a director until the 2019 annual meeting of Stockholders and until his successor is duly elected and qualified;</w:t>
      </w:r>
    </w:p>
    <w:p>
      <w:pPr>
        <w:spacing w:after="0" w:line="161" w:lineRule="exact"/>
        <w:rPr>
          <w:rFonts w:ascii="Arial" w:cs="Arial" w:eastAsia="Arial" w:hAnsi="Arial"/>
          <w:sz w:val="18"/>
          <w:szCs w:val="18"/>
          <w:color w:val="auto"/>
        </w:rPr>
      </w:pPr>
    </w:p>
    <w:p>
      <w:pPr>
        <w:ind w:right="180" w:firstLine="464"/>
        <w:spacing w:after="0" w:line="266"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dated as of July 1, 2011, by and between the Company and TICC Management, LLC (“</w:t>
      </w:r>
      <w:r>
        <w:rPr>
          <w:rFonts w:ascii="Arial" w:cs="Arial" w:eastAsia="Arial" w:hAnsi="Arial"/>
          <w:sz w:val="18"/>
          <w:szCs w:val="18"/>
          <w:u w:val="single" w:color="auto"/>
          <w:color w:val="auto"/>
        </w:rPr>
        <w:t>TICC Management</w:t>
      </w:r>
      <w:r>
        <w:rPr>
          <w:rFonts w:ascii="Arial" w:cs="Arial" w:eastAsia="Arial" w:hAnsi="Arial"/>
          <w:sz w:val="18"/>
          <w:szCs w:val="18"/>
          <w:color w:val="auto"/>
        </w:rPr>
        <w:t>” or the “</w:t>
      </w:r>
      <w:r>
        <w:rPr>
          <w:rFonts w:ascii="Arial" w:cs="Arial" w:eastAsia="Arial" w:hAnsi="Arial"/>
          <w:sz w:val="18"/>
          <w:szCs w:val="18"/>
          <w:u w:val="single" w:color="auto"/>
          <w:color w:val="auto"/>
        </w:rPr>
        <w:t>Existing Adviser</w:t>
      </w:r>
      <w:r>
        <w:rPr>
          <w:rFonts w:ascii="Arial" w:cs="Arial" w:eastAsia="Arial" w:hAnsi="Arial"/>
          <w:sz w:val="18"/>
          <w:szCs w:val="18"/>
          <w:color w:val="auto"/>
        </w:rPr>
        <w:t>”) (such agreement, the “</w:t>
      </w:r>
      <w:r>
        <w:rPr>
          <w:rFonts w:ascii="Arial" w:cs="Arial" w:eastAsia="Arial" w:hAnsi="Arial"/>
          <w:sz w:val="18"/>
          <w:szCs w:val="18"/>
          <w:u w:val="single" w:color="auto"/>
          <w:color w:val="auto"/>
        </w:rPr>
        <w:t>Investment Advisory Agreement</w:t>
      </w:r>
      <w:r>
        <w:rPr>
          <w:rFonts w:ascii="Arial" w:cs="Arial" w:eastAsia="Arial" w:hAnsi="Arial"/>
          <w:sz w:val="18"/>
          <w:szCs w:val="18"/>
          <w:color w:val="auto"/>
        </w:rPr>
        <w:t>”), as contemplated by Section 15(a) of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right="100" w:firstLine="464"/>
        <w:spacing w:after="0" w:line="282"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Company’s proposal to ratify the appointment of PricewaterhouseCoopers LLP to serve as the independent registered public accounting firm for the Company for the fiscal year ending December 31, 2016 (the “</w:t>
      </w:r>
      <w:r>
        <w:rPr>
          <w:rFonts w:ascii="Arial" w:cs="Arial" w:eastAsia="Arial" w:hAnsi="Arial"/>
          <w:sz w:val="18"/>
          <w:szCs w:val="18"/>
          <w:u w:val="single" w:color="auto"/>
          <w:color w:val="auto"/>
        </w:rPr>
        <w:t>Accountant Ratification Proposal</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Company’s proposal to approve the adjournment of the 2016 Annual Meeting (the “</w:t>
      </w:r>
      <w:r>
        <w:rPr>
          <w:rFonts w:ascii="Arial" w:cs="Arial" w:eastAsia="Arial" w:hAnsi="Arial"/>
          <w:sz w:val="18"/>
          <w:szCs w:val="18"/>
          <w:u w:val="single" w:color="auto"/>
          <w:color w:val="auto"/>
        </w:rPr>
        <w:t>Adjournment Proposal</w:t>
      </w:r>
      <w:r>
        <w:rPr>
          <w:rFonts w:ascii="Arial" w:cs="Arial" w:eastAsia="Arial" w:hAnsi="Arial"/>
          <w:sz w:val="18"/>
          <w:szCs w:val="18"/>
          <w:color w:val="auto"/>
        </w:rPr>
        <w:t>”).</w:t>
      </w:r>
    </w:p>
    <w:p>
      <w:pPr>
        <w:sectPr>
          <w:pgSz w:w="11900" w:h="16838" w:orient="portrait"/>
          <w:cols w:equalWidth="0" w:num="1">
            <w:col w:w="11380"/>
          </w:cols>
          <w:pgMar w:left="240" w:top="459" w:right="2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TSLX URGES YOU TO VOTE THE GOLD PROXY CARD (1) “FOR” THE ELECTION OF TSLX’S NOMINEE, T. KELLEY MILLET, (2) “FOR” TSLX’S PROPOSAL TO TERMINATE THE INVESTMENT ADVISORY AGREEMENT, (3) “FOR” THE ACCOUNTANT RATIFICATION PROPOSAL AND (4) “AGAINST” THE ADJOURNMENT PROPOSAL.</w:t>
      </w:r>
    </w:p>
    <w:p>
      <w:pPr>
        <w:spacing w:after="0" w:line="18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TSLX is a specialty finance company that has elected to be regulated as a business development company (“</w:t>
      </w:r>
      <w:r>
        <w:rPr>
          <w:rFonts w:ascii="Arial" w:cs="Arial" w:eastAsia="Arial" w:hAnsi="Arial"/>
          <w:sz w:val="17"/>
          <w:szCs w:val="17"/>
          <w:u w:val="single" w:color="auto"/>
          <w:color w:val="auto"/>
        </w:rPr>
        <w:t>BDC</w:t>
      </w:r>
      <w:r>
        <w:rPr>
          <w:rFonts w:ascii="Arial" w:cs="Arial" w:eastAsia="Arial" w:hAnsi="Arial"/>
          <w:sz w:val="17"/>
          <w:szCs w:val="17"/>
          <w:color w:val="auto"/>
        </w:rPr>
        <w:t>”)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over $16 billion of assets under management as of March 31, 2016, is the dedicated special situations and credit platform of TPG, a global private investment firm with over $74 billion of assets under management as of December 31, 2015. TSLX is externally managed by TSL Advisers, LLC, a registered investment adviser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under the 1940 Act.</w:t>
      </w:r>
    </w:p>
    <w:p>
      <w:pPr>
        <w:spacing w:after="0" w:line="17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For additional information concerning TSLX and the other participants in this proxy solicitation, please refer to the information set forth in the section entitled “Information About the Participants.” This Proxy Statement and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are first being furnished to Stockholders on or about</w:t>
      </w:r>
    </w:p>
    <w:p>
      <w:pPr>
        <w:ind w:left="960" w:hanging="95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2016.</w:t>
      </w:r>
    </w:p>
    <w:p>
      <w:pPr>
        <w:spacing w:after="0" w:line="21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set the close of business on [ ], 2016 as the record date for determining Stockholders entitled to notice of and to vote at the 2016 Annual Meeting (the “</w:t>
      </w:r>
      <w:r>
        <w:rPr>
          <w:rFonts w:ascii="Arial" w:cs="Arial" w:eastAsia="Arial" w:hAnsi="Arial"/>
          <w:sz w:val="18"/>
          <w:szCs w:val="18"/>
          <w:u w:val="single" w:color="auto"/>
          <w:color w:val="auto"/>
        </w:rPr>
        <w:t>Record Date</w:t>
      </w:r>
      <w:r>
        <w:rPr>
          <w:rFonts w:ascii="Arial" w:cs="Arial" w:eastAsia="Arial" w:hAnsi="Arial"/>
          <w:sz w:val="18"/>
          <w:szCs w:val="18"/>
          <w:color w:val="auto"/>
        </w:rPr>
        <w:t>”). The principal executive offices of TICC are located at 8 Sound Shore Drive, Suite 255, Greenwich, Connecticut 06830. Stockholders of record on the Record Date will be entitled to vote at the 2016 Annual Meeting. As of the date of this Proxy Statement, TSLX is the beneficial owner of an aggregate 1,633,719 shares of Common Stock, which represents approximately 3.2% of the shares of Common Stock outstanding, 1,059 of which are also owned of record by TSLX.</w:t>
      </w:r>
      <w:r>
        <w:rPr>
          <w:rFonts w:ascii="Arial" w:cs="Arial" w:eastAsia="Arial" w:hAnsi="Arial"/>
          <w:sz w:val="15"/>
          <w:szCs w:val="15"/>
          <w:color w:val="auto"/>
        </w:rPr>
        <w:t>1</w:t>
      </w:r>
      <w:r>
        <w:rPr>
          <w:rFonts w:ascii="Arial" w:cs="Arial" w:eastAsia="Arial" w:hAnsi="Arial"/>
          <w:sz w:val="18"/>
          <w:szCs w:val="18"/>
          <w:color w:val="auto"/>
        </w:rPr>
        <w:t xml:space="preserve"> TSLX intends to hold all of such shares through the Record Date and to vote or cause such shares to be voted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Mr. Millet,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 In order to be eligible to make nominations for election to the Board, a Stockholder and its proposed nominee must comply with the advance notice and other provisions of Article II, Section 11 of the Company’s Second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TSLX timely submitted a notice of nomination and related documentation to TICC on February 3, 2016.</w:t>
      </w:r>
    </w:p>
    <w:p>
      <w:pPr>
        <w:spacing w:after="0" w:line="19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 Waxman may also be deemed to be the beneficial owners of all of the shares of Common Stock held by TSLX. As of the date of this Proxy Statement, the Nominee owns no shares of Common Stock, either beneficially or of record.</w:t>
      </w:r>
    </w:p>
    <w:p>
      <w:pPr>
        <w:spacing w:after="0" w:line="178"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120" w:hanging="452"/>
        <w:spacing w:after="0" w:line="264"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All percentages set forth in this Proxy Statement relating to the beneficial ownership of Common Stock are based upon 51,479,409 shares of Common Stock outstanding, which was the total number of shares of Common Stock outstanding as of May 4, 2016, as reported in TICC’s quarterly report on Form 10-Q for the quarter ended March 31, 2016.</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voting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pacing w:after="0" w:line="18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THIS SOLICITATION IS BEING MADE BY TSLX AND NOT ON BEHALF OF THE BOARD OR MANAGEMENT OF TICC. TSLX IS NOT AWARE OF ANY OTHER MATTERS TO BE BROUGHT BEFORE THE 2016 ANNUAL MEETING. SHOULD OTHER MATTERS BE BROUGHT BEFORE THE 2016 ANNUAL MEETING, THE PERSONS NAMED AS PROXIES IN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WILL VOTE ON SUCH MATTERS IN THEIR DISCRETION.</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 xml:space="preserve">WHETHER OR NOT YOU INTEND TO ATTEND THE 2016 ANNUAL MEETING, YOUR PROMPT ACTION IS IMPORTANT. MAKE YOUR VIEWS CLEAR TO THE COMPANY BY MARKING,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TODAY.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NO MATTER HOW MANY SHARES OF COMMON STOCK YOU OWN.</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IF YOU HAVE ALREADY SENT A PROXY CARD FURNISHED BY TICC OR ANY OTHER PERSON, YOU MAY REVOKE THAT PROXY BY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LATEST DATED PROXY IS THE ONLY ONE THAT COUNTS. IF YOUR SHARES OF COMMON STOCK ARE HELD IN YOUR OWN NAME, YOU MAY REVOKE YOUR PROXY BY DELIVERING A WRITTEN NOTICE OF REVOCATION OR A LATER-DATED PROXY FOR THE 2016 ANNUAL MEETING TO TSLX, C/O MACKENZIE PARTNERS, INC., WHICH IS ASSISTING IN THIS SOLICITATION, OR TO TICC, C/O [BROADRIDGE FINANCIAL SOLUTIONS, INC.], OR BY VOTING IN PERSON AT THE 2016 ANNUAL MEETING. ATTENDANCE AT THE ANNUAL MEETING WILL NOT, BY ITSELF, REVOKE A PROPERLY EXECUTED PROXY. IF YOU HOLD YOUR SHARES OF COMMON STOCK IN STREET NAME WITH A BANK, BROKERAGE FIRM, DEALER, TRUST COMPANY OR OTHER NOMINEE, PLEASE FOLLOW THE VOTING INSTRUCTIONS PROVIDED BY THE HOLDER OF YOUR COMMON STOCK REGARDING HOW TO REVOKE YOUR PROXY.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VOTING INFORMATION</w:t>
      </w:r>
    </w:p>
    <w:p>
      <w:pPr>
        <w:spacing w:after="0" w:line="225" w:lineRule="exact"/>
        <w:rPr>
          <w:sz w:val="20"/>
          <w:szCs w:val="20"/>
          <w:color w:val="auto"/>
        </w:rPr>
      </w:pPr>
    </w:p>
    <w:p>
      <w:pPr>
        <w:jc w:val="both"/>
        <w:ind w:right="380" w:firstLine="456"/>
        <w:spacing w:after="0" w:line="266" w:lineRule="auto"/>
        <w:rPr>
          <w:sz w:val="20"/>
          <w:szCs w:val="20"/>
          <w:color w:val="auto"/>
        </w:rPr>
      </w:pPr>
      <w:r>
        <w:rPr>
          <w:rFonts w:ascii="Arial" w:cs="Arial" w:eastAsia="Arial" w:hAnsi="Arial"/>
          <w:sz w:val="18"/>
          <w:szCs w:val="18"/>
          <w:color w:val="auto"/>
        </w:rPr>
        <w:t xml:space="preserve">If your shares of Common Stock are held in your own name, please authorize a proxy to vote by marking, signing and dating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returning it in the postage-paid envelope provided to you by us or follow the instructions located on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w:t>
      </w:r>
    </w:p>
    <w:p>
      <w:pPr>
        <w:spacing w:after="0" w:line="18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If you hold your shares of Common Stock in street name with a bank, brokerage firm, dealer, trust company or other nominee, only they can exercise your right to vote with respect to your shares of Common Stock and only upon receipt of your specific instructions. Accordingly, it is critical that you promptly give instructions to your bank, brokerage firm, dealer, trust company or other nominee to ensure that a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submitted on your behalf. Please follow the instructions to authorize a proxy to vote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provided to you by us. If your bank, brokerage firm, dealer, trust company or other nominee provides for voting instructions to be delivered to them by telephone or Internet, instructions will be included with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We urge you to confirm in writing your instructions to the person responsible for your account and to provide a copy of those instructions to us, c/o MacKenzie Partners, Inc., 105 Madison Avenue, New York, New York 10016, or by email at TPG@mackenziepartners.com, so that we may be aware of all instructions given and can attempt to ensure that such instructions are followed.</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ELECTION OF THE NOMINEE IS, IN OUR VIEW, AN IMPORTANT STEP IN ENSURING THAT YOU HAVE A BOARD THAT WE BELIEVE WILL, CONSISTENT WITH ITS DUTIES, EXERCISE INDEPENDENT JUDGMENT, ACT IN YOUR BEST INTERESTS AND PROMPTLY EXPLORE ALL ALTERNATIVES FOR MAXIMIZING STOCKHOLDER VALUE, WHICH MAY INCLUDE SELLING TICC TO TSLX, SELLING TICC TO A THIRD PARTY OR REMAINING INDEPENDENT.</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WE ARE NOT SOLICITING PROXIES TO APPROVE A SALE TRANSACTION INVOLVING TICC. YOUR VOTE FOR THE ELECTION OF THE INDEPENDENT CANDIDATE NOMINATED BY US DOES NOT OBLIGATE YOU OR THE NOMINEE TO APPROVE ANY SUCH SALE.</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PLEASE DO NOT RETURN ANY [WHITE] PROXY CARD YOU MAY RECEIVE FROM THE COMPANY OR OTHERWISE AUTHORIZE ANY OTHER PROXY TO VOTE YOUR SHARES OF COMMON STOCK AT THE 2016 ANNUAL MEETING, NOT EVEN AS A SIGN OF PROTEST. IF YOU HAVE ALREADY RETURNED A [WHITE] PROXY CARD TO THE COMPANY OR OTHERWISE AUTHORIZED ANY OTHER PROXY TO VOTE YOUR SHARES OF COMMON STOCK AT THE 2016 ANNUAL MEETING, IT IS NOT TOO LATE TO CHANGE YOUR VOTE. TO REVOKE YOUR PRIOR PROXY AND CHANGE YOUR VOTE, SIMPLY MARK, SIGN AND DATE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POSTAGE-PAID ENVELOPE PROVIDED OR FOLLOW THE INSTRUCTIONS LOCATED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ONLY YOUR LATEST DATED PROXY WILL BE COUNTED.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the Record Date are entitled to receive notice of and vote at the 2016 Annual Meeting.</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MacKenzie Partners, Inc. is assisting TSLX with its effort to solicit proxies. If you have any questions or require assistance in authorizing a proxy or voting your shares of Common Stock,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76465" cy="1341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ind w:left="5660" w:right="4600" w:hanging="1010"/>
        <w:spacing w:after="0" w:line="250" w:lineRule="auto"/>
        <w:tabs>
          <w:tab w:leader="none" w:pos="5093"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929-5500 (Call Collect) 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TPG@mackenziepartners.com</w:t>
      </w:r>
    </w:p>
    <w:p>
      <w:pPr>
        <w:spacing w:after="0" w:line="2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It is important that your shares of Common Stock be represented and voted at the 2016 Annual Meeting. Accordingly, regardless of whether you plan to attend the 2016 Annual Meeting in person, please mark, sign, date and return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that has been provided to you by us (and NOT the [WHITE] proxy card that has been provided to you by the Company or any other proxy card or form that may be provided to you) and authorize a proxy to vote (1)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(2)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(3)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(4)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14"/>
            <w:vMerge w:val="restart"/>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QUESTIONS AND ANSWERS RELATING TO THIS PROXY STATEMENT</w:t>
              </w:r>
            </w:hyperlink>
          </w:p>
        </w:tc>
        <w:tc>
          <w:tcPr>
            <w:tcW w:w="5240" w:type="dxa"/>
            <w:vAlign w:val="bottom"/>
            <w:gridSpan w:val="5"/>
            <w:vMerge w:val="restart"/>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5740" w:type="dxa"/>
            <w:vAlign w:val="bottom"/>
            <w:tcBorders>
              <w:bottom w:val="single" w:sz="8" w:color="0000EE"/>
            </w:tcBorders>
            <w:gridSpan w:val="14"/>
            <w:vMerge w:val="continue"/>
          </w:tcPr>
          <w:p>
            <w:pPr>
              <w:spacing w:after="0"/>
              <w:rPr>
                <w:sz w:val="13"/>
                <w:szCs w:val="13"/>
                <w:color w:val="auto"/>
              </w:rPr>
            </w:pPr>
          </w:p>
        </w:tc>
        <w:tc>
          <w:tcPr>
            <w:tcW w:w="5240" w:type="dxa"/>
            <w:vAlign w:val="bottom"/>
            <w:gridSpan w:val="5"/>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98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BACKGROUND OF THE SOLICITATION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REASONS FOR THE SOLICITATION</w:t>
              </w:r>
            </w:hyperlink>
          </w:p>
        </w:tc>
        <w:tc>
          <w:tcPr>
            <w:tcW w:w="320" w:type="dxa"/>
            <w:vAlign w:val="bottom"/>
            <w:tcBorders>
              <w:top w:val="single" w:sz="8" w:color="0000EE"/>
            </w:tcBorders>
            <w:gridSpan w:val="3"/>
          </w:tcPr>
          <w:p>
            <w:pPr>
              <w:spacing w:after="0"/>
              <w:rPr>
                <w:sz w:val="17"/>
                <w:szCs w:val="17"/>
                <w:color w:val="auto"/>
              </w:rPr>
            </w:pPr>
          </w:p>
        </w:tc>
        <w:tc>
          <w:tcPr>
            <w:tcW w:w="778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PROPOSAL NO. 1: ELECTION OF DIRECTOR</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PROPOSAL NO. 2: TSLX’S PROPOSAL TO TERMINATE THE INVESTMENT ADVISORY AGREEMENT</w:t>
              </w:r>
            </w:hyperlink>
          </w:p>
        </w:tc>
        <w:tc>
          <w:tcPr>
            <w:tcW w:w="284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PROPOSAL NO. 3: THE COMPANY’S PROPOSAL TO RATIFY THE APPOINTMENT OF PRICEWATERHOUSECOOPERS LLP</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780" w:type="dxa"/>
            <w:vAlign w:val="bottom"/>
            <w:tcBorders>
              <w:top w:val="single" w:sz="8" w:color="0000EE"/>
            </w:tcBorders>
            <w:gridSpan w:val="18"/>
          </w:tcPr>
          <w:p>
            <w:pPr>
              <w:spacing w:after="0" w:line="19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PROPOSAL NO. 4: THE COMPANY’S PROPOSAL TO APPROVE THE ADJOURNMENT OF THE 2016 ANNUAL MEETING</w:t>
              </w:r>
            </w:hyperlink>
          </w:p>
        </w:tc>
        <w:tc>
          <w:tcPr>
            <w:tcW w:w="12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OTHER MATTERS</w:t>
              </w:r>
            </w:hyperlink>
          </w:p>
        </w:tc>
        <w:tc>
          <w:tcPr>
            <w:tcW w:w="8100" w:type="dxa"/>
            <w:vAlign w:val="bottom"/>
            <w:tcBorders>
              <w:top w:val="single" w:sz="8" w:color="0000EE"/>
            </w:tcBorders>
            <w:gridSpan w:val="15"/>
          </w:tcPr>
          <w:p>
            <w:pPr>
              <w:spacing w:after="0"/>
              <w:rPr>
                <w:sz w:val="17"/>
                <w:szCs w:val="17"/>
                <w:color w:val="auto"/>
              </w:rPr>
            </w:pPr>
          </w:p>
        </w:tc>
        <w:tc>
          <w:tcPr>
            <w:tcW w:w="14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NO APPRAISAL OR DISSENTER’S RIGHTS</w:t>
              </w:r>
            </w:hyperlink>
          </w:p>
        </w:tc>
        <w:tc>
          <w:tcPr>
            <w:tcW w:w="752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AUDITORS</w:t>
              </w:r>
            </w:hyperlink>
          </w:p>
        </w:tc>
        <w:tc>
          <w:tcPr>
            <w:tcW w:w="1006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SOLICITATION OF PROXIES</w:t>
              </w:r>
            </w:hyperlink>
          </w:p>
        </w:tc>
        <w:tc>
          <w:tcPr>
            <w:tcW w:w="868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INFORMATION ABOUT THE PARTICIPANTS</w:t>
              </w:r>
            </w:hyperlink>
          </w:p>
        </w:tc>
        <w:tc>
          <w:tcPr>
            <w:tcW w:w="738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INFORMATION REGARDING TICC</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CERTAIN ADDITIONAL INFORMATION</w:t>
              </w:r>
            </w:hyperlink>
          </w:p>
        </w:tc>
        <w:tc>
          <w:tcPr>
            <w:tcW w:w="776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STOCKHOLDER PROPOSALS</w:t>
              </w:r>
            </w:hyperlink>
          </w:p>
        </w:tc>
        <w:tc>
          <w:tcPr>
            <w:tcW w:w="858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FORWARD-LOOKING STATEMENTS</w:t>
              </w:r>
            </w:hyperlink>
          </w:p>
        </w:tc>
        <w:tc>
          <w:tcPr>
            <w:tcW w:w="804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INFORMATION ABOUT THE PARTICIPANTS</w:t>
              </w:r>
            </w:hyperlink>
          </w:p>
        </w:tc>
        <w:tc>
          <w:tcPr>
            <w:tcW w:w="738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FORM OF NOMINATION AGREEMENT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3140" w:type="dxa"/>
            <w:vAlign w:val="bottom"/>
            <w:gridSpan w:val="8"/>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SECURITY OWNERSHIP OF CERTAIN BENEFICIAL OWNERS AND MANAGEMENT</w:t>
              </w:r>
            </w:hyperlink>
          </w:p>
        </w:tc>
        <w:tc>
          <w:tcPr>
            <w:tcW w:w="424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RECONCILIATION OF CERTAIN NON-GAAP FINANCIAL MEASURES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RELATING TO THIS PROXY STATEMENT</w:t>
      </w:r>
    </w:p>
    <w:p>
      <w:pPr>
        <w:spacing w:after="0" w:line="229"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following are some of the questions you may have as a Stockholder, as well as the answers to those questions. The following is not a substitute for the information contained elsewhere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making this solicitation?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over $16 billion of assets under management as of March 31, 2016, is the dedicated special situations and credit platform of TPG, a global private investment firm with over $74 billion of assets under management as of December 31, 2015.</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TSLX is making this solicitation of proxies for the election of the Nominee and to approve a proposal to terminate the Investment Advisory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regarding TSLX and the other participants in the solicitation, please see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asking you to vote for?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asking you to vote on the following matters at the 2016 Annual Meeting:</w:t>
      </w:r>
    </w:p>
    <w:p>
      <w:pPr>
        <w:spacing w:after="0" w:line="117" w:lineRule="exact"/>
        <w:rPr>
          <w:sz w:val="20"/>
          <w:szCs w:val="20"/>
          <w:color w:val="auto"/>
        </w:rPr>
      </w:pPr>
    </w:p>
    <w:p>
      <w:pPr>
        <w:ind w:right="2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election of TSLX’s nominee, T. Kelley Millet, to serve as a director until the 2019 annual meeting of Stockholders and until his successor is duly elected and qualified;</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w:t>
      </w:r>
    </w:p>
    <w:p>
      <w:pPr>
        <w:spacing w:after="0" w:line="225" w:lineRule="exact"/>
        <w:rPr>
          <w:rFonts w:ascii="Arial" w:cs="Arial" w:eastAsia="Arial" w:hAnsi="Arial"/>
          <w:sz w:val="18"/>
          <w:szCs w:val="18"/>
          <w:color w:val="auto"/>
        </w:rPr>
      </w:pPr>
    </w:p>
    <w:p>
      <w:pPr>
        <w:ind w:right="6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proposal to ratify the appointment of PricewaterhouseCoopers LLP to serve as the independent registered public accounting firm for the Company for the fiscal year ending December 31, 2016; and</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proposal to approve the adjournment of the 2016 Annual Meeting.</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TSLX URGES YOU TO VOTE THE GOLD PROXY CARD (1) “FOR” THE ELECTION OF TSLX’S NOMINEE, T. KELLEY MILLET,</w:t>
      </w:r>
    </w:p>
    <w:p>
      <w:pPr>
        <w:spacing w:after="0" w:line="27" w:lineRule="exact"/>
        <w:rPr>
          <w:sz w:val="20"/>
          <w:szCs w:val="20"/>
          <w:color w:val="auto"/>
        </w:rPr>
      </w:pPr>
    </w:p>
    <w:p>
      <w:pPr>
        <w:ind w:right="920" w:firstLine="8"/>
        <w:spacing w:after="0" w:line="261" w:lineRule="auto"/>
        <w:tabs>
          <w:tab w:leader="none" w:pos="2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“FOR” TSLX’S PROPOSAL TO TERMINATE THE INVESTMENT ADVISORY AGREEMENT, (3) “FOR” THE ACCOUNTANT RATIFICATION PROPOSAL AND (4) “AGAINST” THE ADJOURNMENT PROPOSAL.</w:t>
      </w:r>
    </w:p>
    <w:p>
      <w:pPr>
        <w:spacing w:after="0" w:line="184"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Please refer to the sections entitled “Proposal No. 1: Election of Director,” “Proposal No. 2: TSLX’s Proposal to Terminate the Investment Advisory Agreement,” “Proposal No. 3: The Company’s Proposal to Ratify the Appointment of PricewaterhouseCoopers LLP” and “Proposal No. 4: The Company’s Proposal to Approve the Adjournment of the 2016 Annual Meeting” for a more complete description of these proposals.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soliciting your vote?</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voting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the Nominee?</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are proposing that T. Kelley Millet be elected as director of the Company to serve on the Board until the 2019 annual meeting of Stockholders and until his successor is duly elected and qualified.</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Set forth below is a brief discussion of the specific experience, qualifications, attributes or skills that led to our determining that the Nominee should serve as a director for the Company as of the date hereof, in light of the Company’s business and structure. This information has been furnished to us by the Nominee. Additional information about the Nominee can also be found in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ectPr>
          <w:pgSz w:w="11900" w:h="16838" w:orient="portrait"/>
          <w:cols w:equalWidth="0" w:num="1">
            <w:col w:w="11420"/>
          </w:cols>
          <w:pgMar w:left="240" w:top="45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Business Address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 Kelley Millet</w:t>
      </w:r>
    </w:p>
    <w:p>
      <w:pPr>
        <w:spacing w:after="0" w:line="256" w:lineRule="exact"/>
        <w:rPr>
          <w:sz w:val="20"/>
          <w:szCs w:val="20"/>
          <w:color w:val="auto"/>
        </w:rPr>
      </w:pPr>
    </w:p>
    <w:p>
      <w:pPr>
        <w:jc w:val="center"/>
        <w:ind w:left="502"/>
        <w:spacing w:after="0"/>
        <w:rPr>
          <w:sz w:val="20"/>
          <w:szCs w:val="20"/>
          <w:color w:val="auto"/>
        </w:rPr>
      </w:pPr>
      <w:r>
        <w:rPr>
          <w:rFonts w:ascii="Arial" w:cs="Arial" w:eastAsia="Arial" w:hAnsi="Arial"/>
          <w:sz w:val="18"/>
          <w:szCs w:val="18"/>
          <w:color w:val="auto"/>
        </w:rPr>
        <w:t>1 William Street,</w:t>
      </w:r>
    </w:p>
    <w:p>
      <w:pPr>
        <w:spacing w:after="0" w:line="23" w:lineRule="exact"/>
        <w:rPr>
          <w:sz w:val="20"/>
          <w:szCs w:val="20"/>
          <w:color w:val="auto"/>
        </w:rPr>
      </w:pPr>
    </w:p>
    <w:p>
      <w:pPr>
        <w:jc w:val="center"/>
        <w:ind w:left="502"/>
        <w:spacing w:after="0"/>
        <w:rPr>
          <w:sz w:val="20"/>
          <w:szCs w:val="20"/>
          <w:color w:val="auto"/>
        </w:rPr>
      </w:pPr>
      <w:r>
        <w:rPr>
          <w:rFonts w:ascii="Arial" w:cs="Arial" w:eastAsia="Arial" w:hAnsi="Arial"/>
          <w:sz w:val="16"/>
          <w:szCs w:val="16"/>
          <w:color w:val="auto"/>
        </w:rPr>
        <w:t>New York, New York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97790</wp:posOffset>
            </wp:positionV>
            <wp:extent cx="1483360" cy="2178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83360" cy="2178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61"/>
        </w:trPr>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7520" w:type="dxa"/>
            <w:vAlign w:val="bottom"/>
            <w:gridSpan w:val="3"/>
          </w:tcPr>
          <w:p>
            <w:pPr>
              <w:ind w:left="2820"/>
              <w:spacing w:after="0"/>
              <w:rPr>
                <w:sz w:val="20"/>
                <w:szCs w:val="20"/>
                <w:color w:val="auto"/>
              </w:rPr>
            </w:pPr>
            <w:r>
              <w:rPr>
                <w:rFonts w:ascii="Arial" w:cs="Arial" w:eastAsia="Arial" w:hAnsi="Arial"/>
                <w:sz w:val="14"/>
                <w:szCs w:val="14"/>
                <w:b w:val="1"/>
                <w:bCs w:val="1"/>
                <w:color w:val="auto"/>
              </w:rPr>
              <w:t>Principal Occupation for Past</w:t>
            </w:r>
          </w:p>
        </w:tc>
        <w:tc>
          <w:tcPr>
            <w:tcW w:w="0" w:type="dxa"/>
            <w:vAlign w:val="bottom"/>
          </w:tcPr>
          <w:p>
            <w:pPr>
              <w:spacing w:after="0"/>
              <w:rPr>
                <w:sz w:val="1"/>
                <w:szCs w:val="1"/>
                <w:color w:val="auto"/>
              </w:rPr>
            </w:pPr>
          </w:p>
        </w:tc>
      </w:tr>
      <w:tr>
        <w:trPr>
          <w:trHeight w:val="185"/>
        </w:trPr>
        <w:tc>
          <w:tcPr>
            <w:tcW w:w="460" w:type="dxa"/>
            <w:vAlign w:val="bottom"/>
            <w:gridSpan w:val="2"/>
            <w:vMerge w:val="continue"/>
          </w:tcPr>
          <w:p>
            <w:pPr>
              <w:spacing w:after="0"/>
              <w:rPr>
                <w:sz w:val="16"/>
                <w:szCs w:val="16"/>
                <w:color w:val="auto"/>
              </w:rPr>
            </w:pPr>
          </w:p>
        </w:tc>
        <w:tc>
          <w:tcPr>
            <w:tcW w:w="7520" w:type="dxa"/>
            <w:vAlign w:val="bottom"/>
            <w:gridSpan w:val="3"/>
          </w:tcPr>
          <w:p>
            <w:pPr>
              <w:ind w:left="2880"/>
              <w:spacing w:after="0"/>
              <w:rPr>
                <w:sz w:val="20"/>
                <w:szCs w:val="20"/>
                <w:color w:val="auto"/>
              </w:rPr>
            </w:pPr>
            <w:r>
              <w:rPr>
                <w:rFonts w:ascii="Arial" w:cs="Arial" w:eastAsia="Arial" w:hAnsi="Arial"/>
                <w:sz w:val="14"/>
                <w:szCs w:val="14"/>
                <w:b w:val="1"/>
                <w:bCs w:val="1"/>
                <w:color w:val="auto"/>
              </w:rPr>
              <w:t>Five Years and Directorships</w:t>
            </w:r>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520" w:type="dxa"/>
            <w:vAlign w:val="bottom"/>
            <w:tcBorders>
              <w:top w:val="single" w:sz="8" w:color="auto"/>
            </w:tcBorders>
            <w:gridSpan w:val="3"/>
          </w:tcPr>
          <w:p>
            <w:pPr>
              <w:spacing w:after="0" w:line="170" w:lineRule="exact"/>
              <w:rPr>
                <w:sz w:val="20"/>
                <w:szCs w:val="20"/>
                <w:color w:val="auto"/>
              </w:rPr>
            </w:pPr>
            <w:r>
              <w:rPr>
                <w:rFonts w:ascii="Arial" w:cs="Arial" w:eastAsia="Arial" w:hAnsi="Arial"/>
                <w:sz w:val="18"/>
                <w:szCs w:val="18"/>
                <w:color w:val="auto"/>
                <w:w w:val="94"/>
              </w:rPr>
              <w:t>T. Kelley Millet is the Chief Executive Officer (“CEO”), Vice Chairman, Treasurer and member of the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board of directors of Banca IMI Securities Corp., a provider of banking and brokerage services to</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institutional investors. In addition, Mr. Millet currently serves on the board of directors of Investment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2"/>
              </w:rPr>
              <w:t>Technology Group, Inc., where he is also a member of the Audit, Capital and Technology Committees.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From 2012 until 2016, Mr. Millet served on the board of The Mutual Fund Store, a provider of</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personalized financial planning and money management services. From 2013 to 2014, Mr. Millet served</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as a consultant to Investment Technology Group, Inc.’s CEO and board of directors. Previously, (a)</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from 2012 until 2013, Mr. Millet served as Co-President, Partner and a member of the board of directors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of Pierpont Securities LLC, a fixed income broker-dealer, (b) from 2011 until 2012, Mr. Millet was</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3"/>
              </w:rPr>
              <w:t>CEO and a member of the board of directors of the broker-dealer, Cortview Capital Holdings Inc. and</w:t>
            </w:r>
          </w:p>
        </w:tc>
        <w:tc>
          <w:tcPr>
            <w:tcW w:w="0" w:type="dxa"/>
            <w:vAlign w:val="bottom"/>
          </w:tcPr>
          <w:p>
            <w:pPr>
              <w:spacing w:after="0"/>
              <w:rPr>
                <w:sz w:val="1"/>
                <w:szCs w:val="1"/>
                <w:color w:val="auto"/>
              </w:rPr>
            </w:pPr>
          </w:p>
        </w:tc>
      </w:tr>
    </w:tbl>
    <w:p>
      <w:pPr>
        <w:ind w:left="462" w:right="40" w:hanging="462"/>
        <w:spacing w:after="0" w:line="253" w:lineRule="auto"/>
        <w:tabs>
          <w:tab w:leader="none" w:pos="462" w:val="left"/>
        </w:tabs>
        <w:numPr>
          <w:ilvl w:val="0"/>
          <w:numId w:val="12"/>
        </w:numPr>
        <w:rPr>
          <w:rFonts w:ascii="Arial" w:cs="Arial" w:eastAsia="Arial" w:hAnsi="Arial"/>
          <w:sz w:val="31"/>
          <w:szCs w:val="31"/>
          <w:color w:val="auto"/>
          <w:vertAlign w:val="subscript"/>
        </w:rPr>
      </w:pPr>
      <w:r>
        <w:rPr>
          <w:rFonts w:ascii="Arial" w:cs="Arial" w:eastAsia="Arial" w:hAnsi="Arial"/>
          <w:sz w:val="16"/>
          <w:szCs w:val="16"/>
          <w:color w:val="auto"/>
        </w:rPr>
        <w:t>(c)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200" w:lineRule="exact"/>
        <w:rPr>
          <w:sz w:val="20"/>
          <w:szCs w:val="20"/>
          <w:color w:val="auto"/>
        </w:rPr>
      </w:pPr>
    </w:p>
    <w:p>
      <w:pPr>
        <w:sectPr>
          <w:pgSz w:w="11900" w:h="16838" w:orient="portrait"/>
          <w:cols w:equalWidth="0" w:num="2">
            <w:col w:w="2718" w:space="720"/>
            <w:col w:w="7982"/>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Board is currently composed of five directors—two interested directors and three independent directors. One of the independent directors, Tonia L. Pankopf, is up for election at the 2016 Annual Meeting. TSLX, through this Proxy Statement, is soliciting proxies to elect Mr. Millet to serve as a director to replace Ms. Pankopf.</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corporate governance guidelines of the Company provide that determinations of independence shall be made in accordance with the criteria for independence required by the NASDAQ Stock Market. The following information regarding director independence has also been reproduced from the Form 10-K/A filed by the Company with the SEC on April 29, 2016:</w:t>
      </w:r>
    </w:p>
    <w:p>
      <w:pPr>
        <w:spacing w:after="0" w:line="73" w:lineRule="exact"/>
        <w:rPr>
          <w:sz w:val="20"/>
          <w:szCs w:val="20"/>
          <w:color w:val="auto"/>
        </w:rPr>
      </w:pPr>
    </w:p>
    <w:p>
      <w:pPr>
        <w:ind w:left="460" w:right="80"/>
        <w:spacing w:after="0" w:line="308" w:lineRule="auto"/>
        <w:rPr>
          <w:sz w:val="20"/>
          <w:szCs w:val="20"/>
          <w:color w:val="auto"/>
        </w:rPr>
      </w:pPr>
      <w:r>
        <w:rPr>
          <w:rFonts w:ascii="Arial" w:cs="Arial" w:eastAsia="Arial" w:hAnsi="Arial"/>
          <w:sz w:val="17"/>
          <w:szCs w:val="17"/>
          <w:color w:val="auto"/>
        </w:rPr>
        <w:t>In accordance with rules of the NASDAQ Stock Market, our Board of Directors annually determines each director’s independence. We do not consider a director independent unless our Board of Directors has determined that he or she has no material relationship with us. [ . . . ]</w:t>
      </w:r>
    </w:p>
    <w:p>
      <w:pPr>
        <w:spacing w:after="0" w:line="38"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8"/>
          <w:szCs w:val="18"/>
          <w:color w:val="auto"/>
        </w:rPr>
        <w:t>In order to evaluate the materiality of any such relationship, our Board of Directors uses the definition of director independence set forth in the rules promulgated by the NASDAQ Stock Market. Rule 5605(a)(2) provides that a director of a BDC, shall be considered to be independent if he or she is not an “interested person” of TICC, as defined in Section 2(a)(19) of the 1940 Act.</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Based on the information furnished by the Nominee, TSLX believes that the Nominee is independent and is not an interested person under such standards and TSLX has no knowledge of any facts that would prevent a determination that the Nominee is independent or is not an interested person under such standards.</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You should refer to the Company’s proxy statement for the 2016 Annual Meeting (the “</w:t>
      </w:r>
      <w:r>
        <w:rPr>
          <w:rFonts w:ascii="Arial" w:cs="Arial" w:eastAsia="Arial" w:hAnsi="Arial"/>
          <w:sz w:val="18"/>
          <w:szCs w:val="18"/>
          <w:u w:val="single" w:color="auto"/>
          <w:color w:val="auto"/>
        </w:rPr>
        <w:t>TICC 2016 Proxy Statement</w:t>
      </w:r>
      <w:r>
        <w:rPr>
          <w:rFonts w:ascii="Arial" w:cs="Arial" w:eastAsia="Arial" w:hAnsi="Arial"/>
          <w:sz w:val="18"/>
          <w:szCs w:val="18"/>
          <w:color w:val="auto"/>
        </w:rPr>
        <w:t>”), when available, for the name, background, qualifications and other information concerning the Company’s nominee.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2016 Annual Meeting?</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Holders of record of shares of Common Stock at the close of business on the Record Date will be entitled to vote at the 2016 Annual Meeting. Stockholders as of the Record Date are entitled to cast one vote for as many individuals as there are directors to be elected at the 2016 Annual Meeting and to cast one vote on each other matter presented at the 2016 Annual Meeting for each share of Common Stock held on the Record Date. Stockholders may not cumulate their votes in the election of directors. It is anticipated that the TICC 2016 Proxy Statement will state the number of shares of Common Stock issued and outstanding as of the Record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proxies work?</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TSLX is asking you to appoint [Joshua Easterly] and [Ian Simmonds], and each of them, as your proxy holders to vote your shares of Common Stock at the 2016 Annual Meeting. You may authorize a proxy by (1) marking, signing and dating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and returning it in the enclosed postage-paid envelope or (2) telephone or Internet by following the instructions located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Submitting your proxy means you authorize the proxy holders to vote your shares at the 2016 Annual Meeting, according to the directions you provide. Whether or not you are able to attend the 2016 Annual Meeting, you are urged to mark, sign and date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and return it in the enclosed postage-paid envelope or follow the instructions located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authorize a proxy by telephone or Internet. All valid proxies received prior to the 2016 Annual Meeting will be voted. If you specify a choice with respect to any item by marking the appropriate box on the proxy, your shares of Common Stock will be voted in accordance with that specification. IF NO SPECIFICATION IS MADE, BUT YOU SIGN AND RETURN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YOUR SHARES OF COMMON STOCK WILL BE VOTED (1)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(2)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(3)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(4)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 xml:space="preserve">We do not know of any other matters to be presented for approval by Stockholders at the 2016 Annual Meeting. Unless you indicate otherwise on the </w:t>
      </w:r>
      <w:r>
        <w:rPr>
          <w:rFonts w:ascii="Arial" w:cs="Arial" w:eastAsia="Arial" w:hAnsi="Arial"/>
          <w:sz w:val="17"/>
          <w:szCs w:val="17"/>
          <w:b w:val="1"/>
          <w:bCs w:val="1"/>
          <w:color w:val="auto"/>
        </w:rPr>
        <w:t xml:space="preserve">GOLD </w:t>
      </w:r>
      <w:r>
        <w:rPr>
          <w:rFonts w:ascii="Arial" w:cs="Arial" w:eastAsia="Arial" w:hAnsi="Arial"/>
          <w:sz w:val="17"/>
          <w:szCs w:val="17"/>
          <w:color w:val="auto"/>
        </w:rPr>
        <w:t>proxy card or through the telephone or Internet voting procedures, your appointment also authorizes your proxy holders to vote your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 their discretion on any matters that may be properly presented for action by Stockholders at the 2016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attend the 2016 Annual Meeting?</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2016 Annual Meeting will be held at [ ] on [ ], 2016 at [ ] local time. If you are a Stockholder of record, your name will be verified against the list of Stockholders of record prior to admittance to the 2016 Annual Meeting. If you are a beneficial owner, you must provide proof of beneficial ownership on the Record Date, such as a brokerage account statement showing that you owned your shares of Common Stock as of the Record Date, a copy of the voting instruction form provided by your bank, brokerage firm, dealer, trust company or other nominee, or other similar evidence of ownership. You do not need to attend the 2016 Annual Meeting to vote. Even if you plan to attend the 2016 Annual Meeting, please authorize your vote in advance as instructed in this Proxy Statement.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2016 Annual Meeting?</w:t>
      </w:r>
    </w:p>
    <w:p>
      <w:pPr>
        <w:spacing w:after="0" w:line="12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A quorum must be present at the 2016 Annual Meeting for any business to be conducted. The presence at the 2016 Annual Meeting, in person or by proxy, of the holders of a majority of the shares of Common Stock outstanding on the Record Date will constitute a quorum. Abstentions and broker non-votes (as defined below), if any, will be counted as shares present for purposes of determining whether a quorum exists for the transaction of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broker non-vote is a vote that is not cast on a non-routine matter because the shares entitled to cast the vote are held in street name, the broker lacks discretionary authority to vote the shares and the broker has not received voting instructions from the beneficial owner. Proposal No. 1: Election of Director, Proposal No. 2: TSLX’s Proposal to Terminate the Investment Advisory Agreement and Proposal No. 4: The Company’s Proposal to Approve the Adjournment of the 2016 Annual Meeting are considered non-routine matters. Accordingly, if you hold your shares of Common Stock in street name with a bank, brokerage firm, dealer, trust company or other nominee, they can only exercise your right to vote with respect to these matters if they receive instructions from you.</w:t>
      </w:r>
    </w:p>
    <w:p>
      <w:pPr>
        <w:spacing w:after="0" w:line="19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If your shares are held of record by a bank, brokerage firm, dealer, trust company or other nominee, we urge you to give instructions to your bank, brokerage firm, dealer, trust company or other nominee as to how you wish your shares to be voted so you may participate in the stockholder voting on the important matters to be presented at the 2016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elect the Nominee?</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election of a director requires the affirmative vote of a plurality of the votes cast at the 2016 Annual Meeting in person or by proxy. Stockholders may not cumulate their votes. This means that the nominee who receives the greatest number of “</w:t>
      </w:r>
      <w:r>
        <w:rPr>
          <w:rFonts w:ascii="Arial" w:cs="Arial" w:eastAsia="Arial" w:hAnsi="Arial"/>
          <w:sz w:val="18"/>
          <w:szCs w:val="18"/>
          <w:b w:val="1"/>
          <w:bCs w:val="1"/>
          <w:color w:val="auto"/>
        </w:rPr>
        <w:t>FOR</w:t>
      </w:r>
      <w:r>
        <w:rPr>
          <w:rFonts w:ascii="Arial" w:cs="Arial" w:eastAsia="Arial" w:hAnsi="Arial"/>
          <w:sz w:val="18"/>
          <w:szCs w:val="18"/>
          <w:color w:val="auto"/>
        </w:rPr>
        <w:t>” votes cast will be elected. Neither broker non-votes nor votes marked “</w:t>
      </w:r>
      <w:r>
        <w:rPr>
          <w:rFonts w:ascii="Arial" w:cs="Arial" w:eastAsia="Arial" w:hAnsi="Arial"/>
          <w:sz w:val="18"/>
          <w:szCs w:val="18"/>
          <w:b w:val="1"/>
          <w:bCs w:val="1"/>
          <w:color w:val="auto"/>
        </w:rPr>
        <w:t>WITHHOLD AUTHORITY</w:t>
      </w:r>
      <w:r>
        <w:rPr>
          <w:rFonts w:ascii="Arial" w:cs="Arial" w:eastAsia="Arial" w:hAnsi="Arial"/>
          <w:sz w:val="18"/>
          <w:szCs w:val="18"/>
          <w:color w:val="auto"/>
        </w:rPr>
        <w:t>” will have an effect on the result of the vote.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TSLX’s Proposal to Terminate the Investment Advisory Agreement?</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approval of TSLX’s proposal to terminate the Investment Advisory Agreement requires the affirmative vote of “a majority of the Company’s outstanding voting securities” entitled to vote at the 2016 Annual Meeting, as defined under the 1940 Act. For purposes of approval of TSLX’s proposal to terminate the Investment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Advisory Agreement, “a majority of the Company’s outstanding voting securities” is the lesser of: (i) 67% or more of the shares of Common Stock present at the 2016 Annual Meeting, if the holders of more than 50% of the outstanding shares of Common Stock are present or represented by proxy or (ii) more than 50% of the outstanding shares of Common Stock. Abstentions and broker non-votes, if any,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this proposal.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the other proposals described in this Proxy Statement?</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approval of the Accountant Ratification Proposal requires the affirmative vote of a majority of the votes cast at the 2016 Annual Meeting in person or by proxy on the proposal. Abstentions will have no effect on this proposal. Brokers are entitled to vote on the Accountant Ratification Proposal even if no instructions are received from the beneficial holder of shares of Common Stock.</w:t>
      </w:r>
    </w:p>
    <w:p>
      <w:pPr>
        <w:spacing w:after="0" w:line="18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at the 2016 Annual Meeting in person or by proxy. Abstentions and broker non-votes, if any, will not be included in determining the number of votes cast and, as a result, will have no effect on this proposal.</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other matters are properly brought before the 2016 Annual Meeting, the vote required will be determined in accordance with applicable law, the NASDAQ Listing Rules and the Company’s Charter and Bylaws, as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in order to vote for the Nominee and the other proposals?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If your shares of Common Stock are held of record in your own name, please authorize a proxy to vote by marking, signing and dating the enclosed </w:t>
      </w:r>
      <w:r>
        <w:rPr>
          <w:rFonts w:ascii="Arial" w:cs="Arial" w:eastAsia="Arial" w:hAnsi="Arial"/>
          <w:sz w:val="18"/>
          <w:szCs w:val="18"/>
          <w:b w:val="1"/>
          <w:bCs w:val="1"/>
          <w:color w:val="auto"/>
        </w:rPr>
        <w:t xml:space="preserve">GOLD </w:t>
      </w:r>
      <w:r>
        <w:rPr>
          <w:rFonts w:ascii="Arial" w:cs="Arial" w:eastAsia="Arial" w:hAnsi="Arial"/>
          <w:sz w:val="18"/>
          <w:szCs w:val="18"/>
          <w:color w:val="auto"/>
        </w:rPr>
        <w:t>proxy card and returning it in the postage-paid envelope provided to you by us or follow the instructions on the</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to authorize a</w:t>
      </w:r>
      <w:r>
        <w:rPr>
          <w:rFonts w:ascii="Arial" w:cs="Arial" w:eastAsia="Arial" w:hAnsi="Arial"/>
          <w:sz w:val="18"/>
          <w:szCs w:val="18"/>
          <w:b w:val="1"/>
          <w:bCs w:val="1"/>
          <w:color w:val="auto"/>
        </w:rPr>
        <w:t xml:space="preserve"> </w:t>
      </w:r>
      <w:r>
        <w:rPr>
          <w:rFonts w:ascii="Arial" w:cs="Arial" w:eastAsia="Arial" w:hAnsi="Arial"/>
          <w:sz w:val="18"/>
          <w:szCs w:val="18"/>
          <w:color w:val="auto"/>
        </w:rPr>
        <w:t>proxy by telephone or Internet.</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If you hold your shares of Common Stock in street name with a bank, brokerage firm, dealer, trust company or other nominee, only they can exercise your right to vote with respect to your shares of Common Stock. Accordingly, it is critical that you promptly give instructions to your bank, brokerage firm, dealer, trust company or other nominee to ensure that a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submitted on your behalf. Please follow the instructions to authorize a proxy to vote provided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If your bank, brokerage firm, dealer, trust company or other nominee provides for voting instructions to be delivered to them by telephone or Internet, instructions will be included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We urge you to confirm your instructions in writing to the person responsible for your account and provide a copy of those instructions to us, c/o MacKenzie Partners, Inc., 105 Madison Avenue, New York, New York 10016, or by email at TPG@mackenziepartners.com so that we may be aware of all instructions given and can attempt to ensure that such instructions are followed.</w:t>
      </w:r>
    </w:p>
    <w:p>
      <w:pPr>
        <w:spacing w:after="0" w:line="17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YOUR VOTE IS VERY IMPORTANT</w:t>
      </w:r>
      <w:r>
        <w:rPr>
          <w:rFonts w:ascii="Arial" w:cs="Arial" w:eastAsia="Arial" w:hAnsi="Arial"/>
          <w:sz w:val="17"/>
          <w:szCs w:val="17"/>
          <w:color w:val="auto"/>
        </w:rPr>
        <w:t>. If you do not plan to attend the 2016 Annual Meeting, we encourage you to read this Proxy Statement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mark, sign and date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enclosed postage-paid envelope, or follow the instructions located on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prior to the 2016 Annual Meeting so that your shares of Common Stock will be represented and voted in accordance with your instructions. Even if you plan to attend the 2016 Annual Meeting in person, we recommend that you authorize a proxy to vote your shares of Common Stock in advance as described above so that your vote will be counted if you later decide not to attend the 2016 Annual Meeting. To ensure that your vote is counted, please remember to authorize a proxy to vote your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GOLD proxy card at or about the same time?</w:t>
      </w:r>
    </w:p>
    <w:p>
      <w:pPr>
        <w:spacing w:after="0" w:line="12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 xml:space="preserve">It generally means you hold shares registered in more than one account. In order to authorize a proxy to vote all of your shares, please mark, sign, date and return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authorize a proxy by telephone or Internet, please authorize a proxy for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you receive.</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Table of Contents</w:t>
              </w:r>
            </w:hyperlink>
          </w:p>
        </w:tc>
        <w:tc>
          <w:tcPr>
            <w:tcW w:w="77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534"/>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What is the deadline for submitting proxies?</w:t>
            </w:r>
          </w:p>
        </w:tc>
        <w:tc>
          <w:tcPr>
            <w:tcW w:w="1020" w:type="dxa"/>
            <w:vAlign w:val="bottom"/>
          </w:tcPr>
          <w:p>
            <w:pPr>
              <w:spacing w:after="0"/>
              <w:rPr>
                <w:sz w:val="24"/>
                <w:szCs w:val="24"/>
                <w:color w:val="auto"/>
              </w:rPr>
            </w:pPr>
          </w:p>
        </w:tc>
      </w:tr>
      <w:tr>
        <w:trPr>
          <w:trHeight w:val="324"/>
        </w:trPr>
        <w:tc>
          <w:tcPr>
            <w:tcW w:w="9060" w:type="dxa"/>
            <w:vAlign w:val="bottom"/>
            <w:gridSpan w:val="2"/>
          </w:tcPr>
          <w:p>
            <w:pPr>
              <w:ind w:left="460"/>
              <w:spacing w:after="0"/>
              <w:rPr>
                <w:sz w:val="20"/>
                <w:szCs w:val="20"/>
                <w:color w:val="auto"/>
              </w:rPr>
            </w:pPr>
            <w:r>
              <w:rPr>
                <w:rFonts w:ascii="Arial" w:cs="Arial" w:eastAsia="Arial" w:hAnsi="Arial"/>
                <w:sz w:val="18"/>
                <w:szCs w:val="18"/>
                <w:color w:val="auto"/>
                <w:w w:val="97"/>
              </w:rPr>
              <w:t>(a) Internet:  Proxies submitted electronically via the Internet must be received by 11:59 p.m. Eastern Time on [</w:t>
            </w:r>
          </w:p>
        </w:tc>
        <w:tc>
          <w:tcPr>
            <w:tcW w:w="1020" w:type="dxa"/>
            <w:vAlign w:val="bottom"/>
          </w:tcPr>
          <w:p>
            <w:pPr>
              <w:jc w:val="right"/>
              <w:spacing w:after="0"/>
              <w:rPr>
                <w:sz w:val="20"/>
                <w:szCs w:val="20"/>
                <w:color w:val="auto"/>
              </w:rPr>
            </w:pPr>
            <w:r>
              <w:rPr>
                <w:rFonts w:ascii="Arial" w:cs="Arial" w:eastAsia="Arial" w:hAnsi="Arial"/>
                <w:sz w:val="18"/>
                <w:szCs w:val="18"/>
                <w:color w:val="auto"/>
              </w:rPr>
              <w:t>], 2016.</w:t>
            </w:r>
          </w:p>
        </w:tc>
      </w:tr>
      <w:tr>
        <w:trPr>
          <w:trHeight w:val="432"/>
        </w:trPr>
        <w:tc>
          <w:tcPr>
            <w:tcW w:w="9060" w:type="dxa"/>
            <w:vAlign w:val="bottom"/>
            <w:gridSpan w:val="2"/>
          </w:tcPr>
          <w:p>
            <w:pPr>
              <w:ind w:left="460"/>
              <w:spacing w:after="0"/>
              <w:rPr>
                <w:sz w:val="20"/>
                <w:szCs w:val="20"/>
                <w:color w:val="auto"/>
              </w:rPr>
            </w:pPr>
            <w:r>
              <w:rPr>
                <w:rFonts w:ascii="Arial" w:cs="Arial" w:eastAsia="Arial" w:hAnsi="Arial"/>
                <w:sz w:val="18"/>
                <w:szCs w:val="18"/>
                <w:color w:val="auto"/>
                <w:w w:val="96"/>
              </w:rPr>
              <w:t>(b) Telephone:  Proxies submitted electronically by telephone must be received by 11:59 p.m. Eastern Time on [</w:t>
            </w:r>
          </w:p>
        </w:tc>
        <w:tc>
          <w:tcPr>
            <w:tcW w:w="102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0" w:firstLine="464"/>
        <w:spacing w:after="0" w:line="277" w:lineRule="auto"/>
        <w:tabs>
          <w:tab w:leader="none" w:pos="7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Mail: Proxies submitted by mail via written proxy must be returned in sufficient time to be received and counted prior to the closing of the polls at the 2016 Annual Meeting.</w:t>
      </w:r>
    </w:p>
    <w:p>
      <w:pPr>
        <w:spacing w:after="0" w:line="170" w:lineRule="exact"/>
        <w:rPr>
          <w:rFonts w:ascii="Arial" w:cs="Arial" w:eastAsia="Arial" w:hAnsi="Arial"/>
          <w:sz w:val="18"/>
          <w:szCs w:val="18"/>
          <w:color w:val="auto"/>
        </w:rPr>
      </w:pPr>
    </w:p>
    <w:p>
      <w:pPr>
        <w:ind w:right="80" w:firstLine="464"/>
        <w:spacing w:after="0" w:line="286" w:lineRule="auto"/>
        <w:tabs>
          <w:tab w:leader="none" w:pos="7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Person: All Stockholders of record as of the Record Date will be entitled to vote in person at the 2016 Annual Meeting. If you hold your shares of Common Stock in street name with a bank, brokerage firm, dealer, trust company or other nominee, you will need to request a “legal proxy” from such entity to vote in person at the 2016 Annual Meeting, a process which you must initiate and which may take several days.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a proxy?</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Any Stockholder has the power to revoke a previously authorized proxy at any time before it is exercised. If you are a registered holder of Common Stock, you may revoke a previously authorized proxy by:</w:t>
      </w:r>
    </w:p>
    <w:p>
      <w:pPr>
        <w:spacing w:after="0" w:line="72" w:lineRule="exact"/>
        <w:rPr>
          <w:sz w:val="20"/>
          <w:szCs w:val="20"/>
          <w:color w:val="auto"/>
        </w:rPr>
      </w:pPr>
    </w:p>
    <w:p>
      <w:pPr>
        <w:ind w:left="900" w:right="220" w:hanging="325"/>
        <w:spacing w:after="0" w:line="282"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authorizing a proxy over the Internet or by telephone at a later time in the manner provided on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proxy card or any other later-dated proxy;</w:t>
      </w:r>
    </w:p>
    <w:p>
      <w:pPr>
        <w:spacing w:after="0" w:line="67" w:lineRule="exact"/>
        <w:rPr>
          <w:rFonts w:ascii="Arial" w:cs="Arial" w:eastAsia="Arial" w:hAnsi="Arial"/>
          <w:sz w:val="18"/>
          <w:szCs w:val="18"/>
          <w:color w:val="auto"/>
        </w:rPr>
      </w:pPr>
    </w:p>
    <w:p>
      <w:pPr>
        <w:ind w:left="900" w:right="40" w:hanging="325"/>
        <w:spacing w:after="0" w:line="282"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marking,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proxy card or any other later-dated proxy in the postage-paid envelope provided;</w:t>
      </w:r>
    </w:p>
    <w:p>
      <w:pPr>
        <w:spacing w:after="0" w:line="71"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delivering a written notice of revocation to the Corporate Secretary of the Company, c/o [Broadridge Financial Solutions, Inc., 51 Mercedes Way, Edgewood, New York 11717];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2016 Annual Meeting and voting in person.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Please note, however, that only your last-dated proxy will count. Any proxy may be revoked at any time prior to its exercise at the 2016 Annual</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Meeting as described in this Proxy Statement. Attending the 2016 Annual Meeting alone without taking one of the actions above will not revoke your proxy.</w:t>
      </w:r>
    </w:p>
    <w:p>
      <w:pPr>
        <w:spacing w:after="0" w:line="23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In addition, please note that if you submit, or have already submitted, a [WHITE] proxy card you may revoke it at any time by submitting a later-dated </w:t>
      </w:r>
      <w:r>
        <w:rPr>
          <w:rFonts w:ascii="Arial" w:cs="Arial" w:eastAsia="Arial" w:hAnsi="Arial"/>
          <w:sz w:val="18"/>
          <w:szCs w:val="18"/>
          <w:b w:val="1"/>
          <w:bCs w:val="1"/>
          <w:color w:val="auto"/>
        </w:rPr>
        <w:t xml:space="preserve">GOLD </w:t>
      </w:r>
      <w:r>
        <w:rPr>
          <w:rFonts w:ascii="Arial" w:cs="Arial" w:eastAsia="Arial" w:hAnsi="Arial"/>
          <w:sz w:val="18"/>
          <w:szCs w:val="18"/>
          <w:color w:val="auto"/>
        </w:rPr>
        <w:t>proxy card.</w:t>
      </w:r>
    </w:p>
    <w:p>
      <w:pPr>
        <w:spacing w:after="0" w:line="170" w:lineRule="exact"/>
        <w:rPr>
          <w:sz w:val="20"/>
          <w:szCs w:val="20"/>
          <w:color w:val="auto"/>
        </w:rPr>
      </w:pPr>
    </w:p>
    <w:p>
      <w:pPr>
        <w:jc w:val="both"/>
        <w:ind w:right="40" w:firstLine="456"/>
        <w:spacing w:after="0" w:line="276" w:lineRule="auto"/>
        <w:rPr>
          <w:sz w:val="20"/>
          <w:szCs w:val="20"/>
          <w:color w:val="auto"/>
        </w:rPr>
      </w:pPr>
      <w:r>
        <w:rPr>
          <w:rFonts w:ascii="Arial" w:cs="Arial" w:eastAsia="Arial" w:hAnsi="Arial"/>
          <w:sz w:val="17"/>
          <w:szCs w:val="17"/>
          <w:color w:val="auto"/>
        </w:rPr>
        <w:t>Stockholders who hold their shares of Common Stock in street name with a bank, brokerage firm, dealer, trust company or other nominee will need to notify the person responsible for their account to revoke or withdraw previously given instructions. Unless revoked in the manner set forth above and subject to the foregoing, duly authorized proxies in the form enclosed will be voted at the 2016 Annual Meeting in accordance with your instructions. We request that a copy of any revocation sent to the Company or any revocation notification sent to the person responsible for a bank or brokerage account also be sent to us, c/o MacKenzie Partners, Inc., at the address listed above, so that we may be aware of any revocation of a proxy.</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PLEASE DO NOT RETURN ANY [WHITE] PROXY CARD YOU MAY RECEIVE FROM THE COMPANY OR OTHERWISE AUTHORIZE A PROXY TO VOTE YOUR SHARES OF COMMON STOCK AT THE 2016 ANNUAL MEETING, NOT EVEN AS A SIGN OF PROTEST. IF YOU HAVE ALREADY RETURNED A [WHITE] PROXY CARD TO THE COMPANY OR OTHERWISE AUTHORIZED A PROXY TO VOTE YOUR SHARES OF COMMON STOCK AT THE 2016 ANNUAL MEETING, IT IS NOT TOO LATE TO CHANGE YOUR VOTE. TO REVOKE YOUR PRIOR PROXY AND CHANGE YOUR VOTE, SIMPLY MARK, SIGN AND DATE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46"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POSTAGE-PAID ENVELOPE PROVIDED OR USE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 ONLY YOUR LATEST DATED PROXY WILL BE COUNTED.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the solicitation on behalf of TSLX?</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TSLX will pay all costs of the solicitation of proxies on behalf of TSLX and the other participants described in the section entitled “Information About the Participants.” If the Nominee is elected, TSLX may seek reimbursement of those costs from the Company, subject to any restrictions based on applicable law or in the Company’s Charter or Bylaws.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 about the solicitation?</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If you have any questions, or need assistance in voting your shares of Common Stock, please call our proxy solicitor, MacKenzie Partners, Inc., toll-free at (800) 322-2885 or contact MacKenzie Partners, Inc. by email at TPG@mackenziepartners.com.</w:t>
      </w:r>
    </w:p>
    <w:p>
      <w:pPr>
        <w:spacing w:after="0" w:line="16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YOUR VOTE IS IMPORTANT, NO MATTER HOW MANY SHARES YOU OWN. TSLX URGES YOU TO MARK, SIGN, DATE AND RETURN THE ENCLOSED GOLD PROXY CARD TODAY TO VOTE (1) “FOR” THE ELECTION OF TSLX’S NOMINEE, T. KELLEY MILLET, (2) “FOR” TSLX’S PROPOSAL TO TERMINATE THE INVESTMENT ADVISORY AGREEMENT, (3) “FOR” THE ACCOUNTANT RATIFICATION PROPOSAL AND (4) “AGAINST” THE ADJOURNMENT PROPOSAL.</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25" w:lineRule="exact"/>
        <w:rPr>
          <w:sz w:val="20"/>
          <w:szCs w:val="20"/>
          <w:color w:val="auto"/>
        </w:rPr>
      </w:pPr>
    </w:p>
    <w:p>
      <w:pPr>
        <w:ind w:left="3280"/>
        <w:spacing w:after="0"/>
        <w:tabs>
          <w:tab w:leader="none" w:pos="7560" w:val="left"/>
        </w:tabs>
        <w:rPr>
          <w:sz w:val="20"/>
          <w:szCs w:val="20"/>
          <w:color w:val="auto"/>
        </w:rPr>
      </w:pPr>
      <w:r>
        <w:rPr>
          <w:rFonts w:ascii="Arial" w:cs="Arial" w:eastAsia="Arial" w:hAnsi="Arial"/>
          <w:sz w:val="18"/>
          <w:szCs w:val="18"/>
          <w:b w:val="1"/>
          <w:bCs w:val="1"/>
          <w:color w:val="auto"/>
        </w:rPr>
        <w:t>for the Stockholder Meeting to Be Held on [</w:t>
      </w:r>
      <w:r>
        <w:rPr>
          <w:sz w:val="20"/>
          <w:szCs w:val="20"/>
          <w:color w:val="auto"/>
        </w:rPr>
        <w:tab/>
      </w:r>
      <w:r>
        <w:rPr>
          <w:rFonts w:ascii="Arial" w:cs="Arial" w:eastAsia="Arial" w:hAnsi="Arial"/>
          <w:sz w:val="16"/>
          <w:szCs w:val="16"/>
          <w:b w:val="1"/>
          <w:bCs w:val="1"/>
          <w:color w:val="auto"/>
        </w:rPr>
        <w:t>], 2016: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proxy materials are available at http://www.stockholderdocs.com/tpg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 OF THE SOLICITATION</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continuous evaluation and planning of its business, TSLX regularly considers a variety of strategic options, including acquisitions. In the course of this ongoing evaluation process, TSLX recognized the opportunity to leverage its expertise in sourcing, underwriting and asset management across credit disciplines to the advantage of both TSLX and target stockholders through mergers or other combinations and, in this respect, has considered from time to time an acquisition of various participants in its industry, including TICC.</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August 4, 2015, TICC issued a press release announcing that members of TICC Management had entered into an agreement with Benefit Street Partners L.L.C. (“</w:t>
      </w:r>
      <w:r>
        <w:rPr>
          <w:rFonts w:ascii="Arial" w:cs="Arial" w:eastAsia="Arial" w:hAnsi="Arial"/>
          <w:sz w:val="18"/>
          <w:szCs w:val="18"/>
          <w:u w:val="single" w:color="auto"/>
          <w:color w:val="auto"/>
        </w:rPr>
        <w:t>BSP</w:t>
      </w:r>
      <w:r>
        <w:rPr>
          <w:rFonts w:ascii="Arial" w:cs="Arial" w:eastAsia="Arial" w:hAnsi="Arial"/>
          <w:sz w:val="18"/>
          <w:szCs w:val="18"/>
          <w:color w:val="auto"/>
        </w:rPr>
        <w:t>”), pursuant to which an affiliate of BSP would acquire TICC Management and enter into a new investment advisory agreement with TICC Management (the “</w:t>
      </w:r>
      <w:r>
        <w:rPr>
          <w:rFonts w:ascii="Arial" w:cs="Arial" w:eastAsia="Arial" w:hAnsi="Arial"/>
          <w:sz w:val="18"/>
          <w:szCs w:val="18"/>
          <w:u w:val="single" w:color="auto"/>
          <w:color w:val="auto"/>
        </w:rPr>
        <w:t>New Advisory Agreement</w:t>
      </w:r>
      <w:r>
        <w:rPr>
          <w:rFonts w:ascii="Arial" w:cs="Arial" w:eastAsia="Arial" w:hAnsi="Arial"/>
          <w:sz w:val="18"/>
          <w:szCs w:val="18"/>
          <w:color w:val="auto"/>
        </w:rPr>
        <w:t>”) on the same terms as the Investment Advisory Agreement, subject to approval at a special meeting of Stockholders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In connection with this sale, BSP also proposed to expand the size of the Board to accommodate the addition of four new independent directors selected by BSP for election at the Special Meeting and to replace the two existing interested directors on the Board with affiliates of BSP.</w:t>
      </w:r>
    </w:p>
    <w:p>
      <w:pPr>
        <w:spacing w:after="0" w:line="193"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From August 5 to August 24, 2015, TSLX acquired 1,633,719 shares of Common Stock through purchases in the open market, which represented 2.72% of the number of shares of TICC Common Stock outstanding as of August 6, 2015 and 3.2% of the number of shares of TICC Common Stock outstanding as of the date of this Proxy Statement.</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August 11, 2015, according to a press release issued on August 19, NexPoint Advisors, L.P. (“</w:t>
      </w:r>
      <w:r>
        <w:rPr>
          <w:rFonts w:ascii="Arial" w:cs="Arial" w:eastAsia="Arial" w:hAnsi="Arial"/>
          <w:sz w:val="18"/>
          <w:szCs w:val="18"/>
          <w:u w:val="single" w:color="auto"/>
          <w:color w:val="auto"/>
        </w:rPr>
        <w:t>NexPoint</w:t>
      </w:r>
      <w:r>
        <w:rPr>
          <w:rFonts w:ascii="Arial" w:cs="Arial" w:eastAsia="Arial" w:hAnsi="Arial"/>
          <w:sz w:val="18"/>
          <w:szCs w:val="18"/>
          <w:color w:val="auto"/>
        </w:rPr>
        <w:t>”) proposed to the Board that it be selected as a replacement for the Existing Adviser instead of the BSP affiliate. According to TICC’s proxy statement for the Special Meeting, following receipt of NexPoint’s proposal, the Board formed a special committee consisting of TICC’s three independent directors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in order to evaluate NexPoint’s proposal.</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September 3, 2015, TICC rejected NexPoint’s proposal and instead announced that BSP had agreed to revise the New Advisory Agreement to provide for lower fees and other commitments.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10, 2015, Joshua Easterly, Co-Chief Executive Officer and Chairman of the board of directors of TSLX, called Steven Novak, the Chairman of the Special Committee, to convey TSLX’s interest in acquiring TICC. Prior to September 2015, TSLX had not proactively initiated contact with TICC with respect to any potential transaction between the parties. Following the call, Mr. Easterly delivered to the Special Committee a letter setting forth a non-binding proposal for TSLX to acquire TICC in an all-stock transaction that would result in Stockholders receiving a number of shares of TSLX common stock that would result in Stockholders receiving $7.50 in market value per share as of the signing date of a definitive agreement. On September 16, 2015, TSLX issued a press release publicizing this proposal.</w:t>
      </w:r>
    </w:p>
    <w:p>
      <w:pPr>
        <w:spacing w:after="0" w:line="193"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On September 15, 2015, after requesting only background information based on publicly available information from TSLX, Mr. Novak called Mr. Easterly to convey that TICC was not interested in pursuing TSLX’s proposal and that the Special Committee would continue to support the BSP transaction.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Also on September 15, 2015, NexPoint announced in a press release its intention to nominate a competing slate of six directors for election and to solicit proxies to vote against the proposals at the Special Meeting.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On October 8, 2015, after TICC refused to confirm that NexPoint’s slate would be placed on the ballot, NexPoint filed a request for a preliminary injunction in the U.S. District Court for the District of Connecticut (the “</w:t>
      </w:r>
      <w:r>
        <w:rPr>
          <w:rFonts w:ascii="Arial" w:cs="Arial" w:eastAsia="Arial" w:hAnsi="Arial"/>
          <w:sz w:val="18"/>
          <w:szCs w:val="18"/>
          <w:u w:val="single" w:color="auto"/>
          <w:color w:val="auto"/>
        </w:rPr>
        <w:t>District Court</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October 23, 2015, the District Court issued a ruling (i) enjoining the Special Meeting from being held as scheduled on October 27, 2015, (ii) finding that TICC had likely violated federal securities laws by failing to disclose the amount of payments to be made under the BSP deal to its interested directors and requiring new disclosure from TICC to mitigate this failure and (iii) finding that NexPoint was not entitled to nominate a slate at the Special Meeting.</w:t>
      </w:r>
    </w:p>
    <w:p>
      <w:pPr>
        <w:spacing w:after="0" w:line="14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On November 2, 2015, TSLX revised its non-binding proposal such that Stockholders would receive a number of shares of TSLX stock that would result in their receiving 90% of TICC’s net asset value (“</w:t>
      </w:r>
      <w:r>
        <w:rPr>
          <w:rFonts w:ascii="Arial" w:cs="Arial" w:eastAsia="Arial" w:hAnsi="Arial"/>
          <w:sz w:val="18"/>
          <w:szCs w:val="18"/>
          <w:u w:val="single" w:color="auto"/>
          <w:color w:val="auto"/>
        </w:rPr>
        <w:t>NAV</w:t>
      </w:r>
      <w:r>
        <w:rPr>
          <w:rFonts w:ascii="Arial" w:cs="Arial" w:eastAsia="Arial" w:hAnsi="Arial"/>
          <w:sz w:val="18"/>
          <w:szCs w:val="18"/>
          <w:color w:val="auto"/>
        </w:rPr>
        <w:t>”) per share as of the date of an agreement (i.e., $7.74 per share based on the then latest available NAV).</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December 2 and 3, 2015, respectively, NexPoint appealed to the United States Court of Appeals for the Second Circuit and sought a stay from the District Court for the duration of its appeal. On December 4, 2015, TICC nonetheless announced that the Special Meeting would be held on December 22,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9, 2015, the District Court denied NexPoint’s motion for a stay, allowing the Special Meeting to proceed as rescheduled.</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December 22, 2015, the Special Meeting was held, with 63.6% of TICC’s shares present and voting. Despite beginning their solicitation in early September 2015, TICC was only able to garner the support of approximately 34.5% of all outstanding TICC shares for the BSP proposal—and as a result the proposal did not pass.</w:t>
      </w:r>
    </w:p>
    <w:p>
      <w:pPr>
        <w:spacing w:after="0" w:line="18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For the next several weeks, despite a clear mandate for change, TICC failed to engage with TSLX and failed to take any actions to improve the status quo. As a result, on February 3, 2016, TSLX delivered a notice to the Company nominating Mr. Millet for election as a director at the 2016 Annual Meeting. The notice also stated TSLX’s intent to bring a proposal before the 2016 Annual Meeting to terminate the Investment Advisory Agreement. The following morning, TSLX issued a press release announcing the same. TSLX submitted this notice to the Company because we believe that the Company can and should do significantly more to improve its performance and generate value for all Stockholders.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8, 2016, NexPoint issued a press release announcing the nomination of its own director candidate for election at the 2016 Annual Meeting.</w:t>
      </w:r>
    </w:p>
    <w:p>
      <w:pPr>
        <w:spacing w:after="0" w:line="248"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On March 9, 2016, TICC announced its entry into a new investment advisory fee waiver arrangement with TICC Management and also named Mr. Novak as Chairman of the Board. On March 17, 2016, TSLX issued a press release responding to these announcements.</w:t>
      </w:r>
    </w:p>
    <w:p>
      <w:pPr>
        <w:spacing w:after="0" w:line="14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On April 22, 2016, at the invitation of TICC’s Chairman, Mr. Millet met with TICC’s independent directors to discuss the Company, its prospects and strategy, and to ask questions of those present about their views of the Company’s prospects, strategy and strategic alternatives.</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May 2, 2016, in anticipation of the release of the Company’s earnings for the first quarter of 2016, TSLX issued a press release raising fundamental questions about the future of TICC.</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May 17, 2016, TSLX sent a letter to the independent members of the Board questioning recent actions taken by members of the Board that TSLX believes to have been self-interested, which was filed with the SEC on the same day.</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According to TICC’s proxy statement for the 2015 annual meeting of Stockholders (the “</w:t>
      </w:r>
      <w:r>
        <w:rPr>
          <w:rFonts w:ascii="Arial" w:cs="Arial" w:eastAsia="Arial" w:hAnsi="Arial"/>
          <w:sz w:val="18"/>
          <w:szCs w:val="18"/>
          <w:u w:val="single" w:color="auto"/>
          <w:color w:val="auto"/>
        </w:rPr>
        <w:t>2015 Annual Meeting</w:t>
      </w:r>
      <w:r>
        <w:rPr>
          <w:rFonts w:ascii="Arial" w:cs="Arial" w:eastAsia="Arial" w:hAnsi="Arial"/>
          <w:sz w:val="18"/>
          <w:szCs w:val="18"/>
          <w:color w:val="auto"/>
        </w:rPr>
        <w:t>”), the 2016 Annual Meeting is expected to be held in June 2016. As of the date hereof, however, the Company had yet to schedule the 2016 Annual Meeting, despite having announced the date of every prior annual meeting in the last 11 years by no later than May 2 of that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REASONS FOR THE SOLICITATION</w:t>
      </w:r>
    </w:p>
    <w:p>
      <w:pPr>
        <w:spacing w:after="0" w:line="229"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We are making this solicitation as one of the largest Stockholders of TICC and in the greater interest of all Stockholders. As of the date of this Proxy Statement, TSLX is the beneficial and economic owner of approximately 3.2% of the outstanding shares of Common Stock.</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By nearly every measure imaginable, TICC and its Existing Adviser have consistently failed Stockholders. Since TICC’s initial public offering in 2003, the Company has delivered total returns of just 34.3% versus 215.2% for the BDC Composite.</w:t>
      </w:r>
      <w:r>
        <w:rPr>
          <w:rFonts w:ascii="Arial" w:cs="Arial" w:eastAsia="Arial" w:hAnsi="Arial"/>
          <w:sz w:val="13"/>
          <w:szCs w:val="13"/>
          <w:color w:val="auto"/>
        </w:rPr>
        <w:t>2</w:t>
      </w:r>
      <w:r>
        <w:rPr>
          <w:rFonts w:ascii="Arial" w:cs="Arial" w:eastAsia="Arial" w:hAnsi="Arial"/>
          <w:sz w:val="16"/>
          <w:szCs w:val="16"/>
          <w:color w:val="auto"/>
        </w:rPr>
        <w:t xml:space="preserve"> Even more disturbing, TICC has underperformed the return of U.S. Treasuries over the last year and the last three years, as well as since its initial public offering. Since Stockholders blocked the flawed BSP transaction backed by management on December 22, 2015, Stockholders have suffered further value destruction, with TICC’s stock down 16.5% since that date.</w:t>
      </w:r>
      <w:r>
        <w:rPr>
          <w:rFonts w:ascii="Arial" w:cs="Arial" w:eastAsia="Arial" w:hAnsi="Arial"/>
          <w:sz w:val="13"/>
          <w:szCs w:val="13"/>
          <w:color w:val="auto"/>
        </w:rPr>
        <w:t>3</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As we approach the 2016 Annual Meeting, TICC has made it clear that, once again, it does not intend to take meaningful actions to deliver Stockholder value. That is why on February 3, 2016, we delivered a formal notice of our nomination of a highly qualified and independent candidate—Mr. Millet—for election to the Board at the 2016 Annual Meeting. As part of our formal notice, we also submitted a proposal for Stockholders to vote on the termination of the Investment Advisory Agreement. Under the 1940 Act, Stockholders have the power to terminate the Existing Adviser </w:t>
      </w:r>
      <w:r>
        <w:rPr>
          <w:rFonts w:ascii="Arial" w:cs="Arial" w:eastAsia="Arial" w:hAnsi="Arial"/>
          <w:sz w:val="16"/>
          <w:szCs w:val="16"/>
          <w:i w:val="1"/>
          <w:iCs w:val="1"/>
          <w:color w:val="auto"/>
        </w:rPr>
        <w:t>at no cost to Stockholders</w:t>
      </w:r>
      <w:r>
        <w:rPr>
          <w:rFonts w:ascii="Arial" w:cs="Arial" w:eastAsia="Arial" w:hAnsi="Arial"/>
          <w:sz w:val="16"/>
          <w:szCs w:val="16"/>
          <w:color w:val="auto"/>
        </w:rPr>
        <w:t>.</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We have taken these actions because we are gravely concerned that the Board’s leadership and the Existing Adviser’s actions will continue to destroy Stockholder value. The need for an independent, highly qualified voice in the boardroom is overwhelmingly clear and the Existing Adviser’s </w:t>
      </w:r>
      <w:r>
        <w:rPr>
          <w:rFonts w:ascii="Arial" w:cs="Arial" w:eastAsia="Arial" w:hAnsi="Arial"/>
          <w:sz w:val="18"/>
          <w:szCs w:val="18"/>
          <w:i w:val="1"/>
          <w:iCs w:val="1"/>
          <w:color w:val="auto"/>
        </w:rPr>
        <w:t>decade</w:t>
      </w:r>
      <w:r>
        <w:rPr>
          <w:rFonts w:ascii="Arial" w:cs="Arial" w:eastAsia="Arial" w:hAnsi="Arial"/>
          <w:sz w:val="18"/>
          <w:szCs w:val="18"/>
          <w:color w:val="auto"/>
        </w:rPr>
        <w:t xml:space="preserve"> of failed returns demands immediate change.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proposed actions would positively impact Stockholders by:</w:t>
      </w:r>
    </w:p>
    <w:p>
      <w:pPr>
        <w:spacing w:after="0" w:line="131" w:lineRule="exact"/>
        <w:rPr>
          <w:sz w:val="20"/>
          <w:szCs w:val="20"/>
          <w:color w:val="auto"/>
        </w:rPr>
      </w:pPr>
    </w:p>
    <w:p>
      <w:pPr>
        <w:ind w:left="900" w:right="60" w:hanging="325"/>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Bringing a new, independent perspective to the boardroom by adding Mr. Millet to the Board. His more than 30 years of proven industry expertise across the financial sector and particularly in credit markets coupled with his proven leadership as a director make him the ideal candidate to effect change at TICC. Of note, Mr. Millet, currently CEO of Banca IMI Securities, has guided companies in CEO and senior executive roles across the financial sector, including roles with Pierpont Securities LLC (2012-2013), Cortview Capital Holdings Inc. (2011-2012), MarketAxess Holdings Inc. (2006-2011), Bear Stearns &amp; Co. Inc. (2001-2006) and JPMorgan Chase &amp; Co. (1982-2001). He also brings board experience that spans public financial technology companies to private equity-backed financial services companies to equity trading firms. He has a track record of success in reinvigorating companies, driving growth, prioritizing stockholder interests and protecting their investments.</w:t>
      </w:r>
    </w:p>
    <w:p>
      <w:pPr>
        <w:spacing w:after="0" w:line="72" w:lineRule="exact"/>
        <w:rPr>
          <w:rFonts w:ascii="Arial" w:cs="Arial" w:eastAsia="Arial" w:hAnsi="Arial"/>
          <w:sz w:val="16"/>
          <w:szCs w:val="16"/>
          <w:color w:val="auto"/>
        </w:rPr>
      </w:pPr>
    </w:p>
    <w:p>
      <w:pPr>
        <w:ind w:left="900" w:right="3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Once and for all severing ties with a failed Existing Adviser that has not only delivered shockingly terrible Stockholder returns but pursued a strategy that has impaired TICC’s financial future and served to enrich itself to the detriment of Stockholders.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an opportunity and a path for TICC to fully and thoroughly explore its strategic alternatives with a view to maximizing value for all Stockholders.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This is not our preferred course of action, but the Board’s failure to take meaningful action leaves us no choice. We feel strongly that change is needed at TICC for the reasons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100" w:hanging="452"/>
        <w:spacing w:after="0" w:line="255"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TICC and benchmark returns indexed to November 21, 2003. Total return calculation includes share price appreciation and cumulative dividends paid. BDC Composite comprised of ACAS, AINV, ARCC, BKCC, FSC, GBDC, HTGC, MAIN, MCC, NMFC, PNNT, PSEC, SLRC, TCAP, and TCRD. Calculated through May 6, 2016.</w:t>
      </w:r>
    </w:p>
    <w:p>
      <w:pPr>
        <w:spacing w:after="0" w:line="2" w:lineRule="exact"/>
        <w:rPr>
          <w:sz w:val="20"/>
          <w:szCs w:val="20"/>
          <w:color w:val="auto"/>
        </w:rPr>
      </w:pPr>
    </w:p>
    <w:p>
      <w:pPr>
        <w:ind w:left="5620" w:right="2340" w:hanging="5612"/>
        <w:spacing w:after="0" w:line="434" w:lineRule="auto"/>
        <w:tabs>
          <w:tab w:leader="none" w:pos="450" w:val="left"/>
        </w:tabs>
        <w:numPr>
          <w:ilvl w:val="0"/>
          <w:numId w:val="17"/>
        </w:numPr>
        <w:rPr>
          <w:rFonts w:ascii="Arial" w:cs="Arial" w:eastAsia="Arial" w:hAnsi="Arial"/>
          <w:sz w:val="15"/>
          <w:szCs w:val="15"/>
          <w:color w:val="auto"/>
        </w:rPr>
      </w:pPr>
      <w:r>
        <w:rPr>
          <w:rFonts w:ascii="Arial" w:cs="Arial" w:eastAsia="Arial" w:hAnsi="Arial"/>
          <w:sz w:val="18"/>
          <w:szCs w:val="18"/>
          <w:color w:val="auto"/>
        </w:rPr>
        <w:t>Calculated based on TICC’s closing price of $5.00 on May 6, 2016 and a closing price of $5.99 on December 22, 2015. 10</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APPALLING PERFORMANCE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Since its inception in 2003—and over almost any measurement period since—TICC has woefully underperformed all relevant benchmarks. In the hands of the Existing Adviser and the Board, the total return on the Company’s stock has underperformed </w:t>
      </w:r>
      <w:r>
        <w:rPr>
          <w:rFonts w:ascii="Arial" w:cs="Arial" w:eastAsia="Arial" w:hAnsi="Arial"/>
          <w:sz w:val="18"/>
          <w:szCs w:val="18"/>
          <w:i w:val="1"/>
          <w:iCs w:val="1"/>
          <w:color w:val="auto"/>
        </w:rPr>
        <w:t>nearly every significant measure imaginable</w:t>
      </w:r>
      <w:r>
        <w:rPr>
          <w:rFonts w:ascii="Arial" w:cs="Arial" w:eastAsia="Arial" w:hAnsi="Arial"/>
          <w:sz w:val="18"/>
          <w:szCs w:val="18"/>
          <w:color w:val="auto"/>
        </w:rPr>
        <w:t>— including relative performance compared to the BDC Composite, S&amp;P 500, Investment Grade Debt, High Yield Debt and even U.S. Treasuries—over the past 12 years.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It is unacceptable that, in a historically low interest rate environment, a Stockholder would have generated higher returns by investing in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Treasuries than by holding TICC stock.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Poor Stewardship has Resulted in Drastic Long-Term Underperformance</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28185" cy="2418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2818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0"/>
              </w:rPr>
              <w:t>Since</w:t>
            </w: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Since IPO</w:t>
            </w: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TICC Relative Underperformance</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7"/>
              </w:rPr>
              <w:t>Total Return (%)</w:t>
            </w:r>
            <w:r>
              <w:rPr>
                <w:rFonts w:ascii="Arial" w:cs="Arial" w:eastAsia="Arial" w:hAnsi="Arial"/>
                <w:sz w:val="12"/>
                <w:szCs w:val="12"/>
                <w:b w:val="1"/>
                <w:bCs w:val="1"/>
                <w:color w:val="auto"/>
                <w:w w:val="97"/>
              </w:rPr>
              <w:t>(</w:t>
            </w:r>
            <w:r>
              <w:rPr>
                <w:rFonts w:ascii="Arial" w:cs="Arial" w:eastAsia="Arial" w:hAnsi="Arial"/>
                <w:sz w:val="14"/>
                <w:szCs w:val="14"/>
                <w:b w:val="1"/>
                <w:bCs w:val="1"/>
                <w:color w:val="auto"/>
                <w:w w:val="97"/>
              </w:rPr>
              <w:t>¹</w:t>
            </w:r>
            <w:r>
              <w:rPr>
                <w:rFonts w:ascii="Arial" w:cs="Arial" w:eastAsia="Arial" w:hAnsi="Arial"/>
                <w:sz w:val="12"/>
                <w:szCs w:val="12"/>
                <w:b w:val="1"/>
                <w:bCs w:val="1"/>
                <w:color w:val="auto"/>
                <w:w w:val="97"/>
              </w:rPr>
              <w:t>)</w:t>
            </w:r>
          </w:p>
        </w:tc>
        <w:tc>
          <w:tcPr>
            <w:tcW w:w="1220" w:type="dxa"/>
            <w:vAlign w:val="bottom"/>
            <w:vMerge w:val="restart"/>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YTD</w:t>
            </w:r>
          </w:p>
        </w:tc>
        <w:tc>
          <w:tcPr>
            <w:tcW w:w="480" w:type="dxa"/>
            <w:vAlign w:val="bottom"/>
            <w:vMerge w:val="restart"/>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1Y</w:t>
            </w:r>
          </w:p>
        </w:tc>
        <w:tc>
          <w:tcPr>
            <w:tcW w:w="460" w:type="dxa"/>
            <w:vAlign w:val="bottom"/>
            <w:vMerge w:val="restart"/>
          </w:tcPr>
          <w:p>
            <w:pPr>
              <w:spacing w:after="0"/>
              <w:rPr>
                <w:sz w:val="10"/>
                <w:szCs w:val="10"/>
                <w:color w:val="auto"/>
              </w:rPr>
            </w:pPr>
          </w:p>
        </w:tc>
        <w:tc>
          <w:tcPr>
            <w:tcW w:w="3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3Y</w:t>
            </w:r>
          </w:p>
        </w:tc>
        <w:tc>
          <w:tcPr>
            <w:tcW w:w="480" w:type="dxa"/>
            <w:vAlign w:val="bottom"/>
            <w:vMerge w:val="restart"/>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YTD</w:t>
            </w:r>
          </w:p>
        </w:tc>
        <w:tc>
          <w:tcPr>
            <w:tcW w:w="440" w:type="dxa"/>
            <w:vAlign w:val="bottom"/>
            <w:vMerge w:val="restart"/>
          </w:tcPr>
          <w:p>
            <w:pPr>
              <w:spacing w:after="0"/>
              <w:rPr>
                <w:sz w:val="10"/>
                <w:szCs w:val="10"/>
                <w:color w:val="auto"/>
              </w:rPr>
            </w:pPr>
          </w:p>
        </w:tc>
        <w:tc>
          <w:tcPr>
            <w:tcW w:w="38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1Y</w:t>
            </w:r>
          </w:p>
        </w:tc>
        <w:tc>
          <w:tcPr>
            <w:tcW w:w="440" w:type="dxa"/>
            <w:vAlign w:val="bottom"/>
            <w:vMerge w:val="restart"/>
          </w:tcPr>
          <w:p>
            <w:pPr>
              <w:spacing w:after="0"/>
              <w:rPr>
                <w:sz w:val="10"/>
                <w:szCs w:val="10"/>
                <w:color w:val="auto"/>
              </w:rPr>
            </w:pPr>
          </w:p>
        </w:tc>
        <w:tc>
          <w:tcPr>
            <w:tcW w:w="3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3Y</w:t>
            </w:r>
          </w:p>
        </w:tc>
        <w:tc>
          <w:tcPr>
            <w:tcW w:w="440" w:type="dxa"/>
            <w:vAlign w:val="bottom"/>
            <w:vMerge w:val="restart"/>
          </w:tcPr>
          <w:p>
            <w:pPr>
              <w:spacing w:after="0"/>
              <w:rPr>
                <w:sz w:val="10"/>
                <w:szCs w:val="10"/>
                <w:color w:val="auto"/>
              </w:rPr>
            </w:pPr>
          </w:p>
        </w:tc>
        <w:tc>
          <w:tcPr>
            <w:tcW w:w="9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2"/>
              </w:rPr>
              <w:t>Since</w:t>
            </w:r>
          </w:p>
        </w:tc>
        <w:tc>
          <w:tcPr>
            <w:tcW w:w="84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Since IPO</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IPO</w:t>
            </w:r>
            <w:r>
              <w:rPr>
                <w:rFonts w:ascii="Arial" w:cs="Arial" w:eastAsia="Arial" w:hAnsi="Arial"/>
                <w:sz w:val="12"/>
                <w:szCs w:val="12"/>
                <w:b w:val="1"/>
                <w:bCs w:val="1"/>
                <w:color w:val="auto"/>
                <w:w w:val="97"/>
              </w:rPr>
              <w:t>(</w:t>
            </w:r>
            <w:r>
              <w:rPr>
                <w:rFonts w:ascii="Arial" w:cs="Arial" w:eastAsia="Arial" w:hAnsi="Arial"/>
                <w:sz w:val="14"/>
                <w:szCs w:val="14"/>
                <w:b w:val="1"/>
                <w:bCs w:val="1"/>
                <w:color w:val="auto"/>
                <w:w w:val="97"/>
              </w:rPr>
              <w:t>²</w:t>
            </w:r>
            <w:r>
              <w:rPr>
                <w:rFonts w:ascii="Arial" w:cs="Arial" w:eastAsia="Arial" w:hAnsi="Arial"/>
                <w:sz w:val="12"/>
                <w:szCs w:val="12"/>
                <w:b w:val="1"/>
                <w:bCs w:val="1"/>
                <w:color w:val="auto"/>
                <w:w w:val="97"/>
              </w:rPr>
              <w:t>)</w:t>
            </w: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Annualized</w:t>
            </w:r>
            <w:r>
              <w:rPr>
                <w:rFonts w:ascii="Arial" w:cs="Arial" w:eastAsia="Arial" w:hAnsi="Arial"/>
                <w:sz w:val="12"/>
                <w:szCs w:val="12"/>
                <w:b w:val="1"/>
                <w:bCs w:val="1"/>
                <w:color w:val="auto"/>
                <w:w w:val="93"/>
              </w:rPr>
              <w:t>(</w:t>
            </w:r>
            <w:r>
              <w:rPr>
                <w:rFonts w:ascii="Arial" w:cs="Arial" w:eastAsia="Arial" w:hAnsi="Arial"/>
                <w:sz w:val="14"/>
                <w:szCs w:val="14"/>
                <w:b w:val="1"/>
                <w:bCs w:val="1"/>
                <w:color w:val="auto"/>
                <w:w w:val="93"/>
              </w:rPr>
              <w:t>²</w:t>
            </w:r>
            <w:r>
              <w:rPr>
                <w:rFonts w:ascii="Arial" w:cs="Arial" w:eastAsia="Arial" w:hAnsi="Arial"/>
                <w:sz w:val="12"/>
                <w:szCs w:val="12"/>
                <w:b w:val="1"/>
                <w:bCs w:val="1"/>
                <w:color w:val="auto"/>
                <w:w w:val="93"/>
              </w:rPr>
              <w:t>)</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Annualized</w:t>
            </w:r>
            <w:r>
              <w:rPr>
                <w:rFonts w:ascii="Arial" w:cs="Arial" w:eastAsia="Arial" w:hAnsi="Arial"/>
                <w:sz w:val="12"/>
                <w:szCs w:val="12"/>
                <w:b w:val="1"/>
                <w:bCs w:val="1"/>
                <w:color w:val="auto"/>
                <w:w w:val="93"/>
              </w:rPr>
              <w:t>(</w:t>
            </w:r>
            <w:r>
              <w:rPr>
                <w:rFonts w:ascii="Arial" w:cs="Arial" w:eastAsia="Arial" w:hAnsi="Arial"/>
                <w:sz w:val="14"/>
                <w:szCs w:val="14"/>
                <w:b w:val="1"/>
                <w:bCs w:val="1"/>
                <w:color w:val="auto"/>
                <w:w w:val="93"/>
              </w:rPr>
              <w:t>²</w:t>
            </w:r>
            <w:r>
              <w:rPr>
                <w:rFonts w:ascii="Arial" w:cs="Arial" w:eastAsia="Arial" w:hAnsi="Arial"/>
                <w:sz w:val="12"/>
                <w:szCs w:val="12"/>
                <w:b w:val="1"/>
                <w:bCs w:val="1"/>
                <w:color w:val="auto"/>
                <w:w w:val="93"/>
              </w:rPr>
              <w:t>)</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TICC</w:t>
            </w:r>
          </w:p>
        </w:tc>
        <w:tc>
          <w:tcPr>
            <w:tcW w:w="1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(12.9)%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(8.6)%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(22.5)%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34.3%</w:t>
            </w:r>
          </w:p>
        </w:tc>
        <w:tc>
          <w:tcPr>
            <w:tcW w:w="1260" w:type="dxa"/>
            <w:vAlign w:val="bottom"/>
            <w:gridSpan w:val="2"/>
            <w:shd w:val="clear" w:color="auto" w:fill="CCEEFF"/>
          </w:tcPr>
          <w:p>
            <w:pPr>
              <w:ind w:left="640"/>
              <w:spacing w:after="0"/>
              <w:rPr>
                <w:sz w:val="20"/>
                <w:szCs w:val="20"/>
                <w:color w:val="auto"/>
              </w:rPr>
            </w:pPr>
            <w:r>
              <w:rPr>
                <w:rFonts w:ascii="Arial" w:cs="Arial" w:eastAsia="Arial" w:hAnsi="Arial"/>
                <w:sz w:val="16"/>
                <w:szCs w:val="16"/>
                <w:b w:val="1"/>
                <w:bCs w:val="1"/>
                <w:color w:val="auto"/>
              </w:rPr>
              <w:t>2.4%</w:t>
            </w: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4"/>
                <w:szCs w:val="14"/>
                <w:color w:val="auto"/>
              </w:rPr>
              <w:t>BDC Composite</w:t>
            </w:r>
            <w:r>
              <w:rPr>
                <w:rFonts w:ascii="Arial" w:cs="Arial" w:eastAsia="Arial" w:hAnsi="Arial"/>
                <w:sz w:val="23"/>
                <w:szCs w:val="23"/>
                <w:color w:val="auto"/>
                <w:vertAlign w:val="superscript"/>
              </w:rPr>
              <w:t>(</w:t>
            </w:r>
            <w:r>
              <w:rPr>
                <w:rFonts w:ascii="Arial" w:cs="Arial" w:eastAsia="Arial" w:hAnsi="Arial"/>
                <w:sz w:val="14"/>
                <w:szCs w:val="14"/>
                <w:color w:val="auto"/>
              </w:rPr>
              <w:t>³</w:t>
            </w:r>
            <w:r>
              <w:rPr>
                <w:rFonts w:ascii="Arial" w:cs="Arial" w:eastAsia="Arial" w:hAnsi="Arial"/>
                <w:sz w:val="23"/>
                <w:szCs w:val="23"/>
                <w:color w:val="auto"/>
                <w:vertAlign w:val="superscript"/>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c>
          <w:tcPr>
            <w:tcW w:w="480" w:type="dxa"/>
            <w:vAlign w:val="bottom"/>
          </w:tcPr>
          <w:p>
            <w:pPr>
              <w:spacing w:after="0"/>
              <w:rPr>
                <w:sz w:val="17"/>
                <w:szCs w:val="17"/>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6"/>
                <w:szCs w:val="16"/>
                <w:color w:val="auto"/>
                <w:w w:val="97"/>
              </w:rPr>
              <w:t>(3.4)</w:t>
            </w:r>
          </w:p>
        </w:tc>
        <w:tc>
          <w:tcPr>
            <w:tcW w:w="860" w:type="dxa"/>
            <w:vAlign w:val="bottom"/>
            <w:gridSpan w:val="2"/>
          </w:tcPr>
          <w:p>
            <w:pPr>
              <w:jc w:val="right"/>
              <w:ind w:right="420"/>
              <w:spacing w:after="0"/>
              <w:rPr>
                <w:sz w:val="20"/>
                <w:szCs w:val="20"/>
                <w:color w:val="auto"/>
              </w:rPr>
            </w:pPr>
            <w:r>
              <w:rPr>
                <w:rFonts w:ascii="Arial" w:cs="Arial" w:eastAsia="Arial" w:hAnsi="Arial"/>
                <w:sz w:val="16"/>
                <w:szCs w:val="16"/>
                <w:color w:val="auto"/>
              </w:rPr>
              <w:t>(1.0)</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215.2</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9.7</w:t>
            </w:r>
          </w:p>
        </w:tc>
        <w:tc>
          <w:tcPr>
            <w:tcW w:w="4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(15.7)%</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(5.2)%</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(21.5)%</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(180.9)%</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w w:val="97"/>
              </w:rPr>
              <w:t>(7.3)%</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S&amp;P 500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156.9</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0"/>
              </w:rPr>
              <w:t>7.9</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(14.3)</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(9.6)</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(58.0)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8"/>
              </w:rPr>
              <w:t>(122.6)</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rPr>
                <w:sz w:val="20"/>
                <w:szCs w:val="20"/>
                <w:color w:val="auto"/>
              </w:rPr>
            </w:pPr>
            <w:r>
              <w:rPr>
                <w:rFonts w:ascii="Arial" w:cs="Arial" w:eastAsia="Arial" w:hAnsi="Arial"/>
                <w:sz w:val="16"/>
                <w:szCs w:val="16"/>
                <w:color w:val="auto"/>
              </w:rPr>
              <w:t>U.S. Treasuries</w:t>
            </w:r>
          </w:p>
        </w:tc>
        <w:tc>
          <w:tcPr>
            <w:tcW w:w="380" w:type="dxa"/>
            <w:vAlign w:val="bottom"/>
          </w:tcPr>
          <w:p>
            <w:pPr>
              <w:jc w:val="right"/>
              <w:spacing w:after="0"/>
              <w:rPr>
                <w:sz w:val="20"/>
                <w:szCs w:val="20"/>
                <w:color w:val="auto"/>
              </w:rPr>
            </w:pPr>
            <w:r>
              <w:rPr>
                <w:rFonts w:ascii="Arial" w:cs="Arial" w:eastAsia="Arial" w:hAnsi="Arial"/>
                <w:sz w:val="16"/>
                <w:szCs w:val="16"/>
                <w:color w:val="auto"/>
              </w:rPr>
              <w:t>3.8</w:t>
            </w:r>
          </w:p>
        </w:tc>
        <w:tc>
          <w:tcPr>
            <w:tcW w:w="4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4.0</w:t>
            </w:r>
          </w:p>
        </w:tc>
        <w:tc>
          <w:tcPr>
            <w:tcW w:w="4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6.5</w:t>
            </w:r>
          </w:p>
        </w:tc>
        <w:tc>
          <w:tcPr>
            <w:tcW w:w="4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66.8</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4.2</w:t>
            </w:r>
          </w:p>
        </w:tc>
        <w:tc>
          <w:tcPr>
            <w:tcW w:w="4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(16.6)</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(12.6)</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(29.0)</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(32.5)</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Grade Debt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0"/>
              </w:rPr>
              <w:t>5.6</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(19.4)</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(13.8)</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(32.9)</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(62.8)</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6"/>
        </w:trPr>
        <w:tc>
          <w:tcPr>
            <w:tcW w:w="2420" w:type="dxa"/>
            <w:vAlign w:val="bottom"/>
            <w:gridSpan w:val="2"/>
          </w:tcPr>
          <w:p>
            <w:pPr>
              <w:spacing w:after="0"/>
              <w:rPr>
                <w:sz w:val="20"/>
                <w:szCs w:val="20"/>
                <w:color w:val="auto"/>
              </w:rPr>
            </w:pPr>
            <w:r>
              <w:rPr>
                <w:rFonts w:ascii="Arial" w:cs="Arial" w:eastAsia="Arial" w:hAnsi="Arial"/>
                <w:sz w:val="16"/>
                <w:szCs w:val="16"/>
                <w:color w:val="auto"/>
              </w:rPr>
              <w:t>High Yield Debt</w:t>
            </w:r>
          </w:p>
        </w:tc>
        <w:tc>
          <w:tcPr>
            <w:tcW w:w="380" w:type="dxa"/>
            <w:vAlign w:val="bottom"/>
          </w:tcPr>
          <w:p>
            <w:pPr>
              <w:jc w:val="right"/>
              <w:spacing w:after="0"/>
              <w:rPr>
                <w:sz w:val="20"/>
                <w:szCs w:val="20"/>
                <w:color w:val="auto"/>
              </w:rPr>
            </w:pPr>
            <w:r>
              <w:rPr>
                <w:rFonts w:ascii="Arial" w:cs="Arial" w:eastAsia="Arial" w:hAnsi="Arial"/>
                <w:sz w:val="16"/>
                <w:szCs w:val="16"/>
                <w:color w:val="auto"/>
              </w:rPr>
              <w:t>5.6</w:t>
            </w:r>
          </w:p>
        </w:tc>
        <w:tc>
          <w:tcPr>
            <w:tcW w:w="480" w:type="dxa"/>
            <w:vAlign w:val="bottom"/>
          </w:tcPr>
          <w:p>
            <w:pPr>
              <w:spacing w:after="0"/>
              <w:rPr>
                <w:sz w:val="17"/>
                <w:szCs w:val="17"/>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6"/>
                <w:szCs w:val="16"/>
                <w:color w:val="auto"/>
                <w:w w:val="97"/>
              </w:rPr>
              <w:t>(3.0)</w:t>
            </w: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c>
          <w:tcPr>
            <w:tcW w:w="4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106.1</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6.0</w:t>
            </w:r>
          </w:p>
        </w:tc>
        <w:tc>
          <w:tcPr>
            <w:tcW w:w="4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(18.5)</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(5.5)</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(26.0)</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(17.8)</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Total return calculation includes share price appreciation and cumulative dividends paid</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TICC and benchmark returns indexed to November 21, 2003.</w:t>
      </w:r>
    </w:p>
    <w:p>
      <w:pPr>
        <w:spacing w:after="0" w:line="9" w:lineRule="exact"/>
        <w:rPr>
          <w:rFonts w:ascii="Arial" w:cs="Arial" w:eastAsia="Arial" w:hAnsi="Arial"/>
          <w:sz w:val="18"/>
          <w:szCs w:val="18"/>
          <w:i w:val="1"/>
          <w:iCs w:val="1"/>
          <w:color w:val="auto"/>
        </w:rPr>
      </w:pPr>
    </w:p>
    <w:p>
      <w:pPr>
        <w:ind w:right="620" w:firstLine="8"/>
        <w:spacing w:after="0" w:line="250" w:lineRule="auto"/>
        <w:tabs>
          <w:tab w:leader="none" w:pos="446"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BDC Composite comprised of ACAS, AINV, ARCC, BKCC, FSC, GBDC, HTGC, MAIN, MCC, NMFC, PNNT, PSEC, SLRC, TCAP, and TCRD</w:t>
      </w:r>
      <w:r>
        <w:rPr>
          <w:rFonts w:ascii="Arial" w:cs="Arial" w:eastAsia="Arial" w:hAnsi="Arial"/>
          <w:sz w:val="18"/>
          <w:szCs w:val="18"/>
          <w:color w:val="auto"/>
        </w:rPr>
        <w:t>.</w:t>
      </w:r>
      <w:r>
        <w:rPr>
          <w:rFonts w:ascii="Arial" w:cs="Arial" w:eastAsia="Arial" w:hAnsi="Arial"/>
          <w:sz w:val="18"/>
          <w:szCs w:val="18"/>
          <w:i w:val="1"/>
          <w:iCs w:val="1"/>
          <w:color w:val="auto"/>
        </w:rPr>
        <w:t xml:space="preserve"> Note: Market data as of May 6, 2016</w:t>
      </w: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Source: Bloomberg, fixed income benchmark data from Markit iBoxx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Market data as of May 6,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a result, the Company’s NAV per share has rapidly deteriorated, and we believe this trend will continue under the Board’s current investment and capital allocation policies. NAV per share has declined from $9.78 as of March 31, 2014 to $5.89 as of March 31, 2016—a decline of 40% over only two years—and we anticipate that this value destruction will continue absent meaningful change in the composition of the Board, the Existing Adviser and the Company’s investment strategy. It is no surprise then that Stockholders continue to suffer from a stock price that has closed below NAV per share for the past 603 consecutive days</w:t>
      </w:r>
      <w:r>
        <w:rPr>
          <w:rFonts w:ascii="Arial" w:cs="Arial" w:eastAsia="Arial" w:hAnsi="Arial"/>
          <w:sz w:val="15"/>
          <w:szCs w:val="15"/>
          <w:color w:val="auto"/>
        </w:rPr>
        <w:t>5</w:t>
      </w:r>
      <w:r>
        <w:rPr>
          <w:rFonts w:ascii="Arial" w:cs="Arial" w:eastAsia="Arial" w:hAnsi="Arial"/>
          <w:sz w:val="18"/>
          <w:szCs w:val="18"/>
          <w:color w:val="auto"/>
        </w:rPr>
        <w:t xml:space="preserve"> and now trades at just 84.9% of NAV</w:t>
      </w:r>
      <w:r>
        <w:rPr>
          <w:rFonts w:ascii="Arial" w:cs="Arial" w:eastAsia="Arial" w:hAnsi="Arial"/>
          <w:sz w:val="15"/>
          <w:szCs w:val="15"/>
          <w:color w:val="auto"/>
        </w:rPr>
        <w:t>6</w:t>
      </w:r>
      <w:r>
        <w:rPr>
          <w:rFonts w:ascii="Arial" w:cs="Arial" w:eastAsia="Arial" w:hAnsi="Arial"/>
          <w:sz w:val="18"/>
          <w:szCs w:val="18"/>
          <w:color w:val="auto"/>
        </w:rPr>
        <w:t xml:space="preserve"> per share.</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The Board has yet to offer any credible plan to address this value destruction. Although we applaud management’s willingness to repurchase shares during the fourth quarter of 2015 and during 2016, </w:t>
      </w:r>
      <w:r>
        <w:rPr>
          <w:rFonts w:ascii="Arial" w:cs="Arial" w:eastAsia="Arial" w:hAnsi="Arial"/>
          <w:sz w:val="16"/>
          <w:szCs w:val="16"/>
          <w:i w:val="1"/>
          <w:iCs w:val="1"/>
          <w:color w:val="auto"/>
        </w:rPr>
        <w:t>it is not lost on us nor on other Stockholders that management has refused to commit to continuing this</w:t>
      </w:r>
      <w:r>
        <w:rPr>
          <w:rFonts w:ascii="Arial" w:cs="Arial" w:eastAsia="Arial" w:hAnsi="Arial"/>
          <w:sz w:val="16"/>
          <w:szCs w:val="16"/>
          <w:color w:val="auto"/>
        </w:rPr>
        <w:t xml:space="preserve"> </w:t>
      </w:r>
      <w:r>
        <w:rPr>
          <w:rFonts w:ascii="Arial" w:cs="Arial" w:eastAsia="Arial" w:hAnsi="Arial"/>
          <w:sz w:val="16"/>
          <w:szCs w:val="16"/>
          <w:i w:val="1"/>
          <w:iCs w:val="1"/>
          <w:color w:val="auto"/>
        </w:rPr>
        <w:t>strategy</w:t>
      </w:r>
      <w:r>
        <w:rPr>
          <w:rFonts w:ascii="Arial" w:cs="Arial" w:eastAsia="Arial" w:hAnsi="Arial"/>
          <w:sz w:val="16"/>
          <w:szCs w:val="16"/>
          <w:color w:val="auto"/>
        </w:rPr>
        <w:t>. It is unacceptable that TICC is not continuing to buy back stock at a 15.1% discount to NAV.</w:t>
      </w:r>
      <w:r>
        <w:rPr>
          <w:rFonts w:ascii="Arial" w:cs="Arial" w:eastAsia="Arial" w:hAnsi="Arial"/>
          <w:sz w:val="13"/>
          <w:szCs w:val="13"/>
          <w:color w:val="auto"/>
        </w:rPr>
        <w:t>7</w:t>
      </w:r>
      <w:r>
        <w:rPr>
          <w:rFonts w:ascii="Arial" w:cs="Arial" w:eastAsia="Arial" w:hAnsi="Arial"/>
          <w:sz w:val="16"/>
          <w:szCs w:val="16"/>
          <w:i w:val="1"/>
          <w:iCs w:val="1"/>
          <w:color w:val="auto"/>
        </w:rPr>
        <w:t xml:space="preserve"> </w:t>
      </w:r>
      <w:r>
        <w:rPr>
          <w:rFonts w:ascii="Arial" w:cs="Arial" w:eastAsia="Arial" w:hAnsi="Arial"/>
          <w:sz w:val="16"/>
          <w:szCs w:val="16"/>
          <w:color w:val="auto"/>
        </w:rPr>
        <w:t>Our estimate is that the 2016 repurchases have added</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$0.12 to NAV per share. One must ask: why not continue these value-creation measures? It leads one to wonder whether the Board is more concerned with protecting the asset base on which the Existing Adviser earns its revenue stream than interested in creating value for Stockholders.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RAPID DETERIORATION OF CLO INVESTMENT VALUE</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These consistently poor returns and the ongoing deterioration of NAV per share are in part a result of a failed investment strategy into collateralized loan obligation (“</w:t>
      </w:r>
      <w:r>
        <w:rPr>
          <w:rFonts w:ascii="Arial" w:cs="Arial" w:eastAsia="Arial" w:hAnsi="Arial"/>
          <w:sz w:val="16"/>
          <w:szCs w:val="16"/>
          <w:u w:val="single" w:color="auto"/>
          <w:color w:val="auto"/>
        </w:rPr>
        <w:t>CLO</w:t>
      </w:r>
      <w:r>
        <w:rPr>
          <w:rFonts w:ascii="Arial" w:cs="Arial" w:eastAsia="Arial" w:hAnsi="Arial"/>
          <w:sz w:val="16"/>
          <w:szCs w:val="16"/>
          <w:color w:val="auto"/>
        </w:rPr>
        <w:t>”) equity. This not only distorts management fees but also contributes to the unsustainable nature of TICC’s dividend.</w:t>
      </w:r>
    </w:p>
    <w:p>
      <w:pPr>
        <w:spacing w:after="0" w:line="12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The reality of the CLO market debunks TICC’s claim that the dividend can be supported by the cash flows from the Company’s CLO investments. The facts are clear. As illustrated in </w:t>
      </w:r>
      <w:r>
        <w:rPr>
          <w:rFonts w:ascii="Arial" w:cs="Arial" w:eastAsia="Arial" w:hAnsi="Arial"/>
          <w:sz w:val="18"/>
          <w:szCs w:val="18"/>
          <w:u w:val="single" w:color="auto"/>
          <w:color w:val="auto"/>
        </w:rPr>
        <w:t>Appendix A</w:t>
      </w:r>
      <w:r>
        <w:rPr>
          <w:rFonts w:ascii="Arial" w:cs="Arial" w:eastAsia="Arial" w:hAnsi="Arial"/>
          <w:sz w:val="18"/>
          <w:szCs w:val="18"/>
          <w:color w:val="auto"/>
        </w:rPr>
        <w:t>, cash-on-cash distributions have been decreasing on a significant proportion of TICC’s CLO equity portfolio, with an astounding decline of almost 10% quarter over quarter. Further, over-collateralization cushions in TICC’s CLO investments have compressed, creating additional risk to future distributions. This will only lead to further pressure on TICC and only serves to emphasize that its current dividend policy is unsustainable.</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Although TICC’s management has given lip service to moving the portfolio into bespoke, directly originated credit investments, TICC has failed to follow through on this proposal. Instead, the portfolio remains overweight on CLO investments. And yet—in addition to causing the problems noted above— the Existing Adviser continues to reap significant fees that are excessive and inappropriate for the existing portfolio of assets, which we will discuss further below.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VALUE-DESTRUCTIVE DIVIDEND POLICY AND POOR CAPITAL MANAGEMENT</w:t>
      </w:r>
    </w:p>
    <w:p>
      <w:pPr>
        <w:spacing w:after="0" w:line="22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Contributing to the erosion of NAV is also a flawed and value-destructive capital allocation strategy. By TICC’s own admission, its past dividends are in part a return of investor capital which, as five independent analysts have noted, is unsustainable. TICC has under-earned its dividend by a cumulative</w:t>
      </w:r>
    </w:p>
    <w:p>
      <w:pPr>
        <w:ind w:right="120"/>
        <w:spacing w:after="0" w:line="261" w:lineRule="auto"/>
        <w:rPr>
          <w:sz w:val="20"/>
          <w:szCs w:val="20"/>
          <w:color w:val="auto"/>
        </w:rPr>
      </w:pPr>
      <w:r>
        <w:rPr>
          <w:rFonts w:ascii="Arial" w:cs="Arial" w:eastAsia="Arial" w:hAnsi="Arial"/>
          <w:sz w:val="18"/>
          <w:szCs w:val="18"/>
          <w:color w:val="auto"/>
        </w:rPr>
        <w:t>45.3% in the six most recent quarters (and likely would have under-earned its dividend in previous quarters if not for an accounting error made by TICC that was disclosed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Calculated as of May 6, 2016, based on TICC’s daily closing price as a percentage of the then latest reported net asset value per share. Calculation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includes both trading and non-trading days.</w:t>
      </w:r>
    </w:p>
    <w:p>
      <w:pPr>
        <w:spacing w:after="0" w:line="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Calculated based on TICC’s closing price of $5.00 per share on May 6, 2016 and TICC’s last reported net asset value of $5.89 per share as of March 31,</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2016.</w:t>
      </w:r>
    </w:p>
    <w:p>
      <w:pPr>
        <w:spacing w:after="0" w:line="8" w:lineRule="exact"/>
        <w:rPr>
          <w:sz w:val="20"/>
          <w:szCs w:val="20"/>
          <w:color w:val="auto"/>
        </w:rPr>
      </w:pPr>
    </w:p>
    <w:p>
      <w:pPr>
        <w:ind w:left="460" w:hanging="452"/>
        <w:spacing w:after="0" w:line="262"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Calculated based on TICC’s closing price of $5.00 per share on May 6, 2016 and TICC’s last reported net asset value of $5.89 per share as of March 31, 2016.</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TICC has Consistently Under-earned its Dividend and Eroded NAV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169545</wp:posOffset>
            </wp:positionV>
            <wp:extent cx="5068570" cy="3129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6857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 TICC has issued equity in the public markets ten times since its initial public offering and once even issued equity below NAV (in June 2008), notwithstanding the dilutive effect such an offering would have on Stockholders. These equity raises have served only to increase the asset base and resulting revenue stream for the Existing Adviser; TICC has been unable to deploy this incremental capital in ways that improve returns for investors relative to the BDC Composite.</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actions by management—combined with the precipitous decline in NAV per share under its watch and the resulting high debt-to-equity ratio of 1.15x—now severely limit TICC’s ability to raise additional capital or repurchase shares because of regulations that effectively limit BDCs to debt-to-equity ratios of 1.0x. Thus, the Existing Adviser’s actions have not only delivered abysmal results but have resulted in a situation that severely limits the ability of any manager to rescue Stockholder investments.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ADVISER HAS BEEN SIGNIFICANTLY OVERCOMPENSATED HISTORICALLY</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Perhaps most egregious—particularly in light of the performance noted above and the composition of TICC’s portfolio—is that management has taken a disproportionate share of Total Economics of Stockholders’ investment.</w:t>
      </w:r>
      <w:r>
        <w:rPr>
          <w:rFonts w:ascii="Arial" w:cs="Arial" w:eastAsia="Arial" w:hAnsi="Arial"/>
          <w:sz w:val="15"/>
          <w:szCs w:val="15"/>
          <w:color w:val="auto"/>
        </w:rPr>
        <w:t>8</w:t>
      </w:r>
      <w:r>
        <w:rPr>
          <w:rFonts w:ascii="Arial" w:cs="Arial" w:eastAsia="Arial" w:hAnsi="Arial"/>
          <w:sz w:val="18"/>
          <w:szCs w:val="18"/>
          <w:color w:val="auto"/>
        </w:rPr>
        <w:t xml:space="preserve"> TICC’s total Stockholder fees and expenses have been well above the BDC Composite median since 2012.</w:t>
      </w:r>
      <w:r>
        <w:rPr>
          <w:rFonts w:ascii="Arial" w:cs="Arial" w:eastAsia="Arial" w:hAnsi="Arial"/>
          <w:sz w:val="15"/>
          <w:szCs w:val="15"/>
          <w:color w:val="auto"/>
        </w:rPr>
        <w:t>9</w:t>
      </w:r>
      <w:r>
        <w:rPr>
          <w:rFonts w:ascii="Arial" w:cs="Arial" w:eastAsia="Arial" w:hAnsi="Arial"/>
          <w:sz w:val="18"/>
          <w:szCs w:val="18"/>
          <w:color w:val="auto"/>
        </w:rPr>
        <w:t xml:space="preserve"> The numbers show that, since 2012, for every $1.00 of Total Economics created, Stockholders have incurred $1.44 of fees and expenses, the vast majority of which have gone to the Existing Adviser.</w:t>
      </w:r>
    </w:p>
    <w:p>
      <w:pPr>
        <w:spacing w:after="0" w:line="18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Moreover, TICC’s management is also vastly overcompensated given that its portfolio—overweight with broadly syndicated CLO investments—is largely the same as a class of mutual funds that charges far lower fees for the same service. In this sense, according to certain industry analysts, TICC has charged approximately six times the fees it should properly be entitled to.</w:t>
      </w:r>
      <w:r>
        <w:rPr>
          <w:rFonts w:ascii="Arial" w:cs="Arial" w:eastAsia="Arial" w:hAnsi="Arial"/>
          <w:sz w:val="15"/>
          <w:szCs w:val="15"/>
          <w:color w:val="auto"/>
        </w:rPr>
        <w:t>10</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When considering the nature of TICC’s assets and incorporating the expected return, the bottom line is that one dollar invested with TICC is immediately and automatically worth notably less than one dollar for Stockholders. It’s clear that TICC provides Stockholders with exposure to assets that can otherwise be accessed significantly less expensively, all in an effort to maximize management returns to the detriment of Stockholders.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HIGHLY CONCERNING CONFLICTS OF INTEREST AND POOR CORPORATE GOVERNANCE</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light of the dismal performance, flawed investment strategy and poor capital management, one might think the Board would have cut ties with the Existing Adviser by now. Not so. The current Board has renewed the Existing Adviser’s contract annually for the last 12 years, enabling the Existing Adviser to inflict more than a decade of mismanagement on Stockholders. This is a result of a static, entrenched Board that is conflicted and in dire need of new, independent views.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extent of the Board’s conflict was revealed this past fall when the Board advocated passionately—for several months—in favor of a transaction that was initially estimated to result in the Existing Adviser receiving as much as $60 million from a third-party buyer to take over the Company’s advisory contract. This was despite the fact that the Board had—and has—the power to terminate the Existing Adviser’s contract at any time on 60 days’ notice—a move that would have cost Stockholders nothing and permitted the Board to negotiate for some of those amounts to be redirected to Stockholders in the form of reduced fees. Recall that this was a Board-approved transaction in which:</w:t>
      </w:r>
    </w:p>
    <w:p>
      <w:pPr>
        <w:spacing w:after="0" w:line="94" w:lineRule="exact"/>
        <w:rPr>
          <w:sz w:val="20"/>
          <w:szCs w:val="20"/>
          <w:color w:val="auto"/>
        </w:rPr>
      </w:pPr>
    </w:p>
    <w:p>
      <w:pPr>
        <w:ind w:left="900" w:right="5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refused to meaningfully engage in any alternative proposals and instead pursued a transaction in which Board members stood to personally make millions of dollars;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one “independent” Board member approved the transaction despite glaring personal conflicts of interest, notably being paid $280,000 per year by businesses associated with another conflicted Board member and the owner of the Existing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80" w:hanging="452"/>
        <w:spacing w:after="0" w:line="284"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 xml:space="preserve">Total Economics defined as Economic Profit + Shareholder Value Gained / (Lost) due to change in Premium / (Discount) to Average NAV. Economic Profit equals Net Increase in Net Assets as a Result of Operations + Total Shareholder Fees &amp; Expenses. Shareholder Value Gained / (Lost) due to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 See the table in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entitled “Reconciliation of Certain Non-GAAP Financial Measures” for a reconciliation to the most</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recent comparable financial measures presented in accordance with GAAP. Source: Company Filings. Capital IQ, Financial data as of 3/31/16.</w:t>
      </w:r>
    </w:p>
    <w:p>
      <w:pPr>
        <w:spacing w:after="0" w:line="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7"/>
          <w:szCs w:val="17"/>
          <w:color w:val="auto"/>
        </w:rPr>
        <w:t>TSLX believes that Total Shareholder Fees &amp; Expenses and Total Economics for each company in the BDC Composite were calculated on a</w:t>
      </w:r>
    </w:p>
    <w:p>
      <w:pPr>
        <w:spacing w:after="0" w:line="22" w:lineRule="exact"/>
        <w:rPr>
          <w:sz w:val="20"/>
          <w:szCs w:val="20"/>
          <w:color w:val="auto"/>
        </w:rPr>
      </w:pPr>
    </w:p>
    <w:p>
      <w:pPr>
        <w:ind w:left="460" w:right="800"/>
        <w:spacing w:after="0" w:line="264" w:lineRule="auto"/>
        <w:rPr>
          <w:sz w:val="20"/>
          <w:szCs w:val="20"/>
          <w:color w:val="auto"/>
        </w:rPr>
      </w:pPr>
      <w:r>
        <w:rPr>
          <w:rFonts w:ascii="Arial" w:cs="Arial" w:eastAsia="Arial" w:hAnsi="Arial"/>
          <w:sz w:val="17"/>
          <w:szCs w:val="17"/>
          <w:color w:val="auto"/>
        </w:rPr>
        <w:t xml:space="preserve">substantially equivalent basis to the methodology shown for TICC in </w:t>
      </w:r>
      <w:r>
        <w:rPr>
          <w:rFonts w:ascii="Arial" w:cs="Arial" w:eastAsia="Arial" w:hAnsi="Arial"/>
          <w:sz w:val="17"/>
          <w:szCs w:val="17"/>
          <w:u w:val="single" w:color="auto"/>
          <w:color w:val="auto"/>
        </w:rPr>
        <w:t>Annex D</w:t>
      </w:r>
      <w:r>
        <w:rPr>
          <w:rFonts w:ascii="Arial" w:cs="Arial" w:eastAsia="Arial" w:hAnsi="Arial"/>
          <w:sz w:val="17"/>
          <w:szCs w:val="17"/>
          <w:color w:val="auto"/>
        </w:rPr>
        <w:t>, including pro forma adjustments to exclude the effects of any management or incentive fee waiver, where applicable. Source: Company Filings. Capital IQ, Financial data as of 3/31/16.</w:t>
      </w:r>
    </w:p>
    <w:p>
      <w:pPr>
        <w:spacing w:after="0" w:line="1" w:lineRule="exact"/>
        <w:rPr>
          <w:sz w:val="20"/>
          <w:szCs w:val="20"/>
          <w:color w:val="auto"/>
        </w:rPr>
      </w:pPr>
    </w:p>
    <w:p>
      <w:pPr>
        <w:ind w:left="5620" w:right="5280" w:hanging="5612"/>
        <w:spacing w:after="0" w:line="519" w:lineRule="auto"/>
        <w:tabs>
          <w:tab w:leader="none" w:pos="45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TICC Reiterates Rejection of TSLX’s Offer, Wells Fargo, September 22, 2015. 14</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Existing Adviser recut the transaction several times while under pressure and consistent criticism from Stockholders, equity analysts and market commentators;</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Three independent proxy advisory firms recommended that Stockholders vote against the transaction—with one of these firms ultimately changing its recommendation in favor of the transaction in large part due to the potentially adverse consequences for Stockholders if the Existing Adviser continued to advise the Company;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Five of the six equity analysts covering TICC expressed their opposition to the deal publicly;</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TICC and the Board were found by a federal judge to have likely violated federal securities laws by, among other things, omitting the amount to be paid to the interested directors of TICC in their disclosure to Stockholders;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TICC itself told Stockholders that if they voted down the deal it would result in Stockholders left with the “same adviser” and “same Board.”</w:t>
      </w:r>
    </w:p>
    <w:p>
      <w:pPr>
        <w:spacing w:after="0" w:line="23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12 years, the Board has gone unchanged and overseen drastic underperformance and management enrichment, while each TICC director has received hundreds of thousands of dollars in compensation. TICC’s Chairman alone has received over $1.0 million in compensation from the Company over the course of his tenure. We have grave concerns that these actions indicate the current Board is either unwilling or incapable of acting independently to protect Stockholder value. The lack of reasonable business judgment demonstrated by the Board this past fall demands a new, independent voice in the boardroom to protect Stockholder interests.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WOEFULLY INADEQUATE RECENT EFFORTS</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“fee waiver” and appointment of a new Chairman of the Board announced on March 9, 2016 are empty gestures and a transparent attempt to escape the resounding defeat TICC experienced when Stockholders refused to approve the conflicted transaction at the Special Meeting in late December.</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were surprised to hear TICC say on its fourth quarter earnings call held on March 10, 2016 that, in January, the Board “commenced [a] shareholder outreach program and contacted the 20 largest institutional holders.” As its third largest Stockholder, we did sit down with TICC, but it was just two days prior to the announcements referenced above. It was clear from the very short notice and confirmed in the meeting that TICC’s objective was an attempt to garner our support for an already fully-baked plan and input from Stockholders was not being entertained. This was not a genuine effort to discuss an appropriate path to Stockholder value-creation. If all of TICC’s outreach meetings were as unconstructive as ours, we suspect TICC’s other Stockholders were just as underwhelmed and disappointed as we were.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far as the proposed course of action: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Reduction in Fees</w:t>
      </w:r>
      <w:r>
        <w:rPr>
          <w:rFonts w:ascii="Arial" w:cs="Arial" w:eastAsia="Arial" w:hAnsi="Arial"/>
          <w:sz w:val="18"/>
          <w:szCs w:val="18"/>
          <w:color w:val="auto"/>
        </w:rPr>
        <w:t>—As part of the March 9 announcement, TICC announced a fee waiver it had entered into with its Existing Adviser.</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However, after years of terrible performance, including underperforming the BDC Composite by 180.9 percentage points since TICC’s initial public offering on a total returns basis, a whopping 7.3 percentage points per year of under-performance, the only appropriate response from the Board would have been to terminate the management contract with the Existing Adviser. Again, TICC’s net total return for investors was approximately 1.8% per year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than if a Stockholder had invested in risk-free U.S. Treasuries. As we have said time and again, our issues with TICC are broad and systemic. While important, a simplistic focus on fees distorts the core problems at TICC as easily manipulated and misleading headlines. Paying the Existing Adviser </w:t>
      </w:r>
      <w:r>
        <w:rPr>
          <w:rFonts w:ascii="Arial" w:cs="Arial" w:eastAsia="Arial" w:hAnsi="Arial"/>
          <w:sz w:val="17"/>
          <w:szCs w:val="17"/>
          <w:i w:val="1"/>
          <w:iCs w:val="1"/>
          <w:color w:val="auto"/>
        </w:rPr>
        <w:t>anything</w:t>
      </w:r>
      <w:r>
        <w:rPr>
          <w:rFonts w:ascii="Arial" w:cs="Arial" w:eastAsia="Arial" w:hAnsi="Arial"/>
          <w:sz w:val="17"/>
          <w:szCs w:val="17"/>
          <w:color w:val="auto"/>
        </w:rPr>
        <w:t xml:space="preserve"> is paying it too much, given TICC’s massive and consistent underperformance.</w:t>
      </w:r>
    </w:p>
    <w:p>
      <w:pPr>
        <w:spacing w:after="0" w:line="17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find Mr. Novak’s characterization of the reduced fee structure as “best in class” laughable. Fees and compensation should be a function of management’s ability to add value and drive return on equity—not metrics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be viewed in isolation and certainly not ones to be determined against a barely comparable group of other BDCs (particularly a group that conveniently ignores the underlying nature of the assets they own).</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In our review of BDC peers, we believe TICC has failed to recognize the unique nature of its own portfolio of broadly syndicated securities (versus a greater focus on bespoke, directly originated transactions by other participants in the BDC industry). In our view, the most appropriate fee structure against which to compare TICC is that adopted by American Capital Senior Floating, Ltd. (“</w:t>
      </w:r>
      <w:r>
        <w:rPr>
          <w:rFonts w:ascii="Arial" w:cs="Arial" w:eastAsia="Arial" w:hAnsi="Arial"/>
          <w:sz w:val="16"/>
          <w:szCs w:val="16"/>
          <w:u w:val="single" w:color="auto"/>
          <w:color w:val="auto"/>
        </w:rPr>
        <w:t>ACSF</w:t>
      </w:r>
      <w:r>
        <w:rPr>
          <w:rFonts w:ascii="Arial" w:cs="Arial" w:eastAsia="Arial" w:hAnsi="Arial"/>
          <w:sz w:val="16"/>
          <w:szCs w:val="16"/>
          <w:color w:val="auto"/>
        </w:rPr>
        <w:t>”). The composition of ACSF’s portfolio is nearly identical to TICC’s: ACSF has a portfolio composed of 84.3% senior secured broadly syndicated debt and 15.7% CLO equity and TICC has a portfolio composed of</w:t>
      </w:r>
    </w:p>
    <w:p>
      <w:pPr>
        <w:jc w:val="both"/>
        <w:ind w:right="60"/>
        <w:spacing w:after="0" w:line="272" w:lineRule="auto"/>
        <w:rPr>
          <w:sz w:val="20"/>
          <w:szCs w:val="20"/>
          <w:color w:val="auto"/>
        </w:rPr>
      </w:pPr>
      <w:r>
        <w:rPr>
          <w:rFonts w:ascii="Arial" w:cs="Arial" w:eastAsia="Arial" w:hAnsi="Arial"/>
          <w:sz w:val="17"/>
          <w:szCs w:val="17"/>
          <w:color w:val="auto"/>
        </w:rPr>
        <w:t>72.0% senior secured broadly syndicated debt and 25.6% CLO equity.</w:t>
      </w:r>
      <w:r>
        <w:rPr>
          <w:rFonts w:ascii="Arial" w:cs="Arial" w:eastAsia="Arial" w:hAnsi="Arial"/>
          <w:sz w:val="14"/>
          <w:szCs w:val="14"/>
          <w:color w:val="auto"/>
        </w:rPr>
        <w:t>11</w:t>
      </w:r>
      <w:r>
        <w:rPr>
          <w:rFonts w:ascii="Arial" w:cs="Arial" w:eastAsia="Arial" w:hAnsi="Arial"/>
          <w:sz w:val="17"/>
          <w:szCs w:val="17"/>
          <w:color w:val="auto"/>
        </w:rPr>
        <w:t xml:space="preserve"> For its efforts, ACSF charges a management fee of 80 basis points on assets under management and no incentive fee. By comparison, TICC’s </w:t>
      </w:r>
      <w:r>
        <w:rPr>
          <w:rFonts w:ascii="Arial" w:cs="Arial" w:eastAsia="Arial" w:hAnsi="Arial"/>
          <w:sz w:val="17"/>
          <w:szCs w:val="17"/>
          <w:i w:val="1"/>
          <w:iCs w:val="1"/>
          <w:color w:val="auto"/>
        </w:rPr>
        <w:t>new</w:t>
      </w:r>
      <w:r>
        <w:rPr>
          <w:rFonts w:ascii="Arial" w:cs="Arial" w:eastAsia="Arial" w:hAnsi="Arial"/>
          <w:sz w:val="17"/>
          <w:szCs w:val="17"/>
          <w:color w:val="auto"/>
        </w:rPr>
        <w:t xml:space="preserve"> fee structure—which includes a 1.5% base management fee and a 20% incentive fee—looks rich indeed. In other words, TICC’s new fee structure is approximately 265% higher than ACSF’s fee structure, after taking into account the incentive fee. It should also be noted that ACSF trades at approximately 86.0% of book value, even with its lower fee structure.</w:t>
      </w:r>
      <w:r>
        <w:rPr>
          <w:rFonts w:ascii="Arial" w:cs="Arial" w:eastAsia="Arial" w:hAnsi="Arial"/>
          <w:sz w:val="14"/>
          <w:szCs w:val="14"/>
          <w:color w:val="auto"/>
        </w:rPr>
        <w:t>12</w:t>
      </w:r>
      <w:r>
        <w:rPr>
          <w:rFonts w:ascii="Arial" w:cs="Arial" w:eastAsia="Arial" w:hAnsi="Arial"/>
          <w:sz w:val="17"/>
          <w:szCs w:val="17"/>
          <w:color w:val="auto"/>
        </w:rPr>
        <w:t xml:space="preserve"> The sobering reality in our view is that any notion of TICC shares trading at NAV without implementing more significant changes is a distant reality.</w:t>
      </w:r>
    </w:p>
    <w:p>
      <w:pPr>
        <w:spacing w:after="0" w:line="17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Furthermore, rewarding the same management team through marginally reduced fees does not address the core problem of poor performance. A change in the manager was passionately advocated by the Board and the current management team in connection with the now failed BSP transaction. Simply put, after 12 years of underperformance across all time periods, the answer shouldn’t be a reduction in the Existing Adviser’s compensation. </w:t>
      </w:r>
      <w:r>
        <w:rPr>
          <w:rFonts w:ascii="Arial" w:cs="Arial" w:eastAsia="Arial" w:hAnsi="Arial"/>
          <w:sz w:val="16"/>
          <w:szCs w:val="16"/>
          <w:i w:val="1"/>
          <w:iCs w:val="1"/>
          <w:color w:val="auto"/>
        </w:rPr>
        <w:t>The answer, as the</w:t>
      </w:r>
      <w:r>
        <w:rPr>
          <w:rFonts w:ascii="Arial" w:cs="Arial" w:eastAsia="Arial" w:hAnsi="Arial"/>
          <w:sz w:val="16"/>
          <w:szCs w:val="16"/>
          <w:color w:val="auto"/>
        </w:rPr>
        <w:t xml:space="preserve"> </w:t>
      </w:r>
      <w:r>
        <w:rPr>
          <w:rFonts w:ascii="Arial" w:cs="Arial" w:eastAsia="Arial" w:hAnsi="Arial"/>
          <w:sz w:val="16"/>
          <w:szCs w:val="16"/>
          <w:i w:val="1"/>
          <w:iCs w:val="1"/>
          <w:color w:val="auto"/>
        </w:rPr>
        <w:t>Board had previously advocated, is real change—change in management and the Existing Adviser, as well as a change in investment strategy</w:t>
      </w:r>
      <w:r>
        <w:rPr>
          <w:rFonts w:ascii="Arial" w:cs="Arial" w:eastAsia="Arial" w:hAnsi="Arial"/>
          <w:sz w:val="16"/>
          <w:szCs w:val="16"/>
          <w:color w:val="auto"/>
        </w:rPr>
        <w:t>.</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New Chairman</w:t>
      </w:r>
      <w:r>
        <w:rPr>
          <w:rFonts w:ascii="Arial" w:cs="Arial" w:eastAsia="Arial" w:hAnsi="Arial"/>
          <w:sz w:val="18"/>
          <w:szCs w:val="18"/>
          <w:color w:val="auto"/>
        </w:rPr>
        <w:t>—TICC’s March 9 announcement also reported that Mr. Novak had been appointed as the “independent” Chairman of the Board,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disappointing to us given the lack of alignment Mr. Novak has exhibited with Stockholder interests.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urge Stockholders to consider these simple facts about Mr. Novak:</w:t>
      </w:r>
    </w:p>
    <w:p>
      <w:pPr>
        <w:spacing w:after="0" w:line="131" w:lineRule="exact"/>
        <w:rPr>
          <w:sz w:val="20"/>
          <w:szCs w:val="20"/>
          <w:color w:val="auto"/>
        </w:rPr>
      </w:pPr>
    </w:p>
    <w:p>
      <w:pPr>
        <w:ind w:left="90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April 29, 2016, Mr. Novak owned 14,474 shares of Common Stock.</w:t>
      </w:r>
      <w:r>
        <w:rPr>
          <w:rFonts w:ascii="Arial" w:cs="Arial" w:eastAsia="Arial" w:hAnsi="Arial"/>
          <w:sz w:val="15"/>
          <w:szCs w:val="15"/>
          <w:color w:val="auto"/>
        </w:rPr>
        <w:t>13</w:t>
      </w:r>
      <w:r>
        <w:rPr>
          <w:rFonts w:ascii="Arial" w:cs="Arial" w:eastAsia="Arial" w:hAnsi="Arial"/>
          <w:sz w:val="18"/>
          <w:szCs w:val="18"/>
          <w:color w:val="auto"/>
        </w:rPr>
        <w:t xml:space="preserve"> Since April 2012, Mr. Novak has not increased his overall stake in TICC despite shares trading well below NAV for a significant portion of that period. Mr. Novak is not, and has not tried to become, economically aligned with Stockholders.</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Novak’s 14,474 shares of Common Stock have a current market value of approximately $72,370, representing a mere 7.2% of the more than $1.0 million in aggregate compensation he has received from TICC during his 12-year tenure as a director.</w:t>
      </w:r>
      <w:r>
        <w:rPr>
          <w:rFonts w:ascii="Arial" w:cs="Arial" w:eastAsia="Arial" w:hAnsi="Arial"/>
          <w:sz w:val="15"/>
          <w:szCs w:val="15"/>
          <w:color w:val="auto"/>
        </w:rPr>
        <w:t>14</w:t>
      </w:r>
    </w:p>
    <w:p>
      <w:pPr>
        <w:spacing w:after="0" w:line="75"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Novak’s annual compensation as a director has grown at a compound annual rate of 24.3% since 2010, while over the same period Stockholders have seen their shares underperform the BDC Composite by 9.2% on an annualized basis.</w:t>
      </w:r>
    </w:p>
    <w:p>
      <w:pPr>
        <w:spacing w:after="0" w:line="75"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Novak was even awarded $50,000 for his role as Chairman of the Special Committee that oversaw the attempt to have Stockholders approve the conflicted transaction with BSP, even though that transaction was overwhelmingly rejected by Stockholders and the Board was admonished by a federal judge for misleading Stockholders in connection with its solicitation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March 31, 2016 by fair value.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May 6, 2016, based on ACSF’s closing price of $10.08 per share and a March 31, 2016 NAV of $11.72 per share.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TICC Form 10-K/A filed on April 29, 2016.</w:t>
      </w:r>
    </w:p>
    <w:p>
      <w:pPr>
        <w:spacing w:after="0" w:line="9" w:lineRule="exact"/>
        <w:rPr>
          <w:rFonts w:ascii="Arial" w:cs="Arial" w:eastAsia="Arial" w:hAnsi="Arial"/>
          <w:sz w:val="15"/>
          <w:szCs w:val="15"/>
          <w:color w:val="auto"/>
        </w:rPr>
      </w:pPr>
    </w:p>
    <w:p>
      <w:pPr>
        <w:ind w:left="460" w:right="200" w:hanging="452"/>
        <w:spacing w:after="0" w:line="261"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based on TICC’s closing price of $5.00 on May 6, 2016. Steven P. Novak has received approximately $1,005,125 in compensation for his role as a director from the Company’s inception through December 31, 2015. Source: Company filings.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informed Mr. Novak on October 7, 2015 that we would be willing to discontinue our proxy solicitation efforts against the conflicted BSP transaction if the Board agreed to facilitate change at the Company by terminating the Existing Adviser’s contract and redirecting the proceeds of the proposed transaction to replace the Existing Adviser to Stockholders. We believe any party willing to offer a cash payment and future economic interest to the failed Existing Adviser would have readily offered the same consideration through reduced fees to Stockholders if the Board demanded it do so instead of compensating the failed Existing Adviser. The Board instead advocated for a conflicted transaction that would have resulted in members of the Board receiving millions of dollars. As a result, we are now faced with a second costly proxy contest that will only be an additional expense to Stockholders so that the Company can continue to desperately protect its failing Existing Adviser and self-interested directors.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These recent “actions” by TICC are wholly inadequate. </w:t>
      </w:r>
      <w:r>
        <w:rPr>
          <w:rFonts w:ascii="Arial" w:cs="Arial" w:eastAsia="Arial" w:hAnsi="Arial"/>
          <w:sz w:val="18"/>
          <w:szCs w:val="18"/>
          <w:i w:val="1"/>
          <w:iCs w:val="1"/>
          <w:color w:val="auto"/>
        </w:rPr>
        <w:t>Most alarmingly, despite TICC describing these actions as the product of a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review, the Company has not acknowledged whether the Special Committee considered a sale or liquidation, which were direct requests from TSLX and other Stockholders. </w:t>
      </w:r>
      <w:r>
        <w:rPr>
          <w:rFonts w:ascii="Arial" w:cs="Arial" w:eastAsia="Arial" w:hAnsi="Arial"/>
          <w:sz w:val="18"/>
          <w:szCs w:val="18"/>
          <w:color w:val="auto"/>
        </w:rPr>
        <w:t>Any genuine “comprehensive” review would have required an honest and rigorous review, not empty gestures to fiddle with fees and shuffle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faces around the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FAILURE TO SCHEDULE STOCKHOLDER MEETING</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Historically, TICC has held its annual meeting no later than June 18 and has announced the date of each of its annual meetings in the last 11 years by no later than May 2 of that year. The fact that TICC has not set the date for its 2016 Annual Meeting or filed its proxy statement for the 2016 Annual Meeting within 120 days of the end of its fiscal year (and as a result was obligated to file a supplement to its Annual Report on Form 10-K for the year ended December 31, 2015) is another blatant abuse of Stockholders.</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By delaying the 2016 Annual Meeting, TICC has, to date, denied Stockholders the opportunity to voice their concerns at the 2016 Annual Meeting and to exercise their right to vote on critical proposals that directly affect their company. Simply put, we believe that the Board is delaying the 2016 Annual Meeting to prevent Stockholders from having the opportunity to vote in favor of our highly qualified director nominee and our proposal to terminate the contract of the failed Existing Adviser.</w:t>
      </w:r>
    </w:p>
    <w:p>
      <w:pPr>
        <w:spacing w:after="0" w:line="18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believe the Board is clearly stalling, which indicates to us that it is more interested in entrenching itself and the failed Existing Adviser than providing Stockholders with the opportunity to vote on important matters concerning their investment.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TIME FOR CHANGE IS NOW</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Despite the Board’s own admission that change was needed, we have been shocked by the lack of meaningful action—particularly since the failed Stockholder vote held in December 2015—and by the Board’s efforts to frustrate Stockholders’ ability to take these actions on their own. As outlined in our November 29, 2015 letter to the Board, we expected it to take meaningful actions regardless of the success or failure of the conflicted transaction. The clear path for change includes:</w:t>
      </w:r>
    </w:p>
    <w:p>
      <w:pPr>
        <w:spacing w:after="0" w:line="92" w:lineRule="exact"/>
        <w:rPr>
          <w:sz w:val="20"/>
          <w:szCs w:val="20"/>
          <w:color w:val="auto"/>
        </w:rPr>
      </w:pPr>
    </w:p>
    <w:p>
      <w:pPr>
        <w:ind w:left="900" w:right="2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seating Mr. Millet on the Board and further refreshing the Board with a new slate of independent directors, in consultation with us and other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terminating the existing Investment Advisory Agreement;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Promptly following the reconstitution of the Board, conducting a comprehensive strategic review process to identify the best path forward to deliver value to Stockholders.</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Time is overdue for TICC to become a professionally governed public company with a focus on maximizing Stockholder value. Given the poor financial performance, the deterioration of NAV per share, declining values in the CLO equity portfolio, and an overall lack of transparency, TICC needs to act now to prioritize Stockholders’ interests over their own.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urge the Board to schedule the 2016 Annual Meeting promptly so that Stockholders have the opportunity to vote on our Nominee and on terminating the Investment Advisory Agreement.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always, we stand ready and willing to immediately engage in a constructive dialogue with the Company. Once the aforementioned issues are addressed, we believe there is a bright path ahead for TICC and its Stockholders.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 for change is now.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40"/>
          </w:cols>
          <w:pgMar w:left="240" w:top="459" w:right="8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Statistics, TICC CLO Equity Portfolio (Selected Constituents)</w:t>
      </w:r>
      <w:r>
        <w:rPr>
          <w:rFonts w:ascii="Arial" w:cs="Arial" w:eastAsia="Arial" w:hAnsi="Arial"/>
          <w:sz w:val="15"/>
          <w:szCs w:val="15"/>
          <w:color w:val="auto"/>
        </w:rPr>
        <w:t>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12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6280" w:type="dxa"/>
            <w:vAlign w:val="bottom"/>
            <w:gridSpan w:val="3"/>
            <w:vMerge w:val="continue"/>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16</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0"/>
              </w:rPr>
              <w:t>Weighted Average</w:t>
            </w:r>
          </w:p>
        </w:tc>
        <w:tc>
          <w:tcPr>
            <w:tcW w:w="498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of Selected Constituents</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(20.8)%</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AMMC CLO XII, Ltd. – $6,460,715 Fair Value</w:t>
            </w:r>
            <w:r>
              <w:rPr>
                <w:rFonts w:ascii="Arial" w:cs="Arial" w:eastAsia="Arial" w:hAnsi="Arial"/>
                <w:sz w:val="15"/>
                <w:szCs w:val="15"/>
                <w:b w:val="1"/>
                <w:bCs w:val="1"/>
                <w:color w:val="auto"/>
              </w:rPr>
              <w:t>17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r>
              <w:rPr>
                <w:rFonts w:ascii="Arial" w:cs="Arial" w:eastAsia="Arial" w:hAnsi="Arial"/>
                <w:sz w:val="15"/>
                <w:szCs w:val="15"/>
                <w:i w:val="1"/>
                <w:iCs w:val="1"/>
                <w:color w:val="auto"/>
              </w:rPr>
              <w:t>18</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41.0%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r>
              <w:rPr>
                <w:rFonts w:ascii="Arial" w:cs="Arial" w:eastAsia="Arial" w:hAnsi="Arial"/>
                <w:sz w:val="15"/>
                <w:szCs w:val="15"/>
                <w:i w:val="1"/>
                <w:iCs w:val="1"/>
                <w:color w:val="auto"/>
              </w:rPr>
              <w:t>19</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XXV CLO Ltd. – $6,975,000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(20.9)</w:t>
            </w: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(40.0)%</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Ares XXVI CLO Ltd. – $4,229,521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(25.9)%</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XXIX CLO Ltd. – $5,284,986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Benefit Street Partners CLO II, Ltd. – $15,380,095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(33.5)%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Carlyle GMS CLO 2013-2, Ltd. – $5,932,128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7.0%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(14.3)%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Carlyle GMS CLO 2014-4, Ltd. – $14,914,501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11.7%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(64.0)%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Catamaran CLO 2012-1 Ltd. – $5,500,000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(41.4)%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Catamaran CLO 2013-1 Ltd. – $4,900,000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(13.4)%</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Source: Intex Solutions.</w:t>
      </w:r>
    </w:p>
    <w:p>
      <w:pPr>
        <w:spacing w:after="0" w:line="23" w:lineRule="exact"/>
        <w:rPr>
          <w:rFonts w:ascii="Arial" w:cs="Arial" w:eastAsia="Arial" w:hAnsi="Arial"/>
          <w:sz w:val="15"/>
          <w:szCs w:val="15"/>
          <w:color w:val="auto"/>
        </w:rPr>
      </w:pPr>
    </w:p>
    <w:p>
      <w:pPr>
        <w:ind w:left="460" w:right="320" w:hanging="452"/>
        <w:spacing w:after="0" w:line="25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Q1 represents CLO distributions made in February, March, or April, depending on each structure’s payment schedule. Subsequent periods represent each successive three month increment from Q1.</w:t>
      </w: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Fair value amounts as of December 31, 2015. Source: Company filings.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Cash on Cash Distribution calculated as quarterly payment divided by the original notional balance of the equity tranche.</w:t>
      </w:r>
    </w:p>
    <w:p>
      <w:pPr>
        <w:spacing w:after="0" w:line="9" w:lineRule="exact"/>
        <w:rPr>
          <w:rFonts w:ascii="Arial" w:cs="Arial" w:eastAsia="Arial" w:hAnsi="Arial"/>
          <w:sz w:val="15"/>
          <w:szCs w:val="15"/>
          <w:color w:val="auto"/>
        </w:rPr>
      </w:pPr>
    </w:p>
    <w:p>
      <w:pPr>
        <w:jc w:val="both"/>
        <w:ind w:left="460" w:hanging="452"/>
        <w:spacing w:after="0" w:line="277"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7"/>
          <w:szCs w:val="17"/>
          <w:color w:val="auto"/>
        </w:rPr>
        <w:t>Junior overcollateralization cushion represents coverage for the most junior debt in each CLO as of the test date. The overcollateralization test measures the principal balance of the assets held by a CLO against each of the various classes of its liability structure. A failure to satisfy the overcollateralization test could result in the redirection of cash flows to the more senior classes of securities until the tests are satisfied.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540" w:type="dxa"/>
            <w:vAlign w:val="bottom"/>
            <w:gridSpan w:val="3"/>
            <w:vMerge w:val="continue"/>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Cedar Funding II CLO, Ltd. – $10,125,000 Fair Value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(11.1)%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(17.7)%</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CIFC Funding 2012-1, Ltd. – $5,610,000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(15.3)%</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Halcyon Loan Advisors Funding 2012-2 Ltd. – $3,450,000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(39.2)%</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Hull Street CLO Ltd. – $2,350,000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8.5%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(40.7)%</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(37.9)%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Ivy Hill Middle Market Credit Fund VII, Ltd. – $10,181,692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(8.4)%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4.6%</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Marea CLO, Ltd. – $4,816,787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(29.2)%</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(24.2)%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MidOcean Credit CLO IV – $6,840,000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(9.1)%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(42.5)%</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Mountain Hawk III CLO, Ltd. – $4,530,618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(37.8)%</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9.7%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8.0%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Shackleton 2013-IV CLO, Ltd. – $8,269,561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(36.9)%</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Telos CLO 2013-3, Ltd. – $5,416,666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(12.6)%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(8.2)%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Telos CLO 2013-4, Ltd.– $4,600,445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23.0%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(16.3)%</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Windriver 2012-1 CLO, Ltd. – $4,277,998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60" w:type="dxa"/>
            <w:vAlign w:val="bottom"/>
          </w:tcPr>
          <w:p>
            <w:pPr>
              <w:jc w:val="right"/>
              <w:ind w:right="5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1: ELECTION OF DIRECTOR</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reasons set forth in the section entitled “Reasons for the Solicitation,” we are seeking your support at the 2016 Annual Meeting to elect T. Kelley Millet as a director of the Company. The Board is currently composed of five directors—two interested directors and three independent directors. One of the independent directors, Tonia L. Pankopf, is up for election at the 2016 Annual Meeting.</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Nominee, if elected at the 2016 Annual Meeting, would replace Ms. Pankopf as a member of the Board and would serve until the 2019 annual meeting of Stockholders and until his successor has been duly elected and qualified. Mr. Millet has consented to being named as the Nominee in this Proxy Statement and the form of proxy and, if elected, to serving as a director of the Company.</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believe that the Nominee is highly qualified to serve as a director of TICC and that, if elected as a director of the Company, the Nominee would be considered an “independent director” under the applicable corporate governance guidelines and NASDAQ Stock Market listing standards and would not be considered an “interested person” within the meaning of Section 2(a)(19) of the 1940 Act, based on the information furnished by the Nominee. TSLX has no knowledge of any facts that would prevent a determination that the Nominee is independent or is not an interested person under such standards.</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Nominee understands that, if elected as a director, the Nominee will have duties to the Company and its Stockholders as a director. The Nominee has made a commitment to, if elected, act in the best interests of the Company and its Stockholders and to exercise his independent judgment in accordance with his duties in all matters that come before the Board.</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 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TSLX does not expect that the Nominee will be unable to stand for election, but reserves the right to nominate substitute or additional persons as nominees for any reason, including in the event that (1) the Board is expanded beyond its current size and/or (2) the Nominee is unable for any reason, including by reason of the taking or announcement of any action by the Company that has, or if consummated would have, the effect of disqualifying the Nominee to serve as a director or for good cause shown will not serve as a director. In any such case, we will file an amended proxy statement that identifies any such substitute or additional nominee, discloses that any such substitute or additional nominee has consented to being named in our amended proxy statement and to serve as a director of the Company if elected and includes the information with respect to such substitute or additional nominee required to be disclosed under the proxy rules. In the event that the Company refuses to permit a substitute or additional nominee as contemplated by this paragraph by reason of the Bylaws or otherwise, we reserve the right to challenge the Bylaws or the application of the Bylaws to such substitute or additional nominees, or such other action in an appropriate legal proceeding. In the event that the Nominee is unable to serve (or for good cause will not serve) as a director or additional persons are nominated by TSLX as nominees, the shares of Common Stock represented by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for the substitute nominee(s) of TSLX in compliance with SEC rules and any other applicable requirements.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 xml:space="preserve">Information pertaining to the Nominee, including his name, age, present principal occupation, business address and business experience for the past five years and certain other information, is set forth in the question and answer section of this Proxy Statement under the question entitled “Who is the Nominee?”, which we urge you to read. Additional information regarding the Nominee can also be found in </w:t>
      </w:r>
      <w:r>
        <w:rPr>
          <w:rFonts w:ascii="Arial" w:cs="Arial" w:eastAsia="Arial" w:hAnsi="Arial"/>
          <w:sz w:val="16"/>
          <w:szCs w:val="16"/>
          <w:u w:val="single" w:color="auto"/>
          <w:color w:val="auto"/>
        </w:rPr>
        <w:t>Annex A</w:t>
      </w:r>
      <w:r>
        <w:rPr>
          <w:rFonts w:ascii="Arial" w:cs="Arial" w:eastAsia="Arial" w:hAnsi="Arial"/>
          <w:sz w:val="16"/>
          <w:szCs w:val="16"/>
          <w:color w:val="auto"/>
        </w:rPr>
        <w:t>. This information has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been furnished to TSLX by the Nominee. Other than as disclosed in this Proxy Statement, there is no arrangement or understanding between the Nominee and any other person(s) pursuant to which the Nominee was or is to be selected as a director or nominee of the Company.</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You should refer to the TICC 2016 Proxy Statement, when available, for the name, background, qualifications and other information concerning the Company’s nominee.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TSLX and the Nominee</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consideration of the substantial time and effort that the nomination and election process will require of the Nominee, TSLX and the Nominee have entered into an agreement (the “</w:t>
      </w:r>
      <w:r>
        <w:rPr>
          <w:rFonts w:ascii="Arial" w:cs="Arial" w:eastAsia="Arial" w:hAnsi="Arial"/>
          <w:sz w:val="17"/>
          <w:szCs w:val="17"/>
          <w:u w:val="single" w:color="auto"/>
          <w:color w:val="auto"/>
        </w:rPr>
        <w:t>Nomination Agreement</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Annex B</w:t>
      </w:r>
      <w:r>
        <w:rPr>
          <w:rFonts w:ascii="Arial" w:cs="Arial" w:eastAsia="Arial" w:hAnsi="Arial"/>
          <w:sz w:val="17"/>
          <w:szCs w:val="17"/>
          <w:color w:val="auto"/>
        </w:rPr>
        <w:t>. Pursuant to this agreement, TSLX agreed to: (i) pay to Mr. Millet a one-time, non-refundable fee in the amount of $40,000, (ii) reimburse Mr. Millet for all reasonable and documented expenses (including any necessary travel and lodging) incurred in the performance of his responsibilities as the Nominee, (iii) directly pay for the reasonable and documented legal fees and expenses incurred by one independent legal counsel of his choosing to advise and represent him in connection with his entry into the above-referenced Nomination Agreement and (iv) indemnify Mr. Millet in connection with losses arising from the solicitation of proxies for his election at the 2016 Annual Meeting or his being named the Nominee, subject to certain customary exceptions.</w:t>
      </w:r>
    </w:p>
    <w:p>
      <w:pPr>
        <w:spacing w:after="0" w:line="17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The above description of the terms and conditions of the Nomination Agreement is qualified in its entirety by reference to the form of Nomination Agreement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and incorporated herein by reference. We urge you to read the full form of Nomination Agreement, which includes the detailed terms, conditions and definitions applicable to the arrangements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Company’s Directors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Except as set forth above or in </w:t>
      </w:r>
      <w:r>
        <w:rPr>
          <w:rFonts w:ascii="Arial" w:cs="Arial" w:eastAsia="Arial" w:hAnsi="Arial"/>
          <w:sz w:val="18"/>
          <w:szCs w:val="18"/>
          <w:u w:val="single" w:color="auto"/>
          <w:color w:val="auto"/>
        </w:rPr>
        <w:t>Annex A</w:t>
      </w:r>
      <w:r>
        <w:rPr>
          <w:rFonts w:ascii="Arial" w:cs="Arial" w:eastAsia="Arial" w:hAnsi="Arial"/>
          <w:sz w:val="18"/>
          <w:szCs w:val="18"/>
          <w:color w:val="auto"/>
        </w:rPr>
        <w:t>, the Nominee will not receive any compensation from TSLX to serve as the Nominee for election and, if elected, as a director of the Company.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He will, however, receive whatever compensation the Board has established for non-employee directors of the Company unless and until the Board determines to change such compensation. The following discussion summarizes the Company’s compensation and indemnification of directors based solely on the Form 10-K/A filed by the Company with the SEC on April 29, 2016.</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of TICC’s directors for the year ended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1"/>
              </w:rPr>
              <w:t>Fees</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Earned</w:t>
            </w: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280" w:type="dxa"/>
            <w:vAlign w:val="bottom"/>
            <w:vMerge w:val="restart"/>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0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728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Cash</w:t>
            </w:r>
            <w:r>
              <w:rPr>
                <w:rFonts w:ascii="Arial" w:cs="Arial" w:eastAsia="Arial" w:hAnsi="Arial"/>
                <w:sz w:val="12"/>
                <w:szCs w:val="12"/>
                <w:b w:val="1"/>
                <w:bCs w:val="1"/>
                <w:color w:val="auto"/>
                <w:w w:val="93"/>
              </w:rPr>
              <w:t>(1)</w:t>
            </w:r>
          </w:p>
        </w:tc>
        <w:tc>
          <w:tcPr>
            <w:tcW w:w="6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Jonathan H. Cohen</w:t>
            </w: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Charles M. Royce</w:t>
            </w: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Steven P. Novak</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$191,250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$191,250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G. Peter O’Brien</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Tonia L. Pankopf</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For a discussion of the independent directors’ compensation, see below.</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TICC does not maintain a stock or option plan, non-equity incentive plan or pension plan for its directors.</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Each independent director receives an annual fee of $75,000. Effective as of March 1, 2016, the Chairman of the Board receives an additional annual fee of $30,000 for his service as Chairman of the Board. In addition,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independent directors receive $2,000 plus reimbursement of reasonable out-of-pocket expenses incurred in connection with attending each Board meeting, $1,500 plus reimbursement of reasonable out-of-pocket expenses incurred in connection with attending each Valuation Committee meeting, $1,500 plus reimbursement of reasonable out-of-pocket expenses incurred in connection with attending each Audit Committee meeting, $1,000 plus reimbursement of reasonable out-of-pocket expenses incurred in connection with attending each Nominating and Corporate Governance Committee meeting, $1,000 plus reimbursement of reasonable out-of-pocket expenses incurred in connection with attending each Compensation Committee meeting and $1,500 plus reimbursement of reasonable out-of-pocket expenses incurred in connection with attending each Special Committee meeting. The Chairman of the Audit Committee also receives an additional annual fee of $7,500 for his service as chair of the Audit Committee. The Chairman of the Valuation Committee also receives an additional annual fee of $7,500 for his service as chair of the Valuation Committee. The Chairman of the Nominating and Corporate Governance Committee also receives an additional annual fee of $3,000 for his service as chair of the Nominating and Corporate Governance Committee. The Chairman of the Compensation Committee also receives an additional annual fee of $3,000 for her service as chair of the Compensation Committee. The Chairman of the Special Committee receives an annual fee of $50,000 for his service as chair of the Special Committee. No compensation was paid to directors who are interested persons of TICC as defined under the 1940 Act.</w:t>
      </w:r>
    </w:p>
    <w:p>
      <w:pPr>
        <w:spacing w:after="0" w:line="18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would be entitled to any other benefits made available to the independent directors of the Company.</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Neither the Nominee, nor any associate of the Nominee, has received any cash compensation, cash bonuses, deferred compensation, compensation pursuant to plans or other compensation, from, or in respect of, services rendered on behalf of the Company, that is required to be disclosed pursuant to Item 402 of Regulation S-K promulgated under the Securities Act of 1933, as amended (“</w:t>
      </w:r>
      <w:r>
        <w:rPr>
          <w:rFonts w:ascii="Arial" w:cs="Arial" w:eastAsia="Arial" w:hAnsi="Arial"/>
          <w:sz w:val="18"/>
          <w:szCs w:val="18"/>
          <w:u w:val="single" w:color="auto"/>
          <w:color w:val="auto"/>
        </w:rPr>
        <w:t>Regulation S-K</w:t>
      </w:r>
      <w:r>
        <w:rPr>
          <w:rFonts w:ascii="Arial" w:cs="Arial" w:eastAsia="Arial" w:hAnsi="Arial"/>
          <w:sz w:val="18"/>
          <w:szCs w:val="18"/>
          <w:color w:val="auto"/>
        </w:rPr>
        <w:t>”), or is otherwise subject to any arrangement described in Item 402 of Regulation S-K.</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Nominee has not held any position or office with the Company, and no occupation or employment with which the Nominee has been involved during the past five years was carried on with the Company or any corporation or organization that is a parent, subsidiary or other affiliate of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Nominee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that the Nominee, if elected, will be: (i) entitled to receive compensation customarily paid by the Company to its independent directors,</w:t>
      </w:r>
    </w:p>
    <w:p>
      <w:pPr>
        <w:spacing w:after="0" w:line="35" w:lineRule="exact"/>
        <w:rPr>
          <w:sz w:val="20"/>
          <w:szCs w:val="20"/>
          <w:color w:val="auto"/>
        </w:rPr>
      </w:pPr>
    </w:p>
    <w:p>
      <w:pPr>
        <w:ind w:right="80" w:firstLine="8"/>
        <w:spacing w:after="0" w:line="255"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indemnified for service as a director of the Company to the same extent indemnification is provided to the current directors of the Company, (iii) covered by the Company’s director’s and officer’s liability insurance, if any, to the same extent as the other directors of the Company and (iv) entitled to any other benefits made available to the independent directors of the Company.</w:t>
      </w:r>
    </w:p>
    <w:p>
      <w:pPr>
        <w:spacing w:after="0" w:line="19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Nominee may be deemed to have an interest in his nomination for election to the Board by virtue of the compensation the Nominee will receive from the Company as a director, if elected to the Board, and as described elsewhere in this Proxy Statement.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Information as to any substantial interest, direct or indirect, through security holdings or otherwise, in any matter to be acted upon at the 2016 Annual Meeting is set forth herein. Other than as described in this Proxy Statement, none of the persons listed on </w:t>
      </w:r>
      <w:r>
        <w:rPr>
          <w:rFonts w:ascii="Arial" w:cs="Arial" w:eastAsia="Arial" w:hAnsi="Arial"/>
          <w:sz w:val="18"/>
          <w:szCs w:val="18"/>
          <w:u w:val="single" w:color="auto"/>
          <w:color w:val="auto"/>
        </w:rPr>
        <w:t>Annex A</w:t>
      </w:r>
      <w:r>
        <w:rPr>
          <w:rFonts w:ascii="Arial" w:cs="Arial" w:eastAsia="Arial" w:hAnsi="Arial"/>
          <w:sz w:val="18"/>
          <w:szCs w:val="18"/>
          <w:color w:val="auto"/>
        </w:rPr>
        <w:t>, including the Nominee or any associate of the foregoing persons has any substantial interest, direct or indirect, through security holdings or otherwise, in any matter to be acted upon at the 2016 Annual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Nominee has furnished the additional information with respect to himself located on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WE STRONGLY URGE YOU TO VOTE “FOR” THE ELECTION OF TSLX’S NOMINEE, T. KELLEY MILLET,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THE ELECTION OF TSLX’S NOMINEE, T. KELLEY MILLET.</w:t>
      </w:r>
    </w:p>
    <w:p>
      <w:pPr>
        <w:spacing w:after="0" w:line="19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Please do not return any [WHITE] proxy card you may receive from the Company or otherwise authorize a proxy to vote your shares of Common Stock for the Company’s nominee. If you have already submitted a [WHITE] proxy card that may have been sent to you by the Company or otherwise authorized a proxy to vote your shares of Common Stock for the Company’s nominee, it is not too late to change your vote. To revoke your prior proxy and change your vote, simply mark, sign and date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and return it in the postage-paid envelope provided to you by us or follow the instructions located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authorize a proxy by telephone or Internet. Only your latest dated proxy will be counted.</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 TSLX’S PROPOSAL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TERMINATE THE INVESTMENT ADVISORY AGREEMENT</w:t>
      </w:r>
    </w:p>
    <w:p>
      <w:pPr>
        <w:spacing w:after="0" w:line="21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the reasons set forth in the section entitled “Reasons for the Solicitation,” after years of underperformance by the Company and the Existing Adviser, TSLX believes that it is in the best interest of Stockholders to terminate the Investment Advisory Agreement. TSLX is seeking Stockholder approval to terminate the Investment Advisory Agreement in accordance with the provisions of Section 9 thereof. Under Section 9 of the Investment Advisory Agreement, the Investment Advisory Agreement may be terminated at any time, without the payment of any penalty, upon 60 days’ written notice, by the vote of a “majority of the Company’s outstanding voting securities.” For these purposes, the vote of a “majority of the Company’s outstanding voting securities” means the vote, at the 2016 Annual Meeting, of the lesser of: (i) 67% or more of shares of the Common Stock present at such meeting, if the holders of more than 50% of the outstanding shares of Common Stock are present or represented by proxy or (ii) more than 50% of the outstanding shares of Common Stock.</w:t>
      </w:r>
    </w:p>
    <w:p>
      <w:pPr>
        <w:spacing w:after="0" w:line="19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1940 Act provides a temporary exemption to the approval requirements of an investment advisory agreement, in the event that a prior advisory contract is terminated, which allows the Board (including a majority of the independent directors) to approve an interim investment advisory contract. Such an interim contract is required to be approved within ten business days after the termination of the prior advisory contract becomes effective, with the compensation received under the interim contract to be no greater than the compensation the adviser would have received under the previous contract. The Board would then have 150 days to obtain Stockholder approval for that new investment advisory contract at a subsequent meeting of Stockholders (which would be the subject of a separate proxy solicitation). Although the failure to approve an interim or permanent investment advisory agreement could potentially require the Company to become internally managed (which it might not be prepared to do at that time), we believe any reasonably designed process to select a new manager would identify a number of suitable, alternative advisers willing to advise the Company on attractive terms.</w:t>
      </w:r>
    </w:p>
    <w:p>
      <w:pPr>
        <w:spacing w:after="0" w:line="166" w:lineRule="exact"/>
        <w:rPr>
          <w:sz w:val="20"/>
          <w:szCs w:val="20"/>
          <w:color w:val="auto"/>
        </w:rPr>
      </w:pPr>
    </w:p>
    <w:p>
      <w:pPr>
        <w:ind w:right="140" w:firstLine="456"/>
        <w:spacing w:after="0" w:line="269" w:lineRule="auto"/>
        <w:rPr>
          <w:sz w:val="20"/>
          <w:szCs w:val="20"/>
          <w:color w:val="auto"/>
        </w:rPr>
      </w:pPr>
      <w:r>
        <w:rPr>
          <w:rFonts w:ascii="Arial" w:cs="Arial" w:eastAsia="Arial" w:hAnsi="Arial"/>
          <w:sz w:val="17"/>
          <w:szCs w:val="17"/>
          <w:color w:val="auto"/>
        </w:rPr>
        <w:t>If TSLX’s proposal to terminate the Investment Advisory Agreement is approved, the Board will be able to seek a new investment adviser that we believe will put the Company on the right path to value-creation for Stockholders. In that case, our existing investment adviser, TSL Advisers, LLC, may offer its services as a new adviser to the Company. Because it would be the Board’s prerogative to select and evaluate potential candidates subject to the procedures described above, however, TSLX has not, to date, considered other candidates that it might propose as a replacement for the Existing Adviser. In the event that TSL Advisers, LLC were to become the new adviser to the Company, it is possible that our adviser may ultimately propose that the Company and TSLX be combined, on terms and conditions acceptable to the independent directors of each of the Company and TSLX, as contemplated by the 1940 Act. Note that voting for TSLX’s proposal to terminate the Investment Advisory Agreement is not equivalent to voting in favor of a combination of the Company with TSLX, which would need to be voted on at a separate meeting of Stockholders. It is important to note that Stockholders will not have an opportunity to consider and approve any combination of the Company with TSLX unless and until it is approved by the Board. There can be no assurances that such a transaction will be pursued or approved, or that it would prove to be more favorable to Stockholders than the status quo. The approval of this proposal alone will not require TICC to pursue a transaction with TSLX, but will prevent the further compensation of the Existing Adviser, which has overseen a history of meaningful underperformance.</w:t>
      </w:r>
    </w:p>
    <w:p>
      <w:pPr>
        <w:spacing w:after="0" w:line="18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TSLX believes that the Company should dissociate itself from its current investment adviser because the Existing Adviser’s long-term performance has been abysmal. Although a change in adviser may result in some amount of lost time or incremental expense, we believe this cost is far outweighed by the potential benefits of replacing the Existing Adviser. By soliciting votes in favor of the BSP transaction, the Company has itself acknowledged that another potential advisory arrangement exists that is preferable to the current arrangement with the Existing Adviser. Although in that solicitation, the Special Committee indicated it believed “[n]o alternative currently exists that the Special Committee would approve or recommend because no current proposal is preferable to the status quo other than the approval of BSP as the new manager,” we do not believe that to be the case and we note that, as part of its advocacy in favor of that solicitation, the Company told Stockholders that failing to approve the BSP transaction would result in Stockholders being left with the “[s]tatus quo: </w:t>
      </w:r>
      <w:r>
        <w:rPr>
          <w:rFonts w:ascii="Arial" w:cs="Arial" w:eastAsia="Arial" w:hAnsi="Arial"/>
          <w:sz w:val="17"/>
          <w:szCs w:val="17"/>
          <w:b w:val="1"/>
          <w:bCs w:val="1"/>
          <w:color w:val="auto"/>
        </w:rPr>
        <w:t>higher</w:t>
      </w:r>
      <w:r>
        <w:rPr>
          <w:rFonts w:ascii="Arial" w:cs="Arial" w:eastAsia="Arial" w:hAnsi="Arial"/>
          <w:sz w:val="17"/>
          <w:szCs w:val="17"/>
          <w:color w:val="auto"/>
        </w:rPr>
        <w:t xml:space="preserve"> fee structure . . . [the] same advisor, and [the] same Board.” TSLX believes that, now that the Board has acknowledged that another, more favorable alternative advisory arrangement exists, it should follow through by terminating the Existing Adviser and exploring the full range of alternatives that we believe are available to the Company.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Please refer to the section entitled “Reasons for the Solicitation” for additional information about our reasons for bringing this proposal to terminate the Investment Advisory Agreement.</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WE STRONGLY URGE YOU TO VOTE “FOR” TSLX’S PROPOSAL TO TERMINATE THE INVESTMENT ADVISORY AGREEMENT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TSLX’S PROPOSAL TO TERMINATE THE INVESTMENT ADVISORY AGREEMENT.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3: THE COMPANY’S PROPOSAL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RATIFY THE APPOINTMENT OF PRICEWATERHOUSECOOPERS LLP</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anticipate that the Company will ask Stockholders to consider and vote upon the ratification of the appointment of PricewaterhouseCoopers LLP as the Company’s independent registered public accounting firm for the fiscal year ending December 31, 2016. Please refer to the section entitled “Auditors” for further information regarding PricewaterhouseCoopers LLP.</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3. Please refer to the TICC 2016 Proxy Statement, when available, for a discussion of such proposal. TSLX intends to vote,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Proposal No. 3. If you do not indicate how you wish to vote your shares, TSLX will vote them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77"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b w:val="1"/>
          <w:bCs w:val="1"/>
          <w:color w:val="auto"/>
        </w:rPr>
        <w:t>WE STRONGLY URGE YOU TO VOTE “FOR” AND USE THE GOLD PROXY CARD TO AUTHORIZE A PROXY TO VOTE “FOR” PROPOSAL NO. 3 BY MARKING, SIGNING AND DATING THE ENCLOSED GOLD PROXY CARD AND RETURNING IT IN THE POSTAGE-PAID ENVELOPE PROVIDED TO YOU WITH THIS PROXY STATEMENT OR BY USING THE GOLD PROXY CARD TO AUTHORIZE A PROXY BY TELEPHONE OR INTERNET.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4: THE COMPANY’S PROPOSAL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APPROVE THE ADJOURNMENT OF THE 2016 ANNUAL MEETING</w:t>
      </w:r>
    </w:p>
    <w:p>
      <w:pPr>
        <w:spacing w:after="0" w:line="21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anticipate that the Company will ask Stockholders to approve a proposal to grant the Company authority to vote your shares of Common Stock to adjourn the 2016 Annual Meeting, if necessary, to provide additional time to solicit additional proxies if there are insufficient votes at the time of the 2016 Annual Meeting to adopt any or all of the other proposals set forth in the TICC 2016 Proxy Statement.</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4. Please refer to the TICC 2016 Proxy Statement, when available, for a discussion of such proposal. TSLX intends to vote, and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Proposal No. 4. If you do not indicate how you wish to vote your shares, TSLX will vote them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p>
      <w:pPr>
        <w:spacing w:after="0" w:line="177"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color w:val="auto"/>
        </w:rPr>
        <w:t>Although TSLX is soliciting proxies to vote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 TSLX may determine to vote shares represented by the proxies of Stockholders it holds “</w:t>
      </w:r>
      <w:r>
        <w:rPr>
          <w:rFonts w:ascii="Arial" w:cs="Arial" w:eastAsia="Arial" w:hAnsi="Arial"/>
          <w:sz w:val="17"/>
          <w:szCs w:val="17"/>
          <w:b w:val="1"/>
          <w:bCs w:val="1"/>
          <w:color w:val="auto"/>
        </w:rPr>
        <w:t>FOR</w:t>
      </w:r>
      <w:r>
        <w:rPr>
          <w:rFonts w:ascii="Arial" w:cs="Arial" w:eastAsia="Arial" w:hAnsi="Arial"/>
          <w:sz w:val="17"/>
          <w:szCs w:val="17"/>
          <w:color w:val="auto"/>
        </w:rPr>
        <w:t>” the Adjournment Proposal, if necessary, to ensure a quorum is achieved at the 2016 Annual Meeting.</w:t>
      </w:r>
    </w:p>
    <w:p>
      <w:pPr>
        <w:spacing w:after="0" w:line="138"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WE STRONGLY URGE YOU TO VOTE “AGAINST” AND USE THE GOLD PROXY CARD TO AUTHORIZE A PROXY TO VOTE “AGAINST” PROPOSAL NO. 4 BY MARKING, SIGNING AND DATING THE ENCLOSED GOLD PROXY CARD AND RETURNING IT IN THE POSTAGE-PAID ENVELOPE PROVIDED TO YOU WITH THIS PROXY STATEMENT OR BY USING THE GOLD PROXY CARD TO AUTHORIZE A PROXY BY TELEPHONE OR INTERNET.</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Except for the matters discussed above, TSLX is not aware of any other matters to be presented for approval at the 2016 Annual Meeting. However, should other matters be brought before the 2016 Annual Meeting, the persons named as proxies on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vote on such matters in accordance with their best judgment in relation to such additional matters pursuant to the discretionary authority granted in the accompanying proxy card.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APPRAISAL OR DISSENTER’S RIGHTS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Stockholders will not have rights of appraisal or similar dissenter’s rights with respect to any matters identified in this Proxy Statement to be acted upon at the 2016 Annual Meeting.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AUDITORS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According to information we anticipate will be contained in the TICC 2016 Proxy Statement, the Audit Committee of the Board will likely appoint PricewaterhouseCoopers LLP as the Company’s independent registered public accounting firm to examine the books, records and accounts of the Company and its subsidiaries for the fiscal year ending December 31, 2016, subject to ratification by Stockholders at the 2016 Annual Meeting. We would anticipate that a member of PricewaterhouseCoopers LLP will be present at the 2016 Annual Meeting to make a statement if he or she desires to do so and will be available to respond to appropriate questions.</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information concerning PricewaterhouseCoopers LLP has been reproduced from the Form 10-K/A filed by the Company with the SEC on April 29, 2016:</w:t>
      </w:r>
    </w:p>
    <w:p>
      <w:pPr>
        <w:spacing w:after="0" w:line="62" w:lineRule="exact"/>
        <w:rPr>
          <w:sz w:val="20"/>
          <w:szCs w:val="20"/>
          <w:color w:val="auto"/>
        </w:rPr>
      </w:pPr>
    </w:p>
    <w:p>
      <w:pPr>
        <w:jc w:val="both"/>
        <w:ind w:left="460" w:right="420"/>
        <w:spacing w:after="0" w:line="264" w:lineRule="auto"/>
        <w:rPr>
          <w:sz w:val="20"/>
          <w:szCs w:val="20"/>
          <w:color w:val="auto"/>
        </w:rPr>
      </w:pPr>
      <w:r>
        <w:rPr>
          <w:rFonts w:ascii="Arial" w:cs="Arial" w:eastAsia="Arial" w:hAnsi="Arial"/>
          <w:sz w:val="18"/>
          <w:szCs w:val="18"/>
          <w:color w:val="auto"/>
        </w:rPr>
        <w:t>PricewaterhouseCoopers LLP served as the Company’s independent registered public accounting firm for the years ended December 31, 2015 and December 31, 2014. PricewaterhouseCoopers LLP has advised us that neither the firm nor any present member or associate of it has any material financial interest, direct or indirect, in the Company or its affiliates.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2015 and December 31, 2014, the Company incurred the following fees for services provided 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including expenses: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820" w:type="dxa"/>
            <w:vAlign w:val="bottom"/>
          </w:tcPr>
          <w:p>
            <w:pPr>
              <w:spacing w:after="0"/>
              <w:rPr>
                <w:sz w:val="14"/>
                <w:szCs w:val="14"/>
                <w:color w:val="auto"/>
              </w:rPr>
            </w:pPr>
          </w:p>
        </w:tc>
        <w:tc>
          <w:tcPr>
            <w:tcW w:w="4100" w:type="dxa"/>
            <w:vAlign w:val="bottom"/>
            <w:gridSpan w:val="2"/>
          </w:tcPr>
          <w:p>
            <w:pPr>
              <w:jc w:val="center"/>
              <w:ind w:left="3176"/>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118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3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$ 1,729,161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$ 1,952,244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(1)</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74,736</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All Other Fees</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Fees: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$ 1,803,897</w:t>
            </w: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$ 2,007,444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right="380" w:hanging="446"/>
        <w:spacing w:after="0" w:line="277" w:lineRule="auto"/>
        <w:tabs>
          <w:tab w:leader="none" w:pos="90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 of $127,000 previously disclosed as “audit-related fees” for the fiscal year ended December 31, 2014 was reclassified as “audit fees” to conform to the classification for the fiscal year ended December 31, 2015.</w:t>
      </w:r>
    </w:p>
    <w:p>
      <w:pPr>
        <w:spacing w:after="0" w:line="62"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including reviews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financial statements, and services that are normally provided by PricewaterhouseCoopers LLP in connection with statutory and regulatory filings and services provided in connection with securities offerings.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73"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would include fees for products and services other than the services reported above.</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i w:val="1"/>
          <w:iCs w:val="1"/>
          <w:color w:val="auto"/>
        </w:rPr>
        <w:t>Pre-Approval Policy</w:t>
      </w:r>
      <w:r>
        <w:rPr>
          <w:rFonts w:ascii="Arial" w:cs="Arial" w:eastAsia="Arial" w:hAnsi="Arial"/>
          <w:sz w:val="18"/>
          <w:szCs w:val="18"/>
          <w:color w:val="auto"/>
        </w:rPr>
        <w:t>. The Audit Committee has established a pre-approval policy that describes the permitted audit, audit-related, tax and other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be provided by PricewaterhouseCoopers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79"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spacing w:after="0" w:line="85"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During the year ended December 31, 2015, the Audit Committee pre-approved 100% of non-audit services in accordance with the pre-approval policy described above.</w:t>
      </w:r>
    </w:p>
    <w:p>
      <w:pPr>
        <w:spacing w:after="0" w:line="166"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color w:val="auto"/>
        </w:rPr>
        <w:t>TSLX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LLP as the Company’s independent registered public accounting firm for the fiscal year ending December 31, 2016. Please refer to the section entitled “Proposal No. 3: The Company’s Proposal to Ratify the Appointment of PricewaterhouseCoopers LLP” for additional information.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The solicitation of proxies pursuant to this Proxy Statement is being made by TSLX. Proxies may be solicited by mail, facsimile, telephone, telegraph, Internet, in person and by advertisements. Solicitations may also be made by certain of the respective directors, officers, members and employees of TSLX, none of whom will, except as described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elsewhere in this Proxy Statement, receive additional compensation for such solicitation. The Nominee may make solicitations of proxies but, except as described herein, will not receive compensation for acting as the Nominee.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retained MacKenzie Partners, Inc. for solicitation and advisory services in connection with solicitations relating to the 2016 Annual Meeting.</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MacKenzie Partners, Inc. is to receive a fee of up to approximately $[ ], plus reimbursement for its reasonable out-of-pocket expenses, for its services to TSLX in connection with the solicitation.</w:t>
      </w:r>
    </w:p>
    <w:p>
      <w:pPr>
        <w:spacing w:after="0" w:line="18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MacKenzie Partners, Inc. will solicit proxies from individuals, brokers, banks, bank nominees and other institutional holders. TSLX has requested banks, brokerage houses and other custodians, nominees and fiduciaries to forward all solicitation materials to the beneficial owners of the shares of Common Stock they hold of record. TSLX will reimburse these record holders for their reasonable out-of-pocket expenses in so doing. It is anticipated that MacKenzie</w:t>
      </w:r>
    </w:p>
    <w:p>
      <w:pPr>
        <w:spacing w:after="0"/>
        <w:tabs>
          <w:tab w:leader="none" w:pos="3440" w:val="left"/>
        </w:tabs>
        <w:rPr>
          <w:sz w:val="20"/>
          <w:szCs w:val="20"/>
          <w:color w:val="auto"/>
        </w:rPr>
      </w:pPr>
      <w:r>
        <w:rPr>
          <w:rFonts w:ascii="Arial" w:cs="Arial" w:eastAsia="Arial" w:hAnsi="Arial"/>
          <w:sz w:val="18"/>
          <w:szCs w:val="18"/>
          <w:color w:val="auto"/>
        </w:rPr>
        <w:t>Partners, Inc. will employ approximately [</w:t>
      </w:r>
      <w:r>
        <w:rPr>
          <w:sz w:val="20"/>
          <w:szCs w:val="20"/>
          <w:color w:val="auto"/>
        </w:rPr>
        <w:tab/>
      </w:r>
      <w:r>
        <w:rPr>
          <w:rFonts w:ascii="Arial" w:cs="Arial" w:eastAsia="Arial" w:hAnsi="Arial"/>
          <w:sz w:val="16"/>
          <w:szCs w:val="16"/>
          <w:color w:val="auto"/>
        </w:rPr>
        <w:t>] persons to solicit Stockholders for the 2016 Annual Meeting.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will request brokerage firms, banks and other nominees and fiduciaries to forward all materials related to this proxy solicitation to the beneficial owners of shares of Common Stock held of record. TSLX may reimburse these record holders for their reasonable out-of-pocket expenses in so doing.</w:t>
      </w:r>
    </w:p>
    <w:p>
      <w:pPr>
        <w:spacing w:after="0" w:line="124"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entire expense of soliciting proxies for the 2016 Annual Meeting by TSLX, or on TSLX’s behalf, is being borne by TSLX. Although no precise estimate can be made at the present time, the total expenditures in furtherance of, or in connection with, this solicitation are estimated to be approximately</w:t>
      </w:r>
    </w:p>
    <w:p>
      <w:pPr>
        <w:spacing w:after="0"/>
        <w:tabs>
          <w:tab w:leader="none" w:pos="540" w:val="left"/>
          <w:tab w:leader="none" w:pos="5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 of the date hereof, TSLX has incurred approximately $[</w:t>
      </w:r>
      <w:r>
        <w:rPr>
          <w:sz w:val="20"/>
          <w:szCs w:val="20"/>
          <w:color w:val="auto"/>
        </w:rPr>
        <w:tab/>
      </w:r>
      <w:r>
        <w:rPr>
          <w:rFonts w:ascii="Arial" w:cs="Arial" w:eastAsia="Arial" w:hAnsi="Arial"/>
          <w:sz w:val="16"/>
          <w:szCs w:val="16"/>
          <w:color w:val="auto"/>
        </w:rPr>
        <w:t>] of total expenditures in furtherance of, or in connection with, this solicitation.</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TSLX may seek reimbursement for its expenses incurred in connection with this solicitation if the Nominee is elected as a director of TICC or if TSLX is successful in its solicitation of proxies to terminate the Investment Advisory Agreement. The question of such reimbursement must be approved by a majority of the independent directors of the Board pursuant to the 1940 Act, and will not be submitted to a vote of Stockholders. TSLX does not expect that Mr. Millet would recuse himself from that vote, in light of his independence from TSLX. The Maryland General Corporation Law does not impose on a Maryland corporation any obligation to reimburse the successful bidder in a proxy contest, and the Board may deny a request for such reimbursement.</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TSLX and Mr.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may also be deemed participants in this solicitation. Information concerning TSLX, Mr. Millet and other persons who may also be deemed to be participants is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and is incorporated into this Proxy Statement by reference.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TSLX per share amounts in this Proxy Statement give effect to the stock split in the form of a stock dividend, which was effected on December 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TSLX anticipates that the TICC 2016 Proxy Statement, when available, will contain certain information and disclosure required by applicable law as well as other information and disclosure including, among other things, securities of the Company held by the Company’s directors, nominees, management and 5% Stockholders, certain biographical information on the Company’s directors and executive officers, information concerning all matters requiring the approval of Stockholders, including the election of a director, information concerning executive compensation, information concerning the Company’s procedures for nominating directors, information concerning the committees of the Board, other information concerning the Board and procedures for submitting proposals for the next annual meeting of Stockholders and information on how to obtain directions to be able to attend the 2016 Annual Meeting and vote in person. Stockholders should refer to the Company’s public filings in order to review this disclosure when available. TSLX has no knowledge of, or responsibility for, the accuracy of the Company’s disclosures in its proxy materials.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REGARDING TICC</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According to TICC’s proxy statement for the 2015 Annual Meeting, TICC is a Maryland corporation with its principal executive office located at 8 Sound Shore Drive, Suite 255, Greenwich, Connecticut 06830.</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TICC is subject to the informational requirements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and in accordance therewith is required to file reports, proxy statements and other information with the SEC. Reports, registration statements, proxy statements and other information filed by TICC with the SEC, including the TICC 2016 Proxy Statement, when available, are and will be publicly available at the SEC’s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for information regarding persons who beneficially own more than 5% of the Common Stock and the ownership of the Common Stock by the management and directors of TICC.</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ADDITIONAL INFORMATION</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copy of this Proxy Statement may have been sent to multiple Stockholders in your household. TSLX will promptly deliver a separate copy of the document to you if you write to our proxy solicitor, MacKenzie Partners, Inc., at the following address: 105 Madison Avenue, New York, New York 10016, call toll free at (800) 322-2885, or email TPG@mackenziepartners.com.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7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information concerning the Company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Nominee or TSLX is given only to the knowledge of TSLX.</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Proxy Statement is dated [ ], 2016. You should not assume that the information contained in this Proxy Statement is accurate as of any date other than such date, and the mailing of this Proxy Statement to Stockholders shall not create any implication to the contrary.</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YOUR VOTE IS IMPORTANT, NO MATTER HOW MANY SHARES YOU OWN. TSLX URGES YOU TO MARK, SIGN, DATE AND RETURN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TODAY TO AUTHORIZE A PROXY TO VOTE (1)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(2)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(3)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(4)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description of the requirements for submitting Stockholder proposals for the 2016 Annual Meeting has been reproduced from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proxy statement for the 2015 Annual Meeting:</w:t>
      </w:r>
    </w:p>
    <w:p>
      <w:pPr>
        <w:spacing w:after="0" w:line="103" w:lineRule="exact"/>
        <w:rPr>
          <w:sz w:val="20"/>
          <w:szCs w:val="20"/>
          <w:color w:val="auto"/>
        </w:rPr>
      </w:pPr>
    </w:p>
    <w:p>
      <w:pPr>
        <w:ind w:left="460" w:right="160"/>
        <w:spacing w:after="0" w:line="257" w:lineRule="auto"/>
        <w:rPr>
          <w:sz w:val="20"/>
          <w:szCs w:val="20"/>
          <w:color w:val="auto"/>
        </w:rPr>
      </w:pPr>
      <w:r>
        <w:rPr>
          <w:rFonts w:ascii="Arial" w:cs="Arial" w:eastAsia="Arial" w:hAnsi="Arial"/>
          <w:sz w:val="18"/>
          <w:szCs w:val="18"/>
          <w:color w:val="auto"/>
        </w:rPr>
        <w:t>The Company expects that the 2016 Annual Meeting will be held in June 2016, but the exact date, time, and location of such meeting have yet to be determined. A stockholder who intends to present a proposal at the 2016 Annual Meeting must submit the proposal in writing to the Company at its business address, and the Company must receive the proposal no later than January 5, 2016, in order for the proposal to be considered for inclusion in the Company’s proxy statement for that meeting. The submission of a proposal does not guarantee its inclusion in the Company’s proxy statement or presentation at the meeting.</w:t>
      </w:r>
    </w:p>
    <w:p>
      <w:pPr>
        <w:spacing w:after="0" w:line="80" w:lineRule="exact"/>
        <w:rPr>
          <w:sz w:val="20"/>
          <w:szCs w:val="20"/>
          <w:color w:val="auto"/>
        </w:rPr>
      </w:pPr>
    </w:p>
    <w:p>
      <w:pPr>
        <w:jc w:val="both"/>
        <w:ind w:left="460"/>
        <w:spacing w:after="0" w:line="302" w:lineRule="auto"/>
        <w:rPr>
          <w:sz w:val="20"/>
          <w:szCs w:val="20"/>
          <w:color w:val="auto"/>
        </w:rPr>
      </w:pPr>
      <w:r>
        <w:rPr>
          <w:rFonts w:ascii="Arial" w:cs="Arial" w:eastAsia="Arial" w:hAnsi="Arial"/>
          <w:sz w:val="16"/>
          <w:szCs w:val="16"/>
          <w:color w:val="auto"/>
        </w:rPr>
        <w:t>For any proposal that is not submitted for inclusion in next year’s proxy statement (as described in the preceding paragraph) but is instead sought to be presented directly at the 2016 Annual Meeting, SEC rules permit management to vote proxies in its discretion if (a) the Company receives notice of the proposal before the close of business on March 20, 2016 and advises stockholders in next year’s proxy statement about the nature of the matter and how management intends to vote on such matter, or (b) does not receive notice of the proposal prior to the close of business on March 20, 2016.</w:t>
      </w:r>
    </w:p>
    <w:p>
      <w:pPr>
        <w:spacing w:after="0" w:line="46"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Notices of intention to present proposals at the 2016 Annual Meeting should be addressed to Corporate Secretary, TICC Capital Corp., 8 Sound Shore Drive, Suite 255, Greenwich, Connecticut 06830. The Company reserves the right to reject, rule out of order, or take other appropriate action with respect to any proposal that does not comply with these and other applicable requirements.</w:t>
      </w:r>
    </w:p>
    <w:p>
      <w:pPr>
        <w:spacing w:after="0" w:line="18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We expect that the deadlines for submitting nominees and Stockholders proposals for inclusion in the Company’s proxy statement and form of proxy for the 2017 annual meeting of Stockholders (as well as the date after which notice of a Stockholder proposal submitted outside the process of Rule 14a-8 under the Exchange Act will be considered untimely) will be included in the TICC 2016 Proxy Statement, when available. The incorporation of this information in this Proxy Statement should not be construed as an admission by TSLX that such procedures are legal, valid or binding.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Certain statements contained in this Proxy Statement, and the documents referred to or incorporated by reference into this Proxy Statement, are forward-looking statements including, but not limited to, statements that are predictions of or indicate future events, trends, plans or objectives. Undue reliance should not be placed on such statements because, by their nature, they are subject to known and unknown risks and uncertainties. Forward-looking statements are not guarantees of future performance or activities and are subject to many risks and uncertainties. Due to such risks and uncertainties, actual events or results or actual performance may differ materially from those reflected or contemplated in such forward-looking statements. Forward-looking statements can be identified by the use of the future tense or other forward-looking words such as “believe,” “expect,” “anticipate,” “intend,” “plan,” “estimate,” “should,” “may,” “will,” “objective,” “projection,” “forecast,” “management believes,” “continue,” “strategy,” “position,” or the negative of those terms or other variations of them or by comparable terminology.</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Important factors that could cause actual results to differ materially from the expectations set forth in this Proxy Statement include, among other things, the factors identified under the section entitled “Risk Factors” in TICC’s Annual Report on Form 10-K for the year ended December 31, 2015, its Quarterly Report on Form 10-Q for the first quarter of 2016 and any subsequent Current Reports on Form 8-K. Such forward-looking statements should therefore be construed in light of such factors, and TSLX is under no obligation, and expressly disclaims any intention or obligation, to update or revise any forward-looking statements, whether as a result of new information, future events or otherwise, except as required by law.</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540" w:type="dxa"/>
            <w:vAlign w:val="bottom"/>
          </w:tcPr>
          <w:p>
            <w:pPr>
              <w:jc w:val="right"/>
              <w:ind w:right="400"/>
              <w:spacing w:after="0"/>
              <w:rPr>
                <w:sz w:val="20"/>
                <w:szCs w:val="20"/>
                <w:color w:val="auto"/>
              </w:rPr>
            </w:pPr>
            <w:r>
              <w:rPr>
                <w:rFonts w:ascii="Arial" w:cs="Arial" w:eastAsia="Arial" w:hAnsi="Arial"/>
                <w:sz w:val="16"/>
                <w:szCs w:val="16"/>
                <w:b w:val="1"/>
                <w:bCs w:val="1"/>
                <w:color w:val="auto"/>
                <w:w w:val="74"/>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2016</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[Remainder of page intentionally left blank.</w:t>
      </w:r>
      <w:r>
        <w:rPr>
          <w:rFonts w:ascii="Arial" w:cs="Arial" w:eastAsia="Arial" w:hAnsi="Arial"/>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TSLX and T. Kelley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may also be deemed participants in this solicitation. Solicitation in the manner set forth in this Proxy Statement may be made by the participants, none of whom will receive any additional or special compensation in connection with such solicitation, except with respect to the Nominee as described elsewhere in this Proxy Statement. Information concerning TSLX, Mr. Millet and other persons who may also be deemed to be participants is set forth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TPG Specialty Lending, Inc.</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over $16 billion of assets under management as of March 31, 2016, is the dedicated special situations and credit platform of TPG, a global private investment firm with over $74 billion of assets under management as of December 31, 2015. The principal occupation and business address of each of the directors and officers of TSLX is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address of the principal business and the address of the principal office of TSLX is TPG Specialty Lending, Inc., 301 Commerce Street, Suite 3300, Fort Worth, Texas 76102. More information about TSLX can be found at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None of the information available on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shall be deemed incorporated by reference into this Proxy Statement.</w:t>
      </w:r>
    </w:p>
    <w:p>
      <w:pPr>
        <w:spacing w:after="0" w:line="19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the date of this Proxy Statement, TSLX beneficially owns 1,633,719 shares of Common Stock, 1,059 of which are also owned of record. 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 Waxman may also be deemed to be the beneficial owners of all of the shares of Common Stock held by TSLX. The address of each of TSL Advisers, LLC and TSSP HoldCo Management, LLC is 301 Commerce Street, Suite 3300, Fort Worth, Texas 76102. The address of each of Messrs. David Bonderman, James Coulter and Alan Waxman is c/o TSL Advisers, LLC, 301 Commerce Street, Suite 3300, Fort Worth, Texas 76102.</w:t>
      </w:r>
    </w:p>
    <w:p>
      <w:pPr>
        <w:spacing w:after="0" w:line="16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Except as described herein or in the Proxy Statement, after reasonable inquiry,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the record or beneficial owner, directly or indirectly, of any securities of the Company or any parent or subsidiary of the Company, and none of their associates is a beneficial owner, directly or indirectly, of any securities of the Company.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are transactions in the Company’s securities effected by TSLX within the past two years. No part of the purchase price or market value of these securities is represented by funds borrowed or otherwise obtained for the purpose of acquiring or holding such securities. Other than as set forth in this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effected any transaction in any securities of the Company within the last two years.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During the past ten years,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been convicted in a criminal proceeding or has been named the subject of a pending criminal proceeding (excluding traffic violations or similar misdemeanors).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Except for the engagement of MacKenzie Partners, Inc. as proxy solicitor for TSLX, as further described herein under the section entitled “Solicitation of Proxies” and in connection with the Special Meeting,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or was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8"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 xml:space="preserve">Since the beginning of the Company’s last fiscal year,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or immediate family members, has had or will have any material interest, direct or indirect, in any transaction, or any currently proposed transaction, to which the Company or any of its subsidiaries was or is to be a participant and in which the amount involved exceeds $120,000.</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substantial interest, direct or indirect, through security holdings or otherwise, in any matter to be acted upon at the 2016 Annual Meeting. 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arrangement or understanding with any person with respect to any future employment by the Company or its affiliates, or with respect to any future transactions to which the Company or any of its affiliates will or may be a party.</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our proposal to terminate the Investment Advisory Agreement is approved, our existing investment adviser, TSL Advisers, LLC, may offer its services as a new adviser to the Company. In the event that TSL Advisers, LLC were to become the new adviser to the Company, it would presumably be compensated for its services on market terms, and it is also possible that our adviser may ultimately propose that the Company and TSLX be combined, on terms and conditions acceptable to the independent directors of each of the Company and TSLX, as contemplated by the 1940 Act. In addition, we are the beneficial owner of 1,633,719 shares of Common Stock, and expect that approval of our proposal to terminate the Investment Advisory Agreement will have a positive effect on the value of such shares.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Nominee</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As of the date of this Proxy Statement, Mr. Millet owns no shares, either beneficially or of record, of Common Stock or other securities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Mr. Millet, age 56, is the CEO, Vice Chairman, Treasurer and member of the board of directors of Banca IMI Securities Corp., a provider of banking and brokerage services to institutional investors. In addition, Mr. Millet currently serves on the board of directors of Investment Technology Group, Inc., where he is also a member of the Audit, Capital and Technology Committees. From 2012 until 2016, Mr. Millet served on the board of The Mutual Fund Store, a provider of personalized financial planning and money management services. From 2013 to 2014, Mr. Millet served as a consultant to Investment Technology Group, Inc.’s CEO and board of directors. Previously, (a) from 2012 until 2013, Mr. Millet served as Co-President, Partner and a member of the board of directors of Pierpont Securities LLC, a fixed income broker-dealer, (b) from 2011 until 2012, Mr. Millet was CEO and a member of the board of directors of the broker-dealer, Cortview Capital Holdings Inc. and (c)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Portfolios in</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Position(s)</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Term of Office</w:t>
            </w:r>
          </w:p>
        </w:tc>
        <w:tc>
          <w:tcPr>
            <w:tcW w:w="124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Fund Complex</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Occupation(s)</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be Overseen</w:t>
            </w: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Other Directorships Held</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1"/>
              </w:rPr>
              <w:t>Name, Address and Age</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Held with the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Length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During Past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by Nominee if</w:t>
            </w: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Time Served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Five Years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Elected</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by Nominee</w:t>
            </w:r>
          </w:p>
        </w:tc>
        <w:tc>
          <w:tcPr>
            <w:tcW w:w="0" w:type="dxa"/>
            <w:vAlign w:val="bottom"/>
          </w:tcPr>
          <w:p>
            <w:pPr>
              <w:spacing w:after="0"/>
              <w:rPr>
                <w:sz w:val="1"/>
                <w:szCs w:val="1"/>
                <w:color w:val="auto"/>
              </w:rPr>
            </w:pPr>
          </w:p>
        </w:tc>
      </w:tr>
      <w:tr>
        <w:trPr>
          <w:trHeight w:val="182"/>
        </w:trPr>
        <w:tc>
          <w:tcPr>
            <w:tcW w:w="14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8"/>
              </w:rPr>
              <w:t>T. Kelley Millet,</w:t>
            </w:r>
          </w:p>
        </w:tc>
        <w:tc>
          <w:tcPr>
            <w:tcW w:w="114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3"/>
              </w:rPr>
              <w:t>See above</w:t>
            </w:r>
          </w:p>
        </w:tc>
        <w:tc>
          <w:tcPr>
            <w:tcW w:w="120" w:type="dxa"/>
            <w:vAlign w:val="bottom"/>
          </w:tcPr>
          <w:p>
            <w:pPr>
              <w:spacing w:after="0"/>
              <w:rPr>
                <w:sz w:val="15"/>
                <w:szCs w:val="15"/>
                <w:color w:val="auto"/>
              </w:rPr>
            </w:pPr>
          </w:p>
        </w:tc>
        <w:tc>
          <w:tcPr>
            <w:tcW w:w="13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One (TICC</w:t>
            </w:r>
          </w:p>
        </w:tc>
        <w:tc>
          <w:tcPr>
            <w:tcW w:w="100" w:type="dxa"/>
            <w:vAlign w:val="bottom"/>
          </w:tcPr>
          <w:p>
            <w:pPr>
              <w:spacing w:after="0"/>
              <w:rPr>
                <w:sz w:val="15"/>
                <w:szCs w:val="15"/>
                <w:color w:val="auto"/>
              </w:rPr>
            </w:pPr>
          </w:p>
        </w:tc>
        <w:tc>
          <w:tcPr>
            <w:tcW w:w="2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Banca IMI Securities Corp.;</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age 56,</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Capital Corp.)</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62 Hoaglands Lane,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Technology Group, Inc.</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8"/>
              </w:rPr>
              <w:t>Old Brookville,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1"/>
              </w:rPr>
              <w:t>New York 11545</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Other than as indicated above, Mr. Millet does not hold, nor has held during the past five years, any other directorship in any company with a class of securities registered pursuant to Section 12 of the Exchange Act or subject to the requirements of Section 15(d) of the Exchange Act or any company registered as an investment company under the 1940 Act.</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Mr. Millet has agreed to be nominated as a director by TSLX. TSLX and Mr. Millet have signed a letter agreement, pursuant to which TSLX has agreed to (i) pay to Mr. Millet a one-time, non-refundable fee in the amount of $40,000, (ii) reimburse Mr. Millet for all reasonable and documented expenses (including any necessary travel and lodging) incurred in the performance of his responsibilities as the Nominee and (iii) directly pay for the reasonable and documented legal fees and expenses incurred by one independent legal counsel of his choosing to advise and represent him in connection with his entry into the above-referenced letter agreement. Pursuant to the same letter agreement, TSLX has also agreed to indemnify Mr. Millet in connection with losses arising from the solicitation of proxies for his election at the 2016 Annual Meeting or his being named the Nominee, subject to certain customary exceptions.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be entitled to any other benefits made available to the independent directors of the Company. Other than as described in the Company’s publicly filed documents, Mr. Millet is not aware of any arrangements pursuant to which outside directors of the Company were to be compensated for services during the Company’s last fiscal year.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Other than as described above, Mr. Millet has no material relationship or agreement with TSLX and there are no arrangements or understandings between Mr. Millet and any other party pursuant to which Mr. Millet was or is to be selected as a director or nominee to the Board.</w:t>
      </w:r>
    </w:p>
    <w:p>
      <w:pPr>
        <w:spacing w:after="0" w:line="124"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During the past ten years, Mr. Millet has not been convicted in any criminal proceeding nor has been named the subject of a pending criminal proceeding (excluding traffic violations or similar misdemeanors).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Within the past ten years, Mr. Millet has not been involved in any legal or other proceeding that would be required to be disclosed under Item 401(f) of Regulation S-K.</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Mr. Millet does not own beneficially, directly or indirectly, or of record any shares of Common Stock or other securities of the Company or Oxford Lane Capital Corp. (“</w:t>
      </w:r>
      <w:r>
        <w:rPr>
          <w:rFonts w:ascii="Arial" w:cs="Arial" w:eastAsia="Arial" w:hAnsi="Arial"/>
          <w:sz w:val="17"/>
          <w:szCs w:val="17"/>
          <w:u w:val="single" w:color="auto"/>
          <w:color w:val="auto"/>
        </w:rPr>
        <w:t>OXLC</w:t>
      </w:r>
      <w:r>
        <w:rPr>
          <w:rFonts w:ascii="Arial" w:cs="Arial" w:eastAsia="Arial" w:hAnsi="Arial"/>
          <w:sz w:val="17"/>
          <w:szCs w:val="17"/>
          <w:color w:val="auto"/>
        </w:rPr>
        <w:t>”), nor has Mr. Millet purchased or sold any securities of the Company or OXLC in the past two years.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Millet does not own beneficially, directly or indirectly, any shares of Common Stock or other securities of any parent or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None of Mr. Millet’s associates owns beneficially, directly or indirectly, any shares of Common Stock or other securities of the Company or OXLC.</w:t>
      </w:r>
    </w:p>
    <w:p>
      <w:pPr>
        <w:spacing w:after="0" w:line="222"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Mr. Millet is not, and within the past year has not been a party to, any contracts,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Neither Mr. Millet nor any of his associates has any arrangement or understanding with any person (i) with respect to any future employment by the Company or any affiliated person thereof or (ii) with respect to any future transactions to which the Company or any affiliated person thereof will or may be a party.</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Neither Mr. Millet nor any of his associates is involved in any material legal proceeding in which he or they is or are a party adverse to the Company or any of its subsidiaries or has a material interest adverse to the Company or any of its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Millet does not hold any positions or offices with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company or organization with which Mr. Millet has been employed in the past five years is a parent, subsidiary or other affiliate of the Company.</w:t>
      </w:r>
    </w:p>
    <w:p>
      <w:pPr>
        <w:spacing w:after="0" w:line="24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There are no family relationships (as defined in Item 401(d) of Regulation S-K) between Mr. Millet and any director or executive officer of the Company or any person nominated or chosen by the Company to become a director or executive officer of the Company.</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Mr. Millet is not a current or former officer of the Company and Mr. Millet was not an employee of the Company during fiscal year 2015. During fiscal year 2015, no executive officer of the Company served as a member of the compensation committee (or other board committee performing equivalent functions or, in the absence of any such committee, the entire board of directors) of another entity of which Mr. Millet was an executive officer.</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None of Mr. Millet, any member of his immediate family or any of his associates had, or expects to have, a direct or indirect material interest in any transaction, since the beginning of the Company’s last fiscal year, or any currently proposed transaction, in which the Company was or is to be a participant and the amount involved exceeds $120,000.</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Mr. Millet does not have a substantial interest, direct or indirect, by securities holdings or otherwise, in any matter to be acted on at the 2016 Annual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the information furnished by Mr. Millet, TSLX believes that, if elected as a director of the Company, Mr. Millet would be considered an “independent director” under the applicable corporate governance guidelines and NASDAQ Stock Market listing standards and would not be considered an “interested person” within the meaning of Section 2(a)(19) of the 1940 Act. TSLX has no knowledge of any facts that would prevent a determination that Mr. Millet is independent or is not an interested person under such standards.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as stated elsewhere in this Proxy Statement, there are no agreements, arrangements or understandings between TSLX or any of its affiliates, associates and advisors, and Mr. Millet or any other person or persons pursuant to which the nominations described herein are to be made, and TSLX and its affiliates, associates and advisors have no material interest in such nomination, including any anticipated benefit therefrom to TSLX or any of its affiliates, associates or advisors.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Mr. Millet was not at any time during the Company’s last fiscal year a director, officer, beneficial owner of more than ten percent of any class of equity securities of the Company registered pursuant to Section 12 of the Exchange Act or otherwise subject to Section 16 of the Exchange Act with respect to the Company because of the requirements of Section 30 of the 1940 Act that failed to file on a timely basis reports required by Section 16(a) of the Exchange Act (including any report on Form 3, Form 4 or Form 5 or any amendment thereto) during the Company’s last fiscal year or prior fiscal years.</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Mr. Millet nor any spouse of Mr. Millet, child residing in Mr. Millet’s household (including step and adoptive children), nor any dependent, as defined in Section 152 of the Internal Revenue Code, of Mr. Millet (an “</w:t>
      </w:r>
      <w:r>
        <w:rPr>
          <w:rFonts w:ascii="Arial" w:cs="Arial" w:eastAsia="Arial" w:hAnsi="Arial"/>
          <w:sz w:val="18"/>
          <w:szCs w:val="18"/>
          <w:u w:val="single" w:color="auto"/>
          <w:color w:val="auto"/>
        </w:rPr>
        <w:t>Immediate Family Member</w:t>
      </w:r>
      <w:r>
        <w:rPr>
          <w:rFonts w:ascii="Arial" w:cs="Arial" w:eastAsia="Arial" w:hAnsi="Arial"/>
          <w:sz w:val="18"/>
          <w:szCs w:val="18"/>
          <w:color w:val="auto"/>
        </w:rPr>
        <w:t>”) currently or during the past five years has any direct or indirect interest, the value of which exceeds $60,000, in: (i) an investment adviser or principal underwriter of the Company or (ii) a person (other than a registered investment company) directly or indirectly controlling, or controlled by, or under common control with, an investment adviser or principal underwriter of the Company.</w:t>
      </w:r>
    </w:p>
    <w:p>
      <w:pPr>
        <w:spacing w:after="0" w:line="188"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During the past five years, neither Mr. Millet nor any Immediate Family Member has had any material interest, direct or indirect, in any transaction or series of similar transactions in which the amount involved exceeds $60,000 and to which any of the following persons was or is to be a party: (i) the Company, (ii) an officer of the Company, (iii)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(iv) an officer of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(v) an investment adviser or principal underwriter of the Company, (vi) an officer of an investment adviser or principal underwriter of the Company, (vii) a person directly or indirectly controlling, controlled by, or under common control with an investment adviser or principal underwriter of the Company or (viii) an officer of a person directly or indirectly controlling, controlled by, or under common control with an investment adviser or principal underwriter of the Company.</w:t>
      </w:r>
    </w:p>
    <w:p>
      <w:pPr>
        <w:spacing w:after="0" w:line="18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Neither Mr. Millet nor any Immediate Family Member has any direct or indirect relationship, in which the amount involved exceeds $60,000, that exists, or has existed at any time since the beginning of the last two completed fiscal years of the Company, or is currently proposed, with any of the persons specified in the immediately preceding paragraph, including (i) payments for property or services to or from any such person, (ii) provision of legal services to any such person, (iii) provision of investment banking services to any such person, other than as a participating underwriter in a syndicate and (iv) any consulting or other relationship that is substantially similar in nature and scope to such relationships with any such person.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officer of an investment adviser or principal underwriter of the Company, or an officer of a person directly or indirectly controlling, controlled by, or under common control with an investment adviser, or principal underwriter of the Company, serves, or has served since the beginning of the last two completed fiscal years of the Company, on the board of directors of a company where Mr. Millet or an Immediate Family Member is, or was since the beginning of the last two completed fiscal years of the Company, an officer.</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Company’s business, to which Mr. Millet or an affiliated person of Mr. Millet is a party adverse to the Company or subsidiaries or any of its affiliated persons or has a material interest adverse to the Company or subsidiaries or any of its affiliated persons.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00"/>
          </w:cols>
          <w:pgMar w:left="24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Directors and Executive Officers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is a list of the directors and executive officers of TSLX, setting forth the present principal occupation or employment and the name, principal business and address of any corporation or other organization in which such employment is conducted for each such person. The current business address of each such person is TPG Specialty Lending, Inc., 301 Commerce Street, Suite 3300, Fort Worth, Texas 76102. Each of the persons listed below is a citizen of the United States, except for Ian Simmonds who is a citizen of both Australia and the United Kingdom.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Pr>
          <w:p>
            <w:pPr>
              <w:ind w:left="2180"/>
              <w:spacing w:after="0"/>
              <w:rPr>
                <w:sz w:val="20"/>
                <w:szCs w:val="20"/>
                <w:color w:val="auto"/>
              </w:rPr>
            </w:pPr>
            <w:r>
              <w:rPr>
                <w:rFonts w:ascii="Arial" w:cs="Arial" w:eastAsia="Arial" w:hAnsi="Arial"/>
                <w:sz w:val="14"/>
                <w:szCs w:val="14"/>
                <w:b w:val="1"/>
                <w:bCs w:val="1"/>
                <w:color w:val="auto"/>
              </w:rPr>
              <w:t>Present Position</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c>
          <w:tcPr>
            <w:tcW w:w="2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 and Chairman of the Board of Directors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Co-Chief Executive Officer, TPG Specialty</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Fishman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Executive Officer and Director, TPG</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Robert (Bo) Stanley</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65"/>
        </w:trPr>
        <w:tc>
          <w:tcPr>
            <w:tcW w:w="362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Ronald Tanemura</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37"/>
        </w:trPr>
        <w:tc>
          <w:tcPr>
            <w:tcW w:w="3620" w:type="dxa"/>
            <w:vAlign w:val="bottom"/>
            <w:gridSpan w:val="2"/>
          </w:tcPr>
          <w:p>
            <w:pPr>
              <w:spacing w:after="0"/>
              <w:rPr>
                <w:sz w:val="20"/>
                <w:szCs w:val="20"/>
                <w:color w:val="auto"/>
              </w:rPr>
            </w:pPr>
            <w:r>
              <w:rPr>
                <w:rFonts w:ascii="Arial" w:cs="Arial" w:eastAsia="Arial" w:hAnsi="Arial"/>
                <w:sz w:val="18"/>
                <w:szCs w:val="18"/>
                <w:color w:val="auto"/>
              </w:rPr>
              <w:t>Ian Simmonds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Principal Accounting Officer,</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TPG Specialty Lending, Inc.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Jennifer Gordon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Secretary,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Deputy Chief Operating Officer, TPG Special</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Risk Officer, 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Investment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Committee Member, TPG</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7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00" w:type="dxa"/>
            <w:vAlign w:val="bottom"/>
            <w:gridSpan w:val="3"/>
          </w:tcPr>
          <w:p>
            <w:pPr>
              <w:ind w:left="1960"/>
              <w:spacing w:after="0"/>
              <w:rPr>
                <w:sz w:val="20"/>
                <w:szCs w:val="20"/>
                <w:color w:val="auto"/>
              </w:rPr>
            </w:pPr>
            <w:r>
              <w:rPr>
                <w:rFonts w:ascii="Arial" w:cs="Arial" w:eastAsia="Arial" w:hAnsi="Arial"/>
                <w:sz w:val="18"/>
                <w:szCs w:val="18"/>
                <w:color w:val="auto"/>
              </w:rPr>
              <w:t>A-7</w:t>
            </w: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Purchases of Shares of Common Stock</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past two years, TSLX purchased shares of Common Stock in open market transactions as indicated below. No indebtedness was incurred by TSLX for the purpose of acquiring or holding these shares of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Pr>
          <w:p>
            <w:pPr>
              <w:spacing w:after="0"/>
              <w:rPr>
                <w:sz w:val="20"/>
                <w:szCs w:val="20"/>
                <w:color w:val="auto"/>
              </w:rPr>
            </w:pPr>
            <w:r>
              <w:rPr>
                <w:rFonts w:ascii="Arial" w:cs="Arial" w:eastAsia="Arial" w:hAnsi="Arial"/>
                <w:sz w:val="14"/>
                <w:szCs w:val="14"/>
                <w:b w:val="1"/>
                <w:bCs w:val="1"/>
                <w:color w:val="auto"/>
                <w:w w:val="93"/>
              </w:rPr>
              <w:t>Date of Transaction</w:t>
            </w:r>
          </w:p>
        </w:tc>
        <w:tc>
          <w:tcPr>
            <w:tcW w:w="7280" w:type="dxa"/>
            <w:vAlign w:val="bottom"/>
          </w:tcPr>
          <w:p>
            <w:pPr>
              <w:spacing w:after="0"/>
              <w:rPr>
                <w:sz w:val="16"/>
                <w:szCs w:val="16"/>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5"/>
              </w:rPr>
              <w:t>Identity of</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 of Shares of</w:t>
            </w:r>
          </w:p>
        </w:tc>
      </w:tr>
      <w:tr>
        <w:trPr>
          <w:trHeight w:val="149"/>
        </w:trPr>
        <w:tc>
          <w:tcPr>
            <w:tcW w:w="12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(Trade Settle)</w:t>
            </w:r>
          </w:p>
        </w:tc>
        <w:tc>
          <w:tcPr>
            <w:tcW w:w="7280" w:type="dxa"/>
            <w:vAlign w:val="bottom"/>
          </w:tcPr>
          <w:p>
            <w:pPr>
              <w:spacing w:after="0"/>
              <w:rPr>
                <w:sz w:val="12"/>
                <w:szCs w:val="12"/>
                <w:color w:val="auto"/>
              </w:rPr>
            </w:pPr>
          </w:p>
        </w:tc>
        <w:tc>
          <w:tcPr>
            <w:tcW w:w="1500" w:type="dxa"/>
            <w:vAlign w:val="bottom"/>
            <w:gridSpan w:val="2"/>
          </w:tcPr>
          <w:p>
            <w:pPr>
              <w:jc w:val="right"/>
              <w:ind w:right="860"/>
              <w:spacing w:after="0" w:line="129" w:lineRule="exact"/>
              <w:rPr>
                <w:sz w:val="20"/>
                <w:szCs w:val="20"/>
                <w:color w:val="auto"/>
              </w:rPr>
            </w:pPr>
            <w:r>
              <w:rPr>
                <w:rFonts w:ascii="Arial" w:cs="Arial" w:eastAsia="Arial" w:hAnsi="Arial"/>
                <w:sz w:val="14"/>
                <w:szCs w:val="14"/>
                <w:b w:val="1"/>
                <w:bCs w:val="1"/>
                <w:color w:val="auto"/>
                <w:w w:val="90"/>
              </w:rPr>
              <w:t>Purchaser</w:t>
            </w:r>
          </w:p>
        </w:tc>
        <w:tc>
          <w:tcPr>
            <w:tcW w:w="14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Common Stock</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7"/>
        </w:trPr>
        <w:tc>
          <w:tcPr>
            <w:tcW w:w="1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8/5/2015</w:t>
            </w:r>
          </w:p>
        </w:tc>
        <w:tc>
          <w:tcPr>
            <w:tcW w:w="7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TSLX</w:t>
            </w:r>
          </w:p>
        </w:tc>
        <w:tc>
          <w:tcPr>
            <w:tcW w:w="8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234,000</w:t>
            </w:r>
          </w:p>
        </w:tc>
        <w:tc>
          <w:tcPr>
            <w:tcW w:w="140" w:type="dxa"/>
            <w:vAlign w:val="bottom"/>
            <w:shd w:val="clear" w:color="auto" w:fill="CCEEFF"/>
          </w:tcPr>
          <w:p>
            <w:pPr>
              <w:spacing w:after="0"/>
              <w:rPr>
                <w:sz w:val="17"/>
                <w:szCs w:val="17"/>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8/6/2015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126,000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74,000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8/12/2015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8/13/2015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4,660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8/18/2015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33,000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8/19/2015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8/21/2015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3/31/2016</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Shares acquired through dividend reinvestment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NOMINATION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[Nominee]:</w:t>
      </w:r>
    </w:p>
    <w:p>
      <w:pPr>
        <w:spacing w:after="0" w:line="117" w:lineRule="exact"/>
        <w:rPr>
          <w:sz w:val="20"/>
          <w:szCs w:val="20"/>
          <w:color w:val="auto"/>
        </w:rPr>
      </w:pPr>
    </w:p>
    <w:p>
      <w:pPr>
        <w:ind w:right="400" w:firstLine="456"/>
        <w:spacing w:after="0" w:line="276" w:lineRule="auto"/>
        <w:rPr>
          <w:sz w:val="20"/>
          <w:szCs w:val="20"/>
          <w:color w:val="auto"/>
        </w:rPr>
      </w:pPr>
      <w:r>
        <w:rPr>
          <w:rFonts w:ascii="Arial" w:cs="Arial" w:eastAsia="Arial" w:hAnsi="Arial"/>
          <w:sz w:val="17"/>
          <w:szCs w:val="17"/>
          <w:color w:val="auto"/>
        </w:rPr>
        <w:t>This letter agreement, dated [●] (this “</w:t>
      </w:r>
      <w:r>
        <w:rPr>
          <w:rFonts w:ascii="Arial" w:cs="Arial" w:eastAsia="Arial" w:hAnsi="Arial"/>
          <w:sz w:val="17"/>
          <w:szCs w:val="17"/>
          <w:u w:val="single" w:color="auto"/>
          <w:color w:val="auto"/>
        </w:rPr>
        <w:t>Agreement</w:t>
      </w:r>
      <w:r>
        <w:rPr>
          <w:rFonts w:ascii="Arial" w:cs="Arial" w:eastAsia="Arial" w:hAnsi="Arial"/>
          <w:sz w:val="17"/>
          <w:szCs w:val="17"/>
          <w:color w:val="auto"/>
        </w:rPr>
        <w:t>”), is with reference to your agreement to become a nominee (a “</w:t>
      </w:r>
      <w:r>
        <w:rPr>
          <w:rFonts w:ascii="Arial" w:cs="Arial" w:eastAsia="Arial" w:hAnsi="Arial"/>
          <w:sz w:val="17"/>
          <w:szCs w:val="17"/>
          <w:u w:val="single" w:color="auto"/>
          <w:color w:val="auto"/>
        </w:rPr>
        <w:t>Nominee</w:t>
      </w:r>
      <w:r>
        <w:rPr>
          <w:rFonts w:ascii="Arial" w:cs="Arial" w:eastAsia="Arial" w:hAnsi="Arial"/>
          <w:sz w:val="17"/>
          <w:szCs w:val="17"/>
          <w:color w:val="auto"/>
        </w:rPr>
        <w:t>”) of TPG Specialty Lending, Inc., a Delaware corporation (“</w:t>
      </w:r>
      <w:r>
        <w:rPr>
          <w:rFonts w:ascii="Arial" w:cs="Arial" w:eastAsia="Arial" w:hAnsi="Arial"/>
          <w:sz w:val="17"/>
          <w:szCs w:val="17"/>
          <w:u w:val="single" w:color="auto"/>
          <w:color w:val="auto"/>
        </w:rPr>
        <w:t>TSLX</w:t>
      </w:r>
      <w:r>
        <w:rPr>
          <w:rFonts w:ascii="Arial" w:cs="Arial" w:eastAsia="Arial" w:hAnsi="Arial"/>
          <w:sz w:val="17"/>
          <w:szCs w:val="17"/>
          <w:color w:val="auto"/>
        </w:rPr>
        <w:t>”), for election to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TICC Capital Corp., a Maryland corporation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stockholders’ meeting of TICC, or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If TSLX determines to proceed, it expects that it would solicit proxies in favor of your election to the Board of TICC in connection with the Annual Meeting (the “</w:t>
      </w:r>
      <w:r>
        <w:rPr>
          <w:rFonts w:ascii="Arial" w:cs="Arial" w:eastAsia="Arial" w:hAnsi="Arial"/>
          <w:sz w:val="17"/>
          <w:szCs w:val="17"/>
          <w:u w:val="single" w:color="auto"/>
          <w:color w:val="auto"/>
        </w:rPr>
        <w:t>Solicitation</w:t>
      </w:r>
      <w:r>
        <w:rPr>
          <w:rFonts w:ascii="Arial" w:cs="Arial" w:eastAsia="Arial" w:hAnsi="Arial"/>
          <w:sz w:val="17"/>
          <w:szCs w:val="17"/>
          <w:color w:val="auto"/>
        </w:rPr>
        <w:t>”).</w:t>
      </w:r>
    </w:p>
    <w:p>
      <w:pPr>
        <w:spacing w:after="0" w:line="173" w:lineRule="exact"/>
        <w:rPr>
          <w:sz w:val="20"/>
          <w:szCs w:val="20"/>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Responsibilities of Nominee</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70" w:lineRule="auto"/>
        <w:tabs>
          <w:tab w:leader="none" w:pos="7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You agree (a) to be named as a Nominee in any and all solicitation materials prepared by TSLX in connection with the Solicitation, (b) to provide true and complete information concerning your background, experience, abilities and integrity as may be reasonably requested from time to time by TSLX (including, without limitation, all information required under the Securities Exchange Act of 1934, as amended, and the rules and regulations promulgated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 to be disclosed in any proxy statement or other materials prepared by TSLX in connection with the Solicitation (collectively, the “</w:t>
      </w:r>
      <w:r>
        <w:rPr>
          <w:rFonts w:ascii="Arial" w:cs="Arial" w:eastAsia="Arial" w:hAnsi="Arial"/>
          <w:sz w:val="17"/>
          <w:szCs w:val="17"/>
          <w:u w:val="single" w:color="auto"/>
          <w:color w:val="auto"/>
        </w:rPr>
        <w:t>Solicitation Materials</w:t>
      </w:r>
      <w:r>
        <w:rPr>
          <w:rFonts w:ascii="Arial" w:cs="Arial" w:eastAsia="Arial" w:hAnsi="Arial"/>
          <w:sz w:val="17"/>
          <w:szCs w:val="17"/>
          <w:color w:val="auto"/>
        </w:rPr>
        <w:t xml:space="preserve">”)), and not to omit information that is material to an understanding of your background, experience, abilities and integrity, (c) that your agreement to be a Nominee, and the information referred to in clause (b) of this paragraph (1) may be disclosed by TSLX, in the Solicitation Materials and (d) if elected, to serve as a director of TICC, and in that capacity to act in the best interests of TICC and its stockholders and to exercise your independent judgment in accordance with your fiduciary duties in all matters that come before the Board. You also agree to sign the form of consent in favor of TICC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In addition, if requested by TSLX, you agree to attend one or more meetings with the proxy advisory firm, Institutional Shareholder Services Inc., also referred to as ISS.</w:t>
      </w:r>
    </w:p>
    <w:p>
      <w:pPr>
        <w:spacing w:after="0" w:line="177" w:lineRule="exact"/>
        <w:rPr>
          <w:rFonts w:ascii="Arial" w:cs="Arial" w:eastAsia="Arial" w:hAnsi="Arial"/>
          <w:sz w:val="17"/>
          <w:szCs w:val="17"/>
          <w:color w:val="auto"/>
        </w:rPr>
      </w:pPr>
    </w:p>
    <w:p>
      <w:pPr>
        <w:ind w:right="120" w:firstLine="464"/>
        <w:spacing w:after="0" w:line="255" w:lineRule="auto"/>
        <w:tabs>
          <w:tab w:leader="none" w:pos="7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period starting from the date of this Agreement and ending at the earlier of (a) your election to the Board (or if the election or qualification of members to the Board is contested on any grounds, such later date that such contest is resolved) and (b) the date you have been notified by TSLX that it will not commence the Solicitation or has abandoned the Solicitation or will not nominate you to the Board or that the requisite number of votes for your election to the Board has not been obtained (the “</w:t>
      </w:r>
      <w:r>
        <w:rPr>
          <w:rFonts w:ascii="Arial" w:cs="Arial" w:eastAsia="Arial" w:hAnsi="Arial"/>
          <w:sz w:val="18"/>
          <w:szCs w:val="18"/>
          <w:u w:val="single" w:color="auto"/>
          <w:color w:val="auto"/>
        </w:rPr>
        <w:t>Nomination Period</w:t>
      </w:r>
      <w:r>
        <w:rPr>
          <w:rFonts w:ascii="Arial" w:cs="Arial" w:eastAsia="Arial" w:hAnsi="Arial"/>
          <w:sz w:val="18"/>
          <w:szCs w:val="18"/>
          <w:color w:val="auto"/>
        </w:rPr>
        <w:t>”), you shall consult with TSLX concerning, and to the extent practicable preview for TSLX the content of, any public statement (written or oral), disclosure or announcement with respect to the Solicitation, the matters before the Annual Meeting, this Agreement or the actions contemplated hereby.</w:t>
      </w:r>
    </w:p>
    <w:p>
      <w:pPr>
        <w:spacing w:after="0" w:line="193" w:lineRule="exact"/>
        <w:rPr>
          <w:rFonts w:ascii="Arial" w:cs="Arial" w:eastAsia="Arial" w:hAnsi="Arial"/>
          <w:sz w:val="18"/>
          <w:szCs w:val="18"/>
          <w:color w:val="auto"/>
        </w:rPr>
      </w:pPr>
    </w:p>
    <w:p>
      <w:pPr>
        <w:ind w:right="80" w:firstLine="464"/>
        <w:spacing w:after="0" w:line="297" w:lineRule="auto"/>
        <w:tabs>
          <w:tab w:leader="none" w:pos="7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parties acknowledge and agree that you are not an employee or an agent or otherwise a representative of TSLX, that you are independent of, and not controlled by or acting at the direction of, TSLX, that you are not an “interested person” of TSLX or TICC, as defined in the Investment Company Act of 1940, as amended, that, if elected, you will be acting as a director of TICC, on behalf of TICC and all of the stockholders of TICC and will in no way be controlled by or acting at the direction of TSLX and that, as a result, there is, and can be, no agreement between you and TSLX that governs any decisions you may make as a member of the Board. You shall have no authority to act as an agent of TSLX and you shall not represent the contrary to any person.</w:t>
      </w:r>
    </w:p>
    <w:p>
      <w:pPr>
        <w:spacing w:after="0" w:line="158" w:lineRule="exact"/>
        <w:rPr>
          <w:sz w:val="20"/>
          <w:szCs w:val="20"/>
          <w:color w:val="auto"/>
        </w:rPr>
      </w:pPr>
    </w:p>
    <w:p>
      <w:pPr>
        <w:ind w:right="260" w:firstLine="464"/>
        <w:spacing w:after="0" w:line="264"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Responsibilities of TSLX</w:t>
      </w:r>
      <w:r>
        <w:rPr>
          <w:rFonts w:ascii="Arial" w:cs="Arial" w:eastAsia="Arial" w:hAnsi="Arial"/>
          <w:sz w:val="18"/>
          <w:szCs w:val="18"/>
          <w:color w:val="auto"/>
        </w:rPr>
        <w:t>. Notwithstanding anything in this Agreement to the contrary, TSLX is not obligated to nominate you to the Board or to commence or complete the Solicitation. TSLX may withdraw your candidacy or abandon or terminate the Solicitation at any time, for any reason or no reason.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In consideration of your agreement to become a Nominee and to be named in the Solicitation Materials, on or promptly following the date hereof, TSLX shall pay to you a one-time, non-refundable fee in the amount of $40,000 by wire transfer of immediately available funds to an account designated by you.</w:t>
      </w:r>
    </w:p>
    <w:p>
      <w:pPr>
        <w:spacing w:after="0" w:line="181" w:lineRule="exact"/>
        <w:rPr>
          <w:rFonts w:ascii="Arial" w:cs="Arial" w:eastAsia="Arial" w:hAnsi="Arial"/>
          <w:sz w:val="18"/>
          <w:szCs w:val="18"/>
          <w:color w:val="auto"/>
        </w:rPr>
      </w:pPr>
    </w:p>
    <w:p>
      <w:pPr>
        <w:ind w:right="300" w:firstLine="464"/>
        <w:spacing w:after="0" w:line="257" w:lineRule="auto"/>
        <w:tabs>
          <w:tab w:leader="none" w:pos="72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TSLX agrees that for duration of the Nomination Period, TSLX will (1) promptly reimburse you for all reasonable and documented expenses (including any necessary travel and lodging) incurred in the performance of your responsibilities as a Nominee and (2) directly pay for the reasonable and documented legal fees and expenses incurred by one independent legal counsel of your choosing to advise and represent you in connection with your entry into this Agreement. The foregoing right to reimbursement and payment shall be in addition to your rights of indemnification and advancement of expenses set forth in this Agreement.</w:t>
      </w:r>
    </w:p>
    <w:p>
      <w:pPr>
        <w:spacing w:after="0" w:line="188" w:lineRule="exact"/>
        <w:rPr>
          <w:rFonts w:ascii="Arial" w:cs="Arial" w:eastAsia="Arial" w:hAnsi="Arial"/>
          <w:sz w:val="18"/>
          <w:szCs w:val="18"/>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 Advancement of Expenses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9" w:lineRule="auto"/>
        <w:tabs>
          <w:tab w:leader="none" w:pos="7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a material inducement to you to become a Nominee, TSLX hereby agrees to indemnify, defend and hold you harmless from and against any and all losses, claims and other costs and expenses, including, without limitation, all damages, liabilities, judgments, amounts paid or payable in settlement and other expenses (including reasonable and documented fees and disbursements of counsel and costs of investigation)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you may become subject or which you may incur in connection with being made, or threatened with being made, a party or witness (or in any other capacity) to any proceeding at law or in equity or before any governmental agency or board or any other body whatsoever (whether arbitral, civil, criminal, trial, appeal, administrative, formal, informal, investigative or other), arising out of, based upon or related to the Solicitation or your being a Nominee (an “</w:t>
      </w:r>
      <w:r>
        <w:rPr>
          <w:rFonts w:ascii="Arial" w:cs="Arial" w:eastAsia="Arial" w:hAnsi="Arial"/>
          <w:sz w:val="16"/>
          <w:szCs w:val="16"/>
          <w:u w:val="single" w:color="auto"/>
          <w:color w:val="auto"/>
        </w:rPr>
        <w:t>Action</w:t>
      </w:r>
      <w:r>
        <w:rPr>
          <w:rFonts w:ascii="Arial" w:cs="Arial" w:eastAsia="Arial" w:hAnsi="Arial"/>
          <w:sz w:val="16"/>
          <w:szCs w:val="16"/>
          <w:color w:val="auto"/>
        </w:rPr>
        <w:t>”), except to the extent it is finally determined that such Loss arises or results from your gross negligence, bad faith or willful misconduct or any untrue statement of a material fact or omission of a material fact made by you or made by TSLX in reliance upon and in conformity with information furnished by you in the questionnaire provided to you by TSLX or otherwise in connection with the Annual Meeting, the Solicitation or in response to a request from TICC.</w:t>
      </w:r>
    </w:p>
    <w:p>
      <w:pPr>
        <w:spacing w:after="0" w:line="166" w:lineRule="exact"/>
        <w:rPr>
          <w:rFonts w:ascii="Arial" w:cs="Arial" w:eastAsia="Arial" w:hAnsi="Arial"/>
          <w:sz w:val="16"/>
          <w:szCs w:val="16"/>
          <w:color w:val="auto"/>
        </w:rPr>
      </w:pPr>
    </w:p>
    <w:p>
      <w:pPr>
        <w:ind w:right="100" w:firstLine="464"/>
        <w:spacing w:after="0" w:line="273" w:lineRule="auto"/>
        <w:tabs>
          <w:tab w:leader="none" w:pos="7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event of the commencement or threatened commencement of any Action in respect of which you may seek indemnification from TSLX hereunder, you will give prompt written notice thereof to TSLX; provided that the failure to so provide prompt notice shall not relieve TSLX of its indemnification obligations hereunder except to the extent that TSLX is materially prejudiced as a result thereof. TSLX will be entitled to participate therein, including, without limitation, the negotiation and approval of any settlement of such Action and, to the extent that TSLX may wish, to assume the defense thereof, with counsel reasonably satisfactory to you. TSLX shall in no event be liable for any settlement by you of any such Action effected without the prior written consent of TSLX, which consent shall not be unreasonably withheld, conditioned or delayed.</w:t>
      </w:r>
    </w:p>
    <w:p>
      <w:pPr>
        <w:spacing w:after="0" w:line="178" w:lineRule="exact"/>
        <w:rPr>
          <w:rFonts w:ascii="Arial" w:cs="Arial" w:eastAsia="Arial" w:hAnsi="Arial"/>
          <w:sz w:val="17"/>
          <w:szCs w:val="17"/>
          <w:color w:val="auto"/>
        </w:rPr>
      </w:pPr>
    </w:p>
    <w:p>
      <w:pPr>
        <w:ind w:right="60" w:firstLine="464"/>
        <w:spacing w:after="0" w:line="264"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TSLX shall not settle, without your prior written consent, any Action in any manner that would impose any penalty, obligation or limitation on you (other than monetary damages for which TSLX agrees to be wholly responsible) or that would contain any language that could reasonably be viewed as an acknowledgement of wrongdoing on your part or otherwise as detrimental to your reputation.</w:t>
      </w:r>
    </w:p>
    <w:p>
      <w:pPr>
        <w:spacing w:after="0" w:line="181" w:lineRule="exact"/>
        <w:rPr>
          <w:rFonts w:ascii="Arial" w:cs="Arial" w:eastAsia="Arial" w:hAnsi="Arial"/>
          <w:sz w:val="18"/>
          <w:szCs w:val="18"/>
          <w:color w:val="auto"/>
        </w:rPr>
      </w:pPr>
    </w:p>
    <w:p>
      <w:pPr>
        <w:ind w:right="280" w:firstLine="464"/>
        <w:spacing w:after="0" w:line="277"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Your rights to indemnification under this Agreement shall include the right to be advanced any and all expenses incurred in connection with any Action as such expenses are incurred.</w:t>
      </w:r>
    </w:p>
    <w:p>
      <w:pPr>
        <w:spacing w:after="0" w:line="170" w:lineRule="exact"/>
        <w:rPr>
          <w:rFonts w:ascii="Arial" w:cs="Arial" w:eastAsia="Arial" w:hAnsi="Arial"/>
          <w:sz w:val="18"/>
          <w:szCs w:val="18"/>
          <w:color w:val="auto"/>
        </w:rPr>
      </w:pPr>
    </w:p>
    <w:p>
      <w:pPr>
        <w:ind w:right="120" w:firstLine="464"/>
        <w:spacing w:after="0" w:line="279" w:lineRule="auto"/>
        <w:tabs>
          <w:tab w:leader="none" w:pos="7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the extent TSLX makes any payments to you pursuant to this Section E, TSLX shall be subrogated to all rights, if any, that you may have to obtain payments for the same from TICC or any insurance carrier of TICC. You will take reasonable steps to obtain the benefit of such other remedies and if you recover any amounts under any indemnification agreement or entitlement or directors’ insurance coverage of TICC that were based upon Losses already reimbursed by TSLX in accordance with this Agreement, you shall promptly pay such amounts over to TSLX.</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87" w:lineRule="auto"/>
        <w:tabs>
          <w:tab w:leader="none" w:pos="67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other communications under this Agreement shall be in writing and delivered by a nationally-recognized overnight courier with tracking capability, if mailed to you, then to the address set forth above under your name, and, if mailed to TSLX, then to the address indicated above in the letterhead. The failure of a party to insist upon strict adherence to any term contained herein shall not be deemed to be a waiver of such party’s rights thereafter to insist upon strict adherence to that term or to any other term contained herein. In the event that any one or more provisions of this Agreement are deemed to be invalid, illegal or unenforceable by a court of competent jurisdiction, then such provision(s) shall be deemed severed to the least extent possible without affecting the validity, legality and enforceability of the remainder of this Agreement. This Agreement (i) shall be governed by and construed in accordance with the laws of the State of Delaware, without regard to its conflict of laws principles; (ii) contains the entire understanding of the parties with respect to the subject matter contained herein and may not be modified or amended except by mutual written consent; (iii) shall not be assignable by Nominee or TSLX; (iv) shall inure to the benefit of and be binding upon the parties and their respective heirs, representatives, successors and assigns and (v) may be executed in counterparts and delivery of an executed counterpart by electronic means shall be treated as an original. Any action brought in connection with this Agreement shall be brought exclusively in the Court of Chancery of the State of Delaware (or if such court declines to accept jurisdiction over such matter, any state or federal court within the State of Delaware), and the parties hereto hereby irrevocably consent to the jurisdiction of such courts.</w:t>
      </w:r>
    </w:p>
    <w:p>
      <w:pPr>
        <w:spacing w:after="0" w:line="168" w:lineRule="exact"/>
        <w:rPr>
          <w:rFonts w:ascii="Arial" w:cs="Arial" w:eastAsia="Arial" w:hAnsi="Arial"/>
          <w:sz w:val="16"/>
          <w:szCs w:val="16"/>
          <w:color w:val="auto"/>
        </w:rPr>
      </w:pPr>
    </w:p>
    <w:p>
      <w:pPr>
        <w:ind w:right="120" w:firstLine="464"/>
        <w:spacing w:after="0" w:line="286" w:lineRule="auto"/>
        <w:tabs>
          <w:tab w:leader="none" w:pos="72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terms of this Agreement shall survive your becoming a director of TICC, and shall remain effective indefinitely thereafter, but only with respect to actions occurring prior to your becoming a director and you shall not be entitled to indemnification or other rights under this Agreement with respect to any action or inaction by you as a director of TICC or any of its subsidiaries or in any related or similar capacity.</w:t>
      </w:r>
    </w:p>
    <w:p>
      <w:pPr>
        <w:spacing w:after="0" w:line="165" w:lineRule="exact"/>
        <w:rPr>
          <w:rFonts w:ascii="Arial" w:cs="Arial" w:eastAsia="Arial" w:hAnsi="Arial"/>
          <w:sz w:val="17"/>
          <w:szCs w:val="17"/>
          <w:color w:val="auto"/>
        </w:rPr>
      </w:pPr>
    </w:p>
    <w:p>
      <w:pPr>
        <w:ind w:right="320" w:firstLine="464"/>
        <w:spacing w:after="0" w:line="264" w:lineRule="auto"/>
        <w:tabs>
          <w:tab w:leader="none" w:pos="72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Nominee shall be solely responsible for the withholding and/or payment of any federal, state or local income or payroll taxes, and, to the extent consistent with applicable law, TSLX will not withhold any amounts therefrom as federal income tax withholding from wages or as employee contributions under the Federal Insurance Contributions Act or any other state or federal laws.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in agreement with the foregoing, please so indicate by signing and returning one copy of this Agreement.</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in Favor of TICC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Connecticut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are hereby notified that the undersigned consents to (i) being named as a nominee in the notice provided by TPG Specialty Lending, Inc. (“</w:t>
      </w:r>
      <w:r>
        <w:rPr>
          <w:rFonts w:ascii="Arial" w:cs="Arial" w:eastAsia="Arial" w:hAnsi="Arial"/>
          <w:sz w:val="17"/>
          <w:szCs w:val="17"/>
          <w:u w:val="single" w:color="auto"/>
          <w:color w:val="auto"/>
        </w:rPr>
        <w:t>TSLX</w:t>
      </w:r>
      <w:r>
        <w:rPr>
          <w:rFonts w:ascii="Arial" w:cs="Arial" w:eastAsia="Arial" w:hAnsi="Arial"/>
          <w:sz w:val="17"/>
          <w:szCs w:val="17"/>
          <w:color w:val="auto"/>
        </w:rPr>
        <w:t>”) of its intention to nominate the undersigned as a director of TICC Capital Corp.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meeting of stockholders (including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(ii) being named in the proxy statement as a nominee, and (iii) serving as a director of TICC if elected at the Annual Meeting.</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469265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Form 10-K/A filed by the Company with the SEC on April 29, 2016, the following table sets forth as of April 28, 2016 the beneficial ownership of each current director, the director nominees, the Company’s executive officers, each person known to the Company to beneficially own 5% or more of the outstanding shares of Common Stock, and the executive officers and directors as a group.</w:t>
      </w:r>
    </w:p>
    <w:p>
      <w:pPr>
        <w:spacing w:after="0" w:line="181"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the shares of Common Stock is based upon Schedule 13G filings by such persons with the SEC and other information obtained from such persons, if available.</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Unless otherwise indicated, the Company believes that each beneficial owner set forth in the table below has sole voting and investment power and has the same address as the Company. The Company’s current address is 8 Sound Shore Drive, Suite 255, Greenwich, Connecticut 06830.</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3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Number of Common</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2"/>
              </w:rPr>
              <w:t>Stock Owned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40" w:type="dxa"/>
            <w:vAlign w:val="bottom"/>
            <w:gridSpan w:val="2"/>
            <w:vMerge w:val="continue"/>
          </w:tcPr>
          <w:p>
            <w:pPr>
              <w:spacing w:after="0"/>
              <w:rPr>
                <w:sz w:val="14"/>
                <w:szCs w:val="14"/>
                <w:color w:val="auto"/>
              </w:rPr>
            </w:pPr>
          </w:p>
        </w:tc>
        <w:tc>
          <w:tcPr>
            <w:tcW w:w="23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Beneficially</w:t>
            </w:r>
            <w:r>
              <w:rPr>
                <w:rFonts w:ascii="Arial" w:cs="Arial" w:eastAsia="Arial" w:hAnsi="Arial"/>
                <w:sz w:val="12"/>
                <w:szCs w:val="12"/>
                <w:b w:val="1"/>
                <w:bCs w:val="1"/>
                <w:color w:val="auto"/>
                <w:w w:val="95"/>
              </w:rPr>
              <w:t>(1)</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of Class</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196"/>
        </w:trPr>
        <w:tc>
          <w:tcPr>
            <w:tcW w:w="2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48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Jonathan H. Cohen</w:t>
            </w:r>
            <w:r>
              <w:rPr>
                <w:rFonts w:ascii="Arial" w:cs="Arial" w:eastAsia="Arial" w:hAnsi="Arial"/>
                <w:sz w:val="15"/>
                <w:szCs w:val="15"/>
                <w:color w:val="auto"/>
              </w:rPr>
              <w:t>(3)</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color w:val="auto"/>
              </w:rPr>
              <w:t>310,407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r>
              <w:rPr>
                <w:rFonts w:ascii="Arial" w:cs="Arial" w:eastAsia="Arial" w:hAnsi="Arial"/>
                <w:sz w:val="15"/>
                <w:szCs w:val="15"/>
                <w:color w:val="auto"/>
              </w:rPr>
              <w:t>(4)</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610,383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14,474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color w:val="auto"/>
              </w:rPr>
              <w:t>66,510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15,937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Saul B. Rosenthal</w:t>
            </w:r>
            <w:r>
              <w:rPr>
                <w:rFonts w:ascii="Arial" w:cs="Arial" w:eastAsia="Arial" w:hAnsi="Arial"/>
                <w:sz w:val="15"/>
                <w:szCs w:val="15"/>
                <w:color w:val="auto"/>
              </w:rPr>
              <w:t>(3)</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107,544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Bruce L. Rubin</w:t>
            </w:r>
            <w:r>
              <w:rPr>
                <w:rFonts w:ascii="Arial" w:cs="Arial" w:eastAsia="Arial" w:hAnsi="Arial"/>
                <w:sz w:val="15"/>
                <w:szCs w:val="15"/>
                <w:color w:val="auto"/>
              </w:rPr>
              <w:t>(5)</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color w:val="auto"/>
              </w:rPr>
              <w:t>8,900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Cummins</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Directors as a Group</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1,134,155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74295</wp:posOffset>
            </wp:positionV>
            <wp:extent cx="7200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less than one percent.</w:t>
      </w:r>
    </w:p>
    <w:p>
      <w:pPr>
        <w:spacing w:after="0" w:line="23" w:lineRule="exact"/>
        <w:rPr>
          <w:sz w:val="20"/>
          <w:szCs w:val="20"/>
          <w:color w:val="auto"/>
        </w:rPr>
      </w:pPr>
    </w:p>
    <w:p>
      <w:pPr>
        <w:ind w:left="900" w:hanging="446"/>
        <w:spacing w:after="0" w:line="250"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Beneficial ownership has been determined in accordance with Rule 13d-3 under the Exchange Act. Assumes no other purchases or sales of shares of Common Stock since the information most recently available to TICC. This assumption has been made under the rules and regulations of the SEC and does not reflect any knowledge that TICC has with regard to the present intent of the beneficial owners of shares of Common Stock listed in this table.</w:t>
      </w:r>
    </w:p>
    <w:p>
      <w:pPr>
        <w:spacing w:after="0" w:line="1" w:lineRule="exact"/>
        <w:rPr>
          <w:rFonts w:ascii="Arial" w:cs="Arial" w:eastAsia="Arial" w:hAnsi="Arial"/>
          <w:sz w:val="18"/>
          <w:szCs w:val="18"/>
          <w:i w:val="1"/>
          <w:iCs w:val="1"/>
          <w:color w:val="auto"/>
        </w:rPr>
      </w:pPr>
    </w:p>
    <w:p>
      <w:pPr>
        <w:ind w:left="900" w:hanging="446"/>
        <w:spacing w:after="0"/>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Based on a total of 51,479,409 shares of Common Stock issued and outstanding on April 28, 2016.</w:t>
      </w:r>
    </w:p>
    <w:p>
      <w:pPr>
        <w:spacing w:after="0" w:line="9" w:lineRule="exact"/>
        <w:rPr>
          <w:rFonts w:ascii="Arial" w:cs="Arial" w:eastAsia="Arial" w:hAnsi="Arial"/>
          <w:sz w:val="18"/>
          <w:szCs w:val="18"/>
          <w:i w:val="1"/>
          <w:iCs w:val="1"/>
          <w:color w:val="auto"/>
        </w:rPr>
      </w:pPr>
    </w:p>
    <w:p>
      <w:pPr>
        <w:ind w:left="900" w:right="320" w:hanging="446"/>
        <w:spacing w:after="0" w:line="250"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407 shares held by BDC Partners, LLC which may be deemed to be beneficially owned by Messrs. Cohen and Rosenthal by virtue of their ownership interests therein.</w:t>
      </w:r>
    </w:p>
    <w:p>
      <w:pPr>
        <w:ind w:left="900" w:right="40" w:hanging="446"/>
        <w:spacing w:after="0" w:line="250"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Mr. Royce may be deemed to beneficially own 432,821 shares held by Royce Family Investments, LLC and 62,001 shares held by Royce Family Fund, Inc. Mr. Royce disclaims beneficial ownership of any shares directly held by Royce Family Fund, Inc. The address for both of these entities is 745 Fifth Avenue, New York, New York 10151.</w:t>
      </w:r>
    </w:p>
    <w:p>
      <w:pPr>
        <w:spacing w:after="0" w:line="1" w:lineRule="exact"/>
        <w:rPr>
          <w:rFonts w:ascii="Arial" w:cs="Arial" w:eastAsia="Arial" w:hAnsi="Arial"/>
          <w:sz w:val="18"/>
          <w:szCs w:val="18"/>
          <w:i w:val="1"/>
          <w:iCs w:val="1"/>
          <w:color w:val="auto"/>
        </w:rPr>
      </w:pPr>
    </w:p>
    <w:p>
      <w:pPr>
        <w:ind w:left="900" w:right="280" w:hanging="446"/>
        <w:spacing w:after="0" w:line="261"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Mr. Rubin may be deemed to beneficially own 688 shares held by his children. Mr. Rubin disclaims beneficial ownership of any shares directly held by his children.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the dollar range of equity securities beneficially owned by each of the Company’s directors as of April 28, 2016.</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Dollar Range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Equity Securities</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6480" w:type="dxa"/>
            <w:vAlign w:val="bottom"/>
            <w:vMerge w:val="restart"/>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6480" w:type="dxa"/>
            <w:vAlign w:val="bottom"/>
            <w:tcBorders>
              <w:bottom w:val="single" w:sz="8" w:color="CCEEFF"/>
            </w:tcBorders>
            <w:vMerge w:val="continue"/>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Owned</w:t>
            </w:r>
            <w:r>
              <w:rPr>
                <w:rFonts w:ascii="Arial" w:cs="Arial" w:eastAsia="Arial" w:hAnsi="Arial"/>
                <w:sz w:val="12"/>
                <w:szCs w:val="12"/>
                <w:b w:val="1"/>
                <w:bCs w:val="1"/>
                <w:color w:val="auto"/>
                <w:w w:val="97"/>
              </w:rPr>
              <w:t>(1)(2)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1480" w:hanging="567"/>
        <w:spacing w:after="0"/>
        <w:tabs>
          <w:tab w:leader="none" w:pos="14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ranges are: None, $1 – $10,000, $10,001 – $50,000, $50,001 – $100,000 or Over $100,000.</w:t>
      </w:r>
    </w:p>
    <w:p>
      <w:pPr>
        <w:spacing w:after="0" w:line="23" w:lineRule="exact"/>
        <w:rPr>
          <w:rFonts w:ascii="Arial" w:cs="Arial" w:eastAsia="Arial" w:hAnsi="Arial"/>
          <w:sz w:val="18"/>
          <w:szCs w:val="18"/>
          <w:i w:val="1"/>
          <w:iCs w:val="1"/>
          <w:color w:val="auto"/>
        </w:rPr>
      </w:pPr>
    </w:p>
    <w:p>
      <w:pPr>
        <w:ind w:left="1480" w:hanging="567"/>
        <w:spacing w:after="0" w:line="255" w:lineRule="auto"/>
        <w:tabs>
          <w:tab w:leader="none" w:pos="14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 of equity securities beneficially owned in TICC is based on the closing price for shares of Common Stock of $5.22 on April 28, 2016 on the NASDAQ Global Select Market. Beneficial ownership has been determined in accordance with Rule 16a-1(a)(2) of the Exchange Act.</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FINANCIAL MEASURES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Fees as a portion of Total Economics of your investment, as set forth in this Proxy Statement, may be considered a non-GAAP financial measure. TSLX provides this information to Stockholders because TSLX believes it enhances Stockholders’ understanding of the relative costs Stockholders bear in relation to the assets generated by operations of TICC and comparable companies included in the BDC Composite as defined above, respectively. Non-GAAP financial measures should not be considered in isolation from, or as a substitute for, financial information presented in compliance with GAAP, and non-GAAP financial measures as used by TSLX may not be comparable to similarly titled amounts used by other companies.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Economics = Economic Profit + Shareholder Value Gained / (Lost) due to the Change in Premium / (Discount) to Average NAV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Economic Profit = Increase in Net Assets Resulting from Operations + Total Shareholder Fees &amp; Expenses</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Shareholder Value Gained / (Lost) Due to the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table that follows illustrates the reconciliation of the net increase in net assets resulting from operations since 2012 to Economic Profit and the calculation of the ratio of Total Shareholder Fees and Expenses to Total Economics for TICC.</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TSLX believes that Total Shareholder Fees and Expenses and Total Economics for each company in the BDC Composite was calculated on a substantially equivalent basis to the methodology shown for TICC.</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companies that reported management or incentive fee waivers in the periods subsequent to 12/31/2011, including AINV, FSC and NMFC, which are included in the BDC Composite, Total Shareholder Fees &amp; Expenses and Economic Profit are calculated pro forma as if (i) the fee waivers had not been applied and (ii) the corresponding reduction in pre-incentive fee net investment income resulted in a reduction in incentive fees (calculated by multiplying the amount of management fees waived by the incentive fee rate for each company). No pro forma adjustments were made to NAV per share in the calculation of Shareholder Value Gained / (Lost) Due to Change in Premium / (Discount) to Average NAV.</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TICC Capital Corp.</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(through</w:t>
            </w:r>
          </w:p>
        </w:tc>
        <w:tc>
          <w:tcPr>
            <w:tcW w:w="12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 in thousands, except per share amounts and where noted)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 (GAAP)</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68,323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58,945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(3,348)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(66,134)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(17,114)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40,672</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(GAAP)</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Investment advisory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19,096</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21,150</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19,770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Insurance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Directors’ Fees (GAAP)</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Transfer agent and custodian fees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Net investment income incentive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gains incentive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(1,192)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(3,873)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Total 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26,735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30,339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28,959</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27,946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120,844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Economic Profit (Net Increase in Net Assets Resulting from Operations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Shareholder Fees &amp;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95,058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89,284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25,611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(38,188)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(10,249)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161,515</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12/31/2011 (Released 3/15/2012)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3/16/2012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3/31/16 (Released 5/3/2016)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5/4/2016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Change in Premium / (Discount) to NAV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Shareholder Value Gained / (Lost) due to Change in Premium / (Disc.) to</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NAV</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(77,699)</w:t>
            </w:r>
          </w:p>
        </w:tc>
        <w:tc>
          <w:tcPr>
            <w:tcW w:w="0" w:type="dxa"/>
            <w:vAlign w:val="bottom"/>
          </w:tcPr>
          <w:p>
            <w:pPr>
              <w:spacing w:after="0"/>
              <w:rPr>
                <w:sz w:val="1"/>
                <w:szCs w:val="1"/>
                <w:color w:val="auto"/>
              </w:rPr>
            </w:pPr>
          </w:p>
        </w:tc>
      </w:tr>
      <w:tr>
        <w:trPr>
          <w:trHeight w:val="30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w w:val="94"/>
              </w:rPr>
              <w:t>Total Economics (Economic Profit + Shareholder Value Gained / (Lost)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b w:val="1"/>
                <w:bCs w:val="1"/>
                <w:color w:val="auto"/>
              </w:rPr>
              <w:t>due to Change in Premium / (Disc.) to Average NAV)</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83,816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Total Shareholder Fees &amp; Expenses to Total Economics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77" w:lineRule="auto"/>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For the quarter ended March 31, 2016, directors’ fees, insurance, and transfer agent and custodian fees, which are separately reported annually but not quarterly, were included in “General and administrative.”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Tell your Board what you think! Your vote is important. No matter how many shares of Common Stock you own, please authorize your proxy by taking three steps:</w:t>
      </w:r>
    </w:p>
    <w:p>
      <w:pPr>
        <w:spacing w:after="0" w:line="72"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SIGNING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DATING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MAILING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r>
        <w:rPr>
          <w:rFonts w:ascii="Arial" w:cs="Arial" w:eastAsia="Arial" w:hAnsi="Arial"/>
          <w:sz w:val="18"/>
          <w:szCs w:val="18"/>
          <w:b w:val="1"/>
          <w:bCs w:val="1"/>
          <w:color w:val="auto"/>
        </w:rPr>
        <w:t xml:space="preserve"> TODAY </w:t>
      </w:r>
      <w:r>
        <w:rPr>
          <w:rFonts w:ascii="Arial" w:cs="Arial" w:eastAsia="Arial" w:hAnsi="Arial"/>
          <w:sz w:val="18"/>
          <w:szCs w:val="18"/>
          <w:color w:val="auto"/>
        </w:rPr>
        <w:t>in the envelope provided (no postage is required if mailed in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also authorize your proxy by telephone or Internet in accordance with the directions included in the accompanying voting instructions form.</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If any of your shares of Common Stock are held in the name of a brokerage firm, bank, bank nominee or other institution, only it can vote such shares of Common Stock. Accordingly, please contact the person responsible for your account and instruct that person to execute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representing your shares of Common Stock. TSLX urges you to confirm in writing your instructions to TSLX in care of MacKenzie Partners, Inc. at the address provided below so that TSLX will be aware of all instructions given and can attempt to ensure that such instructions are followed.</w:t>
      </w:r>
    </w:p>
    <w:p>
      <w:pPr>
        <w:spacing w:after="0" w:line="16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TSLX RECOMMENDS THAT YOU VOTE (1) “FOR” THE ELECTION OF TSLX’S NOMINEE, T. KELLEY MILLET, (2) “FOR” TSLX’S PROPOSAL TO TERMINATE THE INVESTMENT ADVISORY AGREEMENT, (3) “FOR” THE ACCOUNTANT RATIFICATION PROPOSAL AND (4) “AGAINST” THE ADJOURNMENT PROPOSAL.</w:t>
      </w:r>
    </w:p>
    <w:p>
      <w:pPr>
        <w:spacing w:after="0" w:line="18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If you have any questions or require any additional information concerning this Proxy Statement, please contact MacKenzie Partners, Inc.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31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(212) 929-5500 (Call Collect)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TPG@mackenziepartners.com</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COPY SUBJECT TO COMPLETION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DATED JUNE 3, 2016</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GOLD PROXY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2016 ANNUAL MEETING OF STOCKHOLDERS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TICC CAPITAL CORP.</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 KELLEY MILLET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 R O X Y</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undersigned stockholder of TICC Capital Corp.,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hereby appoints [Joshua Easterly] and [Ian Simmonds], and each of them, as proxies for the undersigned, with full power of substitution in each of them, to attend the 2016 annual meeting of stockholders of the Company, and including at any postponements or adjournments thereof and at any meeting called in lieu thereof (the “</w:t>
      </w:r>
      <w:r>
        <w:rPr>
          <w:rFonts w:ascii="Arial" w:cs="Arial" w:eastAsia="Arial" w:hAnsi="Arial"/>
          <w:sz w:val="16"/>
          <w:szCs w:val="16"/>
          <w:u w:val="single" w:color="auto"/>
          <w:color w:val="auto"/>
        </w:rPr>
        <w:t>2016 Annual Meeting</w:t>
      </w:r>
      <w:r>
        <w:rPr>
          <w:rFonts w:ascii="Arial" w:cs="Arial" w:eastAsia="Arial" w:hAnsi="Arial"/>
          <w:sz w:val="16"/>
          <w:szCs w:val="16"/>
          <w:color w:val="auto"/>
        </w:rPr>
        <w:t>”), to cast on behalf of the undersigned all votes that the undersigned is entitled to cast at the 2016 Annual Meeting and otherwise represent the undersigned at the 2016 Annual Meeting with all powers possessed by the undersigned if personally present at the 2016 Annual Meeting.</w:t>
      </w:r>
    </w:p>
    <w:p>
      <w:pPr>
        <w:spacing w:after="0" w:line="158"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undersigned hereby revokes any other proxy or proxies heretofore given to vote or act with respect to the shares of common stock of the Company held by the undersigned and hereby ratifies and confirms all actions the herein named proxies, their substitutes or any of them may lawfully take by virtue hereof.</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If properly executed, this Proxy will be voted as directed on the reverse and in the discretion of the Proxy holder with respect to any other matters as may properly come before the 2016 Annual Meeting. IF NO DIRECTION IS INDICATED WITH RESPECT TO THE PROPOSALS ON THE REVERSE, THIS PROXY WILL BE VOTED “FOR” PROPOSALS NO. 1, 2 AND 3 AND “AGAINST” PROPOSAL NO. 4.</w:t>
      </w:r>
    </w:p>
    <w:p>
      <w:pPr>
        <w:spacing w:after="0" w:line="1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Unless properly revoked, this Proxy will be valid until the sooner of one year from the date indicated on the reverse side and the completion of the 2016 Annual Meeting.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PLEASE SIGN, DATE AND MAIL THIS PROXY CARD PROMPTLY!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20" w:hanging="212"/>
        <w:spacing w:after="0"/>
        <w:tabs>
          <w:tab w:leader="none" w:pos="220" w:val="left"/>
        </w:tabs>
        <w:numPr>
          <w:ilvl w:val="0"/>
          <w:numId w:val="47"/>
        </w:numPr>
        <w:rPr>
          <w:rFonts w:ascii="MS PGothic" w:cs="MS PGothic" w:eastAsia="MS PGothic" w:hAnsi="MS PGothic"/>
          <w:sz w:val="18"/>
          <w:szCs w:val="18"/>
          <w:color w:val="auto"/>
        </w:rPr>
      </w:pPr>
      <w:r>
        <w:rPr>
          <w:rFonts w:ascii="Arial" w:cs="Arial" w:eastAsia="Arial" w:hAnsi="Arial"/>
          <w:sz w:val="18"/>
          <w:szCs w:val="18"/>
          <w:b w:val="1"/>
          <w:bCs w:val="1"/>
          <w:color w:val="auto"/>
        </w:rPr>
        <w:t>Please mark vote as in this example</w:t>
      </w:r>
    </w:p>
    <w:p>
      <w:pPr>
        <w:spacing w:after="0" w:line="25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election of TPG Specialty Lending, Inc.’s (“</w:t>
      </w:r>
      <w:r>
        <w:rPr>
          <w:rFonts w:ascii="Arial" w:cs="Arial" w:eastAsia="Arial" w:hAnsi="Arial"/>
          <w:sz w:val="17"/>
          <w:szCs w:val="17"/>
          <w:u w:val="single" w:color="auto"/>
          <w:color w:val="auto"/>
        </w:rPr>
        <w:t>TSLX</w:t>
      </w:r>
      <w:r>
        <w:rPr>
          <w:rFonts w:ascii="Arial" w:cs="Arial" w:eastAsia="Arial" w:hAnsi="Arial"/>
          <w:sz w:val="17"/>
          <w:szCs w:val="17"/>
          <w:color w:val="auto"/>
        </w:rPr>
        <w:t>”) nominee, T. Kelley Millet, to serve as a director on the Company’s board of directors.</w:t>
      </w:r>
    </w:p>
    <w:p>
      <w:pPr>
        <w:spacing w:after="0" w:line="260"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WITHHOLD</w:t>
      </w:r>
    </w:p>
    <w:p>
      <w:pPr>
        <w:spacing w:after="0" w:line="27" w:lineRule="exact"/>
        <w:rPr>
          <w:sz w:val="20"/>
          <w:szCs w:val="20"/>
          <w:color w:val="auto"/>
        </w:rPr>
      </w:pPr>
    </w:p>
    <w:p>
      <w:pPr>
        <w:ind w:left="5500"/>
        <w:spacing w:after="0"/>
        <w:tabs>
          <w:tab w:leader="none" w:pos="744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AUTHORITY</w:t>
      </w:r>
    </w:p>
    <w:p>
      <w:pPr>
        <w:spacing w:after="0" w:line="18" w:lineRule="exact"/>
        <w:rPr>
          <w:sz w:val="20"/>
          <w:szCs w:val="20"/>
          <w:color w:val="auto"/>
        </w:rPr>
      </w:pPr>
    </w:p>
    <w:p>
      <w:pPr>
        <w:ind w:left="3280"/>
        <w:spacing w:after="0" w:line="207" w:lineRule="exact"/>
        <w:tabs>
          <w:tab w:leader="none" w:pos="5580" w:val="left"/>
          <w:tab w:leader="none" w:pos="7900" w:val="left"/>
        </w:tabs>
        <w:rPr>
          <w:sz w:val="20"/>
          <w:szCs w:val="20"/>
          <w:color w:val="auto"/>
        </w:rPr>
      </w:pPr>
      <w:r>
        <w:rPr>
          <w:rFonts w:ascii="Arial" w:cs="Arial" w:eastAsia="Arial" w:hAnsi="Arial"/>
          <w:sz w:val="18"/>
          <w:szCs w:val="18"/>
          <w:b w:val="1"/>
          <w:bCs w:val="1"/>
          <w:color w:val="auto"/>
        </w:rPr>
        <w:t>T. Kelley Millet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1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TSLX recommends a vote “FOR” the election of T. Kelley Millet.</w:t>
      </w:r>
    </w:p>
    <w:p>
      <w:pPr>
        <w:spacing w:after="0" w:line="256" w:lineRule="exact"/>
        <w:rPr>
          <w:sz w:val="20"/>
          <w:szCs w:val="20"/>
          <w:color w:val="auto"/>
        </w:rPr>
      </w:pPr>
    </w:p>
    <w:p>
      <w:pPr>
        <w:ind w:left="460" w:right="24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 dated as of July 1, 2011, by and between the Company and TICC Management, LLC, as contemplated by Section 15(a) of the Investment Company Act of 1940, as amended.</w:t>
      </w:r>
    </w:p>
    <w:p>
      <w:pPr>
        <w:sectPr>
          <w:pgSz w:w="11900" w:h="16838" w:orient="portrait"/>
          <w:cols w:equalWidth="0" w:num="1">
            <w:col w:w="11320"/>
          </w:cols>
          <w:pgMar w:left="240" w:top="459" w:right="339" w:bottom="1440" w:gutter="0" w:footer="0" w:header="0"/>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2.</w:t>
      </w:r>
    </w:p>
    <w:p>
      <w:pPr>
        <w:spacing w:after="0" w:line="256" w:lineRule="exact"/>
        <w:rPr>
          <w:sz w:val="20"/>
          <w:szCs w:val="20"/>
          <w:color w:val="auto"/>
        </w:rPr>
      </w:pPr>
    </w:p>
    <w:p>
      <w:pPr>
        <w:ind w:left="46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proposal to ratify the appointment of PricewaterhouseCoopers LLP to serve as the independent registered public accounting firm for the Company for the fiscal year ending December 31, 2016.</w:t>
      </w:r>
    </w:p>
    <w:p>
      <w:pPr>
        <w:sectPr>
          <w:pgSz w:w="11900" w:h="16838" w:orient="portrait"/>
          <w:cols w:equalWidth="0" w:num="1">
            <w:col w:w="11320"/>
          </w:cols>
          <w:pgMar w:left="240" w:top="459" w:right="339" w:bottom="1440" w:gutter="0" w:footer="0" w:header="0"/>
          <w:type w:val="continuous"/>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3.</w:t>
      </w:r>
    </w:p>
    <w:p>
      <w:pPr>
        <w:spacing w:after="0" w:line="25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proposal to approve the adjournment of the 2016 Annual Meeting, if necessary or appropriate, to solicit additional proxies.</w:t>
      </w:r>
    </w:p>
    <w:p>
      <w:pPr>
        <w:sectPr>
          <w:pgSz w:w="11900" w:h="16838" w:orient="portrait"/>
          <w:cols w:equalWidth="0" w:num="1">
            <w:col w:w="11320"/>
          </w:cols>
          <w:pgMar w:left="240" w:top="459" w:right="339" w:bottom="1440" w:gutter="0" w:footer="0" w:header="0"/>
          <w:type w:val="continuous"/>
        </w:sectPr>
      </w:pPr>
    </w:p>
    <w:p>
      <w:pPr>
        <w:spacing w:after="0" w:line="2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480" w:space="720"/>
            <w:col w:w="1700" w:space="720"/>
            <w:col w:w="3700"/>
          </w:cols>
          <w:pgMar w:left="240" w:top="459" w:right="339" w:bottom="1440" w:gutter="0" w:footer="0" w:header="0"/>
          <w:type w:val="continuous"/>
        </w:sectPr>
      </w:pPr>
    </w:p>
    <w:p>
      <w:pPr>
        <w:ind w:left="3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15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20" w:space="720"/>
            <w:col w:w="1660" w:space="720"/>
            <w:col w:w="3400"/>
          </w:cols>
          <w:pgMar w:left="240" w:top="459" w:right="339" w:bottom="1440" w:gutter="0" w:footer="0" w:header="0"/>
          <w:type w:val="continuous"/>
        </w:sectPr>
      </w:pPr>
    </w:p>
    <w:p>
      <w:pPr>
        <w:spacing w:after="0" w:line="3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TSLX recommends a vote “AGAINST” Proposal No. 4.</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2016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 if held jointly)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WHEN SHARES ARE HELD JOINTLY, JOINT OWNERS SHOULD EACH SIGN. EXECUTORS, ADMINISTRATORS, TRUSTEES, ETC., SHOULD INDICATE THE CAPACITY IN WHICH THEY ARE SIGNING. PLEASE SIGN EXACTLY AS NAME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2466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sectPr>
      <w:pgSz w:w="11900" w:h="16838" w:orient="portrait"/>
      <w:cols w:equalWidth="0" w:num="1">
        <w:col w:w="11320"/>
      </w:cols>
      <w:pgMar w:left="24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lvl w:ilvl="1">
      <w:lvlJc w:val="left"/>
      <w:lvlText w:val="(%2)"/>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bullet"/>
      <w:start w:val="1"/>
    </w:lvl>
  </w:abstractNum>
  <w:abstractNum w:abstractNumId="8">
    <w:nsid w:val="8138641"/>
    <w:multiLevelType w:val="hybridMultilevel"/>
    <w:lvl w:ilvl="0">
      <w:lvlJc w:val="left"/>
      <w:lvlText w:val="(%1)"/>
      <w:numFmt w:val="decimal"/>
      <w:start w:val="212"/>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2"/>
    </w:lvl>
  </w:abstractNum>
  <w:abstractNum w:abstractNumId="11">
    <w:nsid w:val="737B8DDC"/>
    <w:multiLevelType w:val="hybridMultilevel"/>
    <w:lvl w:ilvl="0">
      <w:lvlJc w:val="left"/>
      <w:lvlText w:val="%1"/>
      <w:numFmt w:val="decimal"/>
      <w:start w:val="56"/>
    </w:lvl>
  </w:abstractNum>
  <w:abstractNum w:abstractNumId="12">
    <w:nsid w:val="6CEAF087"/>
    <w:multiLevelType w:val="hybridMultilevel"/>
    <w:lvl w:ilvl="0">
      <w:lvlJc w:val="left"/>
      <w:lvlText w:val="(%1)"/>
      <w:numFmt w:val="lowerLetter"/>
      <w:start w:val="3"/>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2"/>
      <w:numFmt w:val="bullet"/>
      <w:start w:val="1"/>
    </w:lvl>
  </w:abstractNum>
  <w:abstractNum w:abstractNumId="16">
    <w:nsid w:val="614FD4A1"/>
    <w:multiLevelType w:val="hybridMultilevel"/>
    <w:lvl w:ilvl="0">
      <w:lvlJc w:val="left"/>
      <w:lvlText w:val="3"/>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4"/>
      <w:numFmt w:val="bullet"/>
      <w:start w:val="1"/>
    </w:lvl>
  </w:abstractNum>
  <w:abstractNum w:abstractNumId="19">
    <w:nsid w:val="440BADFC"/>
    <w:multiLevelType w:val="hybridMultilevel"/>
    <w:lvl w:ilvl="0">
      <w:lvlJc w:val="left"/>
      <w:lvlText w:val="5"/>
      <w:numFmt w:val="bullet"/>
      <w:start w:val="1"/>
    </w:lvl>
  </w:abstractNum>
  <w:abstractNum w:abstractNumId="20">
    <w:nsid w:val="5072367"/>
    <w:multiLevelType w:val="hybridMultilevel"/>
    <w:lvl w:ilvl="0">
      <w:lvlJc w:val="left"/>
      <w:lvlText w:val="6"/>
      <w:numFmt w:val="bullet"/>
      <w:start w:val="1"/>
    </w:lvl>
  </w:abstractNum>
  <w:abstractNum w:abstractNumId="21">
    <w:nsid w:val="3804823E"/>
    <w:multiLevelType w:val="hybridMultilevel"/>
    <w:lvl w:ilvl="0">
      <w:lvlJc w:val="left"/>
      <w:lvlText w:val="7"/>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8"/>
      <w:numFmt w:val="bullet"/>
      <w:start w:val="1"/>
    </w:lvl>
  </w:abstractNum>
  <w:abstractNum w:abstractNumId="24">
    <w:nsid w:val="5C482A97"/>
    <w:multiLevelType w:val="hybridMultilevel"/>
    <w:lvl w:ilvl="0">
      <w:lvlJc w:val="left"/>
      <w:lvlText w:val="9"/>
      <w:numFmt w:val="bullet"/>
      <w:start w:val="1"/>
    </w:lvl>
  </w:abstractNum>
  <w:abstractNum w:abstractNumId="25">
    <w:nsid w:val="2463B9EA"/>
    <w:multiLevelType w:val="hybridMultilevel"/>
    <w:lvl w:ilvl="0">
      <w:lvlJc w:val="left"/>
      <w:lvlText w:val="%1"/>
      <w:numFmt w:val="decimal"/>
      <w:start w:val="10"/>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5"/>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lowerRoman"/>
      <w:start w:val="2"/>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upperLetter"/>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upperLetter"/>
      <w:start w:val="2"/>
    </w:lvl>
  </w:abstractNum>
  <w:abstractNum w:abstractNumId="38">
    <w:nsid w:val="57E4CCAF"/>
    <w:multiLevelType w:val="hybridMultilevel"/>
    <w:lvl w:ilvl="0">
      <w:lvlJc w:val="left"/>
      <w:lvlText w:val="%1."/>
      <w:numFmt w:val="upperLetter"/>
      <w:start w:val="3"/>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upperLetter"/>
      <w:start w:val="6"/>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2"/>
    </w:lvl>
  </w:abstractNum>
  <w:abstractNum w:abstractNumId="49">
    <w:nsid w:val="3DC240FB"/>
    <w:multiLevelType w:val="hybridMultilevel"/>
    <w:lvl w:ilvl="0">
      <w:lvlJc w:val="left"/>
      <w:lvlText w:val="%1."/>
      <w:numFmt w:val="decimal"/>
      <w:start w:val="3"/>
    </w:lvl>
  </w:abstractNum>
  <w:abstractNum w:abstractNumId="50">
    <w:nsid w:val="1BA026F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2019-12-20T21:54:58Z</dcterms:created>
  <dcterms:modified xsi:type="dcterms:W3CDTF">2019-12-20T21:54:58Z</dcterms:modified>
</cp:coreProperties>
</file>