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980" w:type="dxa"/>
        <w:tblCellMar>
          <w:top w:w="0" w:type="dxa"/>
          <w:left w:w="0" w:type="dxa"/>
          <w:bottom w:w="0" w:type="dxa"/>
          <w:right w:w="0" w:type="dxa"/>
        </w:tblCellMar>
      </w:tblPr>
      <w:tr>
        <w:trPr>
          <w:trHeight w:val="218"/>
        </w:trPr>
        <w:tc>
          <w:tcPr>
            <w:tcW w:w="5460" w:type="dxa"/>
            <w:vAlign w:val="bottom"/>
          </w:tcPr>
          <w:p>
            <w:pPr>
              <w:jc w:val="center"/>
              <w:ind w:right="1604"/>
              <w:spacing w:after="0"/>
              <w:rPr>
                <w:sz w:val="20"/>
                <w:szCs w:val="20"/>
                <w:color w:val="auto"/>
              </w:rPr>
            </w:pPr>
            <w:r>
              <w:rPr>
                <w:rFonts w:ascii="Arial" w:cs="Arial" w:eastAsia="Arial" w:hAnsi="Arial"/>
                <w:sz w:val="18"/>
                <w:szCs w:val="18"/>
                <w:b w:val="1"/>
                <w:bCs w:val="1"/>
                <w:color w:val="auto"/>
                <w:w w:val="88"/>
              </w:rPr>
              <w:t>Delaware</w:t>
            </w:r>
          </w:p>
        </w:tc>
        <w:tc>
          <w:tcPr>
            <w:tcW w:w="2780" w:type="dxa"/>
            <w:vAlign w:val="bottom"/>
          </w:tcPr>
          <w:p>
            <w:pPr>
              <w:jc w:val="right"/>
              <w:ind w:right="4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5460" w:type="dxa"/>
            <w:vAlign w:val="bottom"/>
          </w:tcPr>
          <w:p>
            <w:pPr>
              <w:jc w:val="center"/>
              <w:ind w:right="160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780" w:type="dxa"/>
            <w:vAlign w:val="bottom"/>
          </w:tcPr>
          <w:p>
            <w:pPr>
              <w:jc w:val="center"/>
              <w:ind w:left="16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460" w:type="dxa"/>
            <w:vAlign w:val="bottom"/>
          </w:tcPr>
          <w:p>
            <w:pPr>
              <w:jc w:val="center"/>
              <w:ind w:right="1604"/>
              <w:spacing w:after="0"/>
              <w:rPr>
                <w:sz w:val="20"/>
                <w:szCs w:val="20"/>
                <w:color w:val="auto"/>
              </w:rPr>
            </w:pPr>
            <w:r>
              <w:rPr>
                <w:rFonts w:ascii="Arial" w:cs="Arial" w:eastAsia="Arial" w:hAnsi="Arial"/>
                <w:sz w:val="14"/>
                <w:szCs w:val="14"/>
                <w:b w:val="1"/>
                <w:bCs w:val="1"/>
                <w:color w:val="auto"/>
                <w:w w:val="89"/>
              </w:rPr>
              <w:t>Incorporation or Organization)</w:t>
            </w:r>
          </w:p>
        </w:tc>
        <w:tc>
          <w:tcPr>
            <w:tcW w:w="2780" w:type="dxa"/>
            <w:vAlign w:val="bottom"/>
          </w:tcPr>
          <w:p>
            <w:pPr>
              <w:jc w:val="center"/>
              <w:ind w:left="16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5460" w:type="dxa"/>
            <w:vAlign w:val="bottom"/>
          </w:tcPr>
          <w:p>
            <w:pPr>
              <w:jc w:val="center"/>
              <w:ind w:right="1624"/>
              <w:spacing w:after="0"/>
              <w:rPr>
                <w:sz w:val="20"/>
                <w:szCs w:val="20"/>
                <w:color w:val="auto"/>
              </w:rPr>
            </w:pPr>
            <w:r>
              <w:rPr>
                <w:rFonts w:ascii="Arial" w:cs="Arial" w:eastAsia="Arial" w:hAnsi="Arial"/>
                <w:sz w:val="18"/>
                <w:szCs w:val="18"/>
                <w:b w:val="1"/>
                <w:bCs w:val="1"/>
                <w:color w:val="auto"/>
                <w:w w:val="89"/>
              </w:rPr>
              <w:t>301 Commerce Street, Suite 3300, Fort Worth, TX</w:t>
            </w:r>
          </w:p>
        </w:tc>
        <w:tc>
          <w:tcPr>
            <w:tcW w:w="2780" w:type="dxa"/>
            <w:vAlign w:val="bottom"/>
          </w:tcPr>
          <w:p>
            <w:pPr>
              <w:jc w:val="right"/>
              <w:ind w:right="244"/>
              <w:spacing w:after="0"/>
              <w:rPr>
                <w:sz w:val="20"/>
                <w:szCs w:val="20"/>
                <w:color w:val="auto"/>
              </w:rPr>
            </w:pPr>
            <w:r>
              <w:rPr>
                <w:rFonts w:ascii="Arial" w:cs="Arial" w:eastAsia="Arial" w:hAnsi="Arial"/>
                <w:sz w:val="18"/>
                <w:szCs w:val="18"/>
                <w:b w:val="1"/>
                <w:bCs w:val="1"/>
                <w:color w:val="auto"/>
              </w:rPr>
              <w:t>76102</w:t>
            </w:r>
          </w:p>
        </w:tc>
      </w:tr>
      <w:tr>
        <w:trPr>
          <w:trHeight w:val="174"/>
        </w:trPr>
        <w:tc>
          <w:tcPr>
            <w:tcW w:w="5460" w:type="dxa"/>
            <w:vAlign w:val="bottom"/>
          </w:tcPr>
          <w:p>
            <w:pPr>
              <w:jc w:val="center"/>
              <w:ind w:right="160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780" w:type="dxa"/>
            <w:vAlign w:val="bottom"/>
          </w:tcPr>
          <w:p>
            <w:pPr>
              <w:jc w:val="center"/>
              <w:ind w:left="16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6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40" w:space="380"/>
            <w:col w:w="160" w:space="100"/>
            <w:col w:w="5960" w:space="720"/>
            <w:col w:w="1920" w:space="480"/>
            <w:col w:w="160"/>
          </w:cols>
          <w:pgMar w:left="240" w:top="230" w:right="239" w:bottom="1440" w:gutter="0" w:footer="0" w:header="0"/>
          <w:type w:val="continuous"/>
        </w:sectPr>
      </w:pPr>
    </w:p>
    <w:p>
      <w:pPr>
        <w:spacing w:after="0" w:line="184" w:lineRule="exact"/>
        <w:tabs>
          <w:tab w:leader="none" w:pos="9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0040" w:space="180"/>
            <w:col w:w="1200"/>
          </w:cols>
          <w:pgMar w:left="240" w:top="230" w:right="23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the Registrant’s common stock, $.01 par value per share, outstanding at August 1, 2011 was 35,001.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FOR THE QUARTER ENDED JUNE 30, 2011</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7"/>
            <w:vMerge w:val="restart"/>
          </w:tcPr>
          <w:p>
            <w:pPr>
              <w:ind w:left="140"/>
              <w:spacing w:after="0"/>
              <w:rPr>
                <w:sz w:val="20"/>
                <w:szCs w:val="20"/>
                <w:color w:val="auto"/>
              </w:rPr>
            </w:pPr>
            <w:r>
              <w:rPr>
                <w:rFonts w:ascii="Arial" w:cs="Arial" w:eastAsia="Arial" w:hAnsi="Arial"/>
                <w:sz w:val="14"/>
                <w:szCs w:val="14"/>
                <w:b w:val="1"/>
                <w:bCs w:val="1"/>
                <w:color w:val="auto"/>
              </w:rPr>
              <w:t>INDEX</w:t>
            </w:r>
          </w:p>
        </w:tc>
        <w:tc>
          <w:tcPr>
            <w:tcW w:w="320" w:type="dxa"/>
            <w:vAlign w:val="bottom"/>
            <w:vMerge w:val="restart"/>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gridSpan w:val="7"/>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64"/>
        </w:trPr>
        <w:tc>
          <w:tcPr>
            <w:tcW w:w="13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56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38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14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Financial Statements</w:t>
              </w:r>
            </w:hyperlink>
          </w:p>
        </w:tc>
        <w:tc>
          <w:tcPr>
            <w:tcW w:w="720" w:type="dxa"/>
            <w:vAlign w:val="bottom"/>
            <w:tcBorders>
              <w:top w:val="single" w:sz="8" w:color="0000EE"/>
            </w:tcBorders>
            <w:gridSpan w:val="3"/>
          </w:tcPr>
          <w:p>
            <w:pPr>
              <w:spacing w:after="0"/>
              <w:rPr>
                <w:sz w:val="24"/>
                <w:szCs w:val="24"/>
                <w:color w:val="auto"/>
              </w:rPr>
            </w:pPr>
          </w:p>
        </w:tc>
        <w:tc>
          <w:tcPr>
            <w:tcW w:w="736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60" w:type="dxa"/>
            <w:vAlign w:val="bottom"/>
            <w:tcBorders>
              <w:bottom w:val="single" w:sz="8" w:color="0000EE"/>
            </w:tcBorders>
            <w:gridSpan w:val="17"/>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as of June 30, 2011 (Unaudited) and December 31, 2010</w:t>
              </w:r>
            </w:hyperlink>
          </w:p>
        </w:tc>
        <w:tc>
          <w:tcPr>
            <w:tcW w:w="350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720" w:type="dxa"/>
            <w:vAlign w:val="bottom"/>
            <w:tcBorders>
              <w:bottom w:val="single" w:sz="8" w:color="0000EE"/>
            </w:tcBorders>
            <w:gridSpan w:val="19"/>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for the three and six months ended June 30, 2011, and the period from July 21, 2010</w:t>
              </w:r>
            </w:hyperlink>
          </w:p>
        </w:tc>
        <w:tc>
          <w:tcPr>
            <w:tcW w:w="840" w:type="dxa"/>
            <w:vAlign w:val="bottom"/>
            <w:gridSpan w:val="4"/>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40" w:type="dxa"/>
            <w:vAlign w:val="bottom"/>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(inception) to June 30, 2011 (Unaudited)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20" w:type="dxa"/>
            <w:vAlign w:val="bottom"/>
            <w:tcBorders>
              <w:bottom w:val="single" w:sz="8" w:color="0000EE"/>
            </w:tcBorders>
            <w:gridSpan w:val="21"/>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Statements of Changes in Net Assets (Liabilities) for the three and six months ended June 30, 2011, and the period</w:t>
              </w:r>
            </w:hyperlink>
          </w:p>
        </w:tc>
        <w:tc>
          <w:tcPr>
            <w:tcW w:w="54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4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from July 21, 2010 (inception) to June 30, 2011 (Unaudited)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560" w:type="dxa"/>
            <w:vAlign w:val="bottom"/>
            <w:gridSpan w:val="23"/>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Statements of Cash Flows for the three and six months ended June 30, 2011, and the period from July 21, 2010</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5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(inception) to June 30, 2011 (Unaudited)</w:t>
              </w:r>
            </w:hyperlink>
          </w:p>
        </w:tc>
        <w:tc>
          <w:tcPr>
            <w:tcW w:w="8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9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Consolidated Financial Statements (Unaudited)</w:t>
              </w:r>
            </w:hyperlink>
          </w:p>
        </w:tc>
        <w:tc>
          <w:tcPr>
            <w:tcW w:w="558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138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9560" w:type="dxa"/>
            <w:vAlign w:val="bottom"/>
            <w:gridSpan w:val="23"/>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38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24"/>
                <w:szCs w:val="24"/>
                <w:color w:val="auto"/>
              </w:rPr>
            </w:pPr>
          </w:p>
        </w:tc>
        <w:tc>
          <w:tcPr>
            <w:tcW w:w="326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38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13">
              <w:r>
                <w:rPr>
                  <w:rFonts w:ascii="Arial" w:cs="Arial" w:eastAsia="Arial" w:hAnsi="Arial"/>
                  <w:sz w:val="18"/>
                  <w:szCs w:val="18"/>
                  <w:color w:val="0000EE"/>
                  <w:w w:val="86"/>
                </w:rPr>
                <w:t>Controls and Procedures</w:t>
              </w:r>
            </w:hyperlink>
          </w:p>
        </w:tc>
        <w:tc>
          <w:tcPr>
            <w:tcW w:w="782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3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9560" w:type="dxa"/>
            <w:vAlign w:val="bottom"/>
            <w:gridSpan w:val="2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38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1840" w:type="dxa"/>
            <w:vAlign w:val="bottom"/>
            <w:tcBorders>
              <w:top w:val="single" w:sz="8" w:color="0000EE"/>
            </w:tcBorders>
            <w:gridSpan w:val="9"/>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772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380" w:type="dxa"/>
            <w:vAlign w:val="bottom"/>
            <w:gridSpan w:val="2"/>
          </w:tcPr>
          <w:p>
            <w:pPr>
              <w:ind w:left="440"/>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6"/>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826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32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8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9560" w:type="dxa"/>
            <w:vAlign w:val="bottom"/>
            <w:gridSpan w:val="2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38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15">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24"/>
                <w:szCs w:val="24"/>
                <w:color w:val="auto"/>
              </w:rPr>
            </w:pPr>
          </w:p>
        </w:tc>
        <w:tc>
          <w:tcPr>
            <w:tcW w:w="532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38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78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5">
              <w:r>
                <w:rPr>
                  <w:rFonts w:ascii="Arial" w:cs="Arial" w:eastAsia="Arial" w:hAnsi="Arial"/>
                  <w:sz w:val="18"/>
                  <w:szCs w:val="18"/>
                  <w:color w:val="0000EE"/>
                  <w:w w:val="87"/>
                </w:rPr>
                <w:t>[Reserved]</w:t>
              </w:r>
            </w:hyperlink>
          </w:p>
        </w:tc>
        <w:tc>
          <w:tcPr>
            <w:tcW w:w="8780" w:type="dxa"/>
            <w:vAlign w:val="bottom"/>
            <w:gridSpan w:val="2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380" w:type="dxa"/>
            <w:vAlign w:val="bottom"/>
            <w:gridSpan w:val="2"/>
          </w:tcPr>
          <w:p>
            <w:pPr>
              <w:ind w:left="440"/>
              <w:spacing w:after="0"/>
              <w:rPr>
                <w:sz w:val="20"/>
                <w:szCs w:val="20"/>
                <w:color w:val="auto"/>
              </w:rPr>
            </w:pPr>
            <w:r>
              <w:rPr>
                <w:rFonts w:ascii="Arial" w:cs="Arial" w:eastAsia="Arial" w:hAnsi="Arial"/>
                <w:sz w:val="18"/>
                <w:szCs w:val="18"/>
                <w:color w:val="auto"/>
              </w:rPr>
              <w:t>Item 5.</w:t>
            </w:r>
          </w:p>
        </w:tc>
        <w:tc>
          <w:tcPr>
            <w:tcW w:w="9560" w:type="dxa"/>
            <w:vAlign w:val="bottom"/>
            <w:gridSpan w:val="2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38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Exhibits</w:t>
              </w:r>
            </w:hyperlink>
          </w:p>
        </w:tc>
        <w:tc>
          <w:tcPr>
            <w:tcW w:w="8280" w:type="dxa"/>
            <w:vAlign w:val="bottom"/>
            <w:gridSpan w:val="1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380" w:type="dxa"/>
            <w:vAlign w:val="bottom"/>
            <w:gridSpan w:val="2"/>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83"/>
        </w:trPr>
        <w:tc>
          <w:tcPr>
            <w:tcW w:w="10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460" w:type="dxa"/>
            <w:vAlign w:val="bottom"/>
            <w:gridSpan w:val="16"/>
          </w:tcPr>
          <w:p>
            <w:pPr>
              <w:ind w:left="4300"/>
              <w:spacing w:after="0"/>
              <w:rPr>
                <w:sz w:val="20"/>
                <w:szCs w:val="20"/>
                <w:color w:val="auto"/>
              </w:rPr>
            </w:pPr>
            <w:r>
              <w:rPr>
                <w:rFonts w:ascii="Arial" w:cs="Arial" w:eastAsia="Arial" w:hAnsi="Arial"/>
                <w:sz w:val="18"/>
                <w:szCs w:val="18"/>
                <w:color w:val="auto"/>
              </w:rPr>
              <w:t>2</w:t>
            </w: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(the “SEC”), the following factors, among others, could cause actual results to differ materially from forward-looking statements or historical performance:</w:t>
      </w:r>
    </w:p>
    <w:p>
      <w:pPr>
        <w:spacing w:after="0" w:line="59" w:lineRule="exact"/>
        <w:rPr>
          <w:sz w:val="20"/>
          <w:szCs w:val="20"/>
          <w:color w:val="auto"/>
        </w:rPr>
      </w:pPr>
    </w:p>
    <w:p>
      <w:pPr>
        <w:ind w:left="900" w:right="10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 economic downturn, or a continuation or worsening of the current global recession, could impair the portfolio companies’ (that we will invest in) abilities to continue to operate, which could lead to the loss of some or all of our investments in such portfolio companies;</w:t>
      </w:r>
    </w:p>
    <w:p>
      <w:pPr>
        <w:spacing w:after="0" w:line="4" w:lineRule="exact"/>
        <w:rPr>
          <w:rFonts w:ascii="Arial" w:cs="Arial" w:eastAsia="Arial" w:hAnsi="Arial"/>
          <w:sz w:val="16"/>
          <w:szCs w:val="16"/>
          <w:color w:val="auto"/>
        </w:rPr>
      </w:pPr>
    </w:p>
    <w:p>
      <w:pPr>
        <w:ind w:left="900" w:right="50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which we intend to target for investment, potentially causing us to experience a decrease in investment opportunities and diminished demand for capital from these companies;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ability to raise capital and our investment activities;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and elsewhere in our filings with the SEC.</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1934 Act, which preclude civil liability for certain forward-looking statements, do not apply to the forward-looking statements in this report because we are an investment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280" w:type="dxa"/>
            <w:vAlign w:val="bottom"/>
            <w:gridSpan w:val="7"/>
          </w:tcPr>
          <w:p>
            <w:pPr>
              <w:spacing w:after="0"/>
              <w:rPr>
                <w:sz w:val="20"/>
                <w:szCs w:val="20"/>
                <w:color w:val="auto"/>
              </w:rPr>
            </w:pPr>
            <w:r>
              <w:rPr>
                <w:rFonts w:ascii="Arial" w:cs="Arial" w:eastAsia="Arial" w:hAnsi="Arial"/>
                <w:sz w:val="18"/>
                <w:szCs w:val="18"/>
                <w:color w:val="auto"/>
                <w:w w:val="99"/>
              </w:rPr>
              <w:t>In this Quarterly Report, “Company”, “we”, “us” and “our” refer to TPG Specialty Lending, Inc. unless the context states otherwise.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720" w:type="dxa"/>
            <w:vAlign w:val="bottom"/>
          </w:tcPr>
          <w:p>
            <w:pPr>
              <w:ind w:left="140"/>
              <w:spacing w:after="0"/>
              <w:rPr>
                <w:sz w:val="20"/>
                <w:szCs w:val="20"/>
                <w:color w:val="auto"/>
              </w:rPr>
            </w:pPr>
            <w:r>
              <w:rPr>
                <w:rFonts w:ascii="Arial" w:cs="Arial" w:eastAsia="Arial" w:hAnsi="Arial"/>
                <w:sz w:val="18"/>
                <w:szCs w:val="18"/>
                <w:b w:val="1"/>
                <w:bCs w:val="1"/>
                <w:color w:val="auto"/>
              </w:rPr>
              <w:t>Financial Statements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20" w:type="dxa"/>
            <w:vAlign w:val="bottom"/>
          </w:tcPr>
          <w:p>
            <w:pPr>
              <w:jc w:val="center"/>
              <w:ind w:left="1812"/>
              <w:spacing w:after="0"/>
              <w:rPr>
                <w:sz w:val="20"/>
                <w:szCs w:val="20"/>
                <w:color w:val="auto"/>
              </w:rPr>
            </w:pPr>
            <w:r>
              <w:rPr>
                <w:rFonts w:ascii="Arial" w:cs="Arial" w:eastAsia="Arial" w:hAnsi="Arial"/>
                <w:sz w:val="18"/>
                <w:szCs w:val="18"/>
                <w:b w:val="1"/>
                <w:bCs w:val="1"/>
                <w:color w:val="auto"/>
                <w:w w:val="90"/>
              </w:rPr>
              <w:t>TPG Specialty Lending, Inc.</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7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(A Development Stage Company)</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20" w:type="dxa"/>
            <w:vAlign w:val="bottom"/>
          </w:tcPr>
          <w:p>
            <w:pPr>
              <w:jc w:val="center"/>
              <w:ind w:left="1812"/>
              <w:spacing w:after="0"/>
              <w:rPr>
                <w:sz w:val="20"/>
                <w:szCs w:val="20"/>
                <w:color w:val="auto"/>
              </w:rPr>
            </w:pPr>
            <w:r>
              <w:rPr>
                <w:rFonts w:ascii="Arial" w:cs="Arial" w:eastAsia="Arial" w:hAnsi="Arial"/>
                <w:sz w:val="18"/>
                <w:szCs w:val="18"/>
                <w:b w:val="1"/>
                <w:bCs w:val="1"/>
                <w:color w:val="auto"/>
                <w:w w:val="84"/>
              </w:rPr>
              <w:t>Consolidated Balance Sheets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(Unaudited)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7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35,274,563</w:t>
            </w:r>
          </w:p>
        </w:tc>
        <w:tc>
          <w:tcPr>
            <w:tcW w:w="30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251,794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Assets</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35,526,357</w:t>
            </w:r>
          </w:p>
        </w:tc>
        <w:tc>
          <w:tcPr>
            <w:tcW w:w="300" w:type="dxa"/>
            <w:vAlign w:val="bottom"/>
          </w:tcPr>
          <w:p>
            <w:pPr>
              <w:spacing w:after="0"/>
              <w:rPr>
                <w:sz w:val="19"/>
                <w:szCs w:val="19"/>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7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7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Initial organization expenses payable to affiliate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1,500,000</w:t>
            </w:r>
          </w:p>
        </w:tc>
        <w:tc>
          <w:tcPr>
            <w:tcW w:w="30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Other accrued expenses and payables to affiliate</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1,213,378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2,716,766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9"/>
        </w:trPr>
        <w:tc>
          <w:tcPr>
            <w:tcW w:w="8620" w:type="dxa"/>
            <w:vAlign w:val="bottom"/>
            <w:gridSpan w:val="3"/>
          </w:tcPr>
          <w:p>
            <w:pPr>
              <w:spacing w:after="0"/>
              <w:rPr>
                <w:sz w:val="20"/>
                <w:szCs w:val="20"/>
                <w:color w:val="auto"/>
              </w:rPr>
            </w:pPr>
            <w:r>
              <w:rPr>
                <w:rFonts w:ascii="Arial" w:cs="Arial" w:eastAsia="Arial" w:hAnsi="Arial"/>
                <w:sz w:val="18"/>
                <w:szCs w:val="18"/>
                <w:color w:val="auto"/>
              </w:rPr>
              <w:t>Commitments and contingencies (Note 4)</w:t>
            </w:r>
          </w:p>
        </w:tc>
        <w:tc>
          <w:tcPr>
            <w:tcW w:w="4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0" w:type="dxa"/>
            <w:vAlign w:val="bottom"/>
          </w:tcPr>
          <w:p>
            <w:pPr>
              <w:spacing w:after="0"/>
              <w:rPr>
                <w:sz w:val="9"/>
                <w:szCs w:val="9"/>
                <w:color w:val="auto"/>
              </w:rPr>
            </w:pPr>
          </w:p>
        </w:tc>
        <w:tc>
          <w:tcPr>
            <w:tcW w:w="7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Net Assets</w:t>
            </w:r>
          </w:p>
        </w:tc>
        <w:tc>
          <w:tcPr>
            <w:tcW w:w="7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Preferred shares, $0.01 par value; 100,000,000 shares authorized; no shares issued and outstanding</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Common shares, $0.01 par value; 100,000,000 and 10,000 shares authorized, respectively; 36,000 and 1,000 issued,</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respectively; and 35,001 and 1,000 outstanding, respectively</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35,000,640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shares at cost; 999 shares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Accumulated net loss</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(2,190,410)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Total Net Assets</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32,809,591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gridSpan w:val="2"/>
          </w:tcPr>
          <w:p>
            <w:pPr>
              <w:ind w:left="420"/>
              <w:spacing w:after="0"/>
              <w:rPr>
                <w:sz w:val="20"/>
                <w:szCs w:val="20"/>
                <w:color w:val="auto"/>
              </w:rPr>
            </w:pPr>
            <w:r>
              <w:rPr>
                <w:rFonts w:ascii="Arial" w:cs="Arial" w:eastAsia="Arial" w:hAnsi="Arial"/>
                <w:sz w:val="18"/>
                <w:szCs w:val="18"/>
                <w:b w:val="1"/>
                <w:bCs w:val="1"/>
                <w:color w:val="auto"/>
              </w:rPr>
              <w:t>Total Liabilities and Net Assets</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35,526,357</w:t>
            </w:r>
          </w:p>
        </w:tc>
        <w:tc>
          <w:tcPr>
            <w:tcW w:w="300" w:type="dxa"/>
            <w:vAlign w:val="bottom"/>
          </w:tcPr>
          <w:p>
            <w:pPr>
              <w:spacing w:after="0"/>
              <w:rPr>
                <w:sz w:val="19"/>
                <w:szCs w:val="19"/>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0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Net Asset Value Per Share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937.39</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Six months</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July 21,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ended</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2011</w:t>
            </w: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June 30, 2011</w:t>
            </w: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June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28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Investment</w:t>
            </w:r>
          </w:p>
        </w:tc>
        <w:tc>
          <w:tcPr>
            <w:tcW w:w="300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Initial organization</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1,500,000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3,388</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Professional fees</w:t>
            </w:r>
          </w:p>
        </w:tc>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288,785</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288,785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288,785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68,000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2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275,930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307,404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Expenses</w:t>
            </w:r>
          </w:p>
        </w:tc>
        <w:tc>
          <w:tcPr>
            <w:tcW w:w="2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636,103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2,190,410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2,190,410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5240" w:type="dxa"/>
            <w:vAlign w:val="bottom"/>
          </w:tcPr>
          <w:p>
            <w:pPr>
              <w:ind w:left="420"/>
              <w:spacing w:after="0"/>
              <w:rPr>
                <w:sz w:val="20"/>
                <w:szCs w:val="20"/>
                <w:color w:val="auto"/>
              </w:rPr>
            </w:pPr>
            <w:r>
              <w:rPr>
                <w:rFonts w:ascii="Arial" w:cs="Arial" w:eastAsia="Arial" w:hAnsi="Arial"/>
                <w:sz w:val="18"/>
                <w:szCs w:val="18"/>
                <w:b w:val="1"/>
                <w:bCs w:val="1"/>
                <w:color w:val="auto"/>
              </w:rPr>
              <w:t>Net Investment Loss</w:t>
            </w: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(636,103)</w:t>
            </w:r>
          </w:p>
        </w:tc>
        <w:tc>
          <w:tcPr>
            <w:tcW w:w="10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(2,190,410)</w:t>
            </w:r>
          </w:p>
        </w:tc>
        <w:tc>
          <w:tcPr>
            <w:tcW w:w="10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(2,190,410)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Decrease in Net Assets Resulting from Operations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(636,103)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(2,190,410)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(2,190,410)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Loss Per Share – Basic and Diluted</w:t>
            </w:r>
          </w:p>
        </w:tc>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300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(466.69)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(1,853.14)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(3,359.52)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w w:val="95"/>
              </w:rPr>
              <w:t>Weighted-Average Shares Outstanding – Basic and Diluted</w:t>
            </w:r>
          </w:p>
        </w:tc>
        <w:tc>
          <w:tcPr>
            <w:tcW w:w="28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9240" w:type="dxa"/>
            <w:vAlign w:val="bottom"/>
            <w:gridSpan w:val="5"/>
          </w:tcPr>
          <w:p>
            <w:pPr>
              <w:jc w:val="center"/>
              <w:ind w:left="205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860" w:type="dxa"/>
            <w:vAlign w:val="bottom"/>
          </w:tcPr>
          <w:p>
            <w:pPr>
              <w:jc w:val="right"/>
              <w:ind w:right="2272"/>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 (Liabilities)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Three months</w:t>
            </w: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Six months</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July 21, 2010</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ended</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ended</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0" w:type="dxa"/>
            <w:vAlign w:val="bottom"/>
          </w:tcPr>
          <w:p>
            <w:pPr>
              <w:spacing w:after="0"/>
              <w:rPr>
                <w:sz w:val="1"/>
                <w:szCs w:val="1"/>
                <w:color w:val="auto"/>
              </w:rPr>
            </w:pPr>
          </w:p>
        </w:tc>
      </w:tr>
      <w:tr>
        <w:trPr>
          <w:trHeight w:val="161"/>
        </w:trPr>
        <w:tc>
          <w:tcPr>
            <w:tcW w:w="55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June 30, 2011</w:t>
            </w: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June 30, 2011</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 2011</w:t>
            </w: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Decrease in Net Assets Resulting from Operations</w:t>
            </w:r>
          </w:p>
        </w:tc>
        <w:tc>
          <w:tcPr>
            <w:tcW w:w="2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investment loss</w:t>
            </w:r>
          </w:p>
        </w:tc>
        <w:tc>
          <w:tcPr>
            <w:tcW w:w="2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(636,103)</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 (2,190,410)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 (2,190,410)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Decrease in Net Assets Resulting from Operations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(636,103)</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(2,190,410)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(2,190,410)</w:t>
            </w:r>
          </w:p>
        </w:tc>
        <w:tc>
          <w:tcPr>
            <w:tcW w:w="0" w:type="dxa"/>
            <w:vAlign w:val="bottom"/>
          </w:tcPr>
          <w:p>
            <w:pPr>
              <w:spacing w:after="0"/>
              <w:rPr>
                <w:sz w:val="1"/>
                <w:szCs w:val="1"/>
                <w:color w:val="auto"/>
              </w:rPr>
            </w:pPr>
          </w:p>
        </w:tc>
      </w:tr>
      <w:tr>
        <w:trPr>
          <w:trHeight w:val="329"/>
        </w:trPr>
        <w:tc>
          <w:tcPr>
            <w:tcW w:w="5500" w:type="dxa"/>
            <w:vAlign w:val="bottom"/>
          </w:tcPr>
          <w:p>
            <w:pPr>
              <w:spacing w:after="0"/>
              <w:rPr>
                <w:sz w:val="20"/>
                <w:szCs w:val="20"/>
                <w:color w:val="auto"/>
              </w:rPr>
            </w:pPr>
            <w:r>
              <w:rPr>
                <w:rFonts w:ascii="Arial" w:cs="Arial" w:eastAsia="Arial" w:hAnsi="Arial"/>
                <w:sz w:val="18"/>
                <w:szCs w:val="18"/>
                <w:b w:val="1"/>
                <w:bCs w:val="1"/>
                <w:color w:val="auto"/>
                <w:w w:val="97"/>
              </w:rPr>
              <w:t>Increase in Net Assets Resulting from Capital Share Transactions</w:t>
            </w:r>
          </w:p>
        </w:tc>
        <w:tc>
          <w:tcPr>
            <w:tcW w:w="2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35,000,000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35,000,000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35,001,000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Purchase of treasury shares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(999)</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(999)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w w:val="89"/>
              </w:rPr>
              <w:t>Increase in Net Assets Resulting from Capital Share Transactions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34,999,001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34,999,001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35,000,001</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 Increase in Net Assets</w:t>
            </w:r>
          </w:p>
        </w:tc>
        <w:tc>
          <w:tcPr>
            <w:tcW w:w="2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500" w:type="dxa"/>
            <w:vAlign w:val="bottom"/>
            <w:vMerge w:val="continue"/>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34,362,898</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32,808,591</w:t>
            </w:r>
          </w:p>
        </w:tc>
        <w:tc>
          <w:tcPr>
            <w:tcW w:w="3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32,809,591</w:t>
            </w:r>
          </w:p>
        </w:tc>
        <w:tc>
          <w:tcPr>
            <w:tcW w:w="0" w:type="dxa"/>
            <w:vAlign w:val="bottom"/>
          </w:tcPr>
          <w:p>
            <w:pPr>
              <w:spacing w:after="0"/>
              <w:rPr>
                <w:sz w:val="1"/>
                <w:szCs w:val="1"/>
                <w:color w:val="auto"/>
              </w:rPr>
            </w:pPr>
          </w:p>
        </w:tc>
      </w:tr>
      <w:tr>
        <w:trPr>
          <w:trHeight w:val="218"/>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assets (liabilities), beginning of period</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(1,553,307)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50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2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32,809,591</w:t>
            </w: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32,809,591</w:t>
            </w:r>
          </w:p>
        </w:tc>
        <w:tc>
          <w:tcPr>
            <w:tcW w:w="32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32,809,591</w:t>
            </w:r>
          </w:p>
        </w:tc>
        <w:tc>
          <w:tcPr>
            <w:tcW w:w="0" w:type="dxa"/>
            <w:vAlign w:val="bottom"/>
          </w:tcPr>
          <w:p>
            <w:pPr>
              <w:spacing w:after="0"/>
              <w:rPr>
                <w:sz w:val="1"/>
                <w:szCs w:val="1"/>
                <w:color w:val="auto"/>
              </w:rPr>
            </w:pPr>
          </w:p>
        </w:tc>
      </w:tr>
      <w:tr>
        <w:trPr>
          <w:trHeight w:val="20"/>
        </w:trPr>
        <w:tc>
          <w:tcPr>
            <w:tcW w:w="798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0" w:type="dxa"/>
            <w:vAlign w:val="bottom"/>
            <w:gridSpan w:val="5"/>
          </w:tcPr>
          <w:p>
            <w:pPr>
              <w:jc w:val="center"/>
              <w:ind w:left="2132"/>
              <w:spacing w:after="0"/>
              <w:rPr>
                <w:sz w:val="20"/>
                <w:szCs w:val="20"/>
                <w:color w:val="auto"/>
              </w:rPr>
            </w:pPr>
            <w:r>
              <w:rPr>
                <w:rFonts w:ascii="Arial" w:cs="Arial" w:eastAsia="Arial" w:hAnsi="Arial"/>
                <w:sz w:val="18"/>
                <w:szCs w:val="18"/>
                <w:color w:val="auto"/>
                <w:w w:val="87"/>
              </w:rPr>
              <w:t>The accompanying notes are an integral part of these consolidated financial statements.</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500" w:type="dxa"/>
            <w:vAlign w:val="bottom"/>
          </w:tcPr>
          <w:p>
            <w:pPr>
              <w:spacing w:after="0"/>
              <w:rPr>
                <w:sz w:val="24"/>
                <w:szCs w:val="24"/>
                <w:color w:val="auto"/>
              </w:rPr>
            </w:pPr>
          </w:p>
        </w:tc>
        <w:tc>
          <w:tcPr>
            <w:tcW w:w="2480" w:type="dxa"/>
            <w:vAlign w:val="bottom"/>
          </w:tcPr>
          <w:p>
            <w:pPr>
              <w:jc w:val="right"/>
              <w:ind w:right="21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Six months</w:t>
            </w: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July 21,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8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ended</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June 30, 2011</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Decrease in net assets resulting from operations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 (2,190,410)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 (2,190,410)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decrease in net assets resulting from operations to net cash provided by operating activities: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Change in prepaid expenses and other assets</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(251,794)</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(251,794)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initial organization expenses payable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420"/>
              <w:spacing w:after="0"/>
              <w:rPr>
                <w:sz w:val="20"/>
                <w:szCs w:val="20"/>
                <w:color w:val="auto"/>
              </w:rPr>
            </w:pPr>
            <w:r>
              <w:rPr>
                <w:rFonts w:ascii="Arial" w:cs="Arial" w:eastAsia="Arial" w:hAnsi="Arial"/>
                <w:sz w:val="18"/>
                <w:szCs w:val="18"/>
                <w:color w:val="auto"/>
              </w:rPr>
              <w:t>Change in management fees payable</w:t>
            </w:r>
          </w:p>
        </w:tc>
        <w:tc>
          <w:tcPr>
            <w:tcW w:w="900" w:type="dxa"/>
            <w:vAlign w:val="bottom"/>
          </w:tcPr>
          <w:p>
            <w:pPr>
              <w:jc w:val="right"/>
              <w:spacing w:after="0"/>
              <w:rPr>
                <w:sz w:val="20"/>
                <w:szCs w:val="20"/>
                <w:color w:val="auto"/>
              </w:rPr>
            </w:pPr>
            <w:r>
              <w:rPr>
                <w:rFonts w:ascii="Arial" w:cs="Arial" w:eastAsia="Arial" w:hAnsi="Arial"/>
                <w:sz w:val="18"/>
                <w:szCs w:val="18"/>
                <w:color w:val="auto"/>
              </w:rPr>
              <w:t>3,388</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other accrued expenses and payables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1,213,378</w:t>
            </w:r>
          </w:p>
        </w:tc>
        <w:tc>
          <w:tcPr>
            <w:tcW w:w="3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b w:val="1"/>
                <w:bCs w:val="1"/>
                <w:color w:val="auto"/>
              </w:rPr>
              <w:t>Net cash provided by operating activities</w:t>
            </w:r>
          </w:p>
        </w:tc>
        <w:tc>
          <w:tcPr>
            <w:tcW w:w="900" w:type="dxa"/>
            <w:vAlign w:val="bottom"/>
          </w:tcPr>
          <w:p>
            <w:pPr>
              <w:jc w:val="right"/>
              <w:spacing w:after="0"/>
              <w:rPr>
                <w:sz w:val="20"/>
                <w:szCs w:val="20"/>
                <w:color w:val="auto"/>
              </w:rPr>
            </w:pPr>
            <w:r>
              <w:rPr>
                <w:rFonts w:ascii="Arial" w:cs="Arial" w:eastAsia="Arial" w:hAnsi="Arial"/>
                <w:sz w:val="18"/>
                <w:szCs w:val="18"/>
                <w:color w:val="auto"/>
              </w:rPr>
              <w:t>274,562</w:t>
            </w: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274,562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1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Proceeds from issuance of common shares</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35,000,000</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35,001,000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tcPr>
          <w:p>
            <w:pPr>
              <w:ind w:left="420"/>
              <w:spacing w:after="0"/>
              <w:rPr>
                <w:sz w:val="20"/>
                <w:szCs w:val="20"/>
                <w:color w:val="auto"/>
              </w:rPr>
            </w:pPr>
            <w:r>
              <w:rPr>
                <w:rFonts w:ascii="Arial" w:cs="Arial" w:eastAsia="Arial" w:hAnsi="Arial"/>
                <w:sz w:val="18"/>
                <w:szCs w:val="18"/>
                <w:b w:val="1"/>
                <w:bCs w:val="1"/>
                <w:color w:val="auto"/>
              </w:rPr>
              <w:t>Net cash provided by financing activities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34,999,001</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35,000,001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9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increase in cash and cash equivalents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35,273,563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35,274,563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Cash and cash equivalents, end of period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35,274,563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35,274,563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71" w:lineRule="exact"/>
        <w:rPr>
          <w:sz w:val="20"/>
          <w:szCs w:val="20"/>
          <w:color w:val="auto"/>
        </w:rPr>
      </w:pPr>
    </w:p>
    <w:p>
      <w:pPr>
        <w:ind w:right="8280" w:firstLine="8"/>
        <w:spacing w:after="0" w:line="347" w:lineRule="auto"/>
        <w:tabs>
          <w:tab w:leader="none" w:pos="17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intends to elect to be treated as a regulated investment company (“RIC”) under Subchapter M of the Internal Revenue Code of 1986, as amended (the “Code”). TSL is managed by TSL Advisers, LLC (the “Adviser”). As of June 30, 2011, the Company has not commenced its investing activities.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Stage Company</w:t>
      </w:r>
    </w:p>
    <w:p>
      <w:pPr>
        <w:spacing w:after="0" w:line="9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Company is a development stage company as defined by Financial Accounting Standards Board Accounting Standards Codification (“ASC”) 915-10-05, “Development Stage Entity”. As of June 30, 2011, the Company was still devoting substantially all of its efforts to establishing the business and has not commenced its investing activities. All losses accumulated, since inception, have been considered as part of the Company’s development stage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wholly-owned subsidiary, TC Lending LLC, a Delaware limited liability company formed on June 1, 2011. In the opinion of management, all adjustments, consisting solely of accruals considered necessary for the fair presentation of consolidated financial statements for interim periods, have been included. The results of operations for interim periods are not indicative of results to be expected for the full year. All significant intercompany balances and transactions have been eliminated.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900" w:firstLine="8"/>
        <w:spacing w:after="0" w:line="347" w:lineRule="auto"/>
        <w:tabs>
          <w:tab w:leader="none" w:pos="17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may consist of demand deposits and highly liquid investments (e.g., money market funds, U.S. Treasury notes) with original maturities of three months or less. Cash and cash equivalents are carried at cost which approximates fair value. The Company places its cash and cash equivalents on deposit with highly-rated U.S. banking corporations.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may receive reimbursement for certain transaction-related expenses in pursuing portfolio company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13"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Cash advances of transaction-related expenses received are recorded as Cash and cash equivalents with an offset to Other accrued expenses and payables to affiliates. Other accrued expenses and payables to affiliates is relieved as reimbursable expenses are incurred.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has elected to be treated as a BDC under the 1940 Act. The Company also intends to elect to be treated as a RIC under the Code for the taxable year ending December 31, 2011. So long as the Company maintains its status as a RIC, it generally will not pay corporate-level U.S. federal income taxes on any ordinary income or capital gains that it distributes at least annually to its stockholders as dividends. Rather, any tax liability related to income earned and distributed by TSL represents obligations of the Company’s investors and will not be reflected in the consolidated financial statements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evaluates the need for disclosures and/or adjustments resulting from subsequent events through the date the consolidated financial statements are issued.</w:t>
      </w:r>
    </w:p>
    <w:p>
      <w:pPr>
        <w:spacing w:after="0" w:line="207" w:lineRule="exact"/>
        <w:rPr>
          <w:sz w:val="20"/>
          <w:szCs w:val="20"/>
          <w:color w:val="auto"/>
        </w:rPr>
      </w:pPr>
    </w:p>
    <w:p>
      <w:pPr>
        <w:ind w:right="7920" w:firstLine="8"/>
        <w:spacing w:after="0" w:line="347" w:lineRule="auto"/>
        <w:tabs>
          <w:tab w:leader="none" w:pos="17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March 15, 2011, the Company entered into an Administration Agreement (the “Administration Agreement”) with the Adviser. Under the terms of the Administration Agreement, the Adviser will provide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w:t>
      </w:r>
    </w:p>
    <w:p>
      <w:pPr>
        <w:spacing w:after="0" w:line="14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Administration Agreement also provides that the Company will reimburse the Adviser for certain initial organization and operating costs incurred prior to the commencement of the Company’s operations (up to an aggregate of $1.5 million). During the six months ended June 30, 2011, initial organization costs exceeded $1.5 million and a corresponding amount has been recorded in the accompanying consolidated financial statements.</w:t>
      </w:r>
    </w:p>
    <w:p>
      <w:pPr>
        <w:spacing w:after="0" w:line="10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Excluding initial organization and operating costs, for each of the three and six months ended June 30, 2011, and the period from July 21, 2010 (inception) through June 30, 2011, the Company incurred expenses of $122,753 for administrative services payable to the Adviser under the terms of the Administration Agreement.</w:t>
      </w:r>
    </w:p>
    <w:p>
      <w:pPr>
        <w:spacing w:after="0" w:line="14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Unless earlier terminated as described below, the Administration Agreement will remain in effect until March 15, 2013, and may be extended subject to required approvals. The Administration Agreement will automatically terminate in the event of assignment and may be terminated by either party without penalty upon at least 60 days’ written notice to the other party.</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 person who is an officer, director or employee of the Adviser and who serves as a director of the Company receives any compensation from the Company for such services. Directors who are not affiliated with the Adviser receive compensation for their services and reimbursement of expenses incurred to attend meetings.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April 15, 2011, the Company entered into an Advisory Agreement (the “Advisory Agreement”) with the Adviser. Under the terms of the Advisory Agreement, the Adviser will provide investment advisory services to the Company. The Adviser’s services under the Advisory Agreement are not exclusive, and the Adviser is free to furnish similar or other services to others so long as its services to the Company are not impaired. Under the terms of the Advisory Agreement, the Company will pay the Adviser a base management fee (the “Management Fee”) and may also pay to it certain incentive fees (the “Incentive Fee”).</w:t>
      </w:r>
    </w:p>
    <w:p>
      <w:pPr>
        <w:spacing w:after="0" w:line="11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 the three and six months ended June 30, 2011, the Management Fee was calculated based on the Company’s gross assets at the end of such calendar quarter, adjusted for share issuances and repurchases during such calendar quarters. Following the second full quarter of operation, the Management Fee is payable quarterly in arrears and is calculated at an annual rate of 1.5% based on the average value of the Company’s gross assets at the end of the two most recently completed calendar quarters, adjusted for any share issuances or repurchases during the current calendar quarter. Management Fees for any partial month or quarter are appropriately prorated.</w:t>
      </w:r>
    </w:p>
    <w:p>
      <w:pPr>
        <w:spacing w:after="0" w:line="14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Until such time that the Company has an initial public offering (“IPO”) of its common shares, the Adviser has waived its right to receive the Management Fee in excess of the sum of (i) 0.25% of aggregate committed but undrawn capital; and, (ii) 0.75% of aggregate drawn capital (including capital drawn to pay Company expenses) during any period.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For each of the three and six months ended June 30, 2011, and for the period from July 21, 2010 (inception) through June 30, 2011, Management Fees were $3,388.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hanging="446"/>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will equal 100% of the excess of pre-incentive fee net investment income in excess of a 1.5% quarterly (6% annualized) hurdle rate, until the Adviser has received 15% (17.5% subsequent to any IPO of the Company’s common shares) of total net investment income for that quarter, and 15% (17.5% subsequent to any IPO of the Company’s common shares) of all remaining pre-incentive fee net investment income for that quarter.</w:t>
      </w:r>
    </w:p>
    <w:p>
      <w:pPr>
        <w:spacing w:after="0" w:line="62" w:lineRule="exact"/>
        <w:rPr>
          <w:rFonts w:ascii="Arial" w:cs="Arial" w:eastAsia="Arial" w:hAnsi="Arial"/>
          <w:sz w:val="18"/>
          <w:szCs w:val="18"/>
          <w:color w:val="auto"/>
        </w:rPr>
      </w:pPr>
    </w:p>
    <w:p>
      <w:pPr>
        <w:ind w:left="900" w:right="160" w:hanging="446"/>
        <w:spacing w:after="0" w:line="290"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any IPO of the Company’s common shares, equal 15% of cumulative capital gains from the inception of the Company to the end of such fiscal year, less the aggregate amount of any previously paid capital gain incentive fees for prior periods (the “Capital Gains Fee”). Following any IPO of the Company’s common shares, the Capital Gains Fee will equal a weighted percentage of the Company’s realized capital gains, if any, on a cumulative basis from the inception of the Company to the end of such fiscal year. The weighted percentage is intended to ensure that for each fiscal year following any IPO of the Company’s common shares, the portion of the Company’s realized capital gains that accrued prior to any IPO will be subject to an incentive fee rate of 15% and the portion of the Company’s realized capital gains that accrued following any IPO will be subject to an incentive fee rate of 17.5%.</w:t>
      </w:r>
    </w:p>
    <w:p>
      <w:pPr>
        <w:spacing w:after="0" w:line="11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Notwithstanding the forgoing, if prior to any IPO of the Company’s common shares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There was no Incentive Fee for the three and six months ended June 30, 2011, and the period from July 21, 2010 (inception) through June 30, 2011.</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Unless earlier terminated, the Advisory Agreement will remain in effect until April 15, 2013, and may be extended subject to required approvals. The Advisory Agreement will automatically terminate in the event of assignment and may be terminated by either party without penalty upon at least 60 days’ written notice to the other party.</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From time to time, the Adviser may pay amounts owed by the Company to third party providers of goods or services, including the Company’s board of directors and the Company will subsequently reimburse the Adviser for such amounts paid on its behalf. Expenses paid by the Adviser on behalf of the Company for the three and six months ended June 30, 2011, and the period from July 21, 2010 (inception) through June 30, 2011, were $509,962, $564,269, and $564,269,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At June 30, 2011,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Assets (Liabilities)</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connection with its formation, the Company had the authority to issue 10,000 common shares at $0.01 per share par value. The Company also had the authority to issue 100,000,000 preferred shares at $0.01 per share par value. The Company’s preferred shares are non-convertible.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On December 21, 2010, the Company issued 1,000 common shares for $1,000 to Tarrant Advisors, Inc., an affiliate of the Company and its Adviser.</w:t>
      </w:r>
    </w:p>
    <w:p>
      <w:pPr>
        <w:spacing w:after="0" w:line="19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On March 8, 2011, the Company increased the number of common shares authorized to be issued to 100,000,000, par value $0.01 per share. The authorized preferred shares were unchanged and no preferred shares were outstanding as of June 30, 2011.</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April 15, 2011, and again on June 17, 2011, the Company entered into subscription agreements (collectively, the “Subscription Agreements”) with several investors, including the Adviser, providing for the private placement of the Company’s common shares. Under the terms of the Subscription Agreements, investors are required to fund drawdowns to purchase the Company’s common shares up to the amount of their respective capital commitments on an as-needed basis with a minimum of 10 business days’ prior notice.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June 17, 2011, pursuant to the Subscription Agreements, the Company delivered a capital drawdown notice to its investors relating to the issuance of 35,000 common shares for an aggregate offering price of $35 million. The shares were issued on June 30, 2011.</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June 29, 2011, the Company repurchased 999 of its common shares from Tarrant Advisors, Inc. for $999. The repurchased shares are held in treasury shares, at cost, as of June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Highlights</w:t>
      </w:r>
    </w:p>
    <w:p>
      <w:pPr>
        <w:spacing w:after="0" w:line="9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a common share outstanding during the three and six months ended June 30, 2011, and for the period from July 21, 2010 (inception) to June 30, 2011:</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Six months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July 21,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June 30, 2011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June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loss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Issuance of common shares at prices above net asset value</w:t>
            </w: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increase in net assets</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936.39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Net asset value, end of period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937.39</w:t>
            </w:r>
          </w:p>
        </w:tc>
        <w:tc>
          <w:tcPr>
            <w:tcW w:w="2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937.39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outstanding, end of period</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Total Return</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Ratio of operating expenses to average net assets (1)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 (1)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Ratio of net investment loss to average net assets (1)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assets, end of period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32,809,591</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32,809,591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committed capital, end of period (2)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665,089,380</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665,089,380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8"/>
              </w:rPr>
              <w:t>Ratio of total contributed capital to total committed capital, end of period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Year of formation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N/M</w:t>
        <w:tab/>
        <w:t>Not meaningful.</w:t>
      </w:r>
    </w:p>
    <w:p>
      <w:pPr>
        <w:spacing w:after="0" w:line="15"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annualized.</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includes $54.5 million of commitments from the Adviser.</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On July 8, 2011, the Company closed on its first portfolio company investment and accordingly ceased being a development stage company.</w:t>
      </w:r>
    </w:p>
    <w:p>
      <w:pPr>
        <w:spacing w:after="0" w:line="9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On July 29, 2011, the Company entered into $142.4 million of subscription agreements with several investors providing for the private placement of the Company’s common shares which, when combined with increased commitments from existing investors, increased the total committed capital to $814.8 million.</w:t>
      </w:r>
    </w:p>
    <w:p>
      <w:pPr>
        <w:spacing w:after="0" w:line="8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August 1, 2011, pursuant to the Subscription Agreements, the Company delivered a capital drawdown notice to its investors relating to the issuance of 75,652 of the Company’s common shares for an aggregate offering price of $73 million. The shares are expected to be issued on or around August 12, 2011.</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were incorporated under the laws of the State of Delaware on July 21, 2010. We have elected to be treated as a BDC under the 1940 Act, and intend to elect to be treated as a RIC for federal income tax purposes. As such, we will be required to comply with various regulatory requirements, such as the requirement to invest at least 70% of our assets in “qualifying assets,” source of income limitations, asset diversification requirements, and the requirement to distribute annually at least 90% of our taxable income and tax-exempt interest.</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June 30, 2011, we were a development stage company as defined by ASC 915-10-05, “Development Stage Entity”. On July 8, 2011, we closed on our first portfolio company investment and accordingly ceased being a development stage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we were in the development stage through June 30, 2011, there have been no revenues earned during the three and six months ended June 30, 2011, and the period from July 21, 2010 (inception) through June 30, 2011.</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plan to generate revenues in the form of interest income from the debt securities we hold and dividends and capital appreciation on either direct equity investments or equity interests obtained in connection with originating loans, such as options, warrants or conversion rights. We expect most of the debt securities we will hold will be floating rate in nature. The debt we invest in will typically not be rated by any rating agency, but if it were, it is likely that such debt would be below investment grade. We intend to structure our debt investments with interest payable quarterly, semi-annually or annually, but we may structure certain investments with terms to provide for longer interest payment periods or to allow interest to be paid by adding amounts due to the principal balance of the loan, resulting in deferred cash receipts. In addition, we may also generate revenue in the form of commitment, loan origination, structuring or diligence fees, fees for providing managerial assistance to our portfolio companies, and possibly consulting fees. Certain of these fees may be capitalized and amortized as additional interest income over the life of the related loan.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Expenses for the three months ended June 30, 2011, were $636,103 which consisted of $3,388 in base management fees, $288,785 in professional fees, $68,000 in directors’ fees, and $275,930 in other general and administrative expenses.</w:t>
      </w:r>
    </w:p>
    <w:p>
      <w:pPr>
        <w:spacing w:after="0" w:line="132" w:lineRule="exact"/>
        <w:rPr>
          <w:sz w:val="20"/>
          <w:szCs w:val="20"/>
          <w:color w:val="auto"/>
        </w:rPr>
      </w:pPr>
    </w:p>
    <w:p>
      <w:pPr>
        <w:ind w:right="260"/>
        <w:spacing w:after="0" w:line="335" w:lineRule="auto"/>
        <w:rPr>
          <w:sz w:val="20"/>
          <w:szCs w:val="20"/>
          <w:color w:val="auto"/>
        </w:rPr>
      </w:pPr>
      <w:r>
        <w:rPr>
          <w:rFonts w:ascii="Arial" w:cs="Arial" w:eastAsia="Arial" w:hAnsi="Arial"/>
          <w:sz w:val="15"/>
          <w:szCs w:val="15"/>
          <w:color w:val="auto"/>
        </w:rPr>
        <w:t>Expenses for each of the six months ended June 30, 2011, and the period from July 21, 2010 (inception) through June 30, 2011, were $2.2 million, which consisted of $1.5 million of initial organization and operating costs for which we are required to reimburse the Adviser in accordance with the Administration Agreement, $3,388 in Management Fees, $288,785 in professional fees, $90,833 in directors’ fees, and $307,404 in other general and administrative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the Company’s business or results of operations. These hedging activities, which will be in compliance with applicable legal and regulatory requirements, may include the use of futures, options and forward contracts. We will bear the costs incurred in connection with entering into, administering and settling any such derivative contracts. There can be no assurance any hedging strategy we employ will be successful.</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did not enter into any interest rate, foreign exchange or other derivative agreements during the three and six months ended June 30, 2011, and the period from July 21, 2010 (inception) through June 30,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Condition, Liquidity and Capital Resources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15, 2011, and again on June 17, 2011, we entered into subscription agreements (collectively, the “Subscription Agreements”) with several investors, including our Adviser, providing for the private placement of our common shares. Under the terms of the Subscription Agreements, investors are required to fund drawdowns to purchase our common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shares up to the amount of their respective capital commitments on an as-needed basis with a minimum of 10 business days’ prior notice. At June 30, 2011, we have received capital commitments totaling $665.1 million of which $54.5 million is from our Adviser. Certain of our investors’ capital commitments have contingencies associated with them whereby if we are able to raise additional capital commitments from other investors, the overall capital commitment on our investor base as of June 30, 2011, would increase to $706 million.</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June 17, 2011, pursuant to the Subscription Agreements, we delivered a capital drawdown notice to our investors relating to the issuance of 35,000 of our common shares for an aggregate offering price of $35 million. The shares were issued on June 30, 2011. Proceeds from the issuance will be used to commence our investing activities and other general corporate purposes.</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On June 29, 2011, we repurchased 999 of our common shares from Tarrant Advisors, Inc., an affiliate of ours and our Adviser, for $999. The repurchased shares are held in treasury shares, at cost, as of June 30, 2011.</w:t>
      </w:r>
    </w:p>
    <w:p>
      <w:pPr>
        <w:spacing w:after="0" w:line="1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June 30, 2011, we have $35.3 million in cash and cash equivalents on hand. The primary use of our cash and cash equivalents will be for (1) investments in portfolio companies and other investments to comply with certain portfolio diversification requirements; (2) the cost of operations (including paying our Adviser); (3) debt service and other financing costs; and, (4) cash distributions to the holders of our shares.</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Cash and cash equivalents on hand, combined with our uncalled capital commitments of $630.1 million, is expected to be sufficient to commence our investing activities and to conduct our operations for the foreseeable future.</w:t>
      </w:r>
    </w:p>
    <w:p>
      <w:pPr>
        <w:spacing w:after="0" w:line="132"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We expect to generate additional cash from (1) cash flows from operations; (2) future offerings of our common or preferred shares; and, (3) borrowings from banks or other lenders. We will seek to enter into bank debt, credit facility or other financing arrangements on at least customary market terms; however, we cannot assure we will be able to do so.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Economic Environment</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U.S. capital markets have been experiencing extreme volatility and disruption for more than two years, and we believe that the U.S. economy has not fully recovered from a period of recession. Disruptions in the capital markets have increased the spread between the yields realized on risk-free and higher risk securities, resulting in illiquidity in parts of the capital markets. We believe these conditions may continue for a prolonged period of time or worsen in the future. A prolonged period of market illiquidity may have an adverse effect on our business, financial condition and results of operations. Unfavorable economic conditions could also increase our portfolio companies’ funding costs, limit their access to the capital markets or result in a decision by lenders not to extend credit to them. These events could limit our investment originations, limit our ability to grow, negatively impact our operating results, and delay or prevent us from launching or completing any IPO of our common shares.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On July 8, 2011, the Company closed on its first portfolio company investment and accordingly ceased being a development stage company.</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On July 29, 2011, the Company entered into $142.4 million of subscription agreements with several investors providing for the private placement of the Company’s common shares which, when combined with increased commitments from existing investors, increased the total committed capital to $814.8 million.</w:t>
      </w:r>
    </w:p>
    <w:p>
      <w:pPr>
        <w:spacing w:after="0" w:line="8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On August 1, 2011, pursuant to the Subscription Agreements, the Company delivered a capital drawdown notice to its investors relating to the issuance of 75,652 of the Company’s common shares for an aggregate offering price of $73 million. The shares are expected to be issued on or around August 12, 2011.</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subject to financial market risks, including changes in interest rates. We plan to invest primarily in illiquid debt and equity securities of private companies. Most of our investments will not have a readily available market price, and we will value these investments at fair value as determined in good faith by the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design and operation of our disclosure controls and procedures (as defined in Rule 13a-15 under the Securities Exchange Act of 1934).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Securities Exchange Act of 1934.</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loans to or other contracts with our portfolio companies.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our Registration Statement on Form 10.</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our purchases of our common shares for each month in the three month period ended June 30, 2011.</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1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Be Purchased Under</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2960" w:type="dxa"/>
            <w:vAlign w:val="bottom"/>
            <w:vMerge w:val="restart"/>
          </w:tcPr>
          <w:p>
            <w:pPr>
              <w:spacing w:after="0"/>
              <w:rPr>
                <w:sz w:val="12"/>
                <w:szCs w:val="12"/>
                <w:color w:val="auto"/>
              </w:rPr>
            </w:pPr>
          </w:p>
        </w:tc>
        <w:tc>
          <w:tcPr>
            <w:tcW w:w="1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Average Price Paid</w:t>
            </w:r>
          </w:p>
        </w:tc>
        <w:tc>
          <w:tcPr>
            <w:tcW w:w="1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Total Number of</w:t>
            </w:r>
          </w:p>
        </w:tc>
        <w:tc>
          <w:tcPr>
            <w:tcW w:w="202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Announced Plans or</w:t>
            </w: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29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per Share</w:t>
            </w:r>
          </w:p>
        </w:tc>
        <w:tc>
          <w:tcPr>
            <w:tcW w:w="18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Shares Purchased</w:t>
            </w:r>
          </w:p>
        </w:tc>
        <w:tc>
          <w:tcPr>
            <w:tcW w:w="2020" w:type="dxa"/>
            <w:vAlign w:val="bottom"/>
            <w:gridSpan w:val="2"/>
          </w:tcPr>
          <w:p>
            <w:pPr>
              <w:jc w:val="center"/>
              <w:ind w:right="840"/>
              <w:spacing w:after="0" w:line="148" w:lineRule="exact"/>
              <w:rPr>
                <w:sz w:val="20"/>
                <w:szCs w:val="20"/>
                <w:color w:val="auto"/>
              </w:rPr>
            </w:pPr>
            <w:r>
              <w:rPr>
                <w:rFonts w:ascii="Arial" w:cs="Arial" w:eastAsia="Arial" w:hAnsi="Arial"/>
                <w:sz w:val="14"/>
                <w:szCs w:val="14"/>
                <w:b w:val="1"/>
                <w:bCs w:val="1"/>
                <w:color w:val="auto"/>
                <w:w w:val="88"/>
              </w:rPr>
              <w:t>Programs</w:t>
            </w:r>
          </w:p>
        </w:tc>
        <w:tc>
          <w:tcPr>
            <w:tcW w:w="13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3"/>
        </w:trPr>
        <w:tc>
          <w:tcPr>
            <w:tcW w:w="3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April 2011</w:t>
            </w: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center"/>
              <w:ind w:left="496"/>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CCEEFF"/>
            </w:tcBorders>
            <w:gridSpan w:val="2"/>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80"/>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920"/>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5"/>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May 2011</w:t>
            </w:r>
          </w:p>
        </w:tc>
        <w:tc>
          <w:tcPr>
            <w:tcW w:w="180" w:type="dxa"/>
            <w:vAlign w:val="bottom"/>
          </w:tcPr>
          <w:p>
            <w:pPr>
              <w:spacing w:after="0"/>
              <w:rPr>
                <w:sz w:val="18"/>
                <w:szCs w:val="18"/>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536"/>
              <w:spacing w:after="0"/>
              <w:rPr>
                <w:sz w:val="20"/>
                <w:szCs w:val="20"/>
                <w:color w:val="auto"/>
              </w:rPr>
            </w:pPr>
            <w:r>
              <w:rPr>
                <w:rFonts w:ascii="Arial" w:cs="Arial" w:eastAsia="Arial" w:hAnsi="Arial"/>
                <w:sz w:val="18"/>
                <w:szCs w:val="18"/>
                <w:color w:val="auto"/>
                <w:w w:val="85"/>
              </w:rPr>
              <w:t>1.00</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999</w:t>
            </w:r>
          </w:p>
        </w:tc>
        <w:tc>
          <w:tcPr>
            <w:tcW w:w="2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999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6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center"/>
              <w:ind w:left="536"/>
              <w:spacing w:after="0"/>
              <w:rPr>
                <w:sz w:val="20"/>
                <w:szCs w:val="20"/>
                <w:color w:val="auto"/>
              </w:rPr>
            </w:pPr>
            <w:r>
              <w:rPr>
                <w:rFonts w:ascii="Arial" w:cs="Arial" w:eastAsia="Arial" w:hAnsi="Arial"/>
                <w:sz w:val="18"/>
                <w:szCs w:val="18"/>
                <w:color w:val="auto"/>
                <w:w w:val="85"/>
              </w:rPr>
              <w:t>1.00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80" w:type="dxa"/>
            <w:vAlign w:val="bottom"/>
            <w:gridSpan w:val="2"/>
          </w:tcPr>
          <w:p>
            <w:pPr>
              <w:ind w:left="780"/>
              <w:spacing w:after="0"/>
              <w:rPr>
                <w:sz w:val="20"/>
                <w:szCs w:val="20"/>
                <w:color w:val="auto"/>
              </w:rPr>
            </w:pPr>
            <w:r>
              <w:rPr>
                <w:rFonts w:ascii="Arial" w:cs="Arial" w:eastAsia="Arial" w:hAnsi="Arial"/>
                <w:sz w:val="18"/>
                <w:szCs w:val="18"/>
                <w:color w:val="auto"/>
              </w:rPr>
              <w:t>999</w:t>
            </w:r>
          </w:p>
        </w:tc>
        <w:tc>
          <w:tcPr>
            <w:tcW w:w="2020" w:type="dxa"/>
            <w:vAlign w:val="bottom"/>
            <w:gridSpan w:val="2"/>
          </w:tcPr>
          <w:p>
            <w:pPr>
              <w:ind w:left="920"/>
              <w:spacing w:after="0"/>
              <w:rPr>
                <w:sz w:val="20"/>
                <w:szCs w:val="20"/>
                <w:color w:val="auto"/>
              </w:rPr>
            </w:pPr>
            <w:r>
              <w:rPr>
                <w:rFonts w:ascii="Arial" w:cs="Arial" w:eastAsia="Arial" w:hAnsi="Arial"/>
                <w:sz w:val="18"/>
                <w:szCs w:val="18"/>
                <w:color w:val="auto"/>
              </w:rPr>
              <w:t>999</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following table provides information regarding purchases of our common shares by our Adviser for each month in the three month period ended June 30, 2011.</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74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740" w:type="dxa"/>
            <w:vAlign w:val="bottom"/>
          </w:tcPr>
          <w:p>
            <w:pPr>
              <w:spacing w:after="0"/>
              <w:rPr>
                <w:sz w:val="12"/>
                <w:szCs w:val="12"/>
                <w:color w:val="auto"/>
              </w:rPr>
            </w:pPr>
          </w:p>
        </w:tc>
        <w:tc>
          <w:tcPr>
            <w:tcW w:w="13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Be Purchased Under</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3240" w:type="dxa"/>
            <w:vAlign w:val="bottom"/>
            <w:vMerge w:val="restart"/>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 Paid</w:t>
            </w:r>
          </w:p>
        </w:tc>
        <w:tc>
          <w:tcPr>
            <w:tcW w:w="5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7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 or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32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per Share</w:t>
            </w:r>
          </w:p>
        </w:tc>
        <w:tc>
          <w:tcPr>
            <w:tcW w:w="540" w:type="dxa"/>
            <w:vAlign w:val="bottom"/>
          </w:tcPr>
          <w:p>
            <w:pPr>
              <w:spacing w:after="0"/>
              <w:rPr>
                <w:sz w:val="14"/>
                <w:szCs w:val="14"/>
                <w:color w:val="auto"/>
              </w:rPr>
            </w:pPr>
          </w:p>
        </w:tc>
        <w:tc>
          <w:tcPr>
            <w:tcW w:w="10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1"/>
              </w:rPr>
              <w:t>Shares Purchased</w:t>
            </w:r>
          </w:p>
        </w:tc>
        <w:tc>
          <w:tcPr>
            <w:tcW w:w="740" w:type="dxa"/>
            <w:vAlign w:val="bottom"/>
          </w:tcPr>
          <w:p>
            <w:pPr>
              <w:spacing w:after="0"/>
              <w:rPr>
                <w:sz w:val="14"/>
                <w:szCs w:val="14"/>
                <w:color w:val="auto"/>
              </w:rPr>
            </w:pPr>
          </w:p>
        </w:tc>
        <w:tc>
          <w:tcPr>
            <w:tcW w:w="11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Programs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3"/>
        </w:trPr>
        <w:tc>
          <w:tcPr>
            <w:tcW w:w="3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April 2011</w:t>
            </w: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ind w:right="7"/>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May 2011</w:t>
            </w:r>
          </w:p>
        </w:tc>
        <w:tc>
          <w:tcPr>
            <w:tcW w:w="180" w:type="dxa"/>
            <w:vAlign w:val="bottom"/>
          </w:tcPr>
          <w:p>
            <w:pPr>
              <w:spacing w:after="0"/>
              <w:rPr>
                <w:sz w:val="18"/>
                <w:szCs w:val="18"/>
                <w:color w:val="auto"/>
              </w:rPr>
            </w:pP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80" w:type="dxa"/>
            <w:vAlign w:val="bottom"/>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51,632,000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40" w:type="dxa"/>
            <w:vAlign w:val="bottom"/>
            <w:gridSpan w:val="2"/>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2,868</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2,868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51,632,000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vMerge w:val="restart"/>
          </w:tcPr>
          <w:p>
            <w:pPr>
              <w:jc w:val="right"/>
              <w:ind w:right="72"/>
              <w:spacing w:after="0"/>
              <w:rPr>
                <w:sz w:val="20"/>
                <w:szCs w:val="20"/>
                <w:color w:val="auto"/>
              </w:rPr>
            </w:pPr>
            <w:r>
              <w:rPr>
                <w:rFonts w:ascii="Arial" w:cs="Arial" w:eastAsia="Arial" w:hAnsi="Arial"/>
                <w:sz w:val="18"/>
                <w:szCs w:val="18"/>
                <w:color w:val="auto"/>
              </w:rPr>
              <w:t>14</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Defaults Upon Senior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040"/>
          </w:cols>
          <w:pgMar w:left="240" w:top="459" w:right="619" w:bottom="1440" w:gutter="0" w:footer="0" w:header="0"/>
        </w:sect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19" w:lineRule="exact"/>
        <w:rPr>
          <w:sz w:val="20"/>
          <w:szCs w:val="20"/>
          <w:color w:val="auto"/>
        </w:rPr>
      </w:pPr>
    </w:p>
    <w:p>
      <w:pPr>
        <w:sectPr>
          <w:pgSz w:w="11900" w:h="16838" w:orient="portrait"/>
          <w:cols w:equalWidth="0" w:num="2">
            <w:col w:w="540" w:space="500"/>
            <w:col w:w="10000"/>
          </w:cols>
          <w:pgMar w:left="240" w:top="459" w:right="619" w:bottom="1440" w:gutter="0" w:footer="0" w:header="0"/>
          <w:type w:val="continuous"/>
        </w:sect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040"/>
          </w:cols>
          <w:pgMar w:left="240" w:top="459" w:right="619"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Exhibits.</w:t>
      </w:r>
    </w:p>
    <w:p>
      <w:pPr>
        <w:spacing w:after="0" w:line="124" w:lineRule="exact"/>
        <w:rPr>
          <w:sz w:val="20"/>
          <w:szCs w:val="20"/>
          <w:color w:val="auto"/>
        </w:rPr>
      </w:pPr>
    </w:p>
    <w:p>
      <w:pPr>
        <w:sectPr>
          <w:pgSz w:w="11900" w:h="16838" w:orient="portrait"/>
          <w:cols w:equalWidth="0" w:num="2">
            <w:col w:w="540" w:space="500"/>
            <w:col w:w="10000"/>
          </w:cols>
          <w:pgMar w:left="240" w:top="459" w:right="619" w:bottom="1440" w:gutter="0" w:footer="0" w:header="0"/>
          <w:type w:val="continuous"/>
        </w:sect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7" w:lineRule="exact"/>
        <w:rPr>
          <w:rFonts w:ascii="Arial" w:cs="Arial" w:eastAsia="Arial" w:hAnsi="Arial"/>
          <w:sz w:val="18"/>
          <w:szCs w:val="18"/>
          <w:b w:val="1"/>
          <w:bCs w:val="1"/>
          <w:color w:val="auto"/>
        </w:rPr>
      </w:pPr>
    </w:p>
    <w:p>
      <w:pPr>
        <w:ind w:left="1000" w:right="380" w:hanging="5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3.1Amended and Restated Certificate of Incorporation (incorporated by reference to Exhibit 3.1 to the Company’s Registration Statement on Form 10 filed on March 14, 2011).</w:t>
      </w:r>
    </w:p>
    <w:p>
      <w:pPr>
        <w:spacing w:after="0" w:line="78" w:lineRule="exact"/>
        <w:rPr>
          <w:sz w:val="20"/>
          <w:szCs w:val="20"/>
          <w:color w:val="auto"/>
        </w:rPr>
      </w:pPr>
    </w:p>
    <w:p>
      <w:pPr>
        <w:ind w:left="440"/>
        <w:spacing w:after="0"/>
        <w:tabs>
          <w:tab w:leader="none" w:pos="9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Bylaws (incorporated by reference to Exhibit 3.2 to the Company’s Registration Statement on Form 10 filed on March 14, 2011).</w:t>
      </w:r>
    </w:p>
    <w:p>
      <w:pPr>
        <w:spacing w:after="0" w:line="117"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302 of the Sarbanes-Oxley Act of</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2002.</w:t>
      </w:r>
    </w:p>
    <w:p>
      <w:pPr>
        <w:spacing w:after="0" w:line="111" w:lineRule="exact"/>
        <w:rPr>
          <w:sz w:val="20"/>
          <w:szCs w:val="20"/>
          <w:color w:val="auto"/>
        </w:rPr>
      </w:pPr>
    </w:p>
    <w:p>
      <w:pPr>
        <w:ind w:left="360"/>
        <w:spacing w:after="0"/>
        <w:tabs>
          <w:tab w:leader="none" w:pos="9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302 of the Sarbanes-Oxley Act of</w:t>
      </w:r>
    </w:p>
    <w:p>
      <w:pPr>
        <w:spacing w:after="0" w:line="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2002.</w:t>
      </w:r>
    </w:p>
    <w:p>
      <w:pPr>
        <w:spacing w:after="0" w:line="111" w:lineRule="exact"/>
        <w:rPr>
          <w:sz w:val="20"/>
          <w:szCs w:val="20"/>
          <w:color w:val="auto"/>
        </w:rPr>
      </w:pPr>
    </w:p>
    <w:p>
      <w:pPr>
        <w:jc w:val="center"/>
        <w:ind w:left="5620" w:right="200" w:hanging="5268"/>
        <w:spacing w:after="0" w:line="440" w:lineRule="auto"/>
        <w:tabs>
          <w:tab w:leader="none" w:pos="99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Certification of CEO and CFO Pursuant to 18 U.S.C. Section 1350, as Adopted Pursuant to Section 906 of the Sarbanes-Oxley Act of 2002. 15</w:t>
      </w:r>
    </w:p>
    <w:p>
      <w:pPr>
        <w:sectPr>
          <w:pgSz w:w="11900" w:h="16838" w:orient="portrait"/>
          <w:cols w:equalWidth="0" w:num="1">
            <w:col w:w="11040"/>
          </w:cols>
          <w:pgMar w:left="240" w:top="459" w:right="6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40" w:type="dxa"/>
            <w:vAlign w:val="bottom"/>
          </w:tcPr>
          <w:p>
            <w:pPr>
              <w:spacing w:after="0"/>
              <w:rPr>
                <w:sz w:val="19"/>
                <w:szCs w:val="19"/>
                <w:color w:val="auto"/>
              </w:rPr>
            </w:pPr>
          </w:p>
        </w:tc>
        <w:tc>
          <w:tcPr>
            <w:tcW w:w="7880" w:type="dxa"/>
            <w:vAlign w:val="bottom"/>
            <w:gridSpan w:val="2"/>
          </w:tcPr>
          <w:p>
            <w:pPr>
              <w:ind w:left="1960"/>
              <w:spacing w:after="0"/>
              <w:rPr>
                <w:sz w:val="20"/>
                <w:szCs w:val="20"/>
                <w:color w:val="auto"/>
              </w:rPr>
            </w:pPr>
            <w:r>
              <w:rPr>
                <w:rFonts w:ascii="Arial" w:cs="Arial" w:eastAsia="Arial" w:hAnsi="Arial"/>
                <w:sz w:val="18"/>
                <w:szCs w:val="18"/>
                <w:color w:val="auto"/>
              </w:rPr>
              <w:t>TPG SPECIALTY LENDING, INC.</w:t>
            </w:r>
          </w:p>
        </w:tc>
      </w:tr>
      <w:tr>
        <w:trPr>
          <w:trHeight w:val="433"/>
        </w:trPr>
        <w:tc>
          <w:tcPr>
            <w:tcW w:w="3540" w:type="dxa"/>
            <w:vAlign w:val="bottom"/>
          </w:tcPr>
          <w:p>
            <w:pPr>
              <w:spacing w:after="0"/>
              <w:rPr>
                <w:sz w:val="20"/>
                <w:szCs w:val="20"/>
                <w:color w:val="auto"/>
              </w:rPr>
            </w:pPr>
            <w:r>
              <w:rPr>
                <w:rFonts w:ascii="Arial" w:cs="Arial" w:eastAsia="Arial" w:hAnsi="Arial"/>
                <w:sz w:val="18"/>
                <w:szCs w:val="18"/>
                <w:color w:val="auto"/>
              </w:rPr>
              <w:t>Date: August 12, 2011</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Fishman</w:t>
            </w:r>
          </w:p>
        </w:tc>
      </w:tr>
      <w:tr>
        <w:trPr>
          <w:trHeight w:val="144"/>
        </w:trPr>
        <w:tc>
          <w:tcPr>
            <w:tcW w:w="3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Michael Fishman</w:t>
            </w:r>
          </w:p>
        </w:tc>
      </w:tr>
      <w:tr>
        <w:trPr>
          <w:trHeight w:val="174"/>
        </w:trPr>
        <w:tc>
          <w:tcPr>
            <w:tcW w:w="35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r>
        <w:trPr>
          <w:trHeight w:val="418"/>
        </w:trPr>
        <w:tc>
          <w:tcPr>
            <w:tcW w:w="3540" w:type="dxa"/>
            <w:vAlign w:val="bottom"/>
          </w:tcPr>
          <w:p>
            <w:pPr>
              <w:spacing w:after="0"/>
              <w:rPr>
                <w:sz w:val="20"/>
                <w:szCs w:val="20"/>
                <w:color w:val="auto"/>
              </w:rPr>
            </w:pPr>
            <w:r>
              <w:rPr>
                <w:rFonts w:ascii="Arial" w:cs="Arial" w:eastAsia="Arial" w:hAnsi="Arial"/>
                <w:sz w:val="18"/>
                <w:szCs w:val="18"/>
                <w:color w:val="auto"/>
              </w:rPr>
              <w:t>Date: August 12, 2011</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E. Viola</w:t>
            </w:r>
          </w:p>
        </w:tc>
      </w:tr>
      <w:tr>
        <w:trPr>
          <w:trHeight w:val="144"/>
        </w:trPr>
        <w:tc>
          <w:tcPr>
            <w:tcW w:w="35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3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John E. Viola</w:t>
            </w:r>
          </w:p>
        </w:tc>
      </w:tr>
      <w:tr>
        <w:trPr>
          <w:trHeight w:val="174"/>
        </w:trPr>
        <w:tc>
          <w:tcPr>
            <w:tcW w:w="35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5360" w:type="dxa"/>
            <w:vAlign w:val="bottom"/>
          </w:tcPr>
          <w:p>
            <w:pPr>
              <w:jc w:val="center"/>
              <w:spacing w:after="0"/>
              <w:rPr>
                <w:sz w:val="20"/>
                <w:szCs w:val="20"/>
                <w:color w:val="auto"/>
              </w:rPr>
            </w:pPr>
            <w:r>
              <w:rPr>
                <w:rFonts w:ascii="Arial" w:cs="Arial" w:eastAsia="Arial" w:hAnsi="Arial"/>
                <w:sz w:val="14"/>
                <w:szCs w:val="14"/>
                <w:b w:val="1"/>
                <w:bCs w:val="1"/>
                <w:color w:val="auto"/>
                <w:w w:val="88"/>
              </w:rPr>
              <w:t>Chief Financial Officer</w:t>
            </w:r>
          </w:p>
        </w:tc>
      </w:tr>
      <w:tr>
        <w:trPr>
          <w:trHeight w:val="350"/>
        </w:trPr>
        <w:tc>
          <w:tcPr>
            <w:tcW w:w="3540" w:type="dxa"/>
            <w:vAlign w:val="bottom"/>
          </w:tcPr>
          <w:p>
            <w:pPr>
              <w:spacing w:after="0"/>
              <w:rPr>
                <w:sz w:val="24"/>
                <w:szCs w:val="24"/>
                <w:color w:val="auto"/>
              </w:rPr>
            </w:pPr>
          </w:p>
        </w:tc>
        <w:tc>
          <w:tcPr>
            <w:tcW w:w="2520" w:type="dxa"/>
            <w:vAlign w:val="bottom"/>
          </w:tcPr>
          <w:p>
            <w:pPr>
              <w:jc w:val="right"/>
              <w:ind w:right="172"/>
              <w:spacing w:after="0"/>
              <w:rPr>
                <w:sz w:val="20"/>
                <w:szCs w:val="20"/>
                <w:color w:val="auto"/>
              </w:rPr>
            </w:pPr>
            <w:r>
              <w:rPr>
                <w:rFonts w:ascii="Arial" w:cs="Arial" w:eastAsia="Arial" w:hAnsi="Arial"/>
                <w:sz w:val="18"/>
                <w:szCs w:val="18"/>
                <w:color w:val="auto"/>
              </w:rPr>
              <w:t>16</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9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50"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1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August 12, 2011</w:t>
      </w:r>
      <w:r>
        <w:rPr>
          <w:sz w:val="20"/>
          <w:szCs w:val="20"/>
          <w:color w:val="auto"/>
        </w:rPr>
        <w:tab/>
      </w:r>
      <w:r>
        <w:rPr>
          <w:rFonts w:ascii="Arial" w:cs="Arial" w:eastAsia="Arial" w:hAnsi="Arial"/>
          <w:sz w:val="16"/>
          <w:szCs w:val="16"/>
          <w:color w:val="auto"/>
        </w:rPr>
        <w:t>By: /s/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Michael Fishman</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E. Viola, certify that:</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50"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August 12, 2011</w:t>
      </w:r>
      <w:r>
        <w:rPr>
          <w:sz w:val="20"/>
          <w:szCs w:val="20"/>
          <w:color w:val="auto"/>
        </w:rPr>
        <w:tab/>
      </w:r>
      <w:r>
        <w:rPr>
          <w:rFonts w:ascii="Arial" w:cs="Arial" w:eastAsia="Arial" w:hAnsi="Arial"/>
          <w:sz w:val="16"/>
          <w:szCs w:val="16"/>
          <w:color w:val="auto"/>
        </w:rPr>
        <w:t>By: /s/ John E.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John E. Viola</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connection with the Quarterly Report on Form 10-Q of TPG Specialty Lending, Inc. (the “Company”) for the quarter ended June 30, 2011 as filed with the Securities and Exchange Commission on the date hereof (the “Report”), Michael Fishman, as Chief Executive Officer of the Company, and John Viola, as Chief Financial Officer of the Company, each hereby certifies, pursuant to 18 U.S.C. § 1350, as adopted pursuant to § 906 of the Sarbanes-Oxley Act of 2002, that:</w:t>
      </w:r>
    </w:p>
    <w:p>
      <w:pPr>
        <w:spacing w:after="0" w:line="107"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Michael Fishman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Michael Fishman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August 12, 2011</w:t>
            </w:r>
          </w:p>
        </w:tc>
      </w:tr>
      <w:tr>
        <w:trPr>
          <w:trHeight w:val="433"/>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E. Viola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Pr>
          <w:p>
            <w:pPr>
              <w:ind w:left="100"/>
              <w:spacing w:after="0"/>
              <w:rPr>
                <w:sz w:val="20"/>
                <w:szCs w:val="20"/>
                <w:color w:val="auto"/>
              </w:rPr>
            </w:pPr>
            <w:r>
              <w:rPr>
                <w:rFonts w:ascii="Arial" w:cs="Arial" w:eastAsia="Arial" w:hAnsi="Arial"/>
                <w:sz w:val="18"/>
                <w:szCs w:val="18"/>
                <w:color w:val="auto"/>
              </w:rPr>
              <w:t>John E. Viola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August 12, 2011</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lowerRoman"/>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32"/>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2019-12-11T09:46:20Z</dcterms:created>
  <dcterms:modified xsi:type="dcterms:W3CDTF">2019-12-11T09:46:20Z</dcterms:modified>
</cp:coreProperties>
</file>