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3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right="10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00"/>
          </w:cols>
          <w:pgMar w:left="240" w:top="230" w:right="559" w:bottom="343" w:gutter="0" w:footer="0" w:header="0"/>
        </w:sectPr>
      </w:pPr>
    </w:p>
    <w:bookmarkStart w:id="1" w:name="page2"/>
    <w:bookmarkEnd w:id="1"/>
    <w:p>
      <w:pPr>
        <w:ind w:left="571" w:hanging="571"/>
        <w:spacing w:after="0"/>
        <w:tabs>
          <w:tab w:leader="none" w:pos="571"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9040" w:type="dxa"/>
            <w:vAlign w:val="bottom"/>
          </w:tcPr>
          <w:p>
            <w:pPr>
              <w:jc w:val="right"/>
              <w:ind w:right="7870"/>
              <w:spacing w:after="0"/>
              <w:rPr>
                <w:sz w:val="20"/>
                <w:szCs w:val="20"/>
                <w:color w:val="auto"/>
              </w:rPr>
            </w:pPr>
            <w:r>
              <w:rPr>
                <w:rFonts w:ascii="Arial" w:cs="Arial" w:eastAsia="Arial" w:hAnsi="Arial"/>
                <w:sz w:val="18"/>
                <w:szCs w:val="18"/>
                <w:color w:val="auto"/>
              </w:rPr>
              <w:t>, 2018</w:t>
            </w:r>
          </w:p>
        </w:tc>
        <w:tc>
          <w:tcPr>
            <w:tcW w:w="860" w:type="dxa"/>
            <w:vAlign w:val="bottom"/>
          </w:tcPr>
          <w:p>
            <w:pPr>
              <w:spacing w:after="0"/>
              <w:rPr>
                <w:sz w:val="20"/>
                <w:szCs w:val="20"/>
                <w:color w:val="auto"/>
              </w:rPr>
            </w:pP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To Our Stockholders:</w:t>
            </w:r>
          </w:p>
        </w:tc>
        <w:tc>
          <w:tcPr>
            <w:tcW w:w="860" w:type="dxa"/>
            <w:vAlign w:val="bottom"/>
          </w:tcPr>
          <w:p>
            <w:pPr>
              <w:spacing w:after="0"/>
              <w:rPr>
                <w:sz w:val="24"/>
                <w:szCs w:val="24"/>
                <w:color w:val="auto"/>
              </w:rPr>
            </w:pPr>
          </w:p>
        </w:tc>
      </w:tr>
      <w:tr>
        <w:trPr>
          <w:trHeight w:val="310"/>
        </w:trPr>
        <w:tc>
          <w:tcPr>
            <w:tcW w:w="280" w:type="dxa"/>
            <w:vAlign w:val="bottom"/>
          </w:tcPr>
          <w:p>
            <w:pPr>
              <w:spacing w:after="0"/>
              <w:rPr>
                <w:sz w:val="24"/>
                <w:szCs w:val="24"/>
                <w:color w:val="auto"/>
              </w:rPr>
            </w:pPr>
          </w:p>
        </w:tc>
        <w:tc>
          <w:tcPr>
            <w:tcW w:w="9040" w:type="dxa"/>
            <w:vAlign w:val="bottom"/>
          </w:tcPr>
          <w:p>
            <w:pPr>
              <w:jc w:val="right"/>
              <w:ind w:right="270"/>
              <w:spacing w:after="0"/>
              <w:rPr>
                <w:sz w:val="20"/>
                <w:szCs w:val="20"/>
                <w:color w:val="auto"/>
              </w:rPr>
            </w:pPr>
            <w:r>
              <w:rPr>
                <w:rFonts w:ascii="Arial" w:cs="Arial" w:eastAsia="Arial" w:hAnsi="Arial"/>
                <w:sz w:val="18"/>
                <w:szCs w:val="18"/>
                <w:color w:val="auto"/>
                <w:w w:val="92"/>
              </w:rPr>
              <w:t>We are pleased to invite you to attend a Special Meeting of Stockholders of TPG Specialty Lending, Inc. to be held on</w:t>
            </w:r>
          </w:p>
        </w:tc>
        <w:tc>
          <w:tcPr>
            <w:tcW w:w="860" w:type="dxa"/>
            <w:vAlign w:val="bottom"/>
          </w:tcPr>
          <w:p>
            <w:pPr>
              <w:jc w:val="right"/>
              <w:spacing w:after="0"/>
              <w:rPr>
                <w:sz w:val="20"/>
                <w:szCs w:val="20"/>
                <w:color w:val="auto"/>
              </w:rPr>
            </w:pPr>
            <w:r>
              <w:rPr>
                <w:rFonts w:ascii="Arial" w:cs="Arial" w:eastAsia="Arial" w:hAnsi="Arial"/>
                <w:sz w:val="18"/>
                <w:szCs w:val="18"/>
                <w:color w:val="auto"/>
              </w:rPr>
              <w:t>, 2018,</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at</w:t>
            </w:r>
          </w:p>
        </w:tc>
        <w:tc>
          <w:tcPr>
            <w:tcW w:w="9040" w:type="dxa"/>
            <w:vAlign w:val="bottom"/>
          </w:tcPr>
          <w:p>
            <w:pPr>
              <w:jc w:val="right"/>
              <w:ind w:right="2330"/>
              <w:spacing w:after="0"/>
              <w:rPr>
                <w:sz w:val="20"/>
                <w:szCs w:val="20"/>
                <w:color w:val="auto"/>
              </w:rPr>
            </w:pPr>
            <w:r>
              <w:rPr>
                <w:rFonts w:ascii="Arial" w:cs="Arial" w:eastAsia="Arial" w:hAnsi="Arial"/>
                <w:sz w:val="18"/>
                <w:szCs w:val="18"/>
                <w:color w:val="auto"/>
              </w:rPr>
              <w:t>, local time, at the offices of TPG, 888 7th Avenue, Floor 35, New York, NY 10106.</w:t>
            </w:r>
          </w:p>
        </w:tc>
        <w:tc>
          <w:tcPr>
            <w:tcW w:w="860" w:type="dxa"/>
            <w:vAlign w:val="bottom"/>
          </w:tcPr>
          <w:p>
            <w:pPr>
              <w:spacing w:after="0"/>
              <w:rPr>
                <w:sz w:val="20"/>
                <w:szCs w:val="20"/>
                <w:color w:val="auto"/>
              </w:rPr>
            </w:pPr>
          </w:p>
        </w:tc>
      </w:tr>
    </w:tbl>
    <w:p>
      <w:pPr>
        <w:spacing w:after="0" w:line="20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58"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186690</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1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2018</w:t>
      </w:r>
    </w:p>
    <w:p>
      <w:pPr>
        <w:sectPr>
          <w:pgSz w:w="11900" w:h="16838" w:orient="portrait"/>
          <w:cols w:equalWidth="0" w:num="1">
            <w:col w:w="11140"/>
          </w:cols>
          <w:pgMar w:left="240" w:top="459"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26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34"/>
        </w:trPr>
        <w:tc>
          <w:tcPr>
            <w:tcW w:w="95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3"/>
              </w:rPr>
              <w:t>Important Notice Regarding the Availability of Proxy Material for the Special Meeting of Stockholders to Be Held 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r>
        <w:trPr>
          <w:trHeight w:val="432"/>
        </w:trPr>
        <w:tc>
          <w:tcPr>
            <w:tcW w:w="4020" w:type="dxa"/>
            <w:vAlign w:val="bottom"/>
            <w:gridSpan w:val="2"/>
          </w:tcPr>
          <w:p>
            <w:pPr>
              <w:ind w:left="640"/>
              <w:spacing w:after="0"/>
              <w:rPr>
                <w:sz w:val="20"/>
                <w:szCs w:val="20"/>
                <w:color w:val="auto"/>
              </w:rPr>
            </w:pPr>
            <w:r>
              <w:rPr>
                <w:rFonts w:ascii="Arial" w:cs="Arial" w:eastAsia="Arial" w:hAnsi="Arial"/>
                <w:sz w:val="18"/>
                <w:szCs w:val="18"/>
                <w:color w:val="auto"/>
              </w:rPr>
              <w:t>Our proxy statement is available online at</w:t>
            </w:r>
          </w:p>
        </w:tc>
        <w:tc>
          <w:tcPr>
            <w:tcW w:w="5520" w:type="dxa"/>
            <w:vAlign w:val="bottom"/>
          </w:tcPr>
          <w:p>
            <w:pPr>
              <w:jc w:val="right"/>
              <w:ind w:right="503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160"/>
          </w:cols>
          <w:pgMar w:left="240" w:top="44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 IS HEREBY GIVEN that a Special Meeting of Stockholders of TPG Specialty Lending, Inc. will be held at the offices of TPG, 888 7th</w:t>
      </w:r>
    </w:p>
    <w:p>
      <w:pPr>
        <w:spacing w:after="0" w:line="46" w:lineRule="exact"/>
        <w:rPr>
          <w:sz w:val="20"/>
          <w:szCs w:val="20"/>
          <w:color w:val="auto"/>
        </w:rPr>
      </w:pPr>
    </w:p>
    <w:p>
      <w:pPr>
        <w:ind w:left="200" w:right="700"/>
        <w:spacing w:after="0" w:line="261" w:lineRule="auto"/>
        <w:rPr>
          <w:sz w:val="20"/>
          <w:szCs w:val="20"/>
          <w:color w:val="auto"/>
        </w:rPr>
      </w:pPr>
      <w:r>
        <w:rPr>
          <w:rFonts w:ascii="Arial" w:cs="Arial" w:eastAsia="Arial" w:hAnsi="Arial"/>
          <w:sz w:val="18"/>
          <w:szCs w:val="18"/>
          <w:color w:val="auto"/>
        </w:rPr>
        <w:t>Avenue, Floor 35, New York, NY 10106 on , 2018, at , local time. The Special Meeting of Stockholders is being held for the following purpose:</w:t>
      </w:r>
    </w:p>
    <w:p>
      <w:pPr>
        <w:spacing w:after="0" w:line="76" w:lineRule="exact"/>
        <w:rPr>
          <w:sz w:val="20"/>
          <w:szCs w:val="20"/>
          <w:color w:val="auto"/>
        </w:rPr>
      </w:pPr>
    </w:p>
    <w:p>
      <w:pPr>
        <w:jc w:val="both"/>
        <w:ind w:left="640" w:right="80" w:firstLine="428"/>
        <w:spacing w:after="0" w:line="259" w:lineRule="auto"/>
        <w:tabs>
          <w:tab w:leader="none" w:pos="12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ectPr>
          <w:pgSz w:w="11900" w:h="16838" w:orient="portrait"/>
          <w:cols w:equalWidth="0" w:num="1">
            <w:col w:w="11220"/>
          </w:cols>
          <w:pgMar w:left="240" w:top="459" w:right="439" w:bottom="1440" w:gutter="0" w:footer="0" w:header="0"/>
        </w:sectPr>
      </w:pPr>
    </w:p>
    <w:p>
      <w:pPr>
        <w:spacing w:after="0" w:line="146"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Only stockholders of record at the close of business on or any postponement or adjournment thereof.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 2018, are entitled to notice of and to vote at the Special Meeting of Stockholders</w:t>
      </w:r>
    </w:p>
    <w:p>
      <w:pPr>
        <w:spacing w:after="0" w:line="423" w:lineRule="exact"/>
        <w:rPr>
          <w:sz w:val="20"/>
          <w:szCs w:val="20"/>
          <w:color w:val="auto"/>
        </w:rPr>
      </w:pPr>
    </w:p>
    <w:p>
      <w:pPr>
        <w:sectPr>
          <w:pgSz w:w="11900" w:h="16838" w:orient="portrait"/>
          <w:cols w:equalWidth="0" w:num="2">
            <w:col w:w="4580" w:space="720"/>
            <w:col w:w="5920"/>
          </w:cols>
          <w:pgMar w:left="240" w:top="459" w:right="439" w:bottom="1440" w:gutter="0" w:footer="0" w:header="0"/>
          <w:type w:val="continuous"/>
        </w:sectPr>
      </w:pPr>
    </w:p>
    <w:p>
      <w:pPr>
        <w:ind w:left="200" w:right="40" w:firstLine="441"/>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6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Your vote is extremely important to us. If you are unable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44"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6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186690</wp:posOffset>
            </wp:positionV>
            <wp:extent cx="2795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1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2018</w:t>
      </w:r>
    </w:p>
    <w:p>
      <w:pPr>
        <w:spacing w:after="0" w:line="180"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22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80" w:type="dxa"/>
            <w:vAlign w:val="bottom"/>
            <w:gridSpan w:val="7"/>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Proxy Statement for a Special Meeting of Stockholders</w:t>
              </w:r>
            </w:hyperlink>
          </w:p>
        </w:tc>
        <w:tc>
          <w:tcPr>
            <w:tcW w:w="6480" w:type="dxa"/>
            <w:vAlign w:val="bottom"/>
            <w:gridSpan w:val="5"/>
            <w:vMerge w:val="restart"/>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980" w:type="dxa"/>
            <w:vAlign w:val="bottom"/>
            <w:tcBorders>
              <w:bottom w:val="single" w:sz="8" w:color="0000EE"/>
            </w:tcBorders>
            <w:gridSpan w:val="7"/>
            <w:vMerge w:val="continue"/>
          </w:tcPr>
          <w:p>
            <w:pPr>
              <w:spacing w:after="0"/>
              <w:rPr>
                <w:sz w:val="13"/>
                <w:szCs w:val="13"/>
                <w:color w:val="auto"/>
              </w:rPr>
            </w:pPr>
          </w:p>
        </w:tc>
        <w:tc>
          <w:tcPr>
            <w:tcW w:w="64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046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Proposal No. 1—Authorization of the Company to Sell or Otherwise Issue Shares of its Common Stock at a Price Below its Then-Current Net</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06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Asset Value Per Share in One or More Offerings, in Each Case Subject to the Approval of its Board of Directors and Subject to the</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Conditions Set Forth in this Proposal</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Other Business</w:t>
              </w:r>
            </w:hyperlink>
          </w:p>
        </w:tc>
        <w:tc>
          <w:tcPr>
            <w:tcW w:w="9360" w:type="dxa"/>
            <w:vAlign w:val="bottom"/>
            <w:gridSpan w:val="9"/>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Stockholder Proposals and Nominations for the 2019 Annual Meeting of Stockholders</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Annual Report</w:t>
              </w:r>
            </w:hyperlink>
          </w:p>
        </w:tc>
        <w:tc>
          <w:tcPr>
            <w:tcW w:w="4240" w:type="dxa"/>
            <w:vAlign w:val="bottom"/>
            <w:gridSpan w:val="3"/>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Householding of Proxy Materials</w:t>
              </w:r>
            </w:hyperlink>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Privacy Principles</w:t>
              </w:r>
            </w:hyperlink>
          </w:p>
        </w:tc>
        <w:tc>
          <w:tcPr>
            <w:tcW w:w="1080" w:type="dxa"/>
            <w:vAlign w:val="bottom"/>
            <w:tcBorders>
              <w:top w:val="single" w:sz="8" w:color="0000EE"/>
            </w:tcBorders>
          </w:tcPr>
          <w:p>
            <w:pPr>
              <w:spacing w:after="0"/>
              <w:rPr>
                <w:sz w:val="17"/>
                <w:szCs w:val="17"/>
                <w:color w:val="auto"/>
              </w:rPr>
            </w:pPr>
          </w:p>
        </w:tc>
        <w:tc>
          <w:tcPr>
            <w:tcW w:w="8060" w:type="dxa"/>
            <w:vAlign w:val="bottom"/>
            <w:gridSpan w:val="7"/>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0"/>
          <w:szCs w:val="20"/>
          <w:color w:val="auto"/>
        </w:rPr>
      </w:pPr>
    </w:p>
    <w:p>
      <w:pPr>
        <w:ind w:left="200" w:right="500" w:firstLine="441"/>
        <w:spacing w:after="0" w:line="291"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 “TSLX,” “we,” “us,” “our,” or the “Company,” for use at a Special Meeting of Stockholders (the</w:t>
      </w:r>
    </w:p>
    <w:p>
      <w:pPr>
        <w:ind w:left="200" w:right="120"/>
        <w:spacing w:after="0" w:line="255" w:lineRule="auto"/>
        <w:rPr>
          <w:sz w:val="20"/>
          <w:szCs w:val="20"/>
          <w:color w:val="auto"/>
        </w:rPr>
      </w:pPr>
      <w:r>
        <w:rPr>
          <w:rFonts w:ascii="Arial" w:cs="Arial" w:eastAsia="Arial" w:hAnsi="Arial"/>
          <w:sz w:val="18"/>
          <w:szCs w:val="18"/>
          <w:color w:val="auto"/>
        </w:rPr>
        <w:t>“Meeting”) to be held at the offices of TPG, 888 7th Avenue, Floor 35, New York, NY 10106 on , 2018, at , local time. Only holders of record of our common stock at the close of business on , 2018, which is the record date, will be entitled to vote at the Meeting. At the close of business on the record date, we had shares of common stock outstanding and entitled to vote.</w:t>
      </w:r>
    </w:p>
    <w:p>
      <w:pPr>
        <w:spacing w:after="0" w:line="190" w:lineRule="exact"/>
        <w:rPr>
          <w:sz w:val="20"/>
          <w:szCs w:val="20"/>
          <w:color w:val="auto"/>
        </w:rPr>
      </w:pPr>
    </w:p>
    <w:p>
      <w:pPr>
        <w:ind w:left="640"/>
        <w:spacing w:after="0"/>
        <w:tabs>
          <w:tab w:leader="none" w:pos="9880" w:val="left"/>
        </w:tabs>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w:t>
      </w:r>
      <w:r>
        <w:rPr>
          <w:sz w:val="20"/>
          <w:szCs w:val="20"/>
          <w:color w:val="auto"/>
        </w:rPr>
        <w:tab/>
      </w:r>
      <w:r>
        <w:rPr>
          <w:rFonts w:ascii="Arial" w:cs="Arial" w:eastAsia="Arial" w:hAnsi="Arial"/>
          <w:sz w:val="16"/>
          <w:szCs w:val="16"/>
          <w:color w:val="auto"/>
        </w:rPr>
        <w:t>, 2018. This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proxy statement, including the accompanying form of proxy (collectively, the “Proxy Statement”), will first be made available to stockholders on or</w:t>
      </w:r>
    </w:p>
    <w:p>
      <w:pPr>
        <w:spacing w:after="0" w:line="21" w:lineRule="exact"/>
        <w:rPr>
          <w:sz w:val="20"/>
          <w:szCs w:val="20"/>
          <w:color w:val="auto"/>
        </w:rPr>
      </w:pPr>
    </w:p>
    <w:p>
      <w:pPr>
        <w:ind w:left="200"/>
        <w:spacing w:after="0"/>
        <w:tabs>
          <w:tab w:leader="none" w:pos="1300" w:val="left"/>
          <w:tab w:leader="none" w:pos="5940" w:val="left"/>
        </w:tabs>
        <w:rPr>
          <w:sz w:val="20"/>
          <w:szCs w:val="20"/>
          <w:color w:val="auto"/>
        </w:rPr>
      </w:pP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 2018. The Proxy Statement can be accessed online at</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ind w:left="200" w:firstLine="444"/>
        <w:spacing w:after="0" w:line="259" w:lineRule="auto"/>
        <w:tabs>
          <w:tab w:leader="none" w:pos="8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many, if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w:t>
      </w:r>
      <w:r>
        <w:rPr>
          <w:rFonts w:ascii="Arial" w:cs="Arial" w:eastAsia="Arial" w:hAnsi="Arial"/>
          <w:sz w:val="17"/>
          <w:szCs w:val="17"/>
          <w:color w:val="auto"/>
        </w:rPr>
        <w:t xml:space="preserve"> </w:t>
      </w:r>
      <w:r>
        <w:rPr>
          <w:rFonts w:ascii="Arial" w:cs="Arial" w:eastAsia="Arial" w:hAnsi="Arial"/>
          <w:sz w:val="17"/>
          <w:szCs w:val="17"/>
          <w:b w:val="1"/>
          <w:bCs w:val="1"/>
          <w:color w:val="auto"/>
        </w:rPr>
        <w:t>or provide instructions to their broker as to how to vote.</w:t>
      </w:r>
    </w:p>
    <w:p>
      <w:pPr>
        <w:spacing w:after="0" w:line="17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many, if any, broker non-votes at the Meeting because there are no routine proposals to be voted on at the Meeting.</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named proxies for the Meeting are Jennifer Gordon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 Regarding This Proxy</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Company will pay the expenses of soliciting proxies to be voted at the Meeting. The Company has retained distribution and collection of proxies for a fee of approximately $ , plus reimbursement of expenses.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to assist with the</w:t>
      </w:r>
    </w:p>
    <w:p>
      <w:pPr>
        <w:spacing w:after="0" w:line="396" w:lineRule="exact"/>
        <w:rPr>
          <w:sz w:val="20"/>
          <w:szCs w:val="20"/>
          <w:color w:val="auto"/>
        </w:rPr>
      </w:pPr>
    </w:p>
    <w:p>
      <w:pPr>
        <w:sectPr>
          <w:pgSz w:w="11900" w:h="16838" w:orient="portrait"/>
          <w:cols w:equalWidth="0" w:num="2">
            <w:col w:w="8700" w:space="720"/>
            <w:col w:w="180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87" w:lineRule="exact"/>
        <w:rPr>
          <w:sz w:val="20"/>
          <w:szCs w:val="20"/>
          <w:color w:val="auto"/>
        </w:rPr>
      </w:pPr>
    </w:p>
    <w:p>
      <w:pPr>
        <w:ind w:left="200" w:right="420" w:firstLine="441"/>
        <w:spacing w:after="0" w:line="258" w:lineRule="auto"/>
        <w:rPr>
          <w:sz w:val="20"/>
          <w:szCs w:val="20"/>
          <w:color w:val="auto"/>
        </w:rPr>
      </w:pPr>
      <w:r>
        <w:rPr>
          <w:rFonts w:ascii="Arial" w:cs="Arial" w:eastAsia="Arial" w:hAnsi="Arial"/>
          <w:sz w:val="18"/>
          <w:szCs w:val="18"/>
          <w:color w:val="auto"/>
        </w:rPr>
        <w:t>The Company has engaged the services of to assist in the solicitation of proxies. The Company has estimated that it will pay approximately $ , plus reimbursement of certain expenses and fees for additional services requested. Please note that may solicit</w:t>
      </w:r>
    </w:p>
    <w:p>
      <w:pPr>
        <w:spacing w:after="0" w:line="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can contact us by mail sent to the attention of the Secretary of the Company, Jennifer Gordon,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w:t>
      </w:r>
    </w:p>
    <w:p>
      <w:pPr>
        <w:spacing w:after="0" w:line="45" w:lineRule="exact"/>
        <w:rPr>
          <w:sz w:val="20"/>
          <w:szCs w:val="20"/>
          <w:color w:val="auto"/>
        </w:rPr>
      </w:pPr>
    </w:p>
    <w:p>
      <w:pPr>
        <w:ind w:left="200"/>
        <w:spacing w:after="0"/>
        <w:tabs>
          <w:tab w:leader="none" w:pos="9740" w:val="left"/>
        </w:tabs>
        <w:rPr>
          <w:sz w:val="20"/>
          <w:szCs w:val="20"/>
          <w:color w:val="auto"/>
        </w:rPr>
      </w:pPr>
      <w:r>
        <w:rPr>
          <w:rFonts w:ascii="Arial" w:cs="Arial" w:eastAsia="Arial" w:hAnsi="Arial"/>
          <w:sz w:val="17"/>
          <w:szCs w:val="17"/>
          <w:color w:val="auto"/>
        </w:rPr>
        <w:t>35</w:t>
      </w:r>
      <w:r>
        <w:rPr>
          <w:rFonts w:ascii="Arial" w:cs="Arial" w:eastAsia="Arial" w:hAnsi="Arial"/>
          <w:sz w:val="14"/>
          <w:szCs w:val="14"/>
          <w:color w:val="auto"/>
        </w:rPr>
        <w:t>th</w:t>
      </w:r>
      <w:r>
        <w:rPr>
          <w:rFonts w:ascii="Arial" w:cs="Arial" w:eastAsia="Arial" w:hAnsi="Arial"/>
          <w:sz w:val="17"/>
          <w:szCs w:val="17"/>
          <w:color w:val="auto"/>
        </w:rPr>
        <w:t xml:space="preserve"> Floor, New York, NY 10106. You can call us by dialing (212) 601-4753. You can access our proxy materials online at</w:t>
      </w:r>
      <w:r>
        <w:rPr>
          <w:sz w:val="20"/>
          <w:szCs w:val="20"/>
          <w:color w:val="auto"/>
        </w:rPr>
        <w:tab/>
      </w:r>
      <w:r>
        <w:rPr>
          <w:rFonts w:ascii="Arial" w:cs="Arial" w:eastAsia="Arial" w:hAnsi="Arial"/>
          <w:sz w:val="14"/>
          <w:szCs w:val="14"/>
          <w:color w:val="auto"/>
        </w:rPr>
        <w:t>.</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w:t>
      </w:r>
    </w:p>
    <w:p>
      <w:pPr>
        <w:ind w:left="200" w:right="160"/>
        <w:spacing w:after="0" w:line="252" w:lineRule="auto"/>
        <w:rPr>
          <w:sz w:val="20"/>
          <w:szCs w:val="20"/>
          <w:color w:val="auto"/>
        </w:rPr>
      </w:pPr>
      <w:r>
        <w:rPr>
          <w:rFonts w:ascii="Arial" w:cs="Arial" w:eastAsia="Arial" w:hAnsi="Arial"/>
          <w:sz w:val="18"/>
          <w:szCs w:val="18"/>
          <w:color w:val="auto"/>
        </w:rPr>
        <w:t>or to dispose or direct the disposition thereof or has the right to acquire these powers within 60 days. The following table sets forth, as of , 2018,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percentage ownership is based on shares of common stock outstanding as of , 2018.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7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60" w:type="dxa"/>
            <w:vAlign w:val="bottom"/>
            <w:gridSpan w:val="2"/>
          </w:tcPr>
          <w:p>
            <w:pPr>
              <w:jc w:val="center"/>
              <w:ind w:left="1491"/>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7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680" w:type="dxa"/>
            <w:vAlign w:val="bottom"/>
            <w:gridSpan w:val="3"/>
          </w:tcPr>
          <w:p>
            <w:pPr>
              <w:jc w:val="center"/>
              <w:ind w:left="43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6800" w:type="dxa"/>
            <w:vAlign w:val="bottom"/>
            <w:gridSpan w:val="3"/>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7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5"/>
              </w:rPr>
              <w:t>Directors and Executive Officers:</w:t>
            </w:r>
          </w:p>
        </w:tc>
        <w:tc>
          <w:tcPr>
            <w:tcW w:w="43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35,414</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Michael Fishman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36,366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Richard Higginbotham</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Ross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Ronald Tanemura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56,516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Ian Simmonds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2,471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Robert (Bo) Stanley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(13 persons) </w:t>
            </w:r>
            <w:r>
              <w:rPr>
                <w:rFonts w:ascii="Arial" w:cs="Arial" w:eastAsia="Arial" w:hAnsi="Arial"/>
                <w:sz w:val="15"/>
                <w:szCs w:val="15"/>
                <w:color w:val="auto"/>
              </w:rPr>
              <w:t>(3)(4)</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2,915,164</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The State Teachers Retirement Board of Ohio </w:t>
            </w:r>
            <w:r>
              <w:rPr>
                <w:rFonts w:ascii="Arial" w:cs="Arial" w:eastAsia="Arial" w:hAnsi="Arial"/>
                <w:sz w:val="15"/>
                <w:szCs w:val="15"/>
                <w:color w:val="auto"/>
              </w:rPr>
              <w:t>(5)</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4,770,420</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Wells Fargo &amp; Company </w:t>
            </w:r>
            <w:r>
              <w:rPr>
                <w:rFonts w:ascii="Arial" w:cs="Arial" w:eastAsia="Arial" w:hAnsi="Arial"/>
                <w:sz w:val="15"/>
                <w:szCs w:val="15"/>
                <w:color w:val="auto"/>
              </w:rPr>
              <w:t>(7)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4,316,213</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5"/>
                <w:szCs w:val="15"/>
                <w:color w:val="auto"/>
              </w:rPr>
              <w:t>(8)</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3,488,476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640" w:right="20" w:hanging="436"/>
        <w:spacing w:after="0" w:line="26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hanging="436"/>
        <w:spacing w:after="0" w:line="25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15,289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9" w:lineRule="exact"/>
        <w:rPr>
          <w:rFonts w:ascii="Arial" w:cs="Arial" w:eastAsia="Arial" w:hAnsi="Arial"/>
          <w:sz w:val="18"/>
          <w:szCs w:val="18"/>
          <w:color w:val="auto"/>
        </w:rPr>
      </w:pPr>
    </w:p>
    <w:p>
      <w:pPr>
        <w:ind w:left="64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jc w:val="both"/>
        <w:ind w:left="640" w:right="12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640" w:right="54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29, 2018 by Wells Fargo &amp; Company on its own behalf and on behalf of certain subsidiaries. The address of Wells Fargo &amp; Company is 420 Montgomery Street, San Francisco, CA 94163.</w:t>
      </w:r>
    </w:p>
    <w:p>
      <w:pPr>
        <w:ind w:left="640" w:right="140" w:hanging="436"/>
        <w:spacing w:after="0" w:line="292"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APPROVAL OF ITS BOARD OF DIRECTORS AND SUBJECT TO THE CONDITIONS SET FORTH IN THIS PROPOSAL</w:t>
      </w:r>
    </w:p>
    <w:p>
      <w:pPr>
        <w:spacing w:after="0" w:line="21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1:1 debt-to-equity ratio.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6"/>
          <w:szCs w:val="16"/>
          <w:b w:val="1"/>
          <w:bCs w:val="1"/>
          <w:color w:val="auto"/>
        </w:rPr>
        <w:t>There will be no limit on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Arial" w:cs="Arial" w:eastAsia="Arial" w:hAnsi="Arial"/>
          <w:sz w:val="16"/>
          <w:szCs w:val="16"/>
          <w:color w:val="auto"/>
        </w:rPr>
        <w:t>Except for such authorizations as otherwise may be required with respect to a particular issuance under applicable law, New York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7" w:lineRule="exact"/>
        <w:rPr>
          <w:sz w:val="20"/>
          <w:szCs w:val="20"/>
          <w:color w:val="auto"/>
        </w:rPr>
      </w:pPr>
    </w:p>
    <w:p>
      <w:pPr>
        <w:ind w:left="1060" w:right="1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“required majority” of the Company’s directors have determined that any such sale would be in the best interests of the Company and its stockholders;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5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to be issued does not exceed 25% of the Company’s then-outstanding common stock immediately prior to each such offering.</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1:1 debt-to-equity ratio. In reaching that conclusion, the Board considered the following potential benefits to the Company’s stockholders: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While market conditions have largely recovered from the events of 2008 and 2009, there have been continuing periods of volatility, some lasting longer than others. In particular, the Company has seen periods during the last few years where BDCs, including the Company, have traded below NAV due to such stock market volatility. While the Company’s shares of common stock are currently trading above NAV, there can be no assurance that they will continue to do so and there can be no assurance that these adverse market conditions will not repeat themselves or worsen in the future. If adverse market conditions re-occur or increase in severity and duration,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Stock More Attractive to Investors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for the year ended December 31, 2017 the Company declared total dividends of $1.78 per share of its common stock (including a fourth quarter variable supplemental dividend of $0.03 declared in the first quarter of 2018).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As a BDC and a regulated investment company (“RIC”) for tax purposes, the Company is dependent on its ability to raise capital through the issuance of its common stock. RICs generally must distribute substantially all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must meet a debt-to-equity ratio of less than 1:1 in order to incur debt or issue senior securities, which requires the Company to finance its investments with at least as much equity as debt and senior securities in the aggregate. In addition, the terms of the Company’s credit facilities also require that it maintain a debt-to-equity ratio of less than 1:1.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89" w:lineRule="exact"/>
        <w:rPr>
          <w:sz w:val="20"/>
          <w:szCs w:val="20"/>
          <w:color w:val="auto"/>
        </w:rPr>
      </w:pPr>
    </w:p>
    <w:p>
      <w:pPr>
        <w:ind w:left="200" w:right="260" w:firstLine="441"/>
        <w:spacing w:after="0" w:line="270" w:lineRule="auto"/>
        <w:rPr>
          <w:sz w:val="20"/>
          <w:szCs w:val="20"/>
          <w:color w:val="auto"/>
        </w:rPr>
      </w:pPr>
      <w:r>
        <w:rPr>
          <w:rFonts w:ascii="Arial" w:cs="Arial" w:eastAsia="Arial" w:hAnsi="Arial"/>
          <w:sz w:val="17"/>
          <w:szCs w:val="17"/>
          <w:color w:val="auto"/>
        </w:rPr>
        <w:t>Exceeding the 1:1 debt-to-equity ratio could have severe negative consequences for a BDC, including the inability to pay dividends, breach of debt covenants and failure to qualify for tax treatment as a RIC. Although the Company does not currently expect that it will exceed this 1:1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following table sets forth, for each fiscal quarter during the last three fiscal years since the Company’s IPO and the first quarter of the current fiscal year, the NAV of the Company’s common stock, the range of high and low closing sales prices of its common stock as reported on the New York</w:t>
      </w:r>
    </w:p>
    <w:tbl>
      <w:tblPr>
        <w:tblLayout w:type="fixed"/>
        <w:tblInd w:w="200" w:type="dxa"/>
        <w:tblCellMar>
          <w:top w:w="0" w:type="dxa"/>
          <w:left w:w="0" w:type="dxa"/>
          <w:bottom w:w="0" w:type="dxa"/>
          <w:right w:w="0" w:type="dxa"/>
        </w:tblCellMar>
      </w:tblPr>
      <w:tr>
        <w:trPr>
          <w:trHeight w:val="202"/>
        </w:trPr>
        <w:tc>
          <w:tcPr>
            <w:tcW w:w="6880" w:type="dxa"/>
            <w:vAlign w:val="bottom"/>
            <w:gridSpan w:val="7"/>
          </w:tcPr>
          <w:p>
            <w:pPr>
              <w:spacing w:after="0" w:line="202" w:lineRule="exact"/>
              <w:rPr>
                <w:sz w:val="20"/>
                <w:szCs w:val="20"/>
                <w:color w:val="auto"/>
              </w:rPr>
            </w:pPr>
            <w:r>
              <w:rPr>
                <w:rFonts w:ascii="Arial" w:cs="Arial" w:eastAsia="Arial" w:hAnsi="Arial"/>
                <w:sz w:val="18"/>
                <w:szCs w:val="18"/>
                <w:color w:val="auto"/>
                <w:w w:val="95"/>
              </w:rPr>
              <w:t>Stock Exchange (“NYSE”) and the closing sales price as a premium (discount) to NAV. On</w:t>
            </w:r>
          </w:p>
        </w:tc>
        <w:tc>
          <w:tcPr>
            <w:tcW w:w="360" w:type="dxa"/>
            <w:vAlign w:val="bottom"/>
          </w:tcPr>
          <w:p>
            <w:pPr>
              <w:spacing w:after="0"/>
              <w:rPr>
                <w:sz w:val="17"/>
                <w:szCs w:val="17"/>
                <w:color w:val="auto"/>
              </w:rPr>
            </w:pPr>
          </w:p>
        </w:tc>
        <w:tc>
          <w:tcPr>
            <w:tcW w:w="3800" w:type="dxa"/>
            <w:vAlign w:val="bottom"/>
            <w:gridSpan w:val="11"/>
          </w:tcPr>
          <w:p>
            <w:pPr>
              <w:ind w:left="60"/>
              <w:spacing w:after="0" w:line="202" w:lineRule="exact"/>
              <w:rPr>
                <w:sz w:val="20"/>
                <w:szCs w:val="20"/>
                <w:color w:val="auto"/>
              </w:rPr>
            </w:pPr>
            <w:r>
              <w:rPr>
                <w:rFonts w:ascii="Arial" w:cs="Arial" w:eastAsia="Arial" w:hAnsi="Arial"/>
                <w:sz w:val="18"/>
                <w:szCs w:val="18"/>
                <w:color w:val="auto"/>
                <w:w w:val="94"/>
              </w:rPr>
              <w:t>, 2018, the last reported closing sales price of the</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Company’s common stock on the NYSE was $</w:t>
            </w:r>
          </w:p>
        </w:tc>
        <w:tc>
          <w:tcPr>
            <w:tcW w:w="5300" w:type="dxa"/>
            <w:vAlign w:val="bottom"/>
            <w:gridSpan w:val="9"/>
          </w:tcPr>
          <w:p>
            <w:pPr>
              <w:jc w:val="center"/>
              <w:ind w:left="30"/>
              <w:spacing w:after="0"/>
              <w:rPr>
                <w:sz w:val="20"/>
                <w:szCs w:val="20"/>
                <w:color w:val="auto"/>
              </w:rPr>
            </w:pPr>
            <w:r>
              <w:rPr>
                <w:rFonts w:ascii="Arial" w:cs="Arial" w:eastAsia="Arial" w:hAnsi="Arial"/>
                <w:sz w:val="18"/>
                <w:szCs w:val="18"/>
                <w:color w:val="auto"/>
                <w:w w:val="91"/>
              </w:rPr>
              <w:t>per share, which represented a [discount] [premium] of approximately</w:t>
            </w:r>
          </w:p>
        </w:tc>
        <w:tc>
          <w:tcPr>
            <w:tcW w:w="80" w:type="dxa"/>
            <w:vAlign w:val="bottom"/>
          </w:tcPr>
          <w:p>
            <w:pPr>
              <w:spacing w:after="0"/>
              <w:rPr>
                <w:sz w:val="18"/>
                <w:szCs w:val="18"/>
                <w:color w:val="auto"/>
              </w:rPr>
            </w:pPr>
          </w:p>
        </w:tc>
        <w:tc>
          <w:tcPr>
            <w:tcW w:w="1740" w:type="dxa"/>
            <w:vAlign w:val="bottom"/>
            <w:gridSpan w:val="6"/>
          </w:tcPr>
          <w:p>
            <w:pPr>
              <w:ind w:left="220"/>
              <w:spacing w:after="0"/>
              <w:rPr>
                <w:sz w:val="20"/>
                <w:szCs w:val="20"/>
                <w:color w:val="auto"/>
              </w:rPr>
            </w:pPr>
            <w:r>
              <w:rPr>
                <w:rFonts w:ascii="Arial" w:cs="Arial" w:eastAsia="Arial" w:hAnsi="Arial"/>
                <w:sz w:val="18"/>
                <w:szCs w:val="18"/>
                <w:color w:val="auto"/>
              </w:rPr>
              <w:t>% to the NAV</w:t>
            </w:r>
          </w:p>
        </w:tc>
        <w:tc>
          <w:tcPr>
            <w:tcW w:w="0" w:type="dxa"/>
            <w:vAlign w:val="bottom"/>
          </w:tcPr>
          <w:p>
            <w:pPr>
              <w:spacing w:after="0"/>
              <w:rPr>
                <w:sz w:val="1"/>
                <w:szCs w:val="1"/>
                <w:color w:val="auto"/>
              </w:rPr>
            </w:pP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w w:val="93"/>
              </w:rPr>
              <w:t>reported by the Company as of December 31, 2017.</w:t>
            </w:r>
          </w:p>
        </w:tc>
        <w:tc>
          <w:tcPr>
            <w:tcW w:w="1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Price Range</w:t>
            </w:r>
          </w:p>
        </w:tc>
        <w:tc>
          <w:tcPr>
            <w:tcW w:w="340" w:type="dxa"/>
            <w:vAlign w:val="bottom"/>
          </w:tcPr>
          <w:p>
            <w:pPr>
              <w:spacing w:after="0"/>
              <w:rPr>
                <w:sz w:val="24"/>
                <w:szCs w:val="2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High Sales</w:t>
            </w: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148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8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Price to</w:t>
            </w:r>
          </w:p>
        </w:tc>
        <w:tc>
          <w:tcPr>
            <w:tcW w:w="80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3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0"/>
                <w:szCs w:val="10"/>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0"/>
                <w:szCs w:val="10"/>
                <w:color w:val="auto"/>
              </w:rPr>
            </w:pPr>
          </w:p>
        </w:tc>
        <w:tc>
          <w:tcPr>
            <w:tcW w:w="11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0"/>
              </w:rPr>
              <w:t>Asset</w:t>
            </w:r>
          </w:p>
        </w:tc>
        <w:tc>
          <w:tcPr>
            <w:tcW w:w="80" w:type="dxa"/>
            <w:vAlign w:val="bottom"/>
          </w:tcPr>
          <w:p>
            <w:pPr>
              <w:spacing w:after="0"/>
              <w:rPr>
                <w:sz w:val="10"/>
                <w:szCs w:val="10"/>
                <w:color w:val="auto"/>
              </w:rPr>
            </w:pPr>
          </w:p>
        </w:tc>
        <w:tc>
          <w:tcPr>
            <w:tcW w:w="9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Net Asset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2015</w:t>
            </w:r>
          </w:p>
        </w:tc>
        <w:tc>
          <w:tcPr>
            <w:tcW w:w="1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$15.60</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$18.54</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$16.34</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18.8%</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$18.35</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$17.00</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Third Quarter</w:t>
            </w:r>
          </w:p>
        </w:tc>
        <w:tc>
          <w:tcPr>
            <w:tcW w:w="204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$18.00</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$16.22</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15.2%</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$17.65</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$15.97</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2016</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$16.86</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$15.15</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Second Quarter</w:t>
            </w:r>
          </w:p>
        </w:tc>
        <w:tc>
          <w:tcPr>
            <w:tcW w:w="204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$15.55</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$16.74</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$15.97</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7.7%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$18.77</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$16.61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Fourth Quarter</w:t>
            </w:r>
          </w:p>
        </w:tc>
        <w:tc>
          <w:tcPr>
            <w:tcW w:w="204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$19.05</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$17.43</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19.4%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9.3%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$16.04</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$20.39</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$18.27</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27.1%</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13.9%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$20.99</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$20.31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Third Quarter</w:t>
            </w:r>
          </w:p>
        </w:tc>
        <w:tc>
          <w:tcPr>
            <w:tcW w:w="204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$21.61</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w w:val="90"/>
              </w:rPr>
              <w:t>$19.94</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34.3%</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23.9%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7"/>
              </w:rPr>
              <w:t>$21.12</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$19.80</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2018</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w:t>
            </w:r>
          </w:p>
        </w:tc>
        <w:tc>
          <w:tcPr>
            <w:tcW w:w="20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 2018)</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20" w:type="dxa"/>
            <w:vAlign w:val="bottom"/>
            <w:gridSpan w:val="2"/>
          </w:tcPr>
          <w:p>
            <w:pPr>
              <w:jc w:val="right"/>
              <w:ind w:right="408"/>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640" w:right="340" w:hanging="436"/>
        <w:spacing w:after="0" w:line="261"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NAV has not yet been calculated for this period. NAV for the first quarter of 2018 will be available with the filing of the Company’s Quarterly Report on Form 10-Q for such quarter, which will be filed on or about May 3, 2018.</w:t>
      </w:r>
    </w:p>
    <w:p>
      <w:pPr>
        <w:spacing w:after="0" w:line="18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color w:val="auto"/>
        </w:rPr>
        <w:t>There will be no limit on the percentage below net asset value per share at which shares may be sold</w:t>
      </w:r>
      <w:r>
        <w:rPr>
          <w:rFonts w:ascii="Arial" w:cs="Arial" w:eastAsia="Arial" w:hAnsi="Arial"/>
          <w:sz w:val="17"/>
          <w:szCs w:val="17"/>
          <w:color w:val="auto"/>
        </w:rPr>
        <w:t xml:space="preserve"> </w:t>
      </w:r>
      <w:r>
        <w:rPr>
          <w:rFonts w:ascii="Arial" w:cs="Arial" w:eastAsia="Arial" w:hAnsi="Arial"/>
          <w:sz w:val="17"/>
          <w:szCs w:val="17"/>
          <w:b w:val="1"/>
          <w:bCs w:val="1"/>
          <w:color w:val="auto"/>
        </w:rPr>
        <w:t>by the Company or number of offerings, each for up to 25% of the Company’s then-outstanding common stock, that the Company may conduct under this proposal for the one-year period that authorization is granted</w:t>
      </w:r>
      <w:r>
        <w:rPr>
          <w:rFonts w:ascii="Arial" w:cs="Arial" w:eastAsia="Arial" w:hAnsi="Arial"/>
          <w:sz w:val="17"/>
          <w:szCs w:val="17"/>
          <w:color w:val="auto"/>
        </w:rPr>
        <w:t>.</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dilution to existing stockholders will be limited to no more than 20% of the Company’s then-current NAV per each offering, assuming the Company were to issue the maximum number of shares at no more than par value, or $0.01 per share.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Company’s common stock at a price less than NAV on two different types of investors:</w:t>
      </w:r>
    </w:p>
    <w:p>
      <w:pPr>
        <w:spacing w:after="0" w:line="116"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7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example assumes that the issuer has 60.2 million shares outstanding, $1.7 billion in total assets and $0.8 billion in total liabilities (all figures correspond to actual data for the Company as of December 31, 2017). The current net asset value and NAV per share are thus $1.0 billion and $16.09 per share. The chart illustrates the dilutive effect on Stockholder A of (a) an offering of 3.0 million shares of common stock (5% of the outstanding shares) at $15.29 per share after offering expenses and commissions (a 5% discount from NAV per share), (b) an offering of 6.0 million shares of common stock (10% of the outstanding shares) at $14.48 per share after offering expenses and commissions (a 10% discount from NAV per share), (c) an offering of</w:t>
      </w:r>
    </w:p>
    <w:p>
      <w:pPr>
        <w:spacing w:after="0" w:line="2"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12.0 million shares of common stock (20% of the outstanding shares) at $12.87 per share after offering expenses and commissions (a 20% discount from NAV per share), and (d) an offering of 15.1 million shares of common stock (25% of the outstanding shares) at $12.07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Example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5% Offering at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10%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Below 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13.55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60,247,201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63,259,561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66,271,921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72,296,641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75,309,001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16.09</w:t>
            </w: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16.05</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15.94</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(0.92)%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15.55</w:t>
            </w:r>
          </w:p>
        </w:tc>
        <w:tc>
          <w:tcPr>
            <w:tcW w:w="20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15.28</w:t>
            </w:r>
          </w:p>
        </w:tc>
        <w:tc>
          <w:tcPr>
            <w:tcW w:w="2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Dilution to Nonparticipating Stockholder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60,247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60,247</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60,247</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60,247</w:t>
            </w:r>
          </w:p>
        </w:tc>
        <w:tc>
          <w:tcPr>
            <w:tcW w:w="2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60,247</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0.08%</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w w:val="99"/>
              </w:rPr>
              <w:t>Total Net Asset Value Held by Stockholder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auto"/>
              </w:rPr>
              <w:t>A</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969,283</w:t>
            </w: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966,977</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960,476</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(0.91)%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936,983</w:t>
            </w:r>
          </w:p>
        </w:tc>
        <w:tc>
          <w:tcPr>
            <w:tcW w:w="20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(3.33)%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920,830</w:t>
            </w:r>
          </w:p>
        </w:tc>
        <w:tc>
          <w:tcPr>
            <w:tcW w:w="2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Investment by Stockholder 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(Assumed to be $16.09 per Share)</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969,283</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969,283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969,283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969,283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969,283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Total Dilution to Stockholder A (Total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auto"/>
              </w:rPr>
              <w:t>Asset Value Less Total Investment)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(2,307)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(8,807)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(32,300)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(48,453)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Investment per Share Held by Stockholder 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(Assumed to be $16.09 per Share 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Held Prior to Sale)</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auto"/>
              </w:rPr>
              <w:t>Stockholder 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15.55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15.28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Dilution per Share Held by Stockholder A</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Asset Value per Share Less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20"/>
              <w:spacing w:after="0" w:line="149" w:lineRule="exact"/>
              <w:rPr>
                <w:sz w:val="20"/>
                <w:szCs w:val="20"/>
                <w:color w:val="auto"/>
              </w:rPr>
            </w:pPr>
            <w:r>
              <w:rPr>
                <w:rFonts w:ascii="Arial" w:cs="Arial" w:eastAsia="Arial" w:hAnsi="Arial"/>
                <w:sz w:val="14"/>
                <w:szCs w:val="14"/>
                <w:color w:val="auto"/>
              </w:rPr>
              <w:t>(Dilution per Share Divided by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7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12.0 million shares) rather than its 0.10% proportionate share and (b) 150% of such percentage (i.e., 0.15% of an offering of 12.0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Prior to</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Following</w:t>
            </w:r>
          </w:p>
        </w:tc>
        <w:tc>
          <w:tcPr>
            <w:tcW w:w="70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Sale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60,247,201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72,296,641</w:t>
            </w:r>
          </w:p>
        </w:tc>
        <w:tc>
          <w:tcPr>
            <w:tcW w:w="3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72,296,641</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16.09</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15.55</w:t>
            </w:r>
          </w:p>
        </w:tc>
        <w:tc>
          <w:tcPr>
            <w:tcW w:w="3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15.55</w:t>
            </w:r>
          </w:p>
        </w:tc>
        <w:tc>
          <w:tcPr>
            <w:tcW w:w="36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Dilution/Accretion to Participating Stockholder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60,247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66,272</w:t>
            </w:r>
          </w:p>
        </w:tc>
        <w:tc>
          <w:tcPr>
            <w:tcW w:w="3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78,321</w:t>
            </w:r>
          </w:p>
        </w:tc>
        <w:tc>
          <w:tcPr>
            <w:tcW w:w="3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Net Asset Value Held by Stockholder 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969,283</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1,030,682</w:t>
            </w:r>
          </w:p>
        </w:tc>
        <w:tc>
          <w:tcPr>
            <w:tcW w:w="3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1,218,079</w:t>
            </w:r>
          </w:p>
        </w:tc>
        <w:tc>
          <w:tcPr>
            <w:tcW w:w="3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$16.09 per Share on Shares Held Prior to Sale)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969,283</w:t>
            </w:r>
          </w:p>
        </w:tc>
        <w:tc>
          <w:tcPr>
            <w:tcW w:w="3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1,050,915</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1,214,179</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Asset Value Less Total Investment)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(20,233)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3,901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Investment per Share Held by Stockholder A (Assumed to</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 $16.09 per Share on Shares Held Prior to Sale)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3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3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Asset Value per Share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Dilution/Accretion per Share Held by Stockholder A (Net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Value per Share Less Investment per Share)</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8"/>
              </w:rPr>
              <w:t>Percentage Dilution/Accretion to Stockholder A (Dilution</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per Share Divided by Investment per Share)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TSL Advisers, as such fees are based on the amount of the Company’s gross assets, and considered the effect of the following factors:</w:t>
      </w:r>
    </w:p>
    <w:p>
      <w:pPr>
        <w:spacing w:after="0" w:line="92" w:lineRule="exact"/>
        <w:rPr>
          <w:sz w:val="20"/>
          <w:szCs w:val="20"/>
          <w:color w:val="auto"/>
        </w:rPr>
      </w:pPr>
    </w:p>
    <w:p>
      <w:pPr>
        <w:ind w:left="1060" w:right="3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161"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2019 ANNUAL MEETING OF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2019 annual</w:t>
      </w:r>
    </w:p>
    <w:p>
      <w:pPr>
        <w:spacing w:after="0" w:line="35" w:lineRule="exact"/>
        <w:rPr>
          <w:sz w:val="20"/>
          <w:szCs w:val="20"/>
          <w:color w:val="auto"/>
        </w:rPr>
      </w:pPr>
    </w:p>
    <w:p>
      <w:pPr>
        <w:ind w:left="200" w:right="180"/>
        <w:spacing w:after="0" w:line="273" w:lineRule="auto"/>
        <w:rPr>
          <w:sz w:val="20"/>
          <w:szCs w:val="20"/>
          <w:color w:val="auto"/>
        </w:rPr>
      </w:pPr>
      <w:r>
        <w:rPr>
          <w:rFonts w:ascii="Arial" w:cs="Arial" w:eastAsia="Arial" w:hAnsi="Arial"/>
          <w:sz w:val="17"/>
          <w:szCs w:val="17"/>
          <w:color w:val="auto"/>
        </w:rPr>
        <w:t>meeting of stockholders pursuant to Rule 14a-8 of the SEC’s rules must be received by us at our principal executive offices no later than , 2018.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Jennifer Gordon, TPG Specialty Lending, Inc., 301 Commerce Street, Suite 3300, Fort Worth, TX 76102.</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2019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Bylaws require that the proposal or recommendation for nomination must be received by our Secretary at our principal executive offices at</w:t>
      </w:r>
    </w:p>
    <w:p>
      <w:pPr>
        <w:spacing w:after="0" w:line="46" w:lineRule="exact"/>
        <w:rPr>
          <w:sz w:val="20"/>
          <w:szCs w:val="20"/>
          <w:color w:val="auto"/>
        </w:rPr>
      </w:pPr>
    </w:p>
    <w:p>
      <w:pPr>
        <w:ind w:left="200"/>
        <w:spacing w:after="0"/>
        <w:tabs>
          <w:tab w:leader="none" w:pos="3120" w:val="left"/>
        </w:tabs>
        <w:rPr>
          <w:sz w:val="20"/>
          <w:szCs w:val="20"/>
          <w:color w:val="auto"/>
        </w:rPr>
      </w:pPr>
      <w:r>
        <w:rPr>
          <w:rFonts w:ascii="Arial" w:cs="Arial" w:eastAsia="Arial" w:hAnsi="Arial"/>
          <w:sz w:val="18"/>
          <w:szCs w:val="18"/>
          <w:color w:val="auto"/>
        </w:rPr>
        <w:t>the above address no later than</w:t>
      </w:r>
      <w:r>
        <w:rPr>
          <w:sz w:val="20"/>
          <w:szCs w:val="20"/>
          <w:color w:val="auto"/>
        </w:rPr>
        <w:tab/>
      </w:r>
      <w:r>
        <w:rPr>
          <w:rFonts w:ascii="Arial" w:cs="Arial" w:eastAsia="Arial" w:hAnsi="Arial"/>
          <w:sz w:val="16"/>
          <w:szCs w:val="16"/>
          <w:color w:val="auto"/>
        </w:rPr>
        <w:t>, 2019, unless the date of our 2019 annual meeting is more than 30 days before or more than 60 days</w:t>
      </w:r>
    </w:p>
    <w:p>
      <w:pPr>
        <w:spacing w:after="0" w:line="9"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6"/>
          <w:szCs w:val="16"/>
          <w:color w:val="auto"/>
        </w:rPr>
        <w:t>after</w:t>
      </w:r>
      <w:r>
        <w:rPr>
          <w:sz w:val="20"/>
          <w:szCs w:val="20"/>
          <w:color w:val="auto"/>
        </w:rPr>
        <w:tab/>
      </w:r>
      <w:r>
        <w:rPr>
          <w:rFonts w:ascii="Arial" w:cs="Arial" w:eastAsia="Arial" w:hAnsi="Arial"/>
          <w:sz w:val="16"/>
          <w:szCs w:val="16"/>
          <w:color w:val="auto"/>
        </w:rPr>
        <w:t>, 2019, the anniversary of our 2018 annual meeting, in which case notice by the stockholder to be timely must be so received not later</w:t>
      </w:r>
    </w:p>
    <w:p>
      <w:pPr>
        <w:spacing w:after="0" w:line="32"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2017 to any stockholder upon request. Requests should be directed to the Secretary of the Company,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4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1" w:lineRule="exact"/>
        <w:rPr>
          <w:sz w:val="20"/>
          <w:szCs w:val="20"/>
          <w:color w:val="auto"/>
        </w:rPr>
      </w:pPr>
    </w:p>
    <w:p>
      <w:pPr>
        <w:ind w:left="200" w:right="180" w:firstLine="441"/>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289560</wp:posOffset>
            </wp:positionV>
            <wp:extent cx="2795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9"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4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90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rPr>
              <w:t>TPG SPECIALTY LENDING</w:t>
            </w:r>
          </w:p>
        </w:tc>
        <w:tc>
          <w:tcPr>
            <w:tcW w:w="320" w:type="dxa"/>
            <w:vAlign w:val="bottom"/>
          </w:tcPr>
          <w:p>
            <w:pPr>
              <w:spacing w:after="0"/>
              <w:rPr>
                <w:sz w:val="24"/>
                <w:szCs w:val="24"/>
                <w:color w:val="auto"/>
              </w:rPr>
            </w:pPr>
          </w:p>
        </w:tc>
      </w:tr>
      <w:tr>
        <w:trPr>
          <w:trHeight w:val="432"/>
        </w:trPr>
        <w:tc>
          <w:tcPr>
            <w:tcW w:w="10360" w:type="dxa"/>
            <w:vAlign w:val="bottom"/>
            <w:gridSpan w:val="3"/>
          </w:tcPr>
          <w:p>
            <w:pPr>
              <w:spacing w:after="0"/>
              <w:rPr>
                <w:sz w:val="20"/>
                <w:szCs w:val="20"/>
                <w:color w:val="auto"/>
              </w:rPr>
            </w:pPr>
            <w:r>
              <w:rPr>
                <w:rFonts w:ascii="Arial" w:cs="Arial" w:eastAsia="Arial" w:hAnsi="Arial"/>
                <w:sz w:val="18"/>
                <w:szCs w:val="18"/>
                <w:b w:val="1"/>
                <w:bCs w:val="1"/>
                <w:color w:val="auto"/>
                <w:w w:val="94"/>
              </w:rPr>
              <w:t xml:space="preserve">Important Notice Regarding the Availability of Proxy Materials for the Special Meeting: </w:t>
            </w:r>
            <w:r>
              <w:rPr>
                <w:rFonts w:ascii="Arial" w:cs="Arial" w:eastAsia="Arial" w:hAnsi="Arial"/>
                <w:sz w:val="18"/>
                <w:szCs w:val="18"/>
                <w:color w:val="auto"/>
                <w:w w:val="94"/>
              </w:rPr>
              <w:t>The Notice &amp; Proxy Statement is available at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48"/>
        </w:trPr>
        <w:tc>
          <w:tcPr>
            <w:tcW w:w="1360" w:type="dxa"/>
            <w:vAlign w:val="bottom"/>
          </w:tcPr>
          <w:p>
            <w:pPr>
              <w:spacing w:after="0"/>
              <w:rPr>
                <w:sz w:val="24"/>
                <w:szCs w:val="24"/>
                <w:color w:val="auto"/>
              </w:rPr>
            </w:pPr>
          </w:p>
        </w:tc>
        <w:tc>
          <w:tcPr>
            <w:tcW w:w="90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rPr>
              <w:t>TPG SPECIALTY LENDING, INC.</w:t>
            </w: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0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8"/>
              </w:rPr>
              <w:t>Special Meeting of Stockholders</w:t>
            </w:r>
          </w:p>
        </w:tc>
        <w:tc>
          <w:tcPr>
            <w:tcW w:w="320" w:type="dxa"/>
            <w:vAlign w:val="bottom"/>
          </w:tcPr>
          <w:p>
            <w:pPr>
              <w:spacing w:after="0"/>
              <w:rPr>
                <w:sz w:val="24"/>
                <w:szCs w:val="24"/>
                <w:color w:val="auto"/>
              </w:rPr>
            </w:pPr>
          </w:p>
        </w:tc>
      </w:tr>
      <w:tr>
        <w:trPr>
          <w:trHeight w:val="432"/>
        </w:trPr>
        <w:tc>
          <w:tcPr>
            <w:tcW w:w="62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 2018</w:t>
            </w:r>
          </w:p>
        </w:tc>
        <w:tc>
          <w:tcPr>
            <w:tcW w:w="4140" w:type="dxa"/>
            <w:vAlign w:val="bottom"/>
          </w:tcPr>
          <w:p>
            <w:pPr>
              <w:ind w:left="360"/>
              <w:spacing w:after="0"/>
              <w:rPr>
                <w:sz w:val="20"/>
                <w:szCs w:val="20"/>
                <w:color w:val="auto"/>
              </w:rPr>
            </w:pPr>
            <w:r>
              <w:rPr>
                <w:rFonts w:ascii="Arial" w:cs="Arial" w:eastAsia="Arial" w:hAnsi="Arial"/>
                <w:sz w:val="18"/>
                <w:szCs w:val="18"/>
                <w:b w:val="1"/>
                <w:bCs w:val="1"/>
                <w:color w:val="auto"/>
              </w:rPr>
              <w:t>EST</w:t>
            </w: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0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9"/>
              </w:rPr>
              <w:t>This proxy is solicited by the Board of Directors</w:t>
            </w:r>
          </w:p>
        </w:tc>
        <w:tc>
          <w:tcPr>
            <w:tcW w:w="32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40"/>
        <w:spacing w:after="0" w:line="291" w:lineRule="auto"/>
        <w:rPr>
          <w:sz w:val="20"/>
          <w:szCs w:val="20"/>
          <w:color w:val="auto"/>
        </w:rPr>
      </w:pPr>
      <w:r>
        <w:rPr>
          <w:rFonts w:ascii="Arial" w:cs="Arial" w:eastAsia="Arial" w:hAnsi="Arial"/>
          <w:sz w:val="16"/>
          <w:szCs w:val="16"/>
          <w:color w:val="auto"/>
        </w:rPr>
        <w:t>The stockholders hereby appoint Jennifer Gordon and Ken Burke, or either of them, as proxies, each with the power to appoint his or her substitute, and hereby authorize them to represent and to vote, as designated on the reverse side of this ballot, all of the shares of common stock of TPG SPECIALTY</w:t>
      </w:r>
    </w:p>
    <w:p>
      <w:pPr>
        <w:spacing w:after="0" w:line="261" w:lineRule="auto"/>
        <w:rPr>
          <w:sz w:val="20"/>
          <w:szCs w:val="20"/>
          <w:color w:val="auto"/>
        </w:rPr>
      </w:pPr>
      <w:r>
        <w:rPr>
          <w:rFonts w:ascii="Arial" w:cs="Arial" w:eastAsia="Arial" w:hAnsi="Arial"/>
          <w:sz w:val="18"/>
          <w:szCs w:val="18"/>
          <w:color w:val="auto"/>
        </w:rPr>
        <w:t>LENDING, INC. that the stockholders are entitled to vote at a Special Meeting of Stockholders to be held at EST on , 2018 at the offices of TPG, 888 7th Avenue, Floor 35, New York, NY 10106 and any adjournment or postponement thereof.</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400"/>
          </w:cols>
          <w:pgMar w:left="240" w:top="446"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w:t>
      </w:r>
    </w:p>
    <w:p>
      <w:pPr>
        <w:spacing w:after="0" w:line="121" w:lineRule="exact"/>
        <w:rPr>
          <w:sz w:val="20"/>
          <w:szCs w:val="20"/>
          <w:color w:val="auto"/>
        </w:rPr>
      </w:pPr>
    </w:p>
    <w:p>
      <w:pPr>
        <w:spacing w:after="0"/>
        <w:tabs>
          <w:tab w:leader="none" w:pos="9260" w:val="left"/>
        </w:tabs>
        <w:rPr>
          <w:sz w:val="20"/>
          <w:szCs w:val="20"/>
          <w:color w:val="auto"/>
        </w:rPr>
      </w:pPr>
      <w:r>
        <w:rPr>
          <w:rFonts w:ascii="Arial" w:cs="Arial" w:eastAsia="Arial" w:hAnsi="Arial"/>
          <w:sz w:val="18"/>
          <w:szCs w:val="18"/>
          <w:color w:val="auto"/>
        </w:rPr>
        <w:t>Use the Internet to transmit your voting instructions and for electronic delivery of information. Vote by 11:59 P.M. ET on</w:t>
      </w:r>
      <w:r>
        <w:rPr>
          <w:sz w:val="20"/>
          <w:szCs w:val="20"/>
          <w:color w:val="auto"/>
        </w:rPr>
        <w:tab/>
      </w:r>
      <w:r>
        <w:rPr>
          <w:rFonts w:ascii="Arial" w:cs="Arial" w:eastAsia="Arial" w:hAnsi="Arial"/>
          <w:sz w:val="16"/>
          <w:szCs w:val="16"/>
          <w:color w:val="auto"/>
        </w:rPr>
        <w:t>. Have your proxy card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hand when you access the web site and follow the instructions to obtain your records and to create an electronic voting instruction form.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w:t>
      </w:r>
    </w:p>
    <w:p>
      <w:pPr>
        <w:sectPr>
          <w:pgSz w:w="11900" w:h="16838" w:orient="portrait"/>
          <w:cols w:equalWidth="0" w:num="1">
            <w:col w:w="11180"/>
          </w:cols>
          <w:pgMar w:left="240" w:top="459" w:right="479" w:bottom="1440" w:gutter="0" w:footer="0" w:header="0"/>
        </w:sectPr>
      </w:pP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Use any touch-tone telephone to transmit your voting instructions. Vote by 11:59 P.M. ET on follow the instructions.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Have your proxy card in hand when you call and then</w:t>
      </w:r>
    </w:p>
    <w:p>
      <w:pPr>
        <w:spacing w:after="0" w:line="493" w:lineRule="exact"/>
        <w:rPr>
          <w:sz w:val="20"/>
          <w:szCs w:val="20"/>
          <w:color w:val="auto"/>
        </w:rPr>
      </w:pPr>
    </w:p>
    <w:p>
      <w:pPr>
        <w:sectPr>
          <w:pgSz w:w="11900" w:h="16838" w:orient="portrait"/>
          <w:cols w:equalWidth="0" w:num="2">
            <w:col w:w="6680" w:space="540"/>
            <w:col w:w="3960"/>
          </w:cols>
          <w:pgMar w:left="240" w:top="459" w:right="47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ectPr>
          <w:pgSz w:w="11900" w:h="16838" w:orient="portrait"/>
          <w:cols w:equalWidth="0" w:num="1">
            <w:col w:w="11180"/>
          </w:cols>
          <w:pgMar w:left="240" w:top="459" w:right="47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Mark, sign and date your proxy card and return it in the postage-paid envelope we have provided or return it to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2">
            <w:col w:w="8000" w:space="540"/>
            <w:col w:w="2640"/>
          </w:cols>
          <w:pgMar w:left="240" w:top="459" w:right="4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460" w:right="3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firstLine="45"/>
        <w:spacing w:after="0" w:line="342" w:lineRule="auto"/>
        <w:rPr>
          <w:sz w:val="20"/>
          <w:szCs w:val="20"/>
          <w:color w:val="auto"/>
        </w:rPr>
      </w:pPr>
      <w:r>
        <w:rPr>
          <w:rFonts w:ascii="Arial" w:cs="Arial" w:eastAsia="Arial" w:hAnsi="Arial"/>
          <w:sz w:val="16"/>
          <w:szCs w:val="16"/>
          <w:color w:val="auto"/>
        </w:rPr>
        <w:t>Keep This Portion For Your Records Detach and Return This Portion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540" w:val="left"/>
          <w:tab w:leader="none" w:pos="168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7"/>
          <w:szCs w:val="17"/>
          <w:color w:val="auto"/>
        </w:rPr>
        <w:t>ABSTAIN</w:t>
      </w:r>
    </w:p>
    <w:p>
      <w:pPr>
        <w:spacing w:after="0" w:line="98" w:lineRule="exact"/>
        <w:rPr>
          <w:sz w:val="20"/>
          <w:szCs w:val="20"/>
          <w:color w:val="auto"/>
        </w:rPr>
      </w:pPr>
    </w:p>
    <w:p>
      <w:pPr>
        <w:spacing w:after="0" w:line="181" w:lineRule="exact"/>
        <w:tabs>
          <w:tab w:leader="none" w:pos="540" w:val="left"/>
          <w:tab w:leader="none" w:pos="16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591" w:lineRule="exact"/>
        <w:rPr>
          <w:sz w:val="20"/>
          <w:szCs w:val="20"/>
          <w:color w:val="auto"/>
        </w:rPr>
      </w:pPr>
    </w:p>
    <w:p>
      <w:pPr>
        <w:sectPr>
          <w:pgSz w:w="11900" w:h="16838" w:orient="portrait"/>
          <w:cols w:equalWidth="0" w:num="2">
            <w:col w:w="8460" w:space="40"/>
            <w:col w:w="2920"/>
          </w:cols>
          <w:pgMar w:left="240" w:top="459" w:right="239" w:bottom="1440" w:gutter="0" w:footer="0" w:header="0"/>
        </w:sectPr>
      </w:pPr>
    </w:p>
    <w:p>
      <w:pPr>
        <w:ind w:right="4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58" w:lineRule="exact"/>
        <w:rPr>
          <w:sz w:val="20"/>
          <w:szCs w:val="20"/>
          <w:color w:val="auto"/>
        </w:rPr>
      </w:pPr>
    </w:p>
    <w:p>
      <w:pPr>
        <w:spacing w:after="0"/>
        <w:tabs>
          <w:tab w:leader="none" w:pos="8480" w:val="left"/>
          <w:tab w:leader="none" w:pos="904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8500"/>
        <w:spacing w:after="0" w:line="181" w:lineRule="exact"/>
        <w:tabs>
          <w:tab w:leader="none" w:pos="9040" w:val="left"/>
        </w:tabs>
        <w:rPr>
          <w:sz w:val="20"/>
          <w:szCs w:val="20"/>
          <w:color w:val="auto"/>
        </w:rPr>
      </w:pPr>
      <w:r>
        <w:rPr>
          <w:rFonts w:ascii="MS PGothic" w:cs="MS PGothic" w:eastAsia="MS PGothic" w:hAnsi="MS PGothic"/>
          <w:sz w:val="18"/>
          <w:szCs w:val="18"/>
          <w:color w:val="auto"/>
        </w:rPr>
        <w:t>☐</w:t>
        <w:tab/>
        <w:t>☐</w:t>
      </w:r>
    </w:p>
    <w:p>
      <w:pPr>
        <w:spacing w:after="0" w:line="2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234"/>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2019-12-07T21:31:17Z</dcterms:created>
  <dcterms:modified xsi:type="dcterms:W3CDTF">2019-12-07T21:31:17Z</dcterms:modified>
</cp:coreProperties>
</file>