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(RULE 14a-101)</w:t>
      </w:r>
    </w:p>
    <w:p>
      <w:pPr>
        <w:spacing w:after="0" w:line="124"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SCHEDULE 14A INFORMATION</w:t>
      </w:r>
    </w:p>
    <w:p>
      <w:pPr>
        <w:spacing w:after="0" w:line="139"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11" w:lineRule="exact"/>
        <w:rPr>
          <w:sz w:val="24"/>
          <w:szCs w:val="24"/>
          <w:color w:val="auto"/>
        </w:rPr>
      </w:pPr>
    </w:p>
    <w:p>
      <w:pPr>
        <w:spacing w:after="0" w:line="207" w:lineRule="exact"/>
        <w:tabs>
          <w:tab w:leader="none" w:pos="19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Filed by a Party other than the Registrant</w:t>
      </w:r>
      <w:r>
        <w:rPr>
          <w:rFonts w:ascii="MS PGothic" w:cs="MS PGothic" w:eastAsia="MS PGothic" w:hAnsi="MS PGothic"/>
          <w:sz w:val="18"/>
          <w:szCs w:val="18"/>
          <w:color w:val="auto"/>
        </w:rPr>
        <w:t>☐</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6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Preliminary Proxy Statement</w:t>
      </w:r>
    </w:p>
    <w:p>
      <w:pPr>
        <w:spacing w:after="0" w:line="5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17145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-130175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51"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720" w:hanging="532"/>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720" w:hanging="532"/>
        <w:spacing w:after="0"/>
        <w:tabs>
          <w:tab w:leader="none" w:pos="720" w:val="left"/>
        </w:tabs>
        <w:numPr>
          <w:ilvl w:val="1"/>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380" w:hanging="562"/>
        <w:spacing w:after="0"/>
        <w:tabs>
          <w:tab w:leader="none" w:pos="1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380" w:hanging="562"/>
        <w:spacing w:after="0"/>
        <w:tabs>
          <w:tab w:leader="none" w:pos="1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380" w:right="220" w:hanging="562"/>
        <w:spacing w:after="0" w:line="277" w:lineRule="auto"/>
        <w:tabs>
          <w:tab w:leader="none" w:pos="1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1380" w:hanging="562"/>
        <w:spacing w:after="0"/>
        <w:tabs>
          <w:tab w:leader="none" w:pos="1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380" w:hanging="562"/>
        <w:spacing w:after="0"/>
        <w:tabs>
          <w:tab w:leader="none" w:pos="1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820" w:hanging="722"/>
        <w:spacing w:after="0"/>
        <w:tabs>
          <w:tab w:leader="none" w:pos="8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-1373505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-1742440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5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340" w:type="dxa"/>
            <w:vAlign w:val="bottom"/>
            <w:gridSpan w:val="2"/>
          </w:tcPr>
          <w:p>
            <w:pPr>
              <w:ind w:left="280"/>
              <w:spacing w:after="0"/>
              <w:rPr>
                <w:sz w:val="20"/>
                <w:szCs w:val="20"/>
                <w:color w:val="auto"/>
              </w:rPr>
            </w:pPr>
            <w:r>
              <w:rPr>
                <w:rFonts w:ascii="Arial" w:cs="Arial" w:eastAsia="Arial" w:hAnsi="Arial"/>
                <w:sz w:val="18"/>
                <w:szCs w:val="18"/>
                <w:color w:val="auto"/>
                <w:w w:val="94"/>
              </w:rPr>
              <w:t>Check box if any part of the fee is offset as provided by Exchange Act Rule 0-11(a)(2) and identify the filing for which the</w:t>
            </w:r>
          </w:p>
        </w:tc>
        <w:tc>
          <w:tcPr>
            <w:tcW w:w="1540" w:type="dxa"/>
            <w:vAlign w:val="bottom"/>
          </w:tcPr>
          <w:p>
            <w:pPr>
              <w:ind w:left="240"/>
              <w:spacing w:after="0"/>
              <w:rPr>
                <w:sz w:val="20"/>
                <w:szCs w:val="20"/>
                <w:color w:val="auto"/>
              </w:rPr>
            </w:pPr>
            <w:r>
              <w:rPr>
                <w:rFonts w:ascii="Arial" w:cs="Arial" w:eastAsia="Arial" w:hAnsi="Arial"/>
                <w:sz w:val="18"/>
                <w:szCs w:val="18"/>
                <w:color w:val="auto"/>
                <w:w w:val="91"/>
              </w:rPr>
              <w:t>offsetting fee was</w:t>
            </w:r>
          </w:p>
        </w:tc>
      </w:tr>
      <w:tr>
        <w:trPr>
          <w:trHeight w:val="216"/>
        </w:trPr>
        <w:tc>
          <w:tcPr>
            <w:tcW w:w="540" w:type="dxa"/>
            <w:vAlign w:val="bottom"/>
          </w:tcPr>
          <w:p>
            <w:pPr>
              <w:spacing w:after="0"/>
              <w:rPr>
                <w:sz w:val="18"/>
                <w:szCs w:val="18"/>
                <w:color w:val="auto"/>
              </w:rPr>
            </w:pPr>
          </w:p>
        </w:tc>
        <w:tc>
          <w:tcPr>
            <w:tcW w:w="9340" w:type="dxa"/>
            <w:vAlign w:val="bottom"/>
            <w:gridSpan w:val="2"/>
          </w:tcPr>
          <w:p>
            <w:pPr>
              <w:ind w:left="280"/>
              <w:spacing w:after="0"/>
              <w:rPr>
                <w:sz w:val="20"/>
                <w:szCs w:val="20"/>
                <w:color w:val="auto"/>
              </w:rPr>
            </w:pPr>
            <w:r>
              <w:rPr>
                <w:rFonts w:ascii="Arial" w:cs="Arial" w:eastAsia="Arial" w:hAnsi="Arial"/>
                <w:sz w:val="18"/>
                <w:szCs w:val="18"/>
                <w:color w:val="auto"/>
              </w:rPr>
              <w:t>paid previously. Identify the previous filing by registration statement number, or the Form or</w:t>
            </w:r>
          </w:p>
        </w:tc>
        <w:tc>
          <w:tcPr>
            <w:tcW w:w="15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Schedule and the date of its filing.</w:t>
            </w:r>
          </w:p>
        </w:tc>
        <w:tc>
          <w:tcPr>
            <w:tcW w:w="1540" w:type="dxa"/>
            <w:vAlign w:val="bottom"/>
          </w:tcPr>
          <w:p>
            <w:pPr>
              <w:spacing w:after="0"/>
              <w:rPr>
                <w:sz w:val="20"/>
                <w:szCs w:val="20"/>
                <w:color w:val="auto"/>
              </w:rPr>
            </w:pPr>
          </w:p>
        </w:tc>
      </w:tr>
      <w:tr>
        <w:trPr>
          <w:trHeight w:val="513"/>
        </w:trPr>
        <w:tc>
          <w:tcPr>
            <w:tcW w:w="540" w:type="dxa"/>
            <w:vAlign w:val="bottom"/>
          </w:tcPr>
          <w:p>
            <w:pPr>
              <w:spacing w:after="0"/>
              <w:rPr>
                <w:sz w:val="24"/>
                <w:szCs w:val="24"/>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auto"/>
              </w:rPr>
              <w:t>(1)</w:t>
            </w:r>
          </w:p>
        </w:tc>
        <w:tc>
          <w:tcPr>
            <w:tcW w:w="8760" w:type="dxa"/>
            <w:vAlign w:val="bottom"/>
          </w:tcPr>
          <w:p>
            <w:pPr>
              <w:ind w:left="260"/>
              <w:spacing w:after="0"/>
              <w:rPr>
                <w:sz w:val="20"/>
                <w:szCs w:val="20"/>
                <w:color w:val="auto"/>
              </w:rPr>
            </w:pPr>
            <w:r>
              <w:rPr>
                <w:rFonts w:ascii="Arial" w:cs="Arial" w:eastAsia="Arial" w:hAnsi="Arial"/>
                <w:sz w:val="18"/>
                <w:szCs w:val="18"/>
                <w:color w:val="auto"/>
              </w:rPr>
              <w:t>Amount Previously Paid:</w:t>
            </w:r>
          </w:p>
        </w:tc>
        <w:tc>
          <w:tcPr>
            <w:tcW w:w="1540" w:type="dxa"/>
            <w:vAlign w:val="bottom"/>
          </w:tcPr>
          <w:p>
            <w:pPr>
              <w:spacing w:after="0"/>
              <w:rPr>
                <w:sz w:val="24"/>
                <w:szCs w:val="24"/>
                <w:color w:val="auto"/>
              </w:rPr>
            </w:pPr>
          </w:p>
        </w:tc>
      </w:tr>
      <w:tr>
        <w:trPr>
          <w:trHeight w:val="351"/>
        </w:trPr>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auto"/>
              </w:rPr>
              <w:t>(2)</w:t>
            </w:r>
          </w:p>
        </w:tc>
        <w:tc>
          <w:tcPr>
            <w:tcW w:w="8760" w:type="dxa"/>
            <w:vAlign w:val="bottom"/>
          </w:tcPr>
          <w:p>
            <w:pPr>
              <w:ind w:left="260"/>
              <w:spacing w:after="0"/>
              <w:rPr>
                <w:sz w:val="20"/>
                <w:szCs w:val="20"/>
                <w:color w:val="auto"/>
              </w:rPr>
            </w:pPr>
            <w:r>
              <w:rPr>
                <w:rFonts w:ascii="Arial" w:cs="Arial" w:eastAsia="Arial" w:hAnsi="Arial"/>
                <w:sz w:val="18"/>
                <w:szCs w:val="18"/>
                <w:color w:val="auto"/>
              </w:rPr>
              <w:t>Form, Schedule or Registration Statement No.:</w:t>
            </w:r>
          </w:p>
        </w:tc>
        <w:tc>
          <w:tcPr>
            <w:tcW w:w="1540" w:type="dxa"/>
            <w:vAlign w:val="bottom"/>
          </w:tcPr>
          <w:p>
            <w:pPr>
              <w:spacing w:after="0"/>
              <w:rPr>
                <w:sz w:val="19"/>
                <w:szCs w:val="19"/>
                <w:color w:val="auto"/>
              </w:rPr>
            </w:pPr>
          </w:p>
        </w:tc>
      </w:tr>
      <w:tr>
        <w:trPr>
          <w:trHeight w:val="337"/>
        </w:trPr>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auto"/>
              </w:rPr>
              <w:t>(3)</w:t>
            </w:r>
          </w:p>
        </w:tc>
        <w:tc>
          <w:tcPr>
            <w:tcW w:w="8760" w:type="dxa"/>
            <w:vAlign w:val="bottom"/>
          </w:tcPr>
          <w:p>
            <w:pPr>
              <w:ind w:left="260"/>
              <w:spacing w:after="0"/>
              <w:rPr>
                <w:sz w:val="20"/>
                <w:szCs w:val="20"/>
                <w:color w:val="auto"/>
              </w:rPr>
            </w:pPr>
            <w:r>
              <w:rPr>
                <w:rFonts w:ascii="Arial" w:cs="Arial" w:eastAsia="Arial" w:hAnsi="Arial"/>
                <w:sz w:val="18"/>
                <w:szCs w:val="18"/>
                <w:color w:val="auto"/>
              </w:rPr>
              <w:t>Filing Party:</w:t>
            </w:r>
          </w:p>
        </w:tc>
        <w:tc>
          <w:tcPr>
            <w:tcW w:w="1540" w:type="dxa"/>
            <w:vAlign w:val="bottom"/>
          </w:tcPr>
          <w:p>
            <w:pPr>
              <w:spacing w:after="0"/>
              <w:rPr>
                <w:sz w:val="19"/>
                <w:szCs w:val="19"/>
                <w:color w:val="auto"/>
              </w:rPr>
            </w:pPr>
          </w:p>
        </w:tc>
      </w:tr>
      <w:tr>
        <w:trPr>
          <w:trHeight w:val="337"/>
        </w:trPr>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auto"/>
              </w:rPr>
              <w:t>(4)</w:t>
            </w:r>
          </w:p>
        </w:tc>
        <w:tc>
          <w:tcPr>
            <w:tcW w:w="8760" w:type="dxa"/>
            <w:vAlign w:val="bottom"/>
          </w:tcPr>
          <w:p>
            <w:pPr>
              <w:ind w:left="260"/>
              <w:spacing w:after="0"/>
              <w:rPr>
                <w:sz w:val="20"/>
                <w:szCs w:val="20"/>
                <w:color w:val="auto"/>
              </w:rPr>
            </w:pPr>
            <w:r>
              <w:rPr>
                <w:rFonts w:ascii="Arial" w:cs="Arial" w:eastAsia="Arial" w:hAnsi="Arial"/>
                <w:sz w:val="18"/>
                <w:szCs w:val="18"/>
                <w:color w:val="auto"/>
              </w:rPr>
              <w:t>Date Filed:</w:t>
            </w:r>
          </w:p>
        </w:tc>
        <w:tc>
          <w:tcPr>
            <w:tcW w:w="1540" w:type="dxa"/>
            <w:vAlign w:val="bottom"/>
          </w:tcPr>
          <w:p>
            <w:pPr>
              <w:spacing w:after="0"/>
              <w:rPr>
                <w:sz w:val="19"/>
                <w:szCs w:val="19"/>
                <w:color w:val="auto"/>
              </w:rPr>
            </w:pPr>
          </w:p>
        </w:tc>
      </w:tr>
      <w:tr>
        <w:trPr>
          <w:trHeight w:val="337"/>
        </w:trPr>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1" w:name="page2"/>
    <w:bookmarkEnd w:id="1"/>
    <w:p>
      <w:pPr>
        <w:jc w:val="center"/>
        <w:ind w:right="8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88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880"/>
        <w:spacing w:after="0"/>
        <w:rPr>
          <w:sz w:val="20"/>
          <w:szCs w:val="20"/>
          <w:color w:val="auto"/>
        </w:rPr>
      </w:pPr>
      <w:r>
        <w:rPr>
          <w:rFonts w:ascii="Arial" w:cs="Arial" w:eastAsia="Arial" w:hAnsi="Arial"/>
          <w:sz w:val="22"/>
          <w:szCs w:val="22"/>
          <w:b w:val="1"/>
          <w:bCs w:val="1"/>
          <w:color w:val="auto"/>
        </w:rPr>
        <w:t>Stockholder Meeting to Be Held on May 18,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152400</wp:posOffset>
            </wp:positionV>
            <wp:extent cx="3542030" cy="1500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2030" cy="1500505"/>
                    </a:xfrm>
                    <a:prstGeom prst="rect">
                      <a:avLst/>
                    </a:prstGeom>
                    <a:noFill/>
                  </pic:spPr>
                </pic:pic>
              </a:graphicData>
            </a:graphic>
          </wp:anchor>
        </w:drawing>
      </w:r>
    </w:p>
    <w:p>
      <w:pPr>
        <w:sectPr>
          <w:pgSz w:w="11900" w:h="16838" w:orient="portrait"/>
          <w:cols w:equalWidth="0" w:num="1">
            <w:col w:w="10520"/>
          </w:cols>
          <w:pgMar w:left="1140" w:top="251"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right"/>
        <w:ind w:right="260"/>
        <w:spacing w:after="0"/>
        <w:rPr>
          <w:sz w:val="20"/>
          <w:szCs w:val="20"/>
          <w:color w:val="auto"/>
        </w:rPr>
      </w:pPr>
      <w:r>
        <w:rPr>
          <w:rFonts w:ascii="Arial" w:cs="Arial" w:eastAsia="Arial" w:hAnsi="Arial"/>
          <w:sz w:val="22"/>
          <w:szCs w:val="22"/>
          <w:b w:val="1"/>
          <w:bCs w:val="1"/>
          <w:i w:val="1"/>
          <w:i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1380490" cy="69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TPG SPECIALTY LENDING, INC.</w:t>
      </w:r>
    </w:p>
    <w:p>
      <w:pPr>
        <w:spacing w:after="0" w:line="219" w:lineRule="auto"/>
        <w:rPr>
          <w:sz w:val="20"/>
          <w:szCs w:val="20"/>
          <w:color w:val="auto"/>
        </w:rPr>
      </w:pPr>
      <w:r>
        <w:rPr>
          <w:rFonts w:ascii="Arial" w:cs="Arial" w:eastAsia="Arial" w:hAnsi="Arial"/>
          <w:sz w:val="9"/>
          <w:szCs w:val="9"/>
          <w:i w:val="1"/>
          <w:iCs w:val="1"/>
          <w:color w:val="auto"/>
        </w:rPr>
        <w:t>301 COMMERCE ST, STE 3300</w:t>
      </w:r>
    </w:p>
    <w:p>
      <w:pPr>
        <w:spacing w:after="0"/>
        <w:tabs>
          <w:tab w:leader="none" w:pos="720" w:val="left"/>
        </w:tabs>
        <w:rPr>
          <w:sz w:val="20"/>
          <w:szCs w:val="20"/>
          <w:color w:val="auto"/>
        </w:rPr>
      </w:pPr>
      <w:r>
        <w:rPr>
          <w:rFonts w:ascii="Arial" w:cs="Arial" w:eastAsia="Arial" w:hAnsi="Arial"/>
          <w:sz w:val="9"/>
          <w:szCs w:val="9"/>
          <w:i w:val="1"/>
          <w:iCs w:val="1"/>
          <w:color w:val="auto"/>
        </w:rPr>
        <w:t>FORT WORTH,</w:t>
      </w:r>
      <w:r>
        <w:rPr>
          <w:sz w:val="20"/>
          <w:szCs w:val="20"/>
          <w:color w:val="auto"/>
        </w:rPr>
        <w:tab/>
      </w:r>
      <w:r>
        <w:rPr>
          <w:rFonts w:ascii="Arial" w:cs="Arial" w:eastAsia="Arial" w:hAnsi="Arial"/>
          <w:sz w:val="8"/>
          <w:szCs w:val="8"/>
          <w:i w:val="1"/>
          <w:iCs w:val="1"/>
          <w:color w:val="auto"/>
        </w:rPr>
        <w:t>TX 76102-4133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766445</wp:posOffset>
            </wp:positionV>
            <wp:extent cx="85725" cy="934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934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74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Annual Meeting</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24, 2017</w:t>
      </w:r>
    </w:p>
    <w:p>
      <w:pPr>
        <w:spacing w:after="0" w:line="59" w:lineRule="exact"/>
        <w:rPr>
          <w:sz w:val="20"/>
          <w:szCs w:val="20"/>
          <w:color w:val="auto"/>
        </w:rPr>
      </w:pPr>
    </w:p>
    <w:p>
      <w:pPr>
        <w:ind w:left="140"/>
        <w:spacing w:after="0"/>
        <w:tabs>
          <w:tab w:leader="none" w:pos="2180" w:val="left"/>
        </w:tabs>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18, 2017</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9:00 AM PDT</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4"/>
          <w:szCs w:val="14"/>
          <w:color w:val="auto"/>
        </w:rPr>
        <w:t>TPG Specialty Lending, Inc.</w:t>
      </w:r>
    </w:p>
    <w:p>
      <w:pPr>
        <w:spacing w:after="0" w:line="5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345 California Street</w:t>
      </w:r>
    </w:p>
    <w:p>
      <w:pPr>
        <w:spacing w:after="0" w:line="4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Suite 3300</w:t>
      </w:r>
    </w:p>
    <w:p>
      <w:pPr>
        <w:spacing w:after="0" w:line="4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San Francisco, CA</w:t>
      </w:r>
    </w:p>
    <w:p>
      <w:pPr>
        <w:spacing w:after="0" w:line="4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94104</w:t>
      </w:r>
    </w:p>
    <w:p>
      <w:pPr>
        <w:spacing w:after="0" w:line="30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You are receiving this communication because you hold shares in the above named company.</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3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342201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2015" cy="308610"/>
                    </a:xfrm>
                    <a:prstGeom prst="rect">
                      <a:avLst/>
                    </a:prstGeom>
                    <a:noFill/>
                  </pic:spPr>
                </pic:pic>
              </a:graphicData>
            </a:graphic>
          </wp:anchor>
        </w:drawing>
      </w:r>
    </w:p>
    <w:p>
      <w:pPr>
        <w:spacing w:after="0" w:line="52" w:lineRule="exact"/>
        <w:rPr>
          <w:sz w:val="20"/>
          <w:szCs w:val="20"/>
          <w:color w:val="auto"/>
        </w:rPr>
      </w:pPr>
    </w:p>
    <w:p>
      <w:pPr>
        <w:ind w:left="140"/>
        <w:spacing w:after="0" w:line="258"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ectPr>
          <w:pgSz w:w="11900" w:h="16838" w:orient="portrait"/>
          <w:cols w:equalWidth="0" w:num="2">
            <w:col w:w="4380" w:space="720"/>
            <w:col w:w="5420"/>
          </w:cols>
          <w:pgMar w:left="1140" w:top="251" w:right="239" w:bottom="1440" w:gutter="0" w:footer="0" w:header="0"/>
          <w:type w:val="continuous"/>
        </w:sectPr>
      </w:pPr>
    </w:p>
    <w:bookmarkStart w:id="2" w:name="page3"/>
    <w:bookmarkEnd w:id="2"/>
    <w:p>
      <w:pPr>
        <w:jc w:val="center"/>
        <w:ind w:right="2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3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-1270</wp:posOffset>
            </wp:positionV>
            <wp:extent cx="6911975" cy="2263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11975" cy="2263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31"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1. Notice and Proxy Statement</w:t>
      </w:r>
      <w:r>
        <w:rPr>
          <w:sz w:val="20"/>
          <w:szCs w:val="20"/>
          <w:color w:val="auto"/>
        </w:rPr>
        <w:tab/>
      </w:r>
      <w:r>
        <w:rPr>
          <w:rFonts w:ascii="Arial" w:cs="Arial" w:eastAsia="Arial" w:hAnsi="Arial"/>
          <w:sz w:val="17"/>
          <w:szCs w:val="17"/>
          <w:color w:val="auto"/>
        </w:rPr>
        <w:t>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-130175</wp:posOffset>
            </wp:positionV>
            <wp:extent cx="68580" cy="2092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20923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How to View Online: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883285" cy="1028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328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w:t>
      </w:r>
    </w:p>
    <w:p>
      <w:pPr>
        <w:spacing w:after="0"/>
        <w:rPr>
          <w:sz w:val="20"/>
          <w:szCs w:val="20"/>
          <w:color w:val="auto"/>
        </w:rPr>
      </w:pPr>
      <w:r>
        <w:rPr>
          <w:rFonts w:ascii="Arial" w:cs="Arial" w:eastAsia="Arial" w:hAnsi="Arial"/>
          <w:sz w:val="18"/>
          <w:szCs w:val="18"/>
          <w:i w:val="1"/>
          <w:iCs w:val="1"/>
          <w:color w:val="auto"/>
        </w:rPr>
        <w:t>www.proxyvote.com.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w:t>
      </w:r>
    </w:p>
    <w:p>
      <w:pPr>
        <w:spacing w:after="0" w:line="234" w:lineRule="auto"/>
        <w:rPr>
          <w:sz w:val="20"/>
          <w:szCs w:val="20"/>
          <w:color w:val="auto"/>
        </w:rPr>
      </w:pPr>
      <w:r>
        <w:rPr>
          <w:rFonts w:ascii="Arial" w:cs="Arial" w:eastAsia="Arial" w:hAnsi="Arial"/>
          <w:sz w:val="18"/>
          <w:szCs w:val="18"/>
          <w:color w:val="auto"/>
        </w:rPr>
        <w:t>Please choose one of the following methods to make your request:</w:t>
      </w:r>
    </w:p>
    <w:p>
      <w:pPr>
        <w:ind w:left="1440"/>
        <w:spacing w:after="0"/>
        <w:tabs>
          <w:tab w:leader="none" w:pos="33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www.proxyvote.com</w:t>
      </w:r>
    </w:p>
    <w:p>
      <w:pPr>
        <w:ind w:left="1660" w:hanging="211"/>
        <w:spacing w:after="0" w:line="235" w:lineRule="auto"/>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660" w:hanging="211"/>
        <w:spacing w:after="0"/>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:sendmaterial@proxyvote.com</w:t>
      </w:r>
    </w:p>
    <w:p>
      <w:pPr>
        <w:spacing w:after="0" w:line="4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883285" cy="1028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328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5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04, 2017 to facilitate timely delivery.</w:t>
      </w:r>
    </w:p>
    <w:p>
      <w:pPr>
        <w:spacing w:after="0" w:line="200" w:lineRule="exact"/>
        <w:rPr>
          <w:sz w:val="20"/>
          <w:szCs w:val="20"/>
          <w:color w:val="auto"/>
        </w:rPr>
      </w:pPr>
    </w:p>
    <w:p>
      <w:pPr>
        <w:spacing w:after="0" w:line="308" w:lineRule="exact"/>
        <w:rPr>
          <w:sz w:val="20"/>
          <w:szCs w:val="20"/>
          <w:color w:val="auto"/>
        </w:rPr>
      </w:pPr>
    </w:p>
    <w:p>
      <w:pPr>
        <w:jc w:val="center"/>
        <w:ind w:right="240"/>
        <w:spacing w:after="0"/>
        <w:rPr>
          <w:sz w:val="20"/>
          <w:szCs w:val="20"/>
          <w:color w:val="auto"/>
        </w:rPr>
      </w:pPr>
      <w:r>
        <w:rPr>
          <w:rFonts w:ascii="Arial" w:cs="Arial" w:eastAsia="Arial" w:hAnsi="Arial"/>
          <w:sz w:val="32"/>
          <w:szCs w:val="32"/>
          <w:b w:val="1"/>
          <w:bCs w:val="1"/>
          <w:color w:val="auto"/>
        </w:rPr>
        <w:t>— How To Vote —</w:t>
      </w:r>
    </w:p>
    <w:p>
      <w:pPr>
        <w:spacing w:after="0" w:line="3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23495</wp:posOffset>
            </wp:positionV>
            <wp:extent cx="7186295" cy="128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295" cy="1286510"/>
                    </a:xfrm>
                    <a:prstGeom prst="rect">
                      <a:avLst/>
                    </a:prstGeom>
                    <a:noFill/>
                  </pic:spPr>
                </pic:pic>
              </a:graphicData>
            </a:graphic>
          </wp:anchor>
        </w:drawing>
      </w:r>
    </w:p>
    <w:p>
      <w:pPr>
        <w:spacing w:after="0" w:line="210" w:lineRule="exact"/>
        <w:rPr>
          <w:sz w:val="20"/>
          <w:szCs w:val="20"/>
          <w:color w:val="auto"/>
        </w:rPr>
      </w:pPr>
    </w:p>
    <w:p>
      <w:pPr>
        <w:ind w:left="20" w:right="480"/>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-400685</wp:posOffset>
            </wp:positionV>
            <wp:extent cx="68580" cy="1149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149350"/>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883285" cy="1028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3285" cy="10287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580"/>
          </w:cols>
          <w:pgMar w:left="780" w:top="247" w:right="539" w:bottom="1440" w:gutter="0" w:footer="0" w:header="0"/>
        </w:sectPr>
      </w:pPr>
    </w:p>
    <w:bookmarkStart w:id="3" w:name="page4"/>
    <w:bookmarkEnd w:id="3"/>
    <w:p>
      <w:pPr>
        <w:ind w:left="11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517525</wp:posOffset>
            </wp:positionH>
            <wp:positionV relativeFrom="page">
              <wp:posOffset>183515</wp:posOffset>
            </wp:positionV>
            <wp:extent cx="19037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03730" cy="137160"/>
                    </a:xfrm>
                    <a:prstGeom prst="rect">
                      <a:avLst/>
                    </a:prstGeom>
                    <a:noFill/>
                  </pic:spPr>
                </pic:pic>
              </a:graphicData>
            </a:graphic>
          </wp:anchor>
        </w:drawing>
        <w:t>Voting items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w:t>
      </w:r>
    </w:p>
    <w:p>
      <w:pPr>
        <w:spacing w:after="0"/>
        <w:rPr>
          <w:sz w:val="20"/>
          <w:szCs w:val="20"/>
          <w:color w:val="auto"/>
        </w:rPr>
      </w:pPr>
      <w:r>
        <w:rPr>
          <w:rFonts w:ascii="Arial" w:cs="Arial" w:eastAsia="Arial" w:hAnsi="Arial"/>
          <w:sz w:val="13"/>
          <w:szCs w:val="13"/>
          <w:b w:val="1"/>
          <w:bCs w:val="1"/>
          <w:color w:val="auto"/>
        </w:rPr>
        <w:t>FOR the following:</w:t>
      </w:r>
    </w:p>
    <w:p>
      <w:pPr>
        <w:spacing w:after="0" w:line="283" w:lineRule="exact"/>
        <w:rPr>
          <w:sz w:val="20"/>
          <w:szCs w:val="20"/>
          <w:color w:val="auto"/>
        </w:rPr>
      </w:pPr>
    </w:p>
    <w:p>
      <w:pPr>
        <w:ind w:left="340" w:hanging="331"/>
        <w:spacing w:after="0"/>
        <w:tabs>
          <w:tab w:leader="none" w:pos="34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Election of Directors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Nominees</w:t>
      </w:r>
    </w:p>
    <w:p>
      <w:pPr>
        <w:spacing w:after="0" w:line="137" w:lineRule="exact"/>
        <w:rPr>
          <w:sz w:val="20"/>
          <w:szCs w:val="20"/>
          <w:color w:val="auto"/>
        </w:rPr>
      </w:pPr>
    </w:p>
    <w:p>
      <w:pPr>
        <w:ind w:left="20"/>
        <w:spacing w:after="0"/>
        <w:tabs>
          <w:tab w:leader="none" w:pos="320" w:val="left"/>
          <w:tab w:leader="none" w:pos="2100" w:val="left"/>
          <w:tab w:leader="none" w:pos="2360" w:val="left"/>
        </w:tabs>
        <w:rPr>
          <w:sz w:val="20"/>
          <w:szCs w:val="20"/>
          <w:color w:val="auto"/>
        </w:rPr>
      </w:pPr>
      <w:r>
        <w:rPr>
          <w:rFonts w:ascii="Arial" w:cs="Arial" w:eastAsia="Arial" w:hAnsi="Arial"/>
          <w:sz w:val="13"/>
          <w:szCs w:val="13"/>
          <w:color w:val="auto"/>
        </w:rPr>
        <w:t>01</w:t>
        <w:tab/>
        <w:t>Joshua Easterly</w:t>
      </w:r>
      <w:r>
        <w:rPr>
          <w:sz w:val="20"/>
          <w:szCs w:val="20"/>
          <w:color w:val="auto"/>
        </w:rPr>
        <w:tab/>
      </w:r>
      <w:r>
        <w:rPr>
          <w:rFonts w:ascii="Arial" w:cs="Arial" w:eastAsia="Arial" w:hAnsi="Arial"/>
          <w:sz w:val="13"/>
          <w:szCs w:val="13"/>
          <w:color w:val="auto"/>
        </w:rPr>
        <w:t>02</w:t>
      </w:r>
      <w:r>
        <w:rPr>
          <w:sz w:val="20"/>
          <w:szCs w:val="20"/>
          <w:color w:val="auto"/>
        </w:rPr>
        <w:tab/>
      </w:r>
      <w:r>
        <w:rPr>
          <w:rFonts w:ascii="Arial" w:cs="Arial" w:eastAsia="Arial" w:hAnsi="Arial"/>
          <w:sz w:val="12"/>
          <w:szCs w:val="12"/>
          <w:color w:val="auto"/>
        </w:rPr>
        <w:t>Michael Fishman</w:t>
      </w: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 the following proposal:</w:t>
      </w:r>
    </w:p>
    <w:p>
      <w:pPr>
        <w:spacing w:after="0" w:line="177" w:lineRule="exact"/>
        <w:rPr>
          <w:sz w:val="20"/>
          <w:szCs w:val="20"/>
          <w:color w:val="auto"/>
        </w:rPr>
      </w:pPr>
    </w:p>
    <w:p>
      <w:pPr>
        <w:ind w:left="360" w:hanging="351"/>
        <w:spacing w:after="0"/>
        <w:tabs>
          <w:tab w:leader="none" w:pos="360" w:val="left"/>
        </w:tabs>
        <w:numPr>
          <w:ilvl w:val="0"/>
          <w:numId w:val="8"/>
        </w:numPr>
        <w:rPr>
          <w:rFonts w:ascii="Arial" w:cs="Arial" w:eastAsia="Arial" w:hAnsi="Arial"/>
          <w:sz w:val="12"/>
          <w:szCs w:val="12"/>
          <w:b w:val="1"/>
          <w:bCs w:val="1"/>
          <w:color w:val="auto"/>
        </w:rPr>
      </w:pPr>
      <w:r>
        <w:rPr>
          <w:rFonts w:ascii="Arial" w:cs="Arial" w:eastAsia="Arial" w:hAnsi="Arial"/>
          <w:sz w:val="12"/>
          <w:szCs w:val="12"/>
          <w:color w:val="auto"/>
        </w:rPr>
        <w:t>To ratify the selection of KPMG LLP as the Company’s independent registered public accounting firm for the fiscal year ending December 31, 2017.</w:t>
      </w:r>
    </w:p>
    <w:p>
      <w:pPr>
        <w:spacing w:after="0" w:line="157" w:lineRule="exact"/>
        <w:rPr>
          <w:sz w:val="20"/>
          <w:szCs w:val="20"/>
          <w:color w:val="auto"/>
        </w:rPr>
      </w:pPr>
    </w:p>
    <w:p>
      <w:pPr>
        <w:ind w:right="819"/>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named proxies are also authorized to transact such other business as may properly come before the 2017 Annual Meeting of Stockholders or any</w:t>
      </w:r>
      <w:r>
        <w:rPr>
          <w:rFonts w:ascii="Arial" w:cs="Arial" w:eastAsia="Arial" w:hAnsi="Arial"/>
          <w:sz w:val="13"/>
          <w:szCs w:val="13"/>
          <w:b w:val="1"/>
          <w:bCs w:val="1"/>
          <w:color w:val="auto"/>
        </w:rPr>
        <w:t xml:space="preserve"> </w:t>
      </w:r>
      <w:r>
        <w:rPr>
          <w:rFonts w:ascii="Arial" w:cs="Arial" w:eastAsia="Arial" w:hAnsi="Arial"/>
          <w:sz w:val="13"/>
          <w:szCs w:val="13"/>
          <w:color w:val="auto"/>
        </w:rPr>
        <w:t>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916940</wp:posOffset>
            </wp:positionV>
            <wp:extent cx="85725" cy="934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934720"/>
                    </a:xfrm>
                    <a:prstGeom prst="rect">
                      <a:avLst/>
                    </a:prstGeom>
                    <a:noFill/>
                  </pic:spPr>
                </pic:pic>
              </a:graphicData>
            </a:graphic>
          </wp:anchor>
        </w:drawing>
      </w:r>
    </w:p>
    <w:p>
      <w:pPr>
        <w:sectPr>
          <w:pgSz w:w="11900" w:h="16838" w:orient="portrait"/>
          <w:cols w:equalWidth="0" w:num="1">
            <w:col w:w="9639"/>
          </w:cols>
          <w:pgMar w:left="820" w:top="302"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1812925</wp:posOffset>
            </wp:positionV>
            <wp:extent cx="695515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55155" cy="260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1847215</wp:posOffset>
            </wp:positionV>
            <wp:extent cx="69551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2661920</wp:posOffset>
            </wp:positionV>
            <wp:extent cx="85725" cy="934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85725" cy="934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2019-12-07T14:30:55Z</dcterms:created>
  <dcterms:modified xsi:type="dcterms:W3CDTF">2019-12-07T14:30:55Z</dcterms:modified>
</cp:coreProperties>
</file>