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141605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9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161290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February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156845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7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142240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3640" w:type="dxa"/>
            <w:vAlign w:val="bottom"/>
          </w:tcPr>
          <w:p>
            <w:pPr>
              <w:jc w:val="center"/>
              <w:ind w:right="1039"/>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ind w:left="114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640" w:type="dxa"/>
            <w:vAlign w:val="bottom"/>
          </w:tcPr>
          <w:p>
            <w:pPr>
              <w:jc w:val="center"/>
              <w:ind w:right="10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20" w:type="dxa"/>
            <w:vAlign w:val="bottom"/>
          </w:tcPr>
          <w:p>
            <w:pPr>
              <w:ind w:left="11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4"/>
              </w:rPr>
              <w:t>of Incorporation)</w:t>
            </w:r>
          </w:p>
        </w:tc>
        <w:tc>
          <w:tcPr>
            <w:tcW w:w="3320" w:type="dxa"/>
            <w:vAlign w:val="bottom"/>
          </w:tcPr>
          <w:p>
            <w:pPr>
              <w:ind w:left="11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89"/>
              </w:rPr>
              <w:t>301 Commerce Street, Suite 3300</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97"/>
              </w:rPr>
              <w:t>Fort Worth, TX</w:t>
            </w:r>
          </w:p>
        </w:tc>
        <w:tc>
          <w:tcPr>
            <w:tcW w:w="332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3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1"/>
              </w:rPr>
              <w:t>(zip code)</w:t>
            </w:r>
          </w:p>
        </w:tc>
      </w:tr>
    </w:tbl>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20, 2019, the registrant issued a press release announcing its financial results for the quarter and year ended December 31, 2018. The text of the press release is included as Exhibit 99.1 to this Form 8-K.</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February 20, 2019, the registrant issued a press release, included herewith as Exhibit 99.1, announcing the declaration of a first fiscal quarter 2019 base dividend of $0.39 per share for stockholders of record as of March 15, 2019, payable on April 15, 2019, and a quarterly supplemental dividend of $0.12 per share for stockholders of record as of February 28, 2019, payable on March 29, 2019.</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2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20,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8000" w:type="dxa"/>
            <w:vAlign w:val="bottom"/>
            <w:gridSpan w:val="2"/>
          </w:tcPr>
          <w:p>
            <w:pPr>
              <w:ind w:left="1660"/>
              <w:spacing w:after="0"/>
              <w:rPr>
                <w:sz w:val="20"/>
                <w:szCs w:val="20"/>
                <w:color w:val="auto"/>
              </w:rPr>
            </w:pPr>
            <w:r>
              <w:rPr>
                <w:rFonts w:ascii="Arial" w:cs="Arial" w:eastAsia="Arial" w:hAnsi="Arial"/>
                <w:sz w:val="18"/>
                <w:szCs w:val="18"/>
                <w:color w:val="auto"/>
              </w:rPr>
              <w:t>TPG SPECIALTY LENDING, INC.</w:t>
            </w: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(Registrant)</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February 20, 2019</w:t>
            </w:r>
          </w:p>
        </w:tc>
        <w:tc>
          <w:tcPr>
            <w:tcW w:w="2280" w:type="dxa"/>
            <w:vAlign w:val="bottom"/>
          </w:tcPr>
          <w:p>
            <w:pPr>
              <w:ind w:left="1660"/>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Ian Simmonds</w:t>
            </w: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720" w:type="dxa"/>
            <w:vAlign w:val="bottom"/>
          </w:tcPr>
          <w:p>
            <w:pPr>
              <w:ind w:left="6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13220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22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FFFFFF"/>
        </w:rPr>
        <w:t>Full Year and Fourth Quarter 2018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TPG Specialty Lending, Inc. Reports Full Year and Fourth Quarter 2018 Earnings Results; Declares a Fourth Quarter Supplemental Dividend Per Share of $0.12 and a First Quarter Base Dividend Per Share of $0.39</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NEW YORK—February 20, 2019— TPG Specialty Lending, Inc. (NYSE: TSLX, or the “Company”) today reported net investment income of $143.9 million, or $2.25 per share, and net income of $119.0 million, or $1.86 per share, for the year ended December 31, 2018. For the quarter ended December 31, 2018, net investment income was $44.1 million, or $0.67 per share, and net income was $14.2 million, or $0.22 per share. Reported net asset value per share was $16.25 at December 31, 2018 as compared to $16.47 at September 30, 2018.</w:t>
      </w:r>
    </w:p>
    <w:p>
      <w:pPr>
        <w:spacing w:after="0" w:line="1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difference between this quarter’s net investment income per share and net income per share was primarily driven by $0.23 per share of unrealized losses from the impact of widening credit spreads on the valuation of the Company’s portfolio and $0.29 per share of reversal of net unrealized gains from full investment realizations. This was partially offset by unrealized mark-to-market gains of $0.10 per share related to the Company’s interest rate swaps resulting from a flattening of the forward LIBOR curve during the quarter.</w:t>
      </w:r>
    </w:p>
    <w:p>
      <w:pPr>
        <w:spacing w:after="0" w:line="12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Return on equity (ROE) for the full year 2018 was 14.0% and 11.6% on a net investment income and a net income basis, respectively. Annualized ROE for the fourth quarter 2018 was 16.4% and 5.3% on a net investment income and a net income basis, respectively.</w:t>
      </w:r>
    </w:p>
    <w:p>
      <w:pPr>
        <w:spacing w:after="0" w:line="11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announced that its Board of Directors has declared a first quarter 2019 base dividend of $0.39 per share for stockholders of record as of March 15, 2019, payable on April 15, 2019. The Company’s Board of Directors also declared a fourth quarter supplemental dividend of $0.12 per share for stockholders of record as of February 28, 2019, payable on March 29, 2019.</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Board of Directors also approved an extension of its stock repurchase plan (“Company 10b5-1 Plan”) to acquire up to $50 million in the aggregate of TSLX’s common stock at prices just below TSLX’s net asset value per share, in accordance with the guidelines specified in Rule 10b-18 and Rule 10b5-1 of the Securities Exchange Act of 1934. Unless extended or terminated by its Board of Directors, the Company expects that the stock repurchase plan will be in effect through the earlier of August 31, 2019, or such time as the approved $50 million repurchase amount has been fully utilized, subject to certain conditions. Under the Company 10b5-1 Plan, no shares were repurchased during the fiscal year ended December 31, 2018.</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February 2019, the Company entered into an amendment to the Revolving Credit Facility. Under the terms of the amendment, aggregate commitments under the facility were increased to $1.17 billion, the accordion was increased to allow for commitments of up to $1.50 billion, and the stated maturity date has been extended to February 2024. Other key terms of the Revolving Credit Facility remain unchanged.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FFFFFF"/>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2169795" cy="840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840740"/>
                    </a:xfrm>
                    <a:prstGeom prst="rect">
                      <a:avLst/>
                    </a:prstGeom>
                    <a:noFill/>
                  </pic:spPr>
                </pic:pic>
              </a:graphicData>
            </a:graphic>
          </wp:anchor>
        </w:drawing>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20" w:type="dxa"/>
            <w:vAlign w:val="bottom"/>
          </w:tcPr>
          <w:p>
            <w:pPr>
              <w:ind w:left="80"/>
              <w:spacing w:after="0"/>
              <w:rPr>
                <w:sz w:val="20"/>
                <w:szCs w:val="20"/>
                <w:color w:val="auto"/>
              </w:rPr>
            </w:pPr>
            <w:r>
              <w:rPr>
                <w:rFonts w:ascii="Arial" w:cs="Arial" w:eastAsia="Arial" w:hAnsi="Arial"/>
                <w:sz w:val="16"/>
                <w:szCs w:val="16"/>
                <w:b w:val="1"/>
                <w:bCs w:val="1"/>
                <w:color w:val="auto"/>
                <w:w w:val="89"/>
              </w:rPr>
              <w:t>2018</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($MM):</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$143.9</w:t>
            </w:r>
          </w:p>
        </w:tc>
      </w:tr>
      <w:tr>
        <w:trPr>
          <w:trHeight w:val="210"/>
        </w:trPr>
        <w:tc>
          <w:tcPr>
            <w:tcW w:w="460" w:type="dxa"/>
            <w:vAlign w:val="bottom"/>
            <w:gridSpan w:val="2"/>
          </w:tcPr>
          <w:p>
            <w:pPr>
              <w:ind w:left="80"/>
              <w:spacing w:after="0"/>
              <w:rPr>
                <w:sz w:val="20"/>
                <w:szCs w:val="20"/>
                <w:color w:val="auto"/>
              </w:rPr>
            </w:pPr>
            <w:r>
              <w:rPr>
                <w:rFonts w:ascii="Arial" w:cs="Arial" w:eastAsia="Arial" w:hAnsi="Arial"/>
                <w:sz w:val="16"/>
                <w:szCs w:val="16"/>
                <w:b w:val="1"/>
                <w:bCs w:val="1"/>
                <w:color w:val="auto"/>
                <w:w w:val="91"/>
              </w:rPr>
              <w:t>4Q18</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$44.1</w:t>
            </w:r>
          </w:p>
        </w:tc>
      </w:tr>
      <w:tr>
        <w:trPr>
          <w:trHeight w:val="249"/>
        </w:trPr>
        <w:tc>
          <w:tcPr>
            <w:tcW w:w="420" w:type="dxa"/>
            <w:vAlign w:val="bottom"/>
          </w:tcPr>
          <w:p>
            <w:pPr>
              <w:ind w:left="80"/>
              <w:spacing w:after="0"/>
              <w:rPr>
                <w:sz w:val="20"/>
                <w:szCs w:val="20"/>
                <w:color w:val="auto"/>
              </w:rPr>
            </w:pPr>
            <w:r>
              <w:rPr>
                <w:rFonts w:ascii="Arial" w:cs="Arial" w:eastAsia="Arial" w:hAnsi="Arial"/>
                <w:sz w:val="16"/>
                <w:szCs w:val="16"/>
                <w:b w:val="1"/>
                <w:bCs w:val="1"/>
                <w:color w:val="auto"/>
                <w:w w:val="89"/>
              </w:rPr>
              <w:t>2018</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 share):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$2.25</w:t>
            </w:r>
          </w:p>
        </w:tc>
      </w:tr>
      <w:tr>
        <w:trPr>
          <w:trHeight w:val="210"/>
        </w:trPr>
        <w:tc>
          <w:tcPr>
            <w:tcW w:w="460" w:type="dxa"/>
            <w:vAlign w:val="bottom"/>
            <w:gridSpan w:val="2"/>
          </w:tcPr>
          <w:p>
            <w:pPr>
              <w:ind w:left="80"/>
              <w:spacing w:after="0"/>
              <w:rPr>
                <w:sz w:val="20"/>
                <w:szCs w:val="20"/>
                <w:color w:val="auto"/>
              </w:rPr>
            </w:pPr>
            <w:r>
              <w:rPr>
                <w:rFonts w:ascii="Arial" w:cs="Arial" w:eastAsia="Arial" w:hAnsi="Arial"/>
                <w:sz w:val="16"/>
                <w:szCs w:val="16"/>
                <w:b w:val="1"/>
                <w:bCs w:val="1"/>
                <w:color w:val="auto"/>
                <w:w w:val="91"/>
              </w:rPr>
              <w:t>4Q18</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$0.67</w:t>
            </w:r>
          </w:p>
        </w:tc>
      </w:tr>
      <w:tr>
        <w:trPr>
          <w:trHeight w:val="33"/>
        </w:trPr>
        <w:tc>
          <w:tcPr>
            <w:tcW w:w="420" w:type="dxa"/>
            <w:vAlign w:val="bottom"/>
            <w:tcBorders>
              <w:bottom w:val="single" w:sz="8" w:color="003767"/>
            </w:tcBorders>
          </w:tcPr>
          <w:p>
            <w:pPr>
              <w:spacing w:after="0"/>
              <w:rPr>
                <w:sz w:val="2"/>
                <w:szCs w:val="2"/>
                <w:color w:val="auto"/>
              </w:rPr>
            </w:pPr>
          </w:p>
        </w:tc>
        <w:tc>
          <w:tcPr>
            <w:tcW w:w="40" w:type="dxa"/>
            <w:vAlign w:val="bottom"/>
            <w:tcBorders>
              <w:bottom w:val="single" w:sz="8" w:color="003767"/>
            </w:tcBorders>
          </w:tcPr>
          <w:p>
            <w:pPr>
              <w:spacing w:after="0"/>
              <w:rPr>
                <w:sz w:val="2"/>
                <w:szCs w:val="2"/>
                <w:color w:val="auto"/>
              </w:rPr>
            </w:pPr>
          </w:p>
        </w:tc>
        <w:tc>
          <w:tcPr>
            <w:tcW w:w="2140" w:type="dxa"/>
            <w:vAlign w:val="bottom"/>
            <w:tcBorders>
              <w:bottom w:val="single" w:sz="8" w:color="003767"/>
            </w:tcBorders>
          </w:tcPr>
          <w:p>
            <w:pPr>
              <w:spacing w:after="0"/>
              <w:rPr>
                <w:sz w:val="2"/>
                <w:szCs w:val="2"/>
                <w:color w:val="auto"/>
              </w:rPr>
            </w:pPr>
          </w:p>
        </w:tc>
        <w:tc>
          <w:tcPr>
            <w:tcW w:w="820" w:type="dxa"/>
            <w:vAlign w:val="bottom"/>
            <w:tcBorders>
              <w:bottom w:val="single" w:sz="8" w:color="003767"/>
            </w:tcBorders>
          </w:tcPr>
          <w:p>
            <w:pPr>
              <w:spacing w:after="0"/>
              <w:rPr>
                <w:sz w:val="2"/>
                <w:szCs w:val="2"/>
                <w:color w:val="auto"/>
              </w:rPr>
            </w:pPr>
          </w:p>
        </w:tc>
      </w:tr>
      <w:tr>
        <w:trPr>
          <w:trHeight w:val="210"/>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91"/>
        </w:trPr>
        <w:tc>
          <w:tcPr>
            <w:tcW w:w="420" w:type="dxa"/>
            <w:vAlign w:val="bottom"/>
            <w:tcBorders>
              <w:left w:val="single" w:sz="8" w:color="003767"/>
            </w:tcBorders>
            <w:shd w:val="clear" w:color="auto" w:fill="003767"/>
          </w:tcPr>
          <w:p>
            <w:pPr>
              <w:spacing w:after="0"/>
              <w:rPr>
                <w:sz w:val="24"/>
                <w:szCs w:val="24"/>
                <w:color w:val="auto"/>
              </w:rPr>
            </w:pPr>
          </w:p>
        </w:tc>
        <w:tc>
          <w:tcPr>
            <w:tcW w:w="40" w:type="dxa"/>
            <w:vAlign w:val="bottom"/>
            <w:shd w:val="clear" w:color="auto" w:fill="003767"/>
          </w:tcPr>
          <w:p>
            <w:pPr>
              <w:spacing w:after="0"/>
              <w:rPr>
                <w:sz w:val="24"/>
                <w:szCs w:val="24"/>
                <w:color w:val="auto"/>
              </w:rPr>
            </w:pPr>
          </w:p>
        </w:tc>
        <w:tc>
          <w:tcPr>
            <w:tcW w:w="2140" w:type="dxa"/>
            <w:vAlign w:val="bottom"/>
            <w:shd w:val="clear" w:color="auto" w:fill="003767"/>
          </w:tcPr>
          <w:p>
            <w:pPr>
              <w:jc w:val="center"/>
              <w:ind w:left="279"/>
              <w:spacing w:after="0"/>
              <w:rPr>
                <w:sz w:val="20"/>
                <w:szCs w:val="20"/>
                <w:color w:val="auto"/>
              </w:rPr>
            </w:pPr>
            <w:r>
              <w:rPr>
                <w:rFonts w:ascii="Arial" w:cs="Arial" w:eastAsia="Arial" w:hAnsi="Arial"/>
                <w:sz w:val="16"/>
                <w:szCs w:val="16"/>
                <w:b w:val="1"/>
                <w:bCs w:val="1"/>
                <w:color w:val="FFFFFF"/>
                <w:w w:val="90"/>
              </w:rPr>
              <w:t>Net Income</w:t>
            </w:r>
          </w:p>
        </w:tc>
        <w:tc>
          <w:tcPr>
            <w:tcW w:w="820" w:type="dxa"/>
            <w:vAlign w:val="bottom"/>
            <w:tcBorders>
              <w:right w:val="single" w:sz="8" w:color="003767"/>
            </w:tcBorders>
            <w:shd w:val="clear" w:color="auto" w:fill="003767"/>
          </w:tcPr>
          <w:p>
            <w:pPr>
              <w:spacing w:after="0"/>
              <w:rPr>
                <w:sz w:val="24"/>
                <w:szCs w:val="24"/>
                <w:color w:val="auto"/>
              </w:rPr>
            </w:pPr>
          </w:p>
        </w:tc>
      </w:tr>
      <w:tr>
        <w:trPr>
          <w:trHeight w:val="101"/>
        </w:trPr>
        <w:tc>
          <w:tcPr>
            <w:tcW w:w="420" w:type="dxa"/>
            <w:vAlign w:val="bottom"/>
            <w:tcBorders>
              <w:left w:val="single" w:sz="8" w:color="003767"/>
            </w:tcBorders>
            <w:shd w:val="clear" w:color="auto" w:fill="003767"/>
          </w:tcPr>
          <w:p>
            <w:pPr>
              <w:spacing w:after="0"/>
              <w:rPr>
                <w:sz w:val="8"/>
                <w:szCs w:val="8"/>
                <w:color w:val="auto"/>
              </w:rPr>
            </w:pPr>
          </w:p>
        </w:tc>
        <w:tc>
          <w:tcPr>
            <w:tcW w:w="2180" w:type="dxa"/>
            <w:vAlign w:val="bottom"/>
            <w:gridSpan w:val="2"/>
            <w:shd w:val="clear" w:color="auto" w:fill="003767"/>
          </w:tcPr>
          <w:p>
            <w:pPr>
              <w:spacing w:after="0"/>
              <w:rPr>
                <w:sz w:val="8"/>
                <w:szCs w:val="8"/>
                <w:color w:val="auto"/>
              </w:rPr>
            </w:pPr>
          </w:p>
        </w:tc>
        <w:tc>
          <w:tcPr>
            <w:tcW w:w="820" w:type="dxa"/>
            <w:vAlign w:val="bottom"/>
            <w:tcBorders>
              <w:right w:val="single" w:sz="8" w:color="003767"/>
            </w:tcBorders>
            <w:shd w:val="clear" w:color="auto" w:fill="003767"/>
          </w:tcPr>
          <w:p>
            <w:pPr>
              <w:spacing w:after="0"/>
              <w:rPr>
                <w:sz w:val="8"/>
                <w:szCs w:val="8"/>
                <w:color w:val="auto"/>
              </w:rPr>
            </w:pPr>
          </w:p>
        </w:tc>
      </w:tr>
      <w:tr>
        <w:trPr>
          <w:trHeight w:val="216"/>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2018</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($MM):</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$119.0</w:t>
            </w:r>
          </w:p>
        </w:tc>
      </w:tr>
      <w:tr>
        <w:trPr>
          <w:trHeight w:val="210"/>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4Q18</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$14.2</w:t>
            </w:r>
          </w:p>
        </w:tc>
      </w:tr>
      <w:tr>
        <w:trPr>
          <w:trHeight w:val="249"/>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2018</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 share):</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$1.86</w:t>
            </w:r>
          </w:p>
        </w:tc>
      </w:tr>
      <w:tr>
        <w:trPr>
          <w:trHeight w:val="210"/>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4Q18</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$0.22</w:t>
            </w:r>
          </w:p>
        </w:tc>
      </w:tr>
      <w:tr>
        <w:trPr>
          <w:trHeight w:val="33"/>
        </w:trPr>
        <w:tc>
          <w:tcPr>
            <w:tcW w:w="420" w:type="dxa"/>
            <w:vAlign w:val="bottom"/>
            <w:tcBorders>
              <w:left w:val="single" w:sz="8" w:color="003767"/>
              <w:bottom w:val="single" w:sz="8" w:color="003767"/>
            </w:tcBorders>
          </w:tcPr>
          <w:p>
            <w:pPr>
              <w:spacing w:after="0"/>
              <w:rPr>
                <w:sz w:val="2"/>
                <w:szCs w:val="2"/>
                <w:color w:val="auto"/>
              </w:rPr>
            </w:pPr>
          </w:p>
        </w:tc>
        <w:tc>
          <w:tcPr>
            <w:tcW w:w="40" w:type="dxa"/>
            <w:vAlign w:val="bottom"/>
            <w:tcBorders>
              <w:bottom w:val="single" w:sz="8" w:color="003767"/>
            </w:tcBorders>
          </w:tcPr>
          <w:p>
            <w:pPr>
              <w:spacing w:after="0"/>
              <w:rPr>
                <w:sz w:val="2"/>
                <w:szCs w:val="2"/>
                <w:color w:val="auto"/>
              </w:rPr>
            </w:pPr>
          </w:p>
        </w:tc>
        <w:tc>
          <w:tcPr>
            <w:tcW w:w="2140" w:type="dxa"/>
            <w:vAlign w:val="bottom"/>
            <w:tcBorders>
              <w:bottom w:val="single" w:sz="8" w:color="003767"/>
            </w:tcBorders>
          </w:tcPr>
          <w:p>
            <w:pPr>
              <w:spacing w:after="0"/>
              <w:rPr>
                <w:sz w:val="2"/>
                <w:szCs w:val="2"/>
                <w:color w:val="auto"/>
              </w:rPr>
            </w:pPr>
          </w:p>
        </w:tc>
        <w:tc>
          <w:tcPr>
            <w:tcW w:w="820" w:type="dxa"/>
            <w:vAlign w:val="bottom"/>
            <w:tcBorders>
              <w:bottom w:val="single" w:sz="8" w:color="003767"/>
              <w:right w:val="single" w:sz="8" w:color="003767"/>
            </w:tcBorders>
          </w:tcPr>
          <w:p>
            <w:pPr>
              <w:spacing w:after="0"/>
              <w:rPr>
                <w:sz w:val="2"/>
                <w:szCs w:val="2"/>
                <w:color w:val="auto"/>
              </w:rPr>
            </w:pPr>
          </w:p>
        </w:tc>
      </w:tr>
      <w:tr>
        <w:trPr>
          <w:trHeight w:val="210"/>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91"/>
        </w:trPr>
        <w:tc>
          <w:tcPr>
            <w:tcW w:w="420" w:type="dxa"/>
            <w:vAlign w:val="bottom"/>
            <w:tcBorders>
              <w:left w:val="single" w:sz="8" w:color="003767"/>
            </w:tcBorders>
            <w:shd w:val="clear" w:color="auto" w:fill="003767"/>
          </w:tcPr>
          <w:p>
            <w:pPr>
              <w:spacing w:after="0"/>
              <w:rPr>
                <w:sz w:val="24"/>
                <w:szCs w:val="24"/>
                <w:color w:val="auto"/>
              </w:rPr>
            </w:pPr>
          </w:p>
        </w:tc>
        <w:tc>
          <w:tcPr>
            <w:tcW w:w="40" w:type="dxa"/>
            <w:vAlign w:val="bottom"/>
            <w:shd w:val="clear" w:color="auto" w:fill="003767"/>
          </w:tcPr>
          <w:p>
            <w:pPr>
              <w:spacing w:after="0"/>
              <w:rPr>
                <w:sz w:val="24"/>
                <w:szCs w:val="24"/>
                <w:color w:val="auto"/>
              </w:rPr>
            </w:pPr>
          </w:p>
        </w:tc>
        <w:tc>
          <w:tcPr>
            <w:tcW w:w="2140" w:type="dxa"/>
            <w:vAlign w:val="bottom"/>
            <w:shd w:val="clear" w:color="auto" w:fill="003767"/>
          </w:tcPr>
          <w:p>
            <w:pPr>
              <w:jc w:val="center"/>
              <w:ind w:left="279"/>
              <w:spacing w:after="0"/>
              <w:rPr>
                <w:sz w:val="20"/>
                <w:szCs w:val="20"/>
                <w:color w:val="auto"/>
              </w:rPr>
            </w:pPr>
            <w:r>
              <w:rPr>
                <w:rFonts w:ascii="Arial" w:cs="Arial" w:eastAsia="Arial" w:hAnsi="Arial"/>
                <w:sz w:val="16"/>
                <w:szCs w:val="16"/>
                <w:b w:val="1"/>
                <w:bCs w:val="1"/>
                <w:color w:val="FFFFFF"/>
              </w:rPr>
              <w:t>NAV</w:t>
            </w:r>
          </w:p>
        </w:tc>
        <w:tc>
          <w:tcPr>
            <w:tcW w:w="820" w:type="dxa"/>
            <w:vAlign w:val="bottom"/>
            <w:tcBorders>
              <w:right w:val="single" w:sz="8" w:color="003767"/>
            </w:tcBorders>
            <w:shd w:val="clear" w:color="auto" w:fill="003767"/>
          </w:tcPr>
          <w:p>
            <w:pPr>
              <w:spacing w:after="0"/>
              <w:rPr>
                <w:sz w:val="24"/>
                <w:szCs w:val="24"/>
                <w:color w:val="auto"/>
              </w:rPr>
            </w:pPr>
          </w:p>
        </w:tc>
      </w:tr>
      <w:tr>
        <w:trPr>
          <w:trHeight w:val="101"/>
        </w:trPr>
        <w:tc>
          <w:tcPr>
            <w:tcW w:w="460" w:type="dxa"/>
            <w:vAlign w:val="bottom"/>
            <w:tcBorders>
              <w:left w:val="single" w:sz="8" w:color="003767"/>
            </w:tcBorders>
            <w:gridSpan w:val="2"/>
            <w:shd w:val="clear" w:color="auto" w:fill="003767"/>
          </w:tcPr>
          <w:p>
            <w:pPr>
              <w:spacing w:after="0"/>
              <w:rPr>
                <w:sz w:val="8"/>
                <w:szCs w:val="8"/>
                <w:color w:val="auto"/>
              </w:rPr>
            </w:pPr>
          </w:p>
        </w:tc>
        <w:tc>
          <w:tcPr>
            <w:tcW w:w="2140" w:type="dxa"/>
            <w:vAlign w:val="bottom"/>
            <w:shd w:val="clear" w:color="auto" w:fill="003767"/>
          </w:tcPr>
          <w:p>
            <w:pPr>
              <w:spacing w:after="0"/>
              <w:rPr>
                <w:sz w:val="8"/>
                <w:szCs w:val="8"/>
                <w:color w:val="auto"/>
              </w:rPr>
            </w:pPr>
          </w:p>
        </w:tc>
        <w:tc>
          <w:tcPr>
            <w:tcW w:w="820" w:type="dxa"/>
            <w:vAlign w:val="bottom"/>
            <w:tcBorders>
              <w:right w:val="single" w:sz="8" w:color="003767"/>
            </w:tcBorders>
            <w:shd w:val="clear" w:color="auto" w:fill="003767"/>
          </w:tcPr>
          <w:p>
            <w:pPr>
              <w:spacing w:after="0"/>
              <w:rPr>
                <w:sz w:val="8"/>
                <w:szCs w:val="8"/>
                <w:color w:val="auto"/>
              </w:rPr>
            </w:pPr>
          </w:p>
        </w:tc>
      </w:tr>
      <w:tr>
        <w:trPr>
          <w:trHeight w:val="224"/>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4Q18</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$1,063.2</w:t>
            </w:r>
          </w:p>
        </w:tc>
      </w:tr>
      <w:tr>
        <w:trPr>
          <w:trHeight w:val="257"/>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4Q18</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$16.25</w:t>
            </w:r>
          </w:p>
        </w:tc>
      </w:tr>
      <w:tr>
        <w:trPr>
          <w:trHeight w:val="257"/>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4Q18</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(per share, PF):</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$16.13</w:t>
            </w:r>
          </w:p>
        </w:tc>
      </w:tr>
      <w:tr>
        <w:trPr>
          <w:trHeight w:val="33"/>
        </w:trPr>
        <w:tc>
          <w:tcPr>
            <w:tcW w:w="420" w:type="dxa"/>
            <w:vAlign w:val="bottom"/>
            <w:tcBorders>
              <w:left w:val="single" w:sz="8" w:color="003767"/>
              <w:bottom w:val="single" w:sz="8" w:color="003767"/>
            </w:tcBorders>
          </w:tcPr>
          <w:p>
            <w:pPr>
              <w:spacing w:after="0"/>
              <w:rPr>
                <w:sz w:val="2"/>
                <w:szCs w:val="2"/>
                <w:color w:val="auto"/>
              </w:rPr>
            </w:pPr>
          </w:p>
        </w:tc>
        <w:tc>
          <w:tcPr>
            <w:tcW w:w="40" w:type="dxa"/>
            <w:vAlign w:val="bottom"/>
            <w:tcBorders>
              <w:bottom w:val="single" w:sz="8" w:color="003767"/>
            </w:tcBorders>
          </w:tcPr>
          <w:p>
            <w:pPr>
              <w:spacing w:after="0"/>
              <w:rPr>
                <w:sz w:val="2"/>
                <w:szCs w:val="2"/>
                <w:color w:val="auto"/>
              </w:rPr>
            </w:pPr>
          </w:p>
        </w:tc>
        <w:tc>
          <w:tcPr>
            <w:tcW w:w="2140" w:type="dxa"/>
            <w:vAlign w:val="bottom"/>
            <w:tcBorders>
              <w:bottom w:val="single" w:sz="8" w:color="003767"/>
            </w:tcBorders>
          </w:tcPr>
          <w:p>
            <w:pPr>
              <w:spacing w:after="0"/>
              <w:rPr>
                <w:sz w:val="2"/>
                <w:szCs w:val="2"/>
                <w:color w:val="auto"/>
              </w:rPr>
            </w:pPr>
          </w:p>
        </w:tc>
        <w:tc>
          <w:tcPr>
            <w:tcW w:w="820" w:type="dxa"/>
            <w:vAlign w:val="bottom"/>
            <w:tcBorders>
              <w:bottom w:val="single" w:sz="8" w:color="003767"/>
              <w:right w:val="single" w:sz="8" w:color="003767"/>
            </w:tcBorders>
          </w:tcPr>
          <w:p>
            <w:pPr>
              <w:spacing w:after="0"/>
              <w:rPr>
                <w:sz w:val="2"/>
                <w:szCs w:val="2"/>
                <w:color w:val="auto"/>
              </w:rPr>
            </w:pPr>
          </w:p>
        </w:tc>
      </w:tr>
      <w:tr>
        <w:trPr>
          <w:trHeight w:val="210"/>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91"/>
        </w:trPr>
        <w:tc>
          <w:tcPr>
            <w:tcW w:w="420" w:type="dxa"/>
            <w:vAlign w:val="bottom"/>
            <w:tcBorders>
              <w:left w:val="single" w:sz="8" w:color="003767"/>
            </w:tcBorders>
            <w:shd w:val="clear" w:color="auto" w:fill="003767"/>
          </w:tcPr>
          <w:p>
            <w:pPr>
              <w:spacing w:after="0"/>
              <w:rPr>
                <w:sz w:val="24"/>
                <w:szCs w:val="24"/>
                <w:color w:val="auto"/>
              </w:rPr>
            </w:pPr>
          </w:p>
        </w:tc>
        <w:tc>
          <w:tcPr>
            <w:tcW w:w="40" w:type="dxa"/>
            <w:vAlign w:val="bottom"/>
            <w:shd w:val="clear" w:color="auto" w:fill="003767"/>
          </w:tcPr>
          <w:p>
            <w:pPr>
              <w:spacing w:after="0"/>
              <w:rPr>
                <w:sz w:val="24"/>
                <w:szCs w:val="24"/>
                <w:color w:val="auto"/>
              </w:rPr>
            </w:pPr>
          </w:p>
        </w:tc>
        <w:tc>
          <w:tcPr>
            <w:tcW w:w="2140" w:type="dxa"/>
            <w:vAlign w:val="bottom"/>
            <w:shd w:val="clear" w:color="auto" w:fill="003767"/>
          </w:tcPr>
          <w:p>
            <w:pPr>
              <w:jc w:val="center"/>
              <w:ind w:left="279"/>
              <w:spacing w:after="0"/>
              <w:rPr>
                <w:sz w:val="20"/>
                <w:szCs w:val="20"/>
                <w:color w:val="auto"/>
              </w:rPr>
            </w:pPr>
            <w:r>
              <w:rPr>
                <w:rFonts w:ascii="Arial" w:cs="Arial" w:eastAsia="Arial" w:hAnsi="Arial"/>
                <w:sz w:val="16"/>
                <w:szCs w:val="16"/>
                <w:b w:val="1"/>
                <w:bCs w:val="1"/>
                <w:color w:val="FFFFFF"/>
                <w:w w:val="97"/>
              </w:rPr>
              <w:t>ROE</w:t>
            </w:r>
          </w:p>
        </w:tc>
        <w:tc>
          <w:tcPr>
            <w:tcW w:w="820" w:type="dxa"/>
            <w:vAlign w:val="bottom"/>
            <w:tcBorders>
              <w:right w:val="single" w:sz="8" w:color="003767"/>
            </w:tcBorders>
            <w:shd w:val="clear" w:color="auto" w:fill="003767"/>
          </w:tcPr>
          <w:p>
            <w:pPr>
              <w:spacing w:after="0"/>
              <w:rPr>
                <w:sz w:val="24"/>
                <w:szCs w:val="24"/>
                <w:color w:val="auto"/>
              </w:rPr>
            </w:pPr>
          </w:p>
        </w:tc>
      </w:tr>
      <w:tr>
        <w:trPr>
          <w:trHeight w:val="101"/>
        </w:trPr>
        <w:tc>
          <w:tcPr>
            <w:tcW w:w="420" w:type="dxa"/>
            <w:vAlign w:val="bottom"/>
            <w:tcBorders>
              <w:left w:val="single" w:sz="8" w:color="003767"/>
            </w:tcBorders>
            <w:shd w:val="clear" w:color="auto" w:fill="003767"/>
          </w:tcPr>
          <w:p>
            <w:pPr>
              <w:spacing w:after="0"/>
              <w:rPr>
                <w:sz w:val="8"/>
                <w:szCs w:val="8"/>
                <w:color w:val="auto"/>
              </w:rPr>
            </w:pPr>
          </w:p>
        </w:tc>
        <w:tc>
          <w:tcPr>
            <w:tcW w:w="2180" w:type="dxa"/>
            <w:vAlign w:val="bottom"/>
            <w:gridSpan w:val="2"/>
            <w:shd w:val="clear" w:color="auto" w:fill="003767"/>
          </w:tcPr>
          <w:p>
            <w:pPr>
              <w:spacing w:after="0"/>
              <w:rPr>
                <w:sz w:val="8"/>
                <w:szCs w:val="8"/>
                <w:color w:val="auto"/>
              </w:rPr>
            </w:pPr>
          </w:p>
        </w:tc>
        <w:tc>
          <w:tcPr>
            <w:tcW w:w="820" w:type="dxa"/>
            <w:vAlign w:val="bottom"/>
            <w:tcBorders>
              <w:right w:val="single" w:sz="8" w:color="003767"/>
            </w:tcBorders>
            <w:shd w:val="clear" w:color="auto" w:fill="003767"/>
          </w:tcPr>
          <w:p>
            <w:pPr>
              <w:spacing w:after="0"/>
              <w:rPr>
                <w:sz w:val="8"/>
                <w:szCs w:val="8"/>
                <w:color w:val="auto"/>
              </w:rPr>
            </w:pPr>
          </w:p>
        </w:tc>
      </w:tr>
      <w:tr>
        <w:trPr>
          <w:trHeight w:val="243"/>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2018</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(NII):</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14.0%</w:t>
            </w:r>
          </w:p>
        </w:tc>
      </w:tr>
      <w:tr>
        <w:trPr>
          <w:trHeight w:val="210"/>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4Q18</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(NII, annualized):</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16.4%</w:t>
            </w:r>
          </w:p>
        </w:tc>
      </w:tr>
      <w:tr>
        <w:trPr>
          <w:trHeight w:val="343"/>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2018</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(NI):</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11.6%</w:t>
            </w:r>
          </w:p>
        </w:tc>
      </w:tr>
      <w:tr>
        <w:trPr>
          <w:trHeight w:val="210"/>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4Q18</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(NI, annualized):</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5.3%</w:t>
            </w:r>
          </w:p>
        </w:tc>
      </w:tr>
      <w:tr>
        <w:trPr>
          <w:trHeight w:val="101"/>
        </w:trPr>
        <w:tc>
          <w:tcPr>
            <w:tcW w:w="420" w:type="dxa"/>
            <w:vAlign w:val="bottom"/>
            <w:tcBorders>
              <w:left w:val="single" w:sz="8" w:color="003767"/>
              <w:bottom w:val="single" w:sz="8" w:color="003767"/>
            </w:tcBorders>
          </w:tcPr>
          <w:p>
            <w:pPr>
              <w:spacing w:after="0"/>
              <w:rPr>
                <w:sz w:val="8"/>
                <w:szCs w:val="8"/>
                <w:color w:val="auto"/>
              </w:rPr>
            </w:pPr>
          </w:p>
        </w:tc>
        <w:tc>
          <w:tcPr>
            <w:tcW w:w="40" w:type="dxa"/>
            <w:vAlign w:val="bottom"/>
            <w:tcBorders>
              <w:bottom w:val="single" w:sz="8" w:color="003767"/>
            </w:tcBorders>
          </w:tcPr>
          <w:p>
            <w:pPr>
              <w:spacing w:after="0"/>
              <w:rPr>
                <w:sz w:val="8"/>
                <w:szCs w:val="8"/>
                <w:color w:val="auto"/>
              </w:rPr>
            </w:pPr>
          </w:p>
        </w:tc>
        <w:tc>
          <w:tcPr>
            <w:tcW w:w="2140" w:type="dxa"/>
            <w:vAlign w:val="bottom"/>
            <w:tcBorders>
              <w:bottom w:val="single" w:sz="8" w:color="003767"/>
            </w:tcBorders>
          </w:tcPr>
          <w:p>
            <w:pPr>
              <w:spacing w:after="0"/>
              <w:rPr>
                <w:sz w:val="8"/>
                <w:szCs w:val="8"/>
                <w:color w:val="auto"/>
              </w:rPr>
            </w:pPr>
          </w:p>
        </w:tc>
        <w:tc>
          <w:tcPr>
            <w:tcW w:w="820" w:type="dxa"/>
            <w:vAlign w:val="bottom"/>
            <w:tcBorders>
              <w:bottom w:val="single" w:sz="8" w:color="003767"/>
              <w:right w:val="single" w:sz="8" w:color="003767"/>
            </w:tcBorders>
          </w:tcPr>
          <w:p>
            <w:pPr>
              <w:spacing w:after="0"/>
              <w:rPr>
                <w:sz w:val="8"/>
                <w:szCs w:val="8"/>
                <w:color w:val="auto"/>
              </w:rPr>
            </w:pPr>
          </w:p>
        </w:tc>
      </w:tr>
      <w:tr>
        <w:trPr>
          <w:trHeight w:val="426"/>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1"/>
        </w:trPr>
        <w:tc>
          <w:tcPr>
            <w:tcW w:w="420" w:type="dxa"/>
            <w:vAlign w:val="bottom"/>
            <w:tcBorders>
              <w:left w:val="single" w:sz="8" w:color="003767"/>
            </w:tcBorders>
            <w:shd w:val="clear" w:color="auto" w:fill="003767"/>
          </w:tcPr>
          <w:p>
            <w:pPr>
              <w:spacing w:after="0"/>
              <w:rPr>
                <w:sz w:val="24"/>
                <w:szCs w:val="24"/>
                <w:color w:val="auto"/>
              </w:rPr>
            </w:pPr>
          </w:p>
        </w:tc>
        <w:tc>
          <w:tcPr>
            <w:tcW w:w="40" w:type="dxa"/>
            <w:vAlign w:val="bottom"/>
            <w:shd w:val="clear" w:color="auto" w:fill="003767"/>
          </w:tcPr>
          <w:p>
            <w:pPr>
              <w:spacing w:after="0"/>
              <w:rPr>
                <w:sz w:val="24"/>
                <w:szCs w:val="24"/>
                <w:color w:val="auto"/>
              </w:rPr>
            </w:pPr>
          </w:p>
        </w:tc>
        <w:tc>
          <w:tcPr>
            <w:tcW w:w="2140" w:type="dxa"/>
            <w:vAlign w:val="bottom"/>
            <w:shd w:val="clear" w:color="auto" w:fill="003767"/>
          </w:tcPr>
          <w:p>
            <w:pPr>
              <w:jc w:val="center"/>
              <w:ind w:left="279"/>
              <w:spacing w:after="0"/>
              <w:rPr>
                <w:sz w:val="20"/>
                <w:szCs w:val="20"/>
                <w:color w:val="auto"/>
              </w:rPr>
            </w:pPr>
            <w:r>
              <w:rPr>
                <w:rFonts w:ascii="Arial" w:cs="Arial" w:eastAsia="Arial" w:hAnsi="Arial"/>
                <w:sz w:val="16"/>
                <w:szCs w:val="16"/>
                <w:b w:val="1"/>
                <w:bCs w:val="1"/>
                <w:color w:val="FFFFFF"/>
                <w:w w:val="91"/>
              </w:rPr>
              <w:t>Dividend (per share)</w:t>
            </w:r>
          </w:p>
        </w:tc>
        <w:tc>
          <w:tcPr>
            <w:tcW w:w="820" w:type="dxa"/>
            <w:vAlign w:val="bottom"/>
            <w:tcBorders>
              <w:right w:val="single" w:sz="8" w:color="003767"/>
            </w:tcBorders>
            <w:shd w:val="clear" w:color="auto" w:fill="003767"/>
          </w:tcPr>
          <w:p>
            <w:pPr>
              <w:spacing w:after="0"/>
              <w:rPr>
                <w:sz w:val="24"/>
                <w:szCs w:val="24"/>
                <w:color w:val="auto"/>
              </w:rPr>
            </w:pPr>
          </w:p>
        </w:tc>
      </w:tr>
      <w:tr>
        <w:trPr>
          <w:trHeight w:val="101"/>
        </w:trPr>
        <w:tc>
          <w:tcPr>
            <w:tcW w:w="460" w:type="dxa"/>
            <w:vAlign w:val="bottom"/>
            <w:tcBorders>
              <w:left w:val="single" w:sz="8" w:color="003767"/>
            </w:tcBorders>
            <w:gridSpan w:val="2"/>
            <w:shd w:val="clear" w:color="auto" w:fill="003767"/>
          </w:tcPr>
          <w:p>
            <w:pPr>
              <w:spacing w:after="0"/>
              <w:rPr>
                <w:sz w:val="8"/>
                <w:szCs w:val="8"/>
                <w:color w:val="auto"/>
              </w:rPr>
            </w:pPr>
          </w:p>
        </w:tc>
        <w:tc>
          <w:tcPr>
            <w:tcW w:w="2140" w:type="dxa"/>
            <w:vAlign w:val="bottom"/>
            <w:shd w:val="clear" w:color="auto" w:fill="003767"/>
          </w:tcPr>
          <w:p>
            <w:pPr>
              <w:spacing w:after="0"/>
              <w:rPr>
                <w:sz w:val="8"/>
                <w:szCs w:val="8"/>
                <w:color w:val="auto"/>
              </w:rPr>
            </w:pPr>
          </w:p>
        </w:tc>
        <w:tc>
          <w:tcPr>
            <w:tcW w:w="820" w:type="dxa"/>
            <w:vAlign w:val="bottom"/>
            <w:tcBorders>
              <w:right w:val="single" w:sz="8" w:color="003767"/>
            </w:tcBorders>
            <w:shd w:val="clear" w:color="auto" w:fill="003767"/>
          </w:tcPr>
          <w:p>
            <w:pPr>
              <w:spacing w:after="0"/>
              <w:rPr>
                <w:sz w:val="8"/>
                <w:szCs w:val="8"/>
                <w:color w:val="auto"/>
              </w:rPr>
            </w:pPr>
          </w:p>
        </w:tc>
      </w:tr>
      <w:tr>
        <w:trPr>
          <w:trHeight w:val="237"/>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4Q18</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(Supp.):</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$0.12</w:t>
            </w:r>
          </w:p>
        </w:tc>
      </w:tr>
      <w:tr>
        <w:trPr>
          <w:trHeight w:val="284"/>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1Q19</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(Base):</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$0.39</w:t>
            </w:r>
          </w:p>
        </w:tc>
      </w:tr>
      <w:tr>
        <w:trPr>
          <w:trHeight w:val="249"/>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2018</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(Base):</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$1.56</w:t>
            </w:r>
          </w:p>
        </w:tc>
      </w:tr>
      <w:tr>
        <w:trPr>
          <w:trHeight w:val="203"/>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2018</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$0.31</w:t>
            </w:r>
          </w:p>
        </w:tc>
      </w:tr>
      <w:tr>
        <w:trPr>
          <w:trHeight w:val="210"/>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2018</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$1.87</w:t>
            </w:r>
          </w:p>
        </w:tc>
      </w:tr>
      <w:tr>
        <w:trPr>
          <w:trHeight w:val="33"/>
        </w:trPr>
        <w:tc>
          <w:tcPr>
            <w:tcW w:w="420" w:type="dxa"/>
            <w:vAlign w:val="bottom"/>
            <w:tcBorders>
              <w:left w:val="single" w:sz="8" w:color="003767"/>
              <w:bottom w:val="single" w:sz="8" w:color="003767"/>
            </w:tcBorders>
          </w:tcPr>
          <w:p>
            <w:pPr>
              <w:spacing w:after="0"/>
              <w:rPr>
                <w:sz w:val="2"/>
                <w:szCs w:val="2"/>
                <w:color w:val="auto"/>
              </w:rPr>
            </w:pPr>
          </w:p>
        </w:tc>
        <w:tc>
          <w:tcPr>
            <w:tcW w:w="40" w:type="dxa"/>
            <w:vAlign w:val="bottom"/>
            <w:tcBorders>
              <w:bottom w:val="single" w:sz="8" w:color="003767"/>
            </w:tcBorders>
          </w:tcPr>
          <w:p>
            <w:pPr>
              <w:spacing w:after="0"/>
              <w:rPr>
                <w:sz w:val="2"/>
                <w:szCs w:val="2"/>
                <w:color w:val="auto"/>
              </w:rPr>
            </w:pPr>
          </w:p>
        </w:tc>
        <w:tc>
          <w:tcPr>
            <w:tcW w:w="2140" w:type="dxa"/>
            <w:vAlign w:val="bottom"/>
            <w:tcBorders>
              <w:bottom w:val="single" w:sz="8" w:color="003767"/>
            </w:tcBorders>
          </w:tcPr>
          <w:p>
            <w:pPr>
              <w:spacing w:after="0"/>
              <w:rPr>
                <w:sz w:val="2"/>
                <w:szCs w:val="2"/>
                <w:color w:val="auto"/>
              </w:rPr>
            </w:pPr>
          </w:p>
        </w:tc>
        <w:tc>
          <w:tcPr>
            <w:tcW w:w="820" w:type="dxa"/>
            <w:vAlign w:val="bottom"/>
            <w:tcBorders>
              <w:bottom w:val="single" w:sz="8" w:color="003767"/>
              <w:right w:val="single" w:sz="8" w:color="003767"/>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-1311275</wp:posOffset>
            </wp:positionV>
            <wp:extent cx="889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91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-1311275</wp:posOffset>
            </wp:positionV>
            <wp:extent cx="889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7620" w:space="380"/>
            <w:col w:w="3420"/>
          </w:cols>
          <w:pgMar w:left="240" w:top="121" w:right="239" w:bottom="1440" w:gutter="0" w:footer="0" w:header="0"/>
          <w:type w:val="continuous"/>
        </w:sectPr>
      </w:pPr>
    </w:p>
    <w:p>
      <w:pPr>
        <w:spacing w:after="0" w:line="34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Portfolio and Investment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w:t>
      </w:r>
    </w:p>
    <w:p>
      <w:pPr>
        <w:spacing w:after="0" w:line="1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year ended December 31, 2018, gross originations totaled $2,199.4 million. This compares to $2,251.5 million for the year ended December 31, 2017.</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year ended December 31, 2018, the principal amount of new investments funded was $816.9 million in 19 new portfolio companies and 14 existing portfolio companies. For this period, the Company had $790.3 million aggregate principal amount in exits and repayments.</w:t>
      </w:r>
    </w:p>
    <w:p>
      <w:pPr>
        <w:spacing w:after="0" w:line="1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year ended December 31, 2017, the principal amount of new investments funded was $989.3 million in 22 new portfolio companies and 12 existing portfolio companies. For this period, the Company had $951.5 million aggregate principal amount in exits and repayments.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w:t>
      </w:r>
    </w:p>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quarter ended December 31, 2018, gross originations totaled $373.4 million. This compares to $1,066.7 million for the quarter ended December 31, 2017.</w:t>
      </w:r>
    </w:p>
    <w:p>
      <w:pPr>
        <w:spacing w:after="0" w:line="10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the quarter ended December 31, 2018, the principal amount of new investments funded was $147.7 million in 4 new portfolio companies and 6 existing portfolio companies. For this period, the Company had $382.6 million aggregate principal amount in exits and repayments.</w:t>
      </w:r>
    </w:p>
    <w:p>
      <w:pPr>
        <w:spacing w:after="0" w:line="11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the quarter ended December 31, 2017, the principal amount of new investments funded was $271.8 million in 5 new portfolio companies and 2 existing portfolio companies. For this period, the Company had $136.4 million aggregate principal amount in exits and repayments.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1"/>
        </w:trPr>
        <w:tc>
          <w:tcPr>
            <w:tcW w:w="1500" w:type="dxa"/>
            <w:vAlign w:val="bottom"/>
            <w:tcBorders>
              <w:left w:val="single" w:sz="8" w:color="003767"/>
            </w:tcBorders>
            <w:shd w:val="clear" w:color="auto" w:fill="003767"/>
          </w:tcPr>
          <w:p>
            <w:pPr>
              <w:spacing w:after="0"/>
              <w:rPr>
                <w:sz w:val="24"/>
                <w:szCs w:val="24"/>
                <w:color w:val="auto"/>
              </w:rPr>
            </w:pPr>
          </w:p>
        </w:tc>
        <w:tc>
          <w:tcPr>
            <w:tcW w:w="1920" w:type="dxa"/>
            <w:vAlign w:val="bottom"/>
            <w:tcBorders>
              <w:right w:val="single" w:sz="8" w:color="003767"/>
            </w:tcBorders>
            <w:shd w:val="clear" w:color="auto" w:fill="003767"/>
          </w:tcPr>
          <w:p>
            <w:pPr>
              <w:jc w:val="right"/>
              <w:ind w:right="1459"/>
              <w:spacing w:after="0"/>
              <w:rPr>
                <w:sz w:val="20"/>
                <w:szCs w:val="20"/>
                <w:color w:val="auto"/>
              </w:rPr>
            </w:pPr>
            <w:r>
              <w:rPr>
                <w:rFonts w:ascii="Arial" w:cs="Arial" w:eastAsia="Arial" w:hAnsi="Arial"/>
                <w:sz w:val="16"/>
                <w:szCs w:val="16"/>
                <w:b w:val="1"/>
                <w:bCs w:val="1"/>
                <w:color w:val="FFFFFF"/>
              </w:rPr>
              <w:t>2018</w:t>
            </w:r>
          </w:p>
        </w:tc>
      </w:tr>
      <w:tr>
        <w:trPr>
          <w:trHeight w:val="101"/>
        </w:trPr>
        <w:tc>
          <w:tcPr>
            <w:tcW w:w="1500" w:type="dxa"/>
            <w:vAlign w:val="bottom"/>
            <w:tcBorders>
              <w:left w:val="single" w:sz="8" w:color="003767"/>
            </w:tcBorders>
            <w:shd w:val="clear" w:color="auto" w:fill="003767"/>
          </w:tcPr>
          <w:p>
            <w:pPr>
              <w:spacing w:after="0"/>
              <w:rPr>
                <w:sz w:val="8"/>
                <w:szCs w:val="8"/>
                <w:color w:val="auto"/>
              </w:rPr>
            </w:pPr>
          </w:p>
        </w:tc>
        <w:tc>
          <w:tcPr>
            <w:tcW w:w="1920" w:type="dxa"/>
            <w:vAlign w:val="bottom"/>
            <w:tcBorders>
              <w:right w:val="single" w:sz="8" w:color="003767"/>
            </w:tcBorders>
            <w:shd w:val="clear" w:color="auto" w:fill="003767"/>
          </w:tcPr>
          <w:p>
            <w:pPr>
              <w:spacing w:after="0"/>
              <w:rPr>
                <w:sz w:val="8"/>
                <w:szCs w:val="8"/>
                <w:color w:val="auto"/>
              </w:rPr>
            </w:pPr>
          </w:p>
        </w:tc>
      </w:tr>
      <w:tr>
        <w:trPr>
          <w:trHeight w:val="216"/>
        </w:trPr>
        <w:tc>
          <w:tcPr>
            <w:tcW w:w="150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3"/>
              </w:rPr>
              <w:t>Gross Originations:</w:t>
            </w:r>
          </w:p>
        </w:tc>
        <w:tc>
          <w:tcPr>
            <w:tcW w:w="1920" w:type="dxa"/>
            <w:vAlign w:val="bottom"/>
            <w:tcBorders>
              <w:right w:val="single" w:sz="8" w:color="003767"/>
            </w:tcBorders>
          </w:tcPr>
          <w:p>
            <w:pPr>
              <w:jc w:val="right"/>
              <w:ind w:right="699"/>
              <w:spacing w:after="0"/>
              <w:rPr>
                <w:sz w:val="20"/>
                <w:szCs w:val="20"/>
                <w:color w:val="auto"/>
              </w:rPr>
            </w:pPr>
            <w:r>
              <w:rPr>
                <w:rFonts w:ascii="Arial" w:cs="Arial" w:eastAsia="Arial" w:hAnsi="Arial"/>
                <w:sz w:val="16"/>
                <w:szCs w:val="16"/>
                <w:b w:val="1"/>
                <w:bCs w:val="1"/>
                <w:color w:val="auto"/>
              </w:rPr>
              <w:t>$2,199.4MM</w:t>
            </w:r>
          </w:p>
        </w:tc>
      </w:tr>
      <w:tr>
        <w:trPr>
          <w:trHeight w:val="203"/>
        </w:trPr>
        <w:tc>
          <w:tcPr>
            <w:tcW w:w="150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Fundings:</w:t>
            </w:r>
          </w:p>
        </w:tc>
        <w:tc>
          <w:tcPr>
            <w:tcW w:w="1920" w:type="dxa"/>
            <w:vAlign w:val="bottom"/>
            <w:tcBorders>
              <w:right w:val="single" w:sz="8" w:color="003767"/>
            </w:tcBorders>
          </w:tcPr>
          <w:p>
            <w:pPr>
              <w:jc w:val="right"/>
              <w:ind w:right="719"/>
              <w:spacing w:after="0"/>
              <w:rPr>
                <w:sz w:val="20"/>
                <w:szCs w:val="20"/>
                <w:color w:val="auto"/>
              </w:rPr>
            </w:pPr>
            <w:r>
              <w:rPr>
                <w:rFonts w:ascii="Arial" w:cs="Arial" w:eastAsia="Arial" w:hAnsi="Arial"/>
                <w:sz w:val="16"/>
                <w:szCs w:val="16"/>
                <w:b w:val="1"/>
                <w:bCs w:val="1"/>
                <w:color w:val="auto"/>
              </w:rPr>
              <w:t>$816.9MM</w:t>
            </w:r>
          </w:p>
        </w:tc>
      </w:tr>
      <w:tr>
        <w:trPr>
          <w:trHeight w:val="210"/>
        </w:trPr>
        <w:tc>
          <w:tcPr>
            <w:tcW w:w="150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Net Fundings:</w:t>
            </w:r>
          </w:p>
        </w:tc>
        <w:tc>
          <w:tcPr>
            <w:tcW w:w="1920" w:type="dxa"/>
            <w:vAlign w:val="bottom"/>
            <w:tcBorders>
              <w:right w:val="single" w:sz="8" w:color="003767"/>
            </w:tcBorders>
          </w:tcPr>
          <w:p>
            <w:pPr>
              <w:jc w:val="right"/>
              <w:ind w:right="719"/>
              <w:spacing w:after="0"/>
              <w:rPr>
                <w:sz w:val="20"/>
                <w:szCs w:val="20"/>
                <w:color w:val="auto"/>
              </w:rPr>
            </w:pPr>
            <w:r>
              <w:rPr>
                <w:rFonts w:ascii="Arial" w:cs="Arial" w:eastAsia="Arial" w:hAnsi="Arial"/>
                <w:sz w:val="16"/>
                <w:szCs w:val="16"/>
                <w:b w:val="1"/>
                <w:bCs w:val="1"/>
                <w:color w:val="auto"/>
              </w:rPr>
              <w:t>$26.6MM</w:t>
            </w:r>
          </w:p>
        </w:tc>
      </w:tr>
      <w:tr>
        <w:trPr>
          <w:trHeight w:val="33"/>
        </w:trPr>
        <w:tc>
          <w:tcPr>
            <w:tcW w:w="1500" w:type="dxa"/>
            <w:vAlign w:val="bottom"/>
            <w:tcBorders>
              <w:left w:val="single" w:sz="8" w:color="003767"/>
              <w:bottom w:val="single" w:sz="8" w:color="003767"/>
            </w:tcBorders>
          </w:tcPr>
          <w:p>
            <w:pPr>
              <w:spacing w:after="0"/>
              <w:rPr>
                <w:sz w:val="2"/>
                <w:szCs w:val="2"/>
                <w:color w:val="auto"/>
              </w:rPr>
            </w:pPr>
          </w:p>
        </w:tc>
        <w:tc>
          <w:tcPr>
            <w:tcW w:w="1920" w:type="dxa"/>
            <w:vAlign w:val="bottom"/>
            <w:tcBorders>
              <w:bottom w:val="single" w:sz="8" w:color="003767"/>
              <w:right w:val="single" w:sz="8" w:color="003767"/>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1480" w:type="dxa"/>
            <w:vAlign w:val="bottom"/>
            <w:tcBorders>
              <w:left w:val="single" w:sz="8" w:color="003767"/>
            </w:tcBorders>
            <w:shd w:val="clear" w:color="auto" w:fill="003767"/>
          </w:tcPr>
          <w:p>
            <w:pPr>
              <w:spacing w:after="0"/>
              <w:rPr>
                <w:sz w:val="24"/>
                <w:szCs w:val="24"/>
                <w:color w:val="auto"/>
              </w:rPr>
            </w:pPr>
          </w:p>
        </w:tc>
        <w:tc>
          <w:tcPr>
            <w:tcW w:w="1940" w:type="dxa"/>
            <w:vAlign w:val="bottom"/>
            <w:tcBorders>
              <w:right w:val="single" w:sz="8" w:color="003767"/>
            </w:tcBorders>
            <w:shd w:val="clear" w:color="auto" w:fill="003767"/>
          </w:tcPr>
          <w:p>
            <w:pPr>
              <w:jc w:val="right"/>
              <w:ind w:right="1439"/>
              <w:spacing w:after="0"/>
              <w:rPr>
                <w:sz w:val="20"/>
                <w:szCs w:val="20"/>
                <w:color w:val="auto"/>
              </w:rPr>
            </w:pPr>
            <w:r>
              <w:rPr>
                <w:rFonts w:ascii="Arial" w:cs="Arial" w:eastAsia="Arial" w:hAnsi="Arial"/>
                <w:sz w:val="16"/>
                <w:szCs w:val="16"/>
                <w:b w:val="1"/>
                <w:bCs w:val="1"/>
                <w:color w:val="FFFFFF"/>
              </w:rPr>
              <w:t>4Q18</w:t>
            </w:r>
          </w:p>
        </w:tc>
      </w:tr>
      <w:tr>
        <w:trPr>
          <w:trHeight w:val="101"/>
        </w:trPr>
        <w:tc>
          <w:tcPr>
            <w:tcW w:w="1480" w:type="dxa"/>
            <w:vAlign w:val="bottom"/>
            <w:tcBorders>
              <w:left w:val="single" w:sz="8" w:color="003767"/>
            </w:tcBorders>
            <w:shd w:val="clear" w:color="auto" w:fill="003767"/>
          </w:tcPr>
          <w:p>
            <w:pPr>
              <w:spacing w:after="0"/>
              <w:rPr>
                <w:sz w:val="8"/>
                <w:szCs w:val="8"/>
                <w:color w:val="auto"/>
              </w:rPr>
            </w:pPr>
          </w:p>
        </w:tc>
        <w:tc>
          <w:tcPr>
            <w:tcW w:w="1940" w:type="dxa"/>
            <w:vAlign w:val="bottom"/>
            <w:tcBorders>
              <w:right w:val="single" w:sz="8" w:color="003767"/>
            </w:tcBorders>
            <w:shd w:val="clear" w:color="auto" w:fill="003767"/>
          </w:tcPr>
          <w:p>
            <w:pPr>
              <w:spacing w:after="0"/>
              <w:rPr>
                <w:sz w:val="8"/>
                <w:szCs w:val="8"/>
                <w:color w:val="auto"/>
              </w:rPr>
            </w:pPr>
          </w:p>
        </w:tc>
      </w:tr>
      <w:tr>
        <w:trPr>
          <w:trHeight w:val="216"/>
        </w:trPr>
        <w:tc>
          <w:tcPr>
            <w:tcW w:w="14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1"/>
              </w:rPr>
              <w:t>Gross Originations:</w:t>
            </w:r>
          </w:p>
        </w:tc>
        <w:tc>
          <w:tcPr>
            <w:tcW w:w="1940" w:type="dxa"/>
            <w:vAlign w:val="bottom"/>
            <w:tcBorders>
              <w:right w:val="single" w:sz="8" w:color="003767"/>
            </w:tcBorders>
          </w:tcPr>
          <w:p>
            <w:pPr>
              <w:jc w:val="right"/>
              <w:ind w:right="699"/>
              <w:spacing w:after="0"/>
              <w:rPr>
                <w:sz w:val="20"/>
                <w:szCs w:val="20"/>
                <w:color w:val="auto"/>
              </w:rPr>
            </w:pPr>
            <w:r>
              <w:rPr>
                <w:rFonts w:ascii="Arial" w:cs="Arial" w:eastAsia="Arial" w:hAnsi="Arial"/>
                <w:sz w:val="16"/>
                <w:szCs w:val="16"/>
                <w:b w:val="1"/>
                <w:bCs w:val="1"/>
                <w:color w:val="auto"/>
              </w:rPr>
              <w:t>$373.4MM</w:t>
            </w:r>
          </w:p>
        </w:tc>
      </w:tr>
      <w:tr>
        <w:trPr>
          <w:trHeight w:val="203"/>
        </w:trPr>
        <w:tc>
          <w:tcPr>
            <w:tcW w:w="14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Fundings:</w:t>
            </w:r>
          </w:p>
        </w:tc>
        <w:tc>
          <w:tcPr>
            <w:tcW w:w="1940" w:type="dxa"/>
            <w:vAlign w:val="bottom"/>
            <w:tcBorders>
              <w:right w:val="single" w:sz="8" w:color="003767"/>
            </w:tcBorders>
          </w:tcPr>
          <w:p>
            <w:pPr>
              <w:jc w:val="right"/>
              <w:ind w:right="719"/>
              <w:spacing w:after="0"/>
              <w:rPr>
                <w:sz w:val="20"/>
                <w:szCs w:val="20"/>
                <w:color w:val="auto"/>
              </w:rPr>
            </w:pPr>
            <w:r>
              <w:rPr>
                <w:rFonts w:ascii="Arial" w:cs="Arial" w:eastAsia="Arial" w:hAnsi="Arial"/>
                <w:sz w:val="16"/>
                <w:szCs w:val="16"/>
                <w:b w:val="1"/>
                <w:bCs w:val="1"/>
                <w:color w:val="auto"/>
              </w:rPr>
              <w:t>$147.7MM</w:t>
            </w:r>
          </w:p>
        </w:tc>
      </w:tr>
      <w:tr>
        <w:trPr>
          <w:trHeight w:val="210"/>
        </w:trPr>
        <w:tc>
          <w:tcPr>
            <w:tcW w:w="14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Net Fundings:</w:t>
            </w:r>
          </w:p>
        </w:tc>
        <w:tc>
          <w:tcPr>
            <w:tcW w:w="1940" w:type="dxa"/>
            <w:vAlign w:val="bottom"/>
            <w:tcBorders>
              <w:right w:val="single" w:sz="8" w:color="003767"/>
            </w:tcBorders>
          </w:tcPr>
          <w:p>
            <w:pPr>
              <w:jc w:val="right"/>
              <w:ind w:right="679"/>
              <w:spacing w:after="0"/>
              <w:rPr>
                <w:sz w:val="20"/>
                <w:szCs w:val="20"/>
                <w:color w:val="auto"/>
              </w:rPr>
            </w:pPr>
            <w:r>
              <w:rPr>
                <w:rFonts w:ascii="Arial" w:cs="Arial" w:eastAsia="Arial" w:hAnsi="Arial"/>
                <w:sz w:val="16"/>
                <w:szCs w:val="16"/>
                <w:b w:val="1"/>
                <w:bCs w:val="1"/>
                <w:color w:val="auto"/>
              </w:rPr>
              <w:t>($234.8MM)</w:t>
            </w:r>
          </w:p>
        </w:tc>
      </w:tr>
      <w:tr>
        <w:trPr>
          <w:trHeight w:val="33"/>
        </w:trPr>
        <w:tc>
          <w:tcPr>
            <w:tcW w:w="1480" w:type="dxa"/>
            <w:vAlign w:val="bottom"/>
            <w:tcBorders>
              <w:left w:val="single" w:sz="8" w:color="003767"/>
              <w:bottom w:val="single" w:sz="8" w:color="003767"/>
            </w:tcBorders>
          </w:tcPr>
          <w:p>
            <w:pPr>
              <w:spacing w:after="0"/>
              <w:rPr>
                <w:sz w:val="2"/>
                <w:szCs w:val="2"/>
                <w:color w:val="auto"/>
              </w:rPr>
            </w:pPr>
          </w:p>
        </w:tc>
        <w:tc>
          <w:tcPr>
            <w:tcW w:w="1940" w:type="dxa"/>
            <w:vAlign w:val="bottom"/>
            <w:tcBorders>
              <w:bottom w:val="single" w:sz="8" w:color="003767"/>
              <w:right w:val="single" w:sz="8" w:color="003767"/>
            </w:tcBorders>
          </w:tcPr>
          <w:p>
            <w:pPr>
              <w:spacing w:after="0"/>
              <w:rPr>
                <w:sz w:val="2"/>
                <w:szCs w:val="2"/>
                <w:color w:val="auto"/>
              </w:rPr>
            </w:pPr>
          </w:p>
        </w:tc>
      </w:tr>
    </w:tbl>
    <w:p>
      <w:pPr>
        <w:spacing w:after="0" w:line="922" w:lineRule="exact"/>
        <w:rPr>
          <w:sz w:val="20"/>
          <w:szCs w:val="20"/>
          <w:color w:val="auto"/>
        </w:rPr>
      </w:pPr>
    </w:p>
    <w:p>
      <w:pPr>
        <w:sectPr>
          <w:pgSz w:w="11900" w:h="16838" w:orient="portrait"/>
          <w:cols w:equalWidth="0" w:num="2">
            <w:col w:w="7620" w:space="380"/>
            <w:col w:w="3420"/>
          </w:cols>
          <w:pgMar w:left="240" w:top="1104" w:right="239" w:bottom="1440" w:gutter="0" w:footer="0" w:header="0"/>
        </w:sectPr>
      </w:pPr>
    </w:p>
    <w:p>
      <w:pPr>
        <w:spacing w:after="0" w:line="2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2018 and December 31, 2017, the Company had investments in 46 and 45 portfolio companies, respectively, with an aggregate fair value of $1,706.0 million and $1,693.7 million, respectively. As of December 31, 2018, the average investment size in each portfolio company was $37.1 million based on fair value.</w:t>
      </w:r>
    </w:p>
    <w:p>
      <w:pPr>
        <w:spacing w:after="0" w:line="1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December 31, 2018, the Company’s portfolio based on fair value consisted of 96.9% first-lien debt investments, 0.2% second-lien debt investments, 0.2% mezzanine investments, and 2.7% equity and other investments. As of December 31, 2017, the Company’s portfolio based on fair value consisted of 93.4% first-lien debt investments, 3.6% second-lien debt investments, and 3.0% equity and other investments. As of December 31, 2018 and December 31, 2017, approximately 97.1% and 97.0% of the portfolio was invested in secured debt,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FFFFFF"/>
        </w:rPr>
        <w:t>Average Investment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-167640</wp:posOffset>
            </wp:positionV>
            <wp:extent cx="2169795"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548640"/>
                    </a:xfrm>
                    <a:prstGeom prst="rect">
                      <a:avLst/>
                    </a:prstGeom>
                    <a:noFill/>
                  </pic:spPr>
                </pic:pic>
              </a:graphicData>
            </a:graphic>
          </wp:anchor>
        </w:drawing>
      </w:r>
    </w:p>
    <w:p>
      <w:pPr>
        <w:spacing w:after="0" w:line="120"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$37.1MM</w:t>
      </w:r>
    </w:p>
    <w:p>
      <w:pPr>
        <w:spacing w:after="0" w:line="26" w:lineRule="exact"/>
        <w:rPr>
          <w:sz w:val="20"/>
          <w:szCs w:val="20"/>
          <w:color w:val="auto"/>
        </w:rPr>
      </w:pPr>
    </w:p>
    <w:p>
      <w:pPr>
        <w:jc w:val="center"/>
        <w:ind w:right="460"/>
        <w:spacing w:after="0"/>
        <w:rPr>
          <w:sz w:val="20"/>
          <w:szCs w:val="20"/>
          <w:color w:val="auto"/>
        </w:rPr>
      </w:pPr>
      <w:r>
        <w:rPr>
          <w:rFonts w:ascii="Arial" w:cs="Arial" w:eastAsia="Arial" w:hAnsi="Arial"/>
          <w:sz w:val="16"/>
          <w:szCs w:val="16"/>
          <w:i w:val="1"/>
          <w:iCs w:val="1"/>
          <w:color w:val="auto"/>
        </w:rPr>
        <w:t>(2.2%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187325</wp:posOffset>
            </wp:positionV>
            <wp:extent cx="216979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355" w:lineRule="exact"/>
        <w:rPr>
          <w:sz w:val="20"/>
          <w:szCs w:val="20"/>
          <w:color w:val="auto"/>
        </w:rPr>
      </w:pPr>
    </w:p>
    <w:p>
      <w:pPr>
        <w:jc w:val="center"/>
        <w:ind w:right="460"/>
        <w:spacing w:after="0"/>
        <w:rPr>
          <w:sz w:val="20"/>
          <w:szCs w:val="20"/>
          <w:color w:val="auto"/>
        </w:rPr>
      </w:pPr>
      <w:r>
        <w:rPr>
          <w:rFonts w:ascii="Arial" w:cs="Arial" w:eastAsia="Arial" w:hAnsi="Arial"/>
          <w:sz w:val="15"/>
          <w:szCs w:val="15"/>
          <w:b w:val="1"/>
          <w:bCs w:val="1"/>
          <w:color w:val="FFFFFF"/>
        </w:rPr>
        <w:t>First Lien Debt Investments (% FV)</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217805</wp:posOffset>
            </wp:positionV>
            <wp:extent cx="2169795"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460"/>
        <w:spacing w:after="0"/>
        <w:rPr>
          <w:sz w:val="20"/>
          <w:szCs w:val="20"/>
          <w:color w:val="auto"/>
        </w:rPr>
      </w:pPr>
      <w:r>
        <w:rPr>
          <w:rFonts w:ascii="Arial" w:cs="Arial" w:eastAsia="Arial" w:hAnsi="Arial"/>
          <w:sz w:val="15"/>
          <w:szCs w:val="15"/>
          <w:b w:val="1"/>
          <w:bCs w:val="1"/>
          <w:color w:val="FFFFFF"/>
        </w:rPr>
        <w:t>Secured Debt Investments (% FV)</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97.1%</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740" w:space="720"/>
            <w:col w:w="2960"/>
          </w:cols>
          <w:pgMar w:left="240" w:top="1104" w:right="239" w:bottom="1440" w:gutter="0" w:footer="0" w:header="0"/>
          <w:type w:val="continuous"/>
        </w:sectPr>
      </w:pPr>
    </w:p>
    <w:bookmarkStart w:id="5" w:name="page6"/>
    <w:bookmarkEnd w:id="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As of December 31, 2018, 99.7% of debt investments based on fair value in the portfolio bore interest at floating rates (when including investment specific hedges), with 93.4% of these subject to interest rate floors. The Company’s credit facilities also bear interest at floating rates. In connection with the Company’s Convertible Notes and other Notes, which bear interest at fixed rates, the Company entered into fixed-to-floating interest rate swaps in order to align the nature of the interest rates of its liabilities with its investment portfolio.</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2018 and September 30, 2018, the weighted average total yield of debt and income-producing securities at fair value (which includes interest income and amortization of fees and discounts) was 11.6% and 11.1%, respectively, and the weighted average total yield of debt and income-producing securities at amortized cost (which includes interest income and amortization of fees and discounts) was 11.7% and 11.3%, respectively.</w:t>
      </w:r>
    </w:p>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2018, 100% of the portfolio at fair value was meeting all payment and covenant requirements, and no investments were on non-accrual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FFFFFF"/>
        </w:rPr>
        <w:t>Weighted Average Portfolio Yields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-167640</wp:posOffset>
            </wp:positionV>
            <wp:extent cx="2169795" cy="668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Arial" w:cs="Arial" w:eastAsia="Arial" w:hAnsi="Arial"/>
                <w:sz w:val="16"/>
                <w:szCs w:val="16"/>
                <w:b w:val="1"/>
                <w:bCs w:val="1"/>
                <w:color w:val="auto"/>
              </w:rPr>
              <w:t>Yield at Fair Value: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11.6%</w:t>
            </w:r>
          </w:p>
        </w:tc>
      </w:tr>
      <w:tr>
        <w:trPr>
          <w:trHeight w:val="324"/>
        </w:trPr>
        <w:tc>
          <w:tcPr>
            <w:tcW w:w="2280" w:type="dxa"/>
            <w:vAlign w:val="bottom"/>
          </w:tcPr>
          <w:p>
            <w:pPr>
              <w:spacing w:after="0"/>
              <w:rPr>
                <w:sz w:val="20"/>
                <w:szCs w:val="20"/>
                <w:color w:val="auto"/>
              </w:rPr>
            </w:pPr>
            <w:r>
              <w:rPr>
                <w:rFonts w:ascii="Arial" w:cs="Arial" w:eastAsia="Arial" w:hAnsi="Arial"/>
                <w:sz w:val="16"/>
                <w:szCs w:val="16"/>
                <w:b w:val="1"/>
                <w:bCs w:val="1"/>
                <w:color w:val="auto"/>
              </w:rPr>
              <w:t>Yield at Amortized Cost: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580" w:space="500"/>
            <w:col w:w="3340"/>
          </w:cols>
          <w:pgMar w:left="240" w:top="868" w:right="239" w:bottom="1440" w:gutter="0" w:footer="0" w:header="0"/>
        </w:sectPr>
      </w:pPr>
    </w:p>
    <w:bookmarkStart w:id="6" w:name="page7"/>
    <w:bookmarkEnd w:id="6"/>
    <w:p>
      <w:pPr>
        <w:spacing w:after="0"/>
        <w:rPr>
          <w:sz w:val="20"/>
          <w:szCs w:val="20"/>
          <w:color w:val="auto"/>
        </w:rPr>
      </w:pPr>
      <w:r>
        <w:rPr>
          <w:rFonts w:ascii="Arial" w:cs="Arial" w:eastAsia="Arial" w:hAnsi="Arial"/>
          <w:sz w:val="21"/>
          <w:szCs w:val="21"/>
          <w:i w:val="1"/>
          <w:iCs w:val="1"/>
          <w:color w:val="FFFFFF"/>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Results of Operations for the Full Year and Quarter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years ended December 30, 2018 and 2017, investment income totaled $261.9 million and $210.9 million, respectively. The increase in investment income was primarily driven by an increase in the average size of the investment portfolio, an increase in prepayment fees, and an increase in other income.</w:t>
      </w:r>
    </w:p>
    <w:p>
      <w:pPr>
        <w:spacing w:after="0" w:line="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expenses totaled $114.6 million and $87.8 million for the years ended December 31, 2018 and 2017, respectively. This increase in net expenses was primarily driven by an increase in interest expense. This was due to an increase in the average debt outstanding, an increase in the average interest rate on the debt outstanding due to an increase in LIBOR, and a change in the mix of the Company’s debt funding 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quarters ended December 30, 2018 and 2017, investment income totaled $74.7 million and $48.8 million, respectively. The increase in investment income was primarily driven by an increase in the effective LIBOR on income producing investments, an increase in prepayment fees and accelerated amortization of upfront fees from unscheduled paydowns.</w:t>
      </w:r>
    </w:p>
    <w:p>
      <w:pPr>
        <w:spacing w:after="0" w:line="1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expenses totaled $29.7 million and $21.4 million for the quarters ended December 30, 2018 and 2017, respectively. This increase in net expenses was primarily due to an increase in interest expense following an increase in the average interest rate on the debt outstanding due to an increase in LIBOR, and higher management and incentive fees.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December 31, 2018, the Company had $10.6 million in cash and cash equivalents, including $7.3 million of restricted cash, total principal value of debt outstanding of $625.0 million, and $752.5 million of undrawn capacity on its revolving credit facility, subject to borrowing base and other limitations. The Company’s weighted average interest rate on debt outstanding was 4.5% and 4.3% for the quarters ended December 31, 2018 and September 30, 2018, respectively. Average debt to equity was 0.71x and 0.91x during the quarters ended December 31, 2018 and September 30,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80" w:right="60" w:hanging="272"/>
        <w:spacing w:after="0" w:line="238" w:lineRule="auto"/>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1"/>
        </w:trPr>
        <w:tc>
          <w:tcPr>
            <w:tcW w:w="1500" w:type="dxa"/>
            <w:vAlign w:val="bottom"/>
            <w:tcBorders>
              <w:left w:val="single" w:sz="8" w:color="003767"/>
            </w:tcBorders>
            <w:shd w:val="clear" w:color="auto" w:fill="003767"/>
          </w:tcPr>
          <w:p>
            <w:pPr>
              <w:spacing w:after="0"/>
              <w:rPr>
                <w:sz w:val="24"/>
                <w:szCs w:val="24"/>
                <w:color w:val="auto"/>
              </w:rPr>
            </w:pPr>
          </w:p>
        </w:tc>
        <w:tc>
          <w:tcPr>
            <w:tcW w:w="1920" w:type="dxa"/>
            <w:vAlign w:val="bottom"/>
            <w:tcBorders>
              <w:right w:val="single" w:sz="8" w:color="003767"/>
            </w:tcBorders>
            <w:shd w:val="clear" w:color="auto" w:fill="003767"/>
          </w:tcPr>
          <w:p>
            <w:pPr>
              <w:jc w:val="right"/>
              <w:ind w:right="1459"/>
              <w:spacing w:after="0"/>
              <w:rPr>
                <w:sz w:val="20"/>
                <w:szCs w:val="20"/>
                <w:color w:val="auto"/>
              </w:rPr>
            </w:pPr>
            <w:r>
              <w:rPr>
                <w:rFonts w:ascii="Arial" w:cs="Arial" w:eastAsia="Arial" w:hAnsi="Arial"/>
                <w:sz w:val="16"/>
                <w:szCs w:val="16"/>
                <w:b w:val="1"/>
                <w:bCs w:val="1"/>
                <w:color w:val="FFFFFF"/>
              </w:rPr>
              <w:t>2018</w:t>
            </w:r>
          </w:p>
        </w:tc>
      </w:tr>
      <w:tr>
        <w:trPr>
          <w:trHeight w:val="101"/>
        </w:trPr>
        <w:tc>
          <w:tcPr>
            <w:tcW w:w="1500" w:type="dxa"/>
            <w:vAlign w:val="bottom"/>
            <w:tcBorders>
              <w:left w:val="single" w:sz="8" w:color="003767"/>
            </w:tcBorders>
            <w:shd w:val="clear" w:color="auto" w:fill="003767"/>
          </w:tcPr>
          <w:p>
            <w:pPr>
              <w:spacing w:after="0"/>
              <w:rPr>
                <w:sz w:val="8"/>
                <w:szCs w:val="8"/>
                <w:color w:val="auto"/>
              </w:rPr>
            </w:pPr>
          </w:p>
        </w:tc>
        <w:tc>
          <w:tcPr>
            <w:tcW w:w="1920" w:type="dxa"/>
            <w:vAlign w:val="bottom"/>
            <w:tcBorders>
              <w:right w:val="single" w:sz="8" w:color="003767"/>
            </w:tcBorders>
            <w:shd w:val="clear" w:color="auto" w:fill="003767"/>
          </w:tcPr>
          <w:p>
            <w:pPr>
              <w:spacing w:after="0"/>
              <w:rPr>
                <w:sz w:val="8"/>
                <w:szCs w:val="8"/>
                <w:color w:val="auto"/>
              </w:rPr>
            </w:pPr>
          </w:p>
        </w:tc>
      </w:tr>
      <w:tr>
        <w:trPr>
          <w:trHeight w:val="270"/>
        </w:trPr>
        <w:tc>
          <w:tcPr>
            <w:tcW w:w="150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3"/>
              </w:rPr>
              <w:t>Investment Income:</w:t>
            </w:r>
          </w:p>
        </w:tc>
        <w:tc>
          <w:tcPr>
            <w:tcW w:w="1920" w:type="dxa"/>
            <w:vAlign w:val="bottom"/>
            <w:tcBorders>
              <w:right w:val="single" w:sz="8" w:color="003767"/>
            </w:tcBorders>
          </w:tcPr>
          <w:p>
            <w:pPr>
              <w:ind w:left="360"/>
              <w:spacing w:after="0"/>
              <w:rPr>
                <w:sz w:val="20"/>
                <w:szCs w:val="20"/>
                <w:color w:val="auto"/>
              </w:rPr>
            </w:pPr>
            <w:r>
              <w:rPr>
                <w:rFonts w:ascii="Arial" w:cs="Arial" w:eastAsia="Arial" w:hAnsi="Arial"/>
                <w:sz w:val="16"/>
                <w:szCs w:val="16"/>
                <w:b w:val="1"/>
                <w:bCs w:val="1"/>
                <w:color w:val="auto"/>
              </w:rPr>
              <w:t>$261.9MM</w:t>
            </w:r>
          </w:p>
        </w:tc>
      </w:tr>
      <w:tr>
        <w:trPr>
          <w:trHeight w:val="210"/>
        </w:trPr>
        <w:tc>
          <w:tcPr>
            <w:tcW w:w="150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Net Expenses:</w:t>
            </w:r>
          </w:p>
        </w:tc>
        <w:tc>
          <w:tcPr>
            <w:tcW w:w="1920" w:type="dxa"/>
            <w:vAlign w:val="bottom"/>
            <w:tcBorders>
              <w:right w:val="single" w:sz="8" w:color="003767"/>
            </w:tcBorders>
          </w:tcPr>
          <w:p>
            <w:pPr>
              <w:ind w:left="360"/>
              <w:spacing w:after="0"/>
              <w:rPr>
                <w:sz w:val="20"/>
                <w:szCs w:val="20"/>
                <w:color w:val="auto"/>
              </w:rPr>
            </w:pPr>
            <w:r>
              <w:rPr>
                <w:rFonts w:ascii="Arial" w:cs="Arial" w:eastAsia="Arial" w:hAnsi="Arial"/>
                <w:sz w:val="16"/>
                <w:szCs w:val="16"/>
                <w:b w:val="1"/>
                <w:bCs w:val="1"/>
                <w:color w:val="auto"/>
              </w:rPr>
              <w:t>$114.6MM</w:t>
            </w:r>
          </w:p>
        </w:tc>
      </w:tr>
      <w:tr>
        <w:trPr>
          <w:trHeight w:val="87"/>
        </w:trPr>
        <w:tc>
          <w:tcPr>
            <w:tcW w:w="1500" w:type="dxa"/>
            <w:vAlign w:val="bottom"/>
            <w:tcBorders>
              <w:left w:val="single" w:sz="8" w:color="003767"/>
              <w:bottom w:val="single" w:sz="8" w:color="003767"/>
            </w:tcBorders>
          </w:tcPr>
          <w:p>
            <w:pPr>
              <w:spacing w:after="0"/>
              <w:rPr>
                <w:sz w:val="7"/>
                <w:szCs w:val="7"/>
                <w:color w:val="auto"/>
              </w:rPr>
            </w:pPr>
          </w:p>
        </w:tc>
        <w:tc>
          <w:tcPr>
            <w:tcW w:w="1920" w:type="dxa"/>
            <w:vAlign w:val="bottom"/>
            <w:tcBorders>
              <w:bottom w:val="single" w:sz="8" w:color="003767"/>
              <w:right w:val="single" w:sz="8" w:color="003767"/>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1500" w:type="dxa"/>
            <w:vAlign w:val="bottom"/>
            <w:tcBorders>
              <w:left w:val="single" w:sz="8" w:color="003767"/>
            </w:tcBorders>
            <w:shd w:val="clear" w:color="auto" w:fill="003767"/>
          </w:tcPr>
          <w:p>
            <w:pPr>
              <w:spacing w:after="0"/>
              <w:rPr>
                <w:sz w:val="24"/>
                <w:szCs w:val="24"/>
                <w:color w:val="auto"/>
              </w:rPr>
            </w:pPr>
          </w:p>
        </w:tc>
        <w:tc>
          <w:tcPr>
            <w:tcW w:w="1920" w:type="dxa"/>
            <w:vAlign w:val="bottom"/>
            <w:tcBorders>
              <w:right w:val="single" w:sz="8" w:color="003767"/>
            </w:tcBorders>
            <w:shd w:val="clear" w:color="auto" w:fill="003767"/>
          </w:tcPr>
          <w:p>
            <w:pPr>
              <w:ind w:left="20"/>
              <w:spacing w:after="0"/>
              <w:rPr>
                <w:sz w:val="20"/>
                <w:szCs w:val="20"/>
                <w:color w:val="auto"/>
              </w:rPr>
            </w:pPr>
            <w:r>
              <w:rPr>
                <w:rFonts w:ascii="Arial" w:cs="Arial" w:eastAsia="Arial" w:hAnsi="Arial"/>
                <w:sz w:val="16"/>
                <w:szCs w:val="16"/>
                <w:b w:val="1"/>
                <w:bCs w:val="1"/>
                <w:color w:val="FFFFFF"/>
              </w:rPr>
              <w:t>4Q18</w:t>
            </w:r>
          </w:p>
        </w:tc>
      </w:tr>
      <w:tr>
        <w:trPr>
          <w:trHeight w:val="101"/>
        </w:trPr>
        <w:tc>
          <w:tcPr>
            <w:tcW w:w="1500" w:type="dxa"/>
            <w:vAlign w:val="bottom"/>
            <w:tcBorders>
              <w:left w:val="single" w:sz="8" w:color="003767"/>
            </w:tcBorders>
            <w:shd w:val="clear" w:color="auto" w:fill="003767"/>
          </w:tcPr>
          <w:p>
            <w:pPr>
              <w:spacing w:after="0"/>
              <w:rPr>
                <w:sz w:val="8"/>
                <w:szCs w:val="8"/>
                <w:color w:val="auto"/>
              </w:rPr>
            </w:pPr>
          </w:p>
        </w:tc>
        <w:tc>
          <w:tcPr>
            <w:tcW w:w="1920" w:type="dxa"/>
            <w:vAlign w:val="bottom"/>
            <w:tcBorders>
              <w:right w:val="single" w:sz="8" w:color="003767"/>
            </w:tcBorders>
            <w:shd w:val="clear" w:color="auto" w:fill="003767"/>
          </w:tcPr>
          <w:p>
            <w:pPr>
              <w:spacing w:after="0"/>
              <w:rPr>
                <w:sz w:val="8"/>
                <w:szCs w:val="8"/>
                <w:color w:val="auto"/>
              </w:rPr>
            </w:pPr>
          </w:p>
        </w:tc>
      </w:tr>
      <w:tr>
        <w:trPr>
          <w:trHeight w:val="270"/>
        </w:trPr>
        <w:tc>
          <w:tcPr>
            <w:tcW w:w="150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3"/>
              </w:rPr>
              <w:t>Investment Income:</w:t>
            </w:r>
          </w:p>
        </w:tc>
        <w:tc>
          <w:tcPr>
            <w:tcW w:w="1920" w:type="dxa"/>
            <w:vAlign w:val="bottom"/>
            <w:tcBorders>
              <w:right w:val="single" w:sz="8" w:color="003767"/>
            </w:tcBorders>
          </w:tcPr>
          <w:p>
            <w:pPr>
              <w:ind w:left="440"/>
              <w:spacing w:after="0"/>
              <w:rPr>
                <w:sz w:val="20"/>
                <w:szCs w:val="20"/>
                <w:color w:val="auto"/>
              </w:rPr>
            </w:pPr>
            <w:r>
              <w:rPr>
                <w:rFonts w:ascii="Arial" w:cs="Arial" w:eastAsia="Arial" w:hAnsi="Arial"/>
                <w:sz w:val="16"/>
                <w:szCs w:val="16"/>
                <w:b w:val="1"/>
                <w:bCs w:val="1"/>
                <w:color w:val="auto"/>
              </w:rPr>
              <w:t>$74.7MM</w:t>
            </w:r>
          </w:p>
        </w:tc>
      </w:tr>
      <w:tr>
        <w:trPr>
          <w:trHeight w:val="210"/>
        </w:trPr>
        <w:tc>
          <w:tcPr>
            <w:tcW w:w="150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Net Expenses:</w:t>
            </w:r>
          </w:p>
        </w:tc>
        <w:tc>
          <w:tcPr>
            <w:tcW w:w="1920" w:type="dxa"/>
            <w:vAlign w:val="bottom"/>
            <w:tcBorders>
              <w:right w:val="single" w:sz="8" w:color="003767"/>
            </w:tcBorders>
          </w:tcPr>
          <w:p>
            <w:pPr>
              <w:ind w:left="440"/>
              <w:spacing w:after="0"/>
              <w:rPr>
                <w:sz w:val="20"/>
                <w:szCs w:val="20"/>
                <w:color w:val="auto"/>
              </w:rPr>
            </w:pPr>
            <w:r>
              <w:rPr>
                <w:rFonts w:ascii="Arial" w:cs="Arial" w:eastAsia="Arial" w:hAnsi="Arial"/>
                <w:sz w:val="16"/>
                <w:szCs w:val="16"/>
                <w:b w:val="1"/>
                <w:bCs w:val="1"/>
                <w:color w:val="auto"/>
              </w:rPr>
              <w:t>$29.7MM</w:t>
            </w:r>
          </w:p>
        </w:tc>
      </w:tr>
      <w:tr>
        <w:trPr>
          <w:trHeight w:val="87"/>
        </w:trPr>
        <w:tc>
          <w:tcPr>
            <w:tcW w:w="1500" w:type="dxa"/>
            <w:vAlign w:val="bottom"/>
            <w:tcBorders>
              <w:left w:val="single" w:sz="8" w:color="003767"/>
              <w:bottom w:val="single" w:sz="8" w:color="003767"/>
            </w:tcBorders>
          </w:tcPr>
          <w:p>
            <w:pPr>
              <w:spacing w:after="0"/>
              <w:rPr>
                <w:sz w:val="7"/>
                <w:szCs w:val="7"/>
                <w:color w:val="auto"/>
              </w:rPr>
            </w:pPr>
          </w:p>
        </w:tc>
        <w:tc>
          <w:tcPr>
            <w:tcW w:w="1920" w:type="dxa"/>
            <w:vAlign w:val="bottom"/>
            <w:tcBorders>
              <w:bottom w:val="single" w:sz="8" w:color="003767"/>
              <w:right w:val="single" w:sz="8" w:color="003767"/>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1191895</wp:posOffset>
            </wp:positionV>
            <wp:extent cx="2169795"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Total Principal Debt Outstanding</w:t>
      </w:r>
    </w:p>
    <w:p>
      <w:pPr>
        <w:spacing w:after="0" w:line="167"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$625.0MM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303530</wp:posOffset>
            </wp:positionV>
            <wp:extent cx="2169795" cy="462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Available Liquidity</w:t>
      </w:r>
    </w:p>
    <w:p>
      <w:pPr>
        <w:spacing w:after="0" w:line="167"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$752.5MM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2169795" cy="754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75438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FFFFFF"/>
        </w:rPr>
        <w:t>Debt-to-Equity Ratio</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2120" w:type="dxa"/>
            <w:vAlign w:val="bottom"/>
          </w:tcPr>
          <w:p>
            <w:pPr>
              <w:spacing w:after="0"/>
              <w:rPr>
                <w:sz w:val="20"/>
                <w:szCs w:val="20"/>
                <w:color w:val="auto"/>
              </w:rPr>
            </w:pPr>
            <w:r>
              <w:rPr>
                <w:rFonts w:ascii="Arial" w:cs="Arial" w:eastAsia="Arial" w:hAnsi="Arial"/>
                <w:sz w:val="16"/>
                <w:szCs w:val="16"/>
                <w:b w:val="1"/>
                <w:bCs w:val="1"/>
                <w:color w:val="auto"/>
              </w:rPr>
              <w:t>4Q18 Quarter End:</w:t>
            </w:r>
          </w:p>
        </w:tc>
        <w:tc>
          <w:tcPr>
            <w:tcW w:w="1140" w:type="dxa"/>
            <w:vAlign w:val="bottom"/>
          </w:tcPr>
          <w:p>
            <w:pPr>
              <w:ind w:left="780"/>
              <w:spacing w:after="0"/>
              <w:rPr>
                <w:sz w:val="20"/>
                <w:szCs w:val="20"/>
                <w:color w:val="auto"/>
              </w:rPr>
            </w:pPr>
            <w:r>
              <w:rPr>
                <w:rFonts w:ascii="Arial" w:cs="Arial" w:eastAsia="Arial" w:hAnsi="Arial"/>
                <w:sz w:val="16"/>
                <w:szCs w:val="16"/>
                <w:b w:val="1"/>
                <w:bCs w:val="1"/>
                <w:color w:val="auto"/>
                <w:w w:val="84"/>
              </w:rPr>
              <w:t>0.59x</w:t>
            </w:r>
          </w:p>
        </w:tc>
      </w:tr>
      <w:tr>
        <w:trPr>
          <w:trHeight w:val="286"/>
        </w:trPr>
        <w:tc>
          <w:tcPr>
            <w:tcW w:w="2120" w:type="dxa"/>
            <w:vAlign w:val="bottom"/>
          </w:tcPr>
          <w:p>
            <w:pPr>
              <w:spacing w:after="0" w:line="286" w:lineRule="exact"/>
              <w:rPr>
                <w:sz w:val="20"/>
                <w:szCs w:val="20"/>
                <w:color w:val="auto"/>
              </w:rPr>
            </w:pPr>
            <w:r>
              <w:rPr>
                <w:rFonts w:ascii="Arial" w:cs="Arial" w:eastAsia="Arial" w:hAnsi="Arial"/>
                <w:sz w:val="16"/>
                <w:szCs w:val="16"/>
                <w:b w:val="1"/>
                <w:bCs w:val="1"/>
                <w:color w:val="auto"/>
              </w:rPr>
              <w:t>2018 Average</w:t>
            </w:r>
            <w:r>
              <w:rPr>
                <w:rFonts w:ascii="Arial" w:cs="Arial" w:eastAsia="Arial" w:hAnsi="Arial"/>
                <w:sz w:val="27"/>
                <w:szCs w:val="27"/>
                <w:b w:val="1"/>
                <w:bCs w:val="1"/>
                <w:color w:val="auto"/>
                <w:vertAlign w:val="superscript"/>
              </w:rPr>
              <w:t>(1)</w:t>
            </w:r>
            <w:r>
              <w:rPr>
                <w:rFonts w:ascii="Arial" w:cs="Arial" w:eastAsia="Arial" w:hAnsi="Arial"/>
                <w:sz w:val="16"/>
                <w:szCs w:val="16"/>
                <w:b w:val="1"/>
                <w:bCs w:val="1"/>
                <w:color w:val="auto"/>
              </w:rPr>
              <w:t>:</w:t>
            </w:r>
          </w:p>
        </w:tc>
        <w:tc>
          <w:tcPr>
            <w:tcW w:w="1140" w:type="dxa"/>
            <w:vAlign w:val="bottom"/>
          </w:tcPr>
          <w:p>
            <w:pPr>
              <w:ind w:left="780"/>
              <w:spacing w:after="0"/>
              <w:rPr>
                <w:sz w:val="20"/>
                <w:szCs w:val="20"/>
                <w:color w:val="auto"/>
              </w:rPr>
            </w:pPr>
            <w:r>
              <w:rPr>
                <w:rFonts w:ascii="Arial" w:cs="Arial" w:eastAsia="Arial" w:hAnsi="Arial"/>
                <w:sz w:val="16"/>
                <w:szCs w:val="16"/>
                <w:b w:val="1"/>
                <w:bCs w:val="1"/>
                <w:color w:val="auto"/>
                <w:w w:val="84"/>
              </w:rPr>
              <w:t>0.84x</w:t>
            </w:r>
          </w:p>
        </w:tc>
      </w:tr>
      <w:tr>
        <w:trPr>
          <w:trHeight w:val="363"/>
        </w:trPr>
        <w:tc>
          <w:tcPr>
            <w:tcW w:w="2120" w:type="dxa"/>
            <w:vAlign w:val="bottom"/>
          </w:tcPr>
          <w:p>
            <w:pPr>
              <w:spacing w:after="0"/>
              <w:rPr>
                <w:sz w:val="20"/>
                <w:szCs w:val="20"/>
                <w:color w:val="auto"/>
              </w:rPr>
            </w:pPr>
            <w:r>
              <w:rPr>
                <w:rFonts w:ascii="Arial" w:cs="Arial" w:eastAsia="Arial" w:hAnsi="Arial"/>
                <w:sz w:val="16"/>
                <w:szCs w:val="16"/>
                <w:b w:val="1"/>
                <w:bCs w:val="1"/>
                <w:color w:val="auto"/>
              </w:rPr>
              <w:t>4Q18 Average</w:t>
            </w:r>
            <w:r>
              <w:rPr>
                <w:rFonts w:ascii="Arial" w:cs="Arial" w:eastAsia="Arial" w:hAnsi="Arial"/>
                <w:sz w:val="27"/>
                <w:szCs w:val="27"/>
                <w:b w:val="1"/>
                <w:bCs w:val="1"/>
                <w:color w:val="auto"/>
                <w:vertAlign w:val="superscript"/>
              </w:rPr>
              <w:t>(1)</w:t>
            </w:r>
            <w:r>
              <w:rPr>
                <w:rFonts w:ascii="Arial" w:cs="Arial" w:eastAsia="Arial" w:hAnsi="Arial"/>
                <w:sz w:val="16"/>
                <w:szCs w:val="16"/>
                <w:b w:val="1"/>
                <w:bCs w:val="1"/>
                <w:color w:val="auto"/>
              </w:rPr>
              <w:t>:</w:t>
            </w:r>
          </w:p>
        </w:tc>
        <w:tc>
          <w:tcPr>
            <w:tcW w:w="1140" w:type="dxa"/>
            <w:vAlign w:val="bottom"/>
          </w:tcPr>
          <w:p>
            <w:pPr>
              <w:ind w:left="780"/>
              <w:spacing w:after="0"/>
              <w:rPr>
                <w:sz w:val="20"/>
                <w:szCs w:val="20"/>
                <w:color w:val="auto"/>
              </w:rPr>
            </w:pPr>
            <w:r>
              <w:rPr>
                <w:rFonts w:ascii="Arial" w:cs="Arial" w:eastAsia="Arial" w:hAnsi="Arial"/>
                <w:sz w:val="16"/>
                <w:szCs w:val="16"/>
                <w:b w:val="1"/>
                <w:bCs w:val="1"/>
                <w:color w:val="auto"/>
                <w:w w:val="84"/>
              </w:rPr>
              <w:t>0.71x</w:t>
            </w:r>
          </w:p>
        </w:tc>
      </w:tr>
    </w:tbl>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7600" w:space="400"/>
            <w:col w:w="3420"/>
          </w:cols>
          <w:pgMar w:left="240" w:top="1104"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 conference call to discuss the Company’s financial results will be held live at 8:30 a.m. Eastern Time on February 21, 2019. Please visit TSLX’s webcast link located on the Events &amp; Presentations page of the Investor Resources section of TSLX’s website http://www.tpgspecialtylending.com for a slide presentation that complements the Earnings Conference Call. Please visit the website to test your connection before the webcast.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6389804</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An archived replay will be available from approximately 12:00 p.m. Eastern Time on February 21 through February 28 via a webcast link located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TSLX’s website, and via the dial-in numbers listed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6389804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420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Highlights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(Amounts in millions, except per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2"/>
              </w:rPr>
              <w:t>December 31, 2018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September 30, 2018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1,981.9</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1,693.7</w:t>
            </w: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1,730.3</w:t>
            </w: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2,007.0</w:t>
            </w:r>
          </w:p>
        </w:tc>
        <w:tc>
          <w:tcPr>
            <w:tcW w:w="340" w:type="dxa"/>
            <w:vAlign w:val="bottom"/>
          </w:tcPr>
          <w:p>
            <w:pPr>
              <w:spacing w:after="0"/>
              <w:rPr>
                <w:sz w:val="19"/>
                <w:szCs w:val="19"/>
                <w:color w:val="auto"/>
              </w:rPr>
            </w:pP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1,720.2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3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0.12</w:t>
            </w: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19"/>
                <w:szCs w:val="19"/>
                <w:color w:val="auto"/>
              </w:rPr>
            </w:pP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Pro Forma Net Asset Value Per Share</w:t>
            </w:r>
            <w:r>
              <w:rPr>
                <w:rFonts w:ascii="Arial" w:cs="Arial" w:eastAsia="Arial" w:hAnsi="Arial"/>
                <w:sz w:val="15"/>
                <w:szCs w:val="15"/>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3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3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44.1</w:t>
            </w: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19"/>
                <w:szCs w:val="19"/>
                <w:color w:val="auto"/>
              </w:rPr>
            </w:pP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w w:val="90"/>
              </w:rPr>
              <w:t>Net Realized and Unrealized Gains (and Losses) Per Share $</w:t>
            </w:r>
          </w:p>
        </w:tc>
        <w:tc>
          <w:tcPr>
            <w:tcW w:w="1780" w:type="dxa"/>
            <w:vAlign w:val="bottom"/>
          </w:tcPr>
          <w:p>
            <w:pPr>
              <w:jc w:val="right"/>
              <w:spacing w:after="0"/>
              <w:rPr>
                <w:sz w:val="20"/>
                <w:szCs w:val="20"/>
                <w:color w:val="auto"/>
              </w:rPr>
            </w:pPr>
            <w:r>
              <w:rPr>
                <w:rFonts w:ascii="Arial" w:cs="Arial" w:eastAsia="Arial" w:hAnsi="Arial"/>
                <w:sz w:val="18"/>
                <w:szCs w:val="18"/>
                <w:color w:val="auto"/>
              </w:rPr>
              <w:t>(0.45)</w:t>
            </w: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0.07</w:t>
            </w:r>
          </w:p>
        </w:tc>
        <w:tc>
          <w:tcPr>
            <w:tcW w:w="340" w:type="dxa"/>
            <w:vAlign w:val="bottom"/>
          </w:tcPr>
          <w:p>
            <w:pPr>
              <w:spacing w:after="0"/>
              <w:rPr>
                <w:sz w:val="19"/>
                <w:szCs w:val="19"/>
                <w:color w:val="auto"/>
              </w:rPr>
            </w:pP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3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4"/>
              </w:rPr>
              <w:t>Annualized Return on Equity (Net Investment Income)</w:t>
            </w:r>
            <w:r>
              <w:rPr>
                <w:rFonts w:ascii="Arial" w:cs="Arial" w:eastAsia="Arial" w:hAnsi="Arial"/>
                <w:sz w:val="15"/>
                <w:szCs w:val="15"/>
                <w:color w:val="auto"/>
                <w:w w:val="94"/>
              </w:rPr>
              <w:t>(2)</w:t>
            </w:r>
          </w:p>
        </w:tc>
        <w:tc>
          <w:tcPr>
            <w:tcW w:w="180" w:type="dxa"/>
            <w:vAlign w:val="bottom"/>
          </w:tcPr>
          <w:p>
            <w:pPr>
              <w:spacing w:after="0"/>
              <w:rPr>
                <w:sz w:val="19"/>
                <w:szCs w:val="19"/>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Annualized Return on Equity (Net Income)</w:t>
            </w:r>
            <w:r>
              <w:rPr>
                <w:rFonts w:ascii="Arial" w:cs="Arial" w:eastAsia="Arial" w:hAnsi="Arial"/>
                <w:sz w:val="15"/>
                <w:szCs w:val="15"/>
                <w:color w:val="auto"/>
              </w:rPr>
              <w:t>(2)</w:t>
            </w:r>
          </w:p>
        </w:tc>
        <w:tc>
          <w:tcPr>
            <w:tcW w:w="18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w w:val="96"/>
              </w:rPr>
              <w:t>Weighted Average Yield of Debt and Income Producing</w:t>
            </w:r>
          </w:p>
        </w:tc>
        <w:tc>
          <w:tcPr>
            <w:tcW w:w="180" w:type="dxa"/>
            <w:vAlign w:val="bottom"/>
            <w:shd w:val="clear" w:color="auto" w:fill="CFF0FC"/>
          </w:tcPr>
          <w:p>
            <w:pPr>
              <w:spacing w:after="0"/>
              <w:rPr>
                <w:sz w:val="18"/>
                <w:szCs w:val="18"/>
                <w:color w:val="auto"/>
              </w:rPr>
            </w:pPr>
          </w:p>
        </w:tc>
        <w:tc>
          <w:tcPr>
            <w:tcW w:w="2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Securities at Fair Value</w:t>
            </w:r>
          </w:p>
        </w:tc>
        <w:tc>
          <w:tcPr>
            <w:tcW w:w="180" w:type="dxa"/>
            <w:vAlign w:val="bottom"/>
            <w:shd w:val="clear" w:color="auto" w:fill="CFF0FC"/>
          </w:tcPr>
          <w:p>
            <w:pPr>
              <w:spacing w:after="0"/>
              <w:rPr>
                <w:sz w:val="10"/>
                <w:szCs w:val="10"/>
                <w:color w:val="auto"/>
              </w:rPr>
            </w:pPr>
          </w:p>
        </w:tc>
        <w:tc>
          <w:tcPr>
            <w:tcW w:w="214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16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9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7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6"/>
              </w:rPr>
              <w:t>Weighted Average Yield of Debt and Income Producing</w:t>
            </w:r>
          </w:p>
        </w:tc>
        <w:tc>
          <w:tcPr>
            <w:tcW w:w="180" w:type="dxa"/>
            <w:vAlign w:val="bottom"/>
          </w:tcPr>
          <w:p>
            <w:pPr>
              <w:spacing w:after="0"/>
              <w:rPr>
                <w:sz w:val="18"/>
                <w:szCs w:val="18"/>
                <w:color w:val="auto"/>
              </w:rPr>
            </w:pPr>
          </w:p>
        </w:tc>
        <w:tc>
          <w:tcPr>
            <w:tcW w:w="2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22"/>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Securities at Amortized Cost</w:t>
            </w:r>
          </w:p>
        </w:tc>
        <w:tc>
          <w:tcPr>
            <w:tcW w:w="1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w w:val="93"/>
              </w:rPr>
              <w:t>Percentage of Debt Investment Commitments at Floating</w:t>
            </w:r>
          </w:p>
        </w:tc>
        <w:tc>
          <w:tcPr>
            <w:tcW w:w="180" w:type="dxa"/>
            <w:vAlign w:val="bottom"/>
            <w:shd w:val="clear" w:color="auto" w:fill="CFF0FC"/>
          </w:tcPr>
          <w:p>
            <w:pPr>
              <w:spacing w:after="0"/>
              <w:rPr>
                <w:sz w:val="18"/>
                <w:szCs w:val="18"/>
                <w:color w:val="auto"/>
              </w:rPr>
            </w:pPr>
          </w:p>
        </w:tc>
        <w:tc>
          <w:tcPr>
            <w:tcW w:w="2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99.7%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99.8%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 xml:space="preserve">Rates </w:t>
            </w:r>
            <w:r>
              <w:rPr>
                <w:rFonts w:ascii="Arial" w:cs="Arial" w:eastAsia="Arial" w:hAnsi="Arial"/>
                <w:sz w:val="15"/>
                <w:szCs w:val="15"/>
                <w:color w:val="auto"/>
              </w:rPr>
              <w:t>(3)</w:t>
            </w:r>
          </w:p>
        </w:tc>
        <w:tc>
          <w:tcPr>
            <w:tcW w:w="180" w:type="dxa"/>
            <w:vAlign w:val="bottom"/>
            <w:shd w:val="clear" w:color="auto" w:fill="CFF0FC"/>
          </w:tcPr>
          <w:p>
            <w:pPr>
              <w:spacing w:after="0"/>
              <w:rPr>
                <w:sz w:val="10"/>
                <w:szCs w:val="10"/>
                <w:color w:val="auto"/>
              </w:rPr>
            </w:pPr>
          </w:p>
        </w:tc>
        <w:tc>
          <w:tcPr>
            <w:tcW w:w="214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16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9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7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in the applicable period.</w:t>
      </w:r>
    </w:p>
    <w:p>
      <w:pPr>
        <w:ind w:left="420" w:hanging="412"/>
        <w:spacing w:after="0" w:line="221" w:lineRule="auto"/>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8"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Statements and Tables</w:t>
      </w:r>
    </w:p>
    <w:p>
      <w:pPr>
        <w:spacing w:after="0" w:line="243"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TPG Specialty Lending, Inc.</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Non-controlled, non-affiliated investments (amortized cost of $1,546,780 and $1,523,844, respectively)</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1,565,532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1,557,803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$84,602 and $0,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83,932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$85,018 and $162,406, respectively)</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135,920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Total investments at fair value (amortized cost of $1,716,400 and $1,686,250,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1,705,969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1,693,723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$7,303 and $3,150, respectively)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1,730,324</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1,720,238</w:t>
            </w:r>
          </w:p>
        </w:tc>
        <w:tc>
          <w:tcPr>
            <w:tcW w:w="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Debt (net of deferred financing costs of $15,508 and $11,770, respectively)</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608,007</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703,428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667,122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750,954</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65,501,897 and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40"/>
              <w:spacing w:after="0"/>
              <w:rPr>
                <w:sz w:val="20"/>
                <w:szCs w:val="20"/>
                <w:color w:val="auto"/>
              </w:rPr>
            </w:pPr>
            <w:r>
              <w:rPr>
                <w:rFonts w:ascii="Arial" w:cs="Arial" w:eastAsia="Arial" w:hAnsi="Arial"/>
                <w:sz w:val="18"/>
                <w:szCs w:val="18"/>
                <w:color w:val="auto"/>
              </w:rPr>
              <w:t>60,336,281 shares issued, respectively; and 65,412,817 and 60,247,201 shares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991,919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906,521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63,519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1,063,202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969,284</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1,730,324</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1,720,238</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5"/>
        </w:trPr>
        <w:tc>
          <w:tcPr>
            <w:tcW w:w="7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08"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TPG Specialty Lending,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69"/>
        </w:trPr>
        <w:tc>
          <w:tcPr>
            <w:tcW w:w="53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Income</w:t>
            </w:r>
          </w:p>
        </w:tc>
        <w:tc>
          <w:tcPr>
            <w:tcW w:w="6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Investment income from non-controlled, non-affiliated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from investments</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232,517</w:t>
            </w:r>
          </w:p>
        </w:tc>
        <w:tc>
          <w:tcPr>
            <w:tcW w:w="1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191,288</w:t>
            </w:r>
          </w:p>
        </w:tc>
        <w:tc>
          <w:tcPr>
            <w:tcW w:w="1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167,819</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Dividend income</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345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1,727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11,298</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9,617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12,685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40" w:type="dxa"/>
            <w:vAlign w:val="bottom"/>
          </w:tcPr>
          <w:p>
            <w:pPr>
              <w:ind w:left="500"/>
              <w:spacing w:after="0" w:line="156" w:lineRule="exact"/>
              <w:rPr>
                <w:sz w:val="20"/>
                <w:szCs w:val="20"/>
                <w:color w:val="auto"/>
              </w:rPr>
            </w:pPr>
            <w:r>
              <w:rPr>
                <w:rFonts w:ascii="Arial" w:cs="Arial" w:eastAsia="Arial" w:hAnsi="Arial"/>
                <w:sz w:val="15"/>
                <w:szCs w:val="15"/>
                <w:color w:val="auto"/>
              </w:rPr>
              <w:t>Total investment income from non-controlled, non-affiliated</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340" w:type="dxa"/>
            <w:vAlign w:val="bottom"/>
          </w:tcPr>
          <w:p>
            <w:pPr>
              <w:ind w:left="620"/>
              <w:spacing w:after="0"/>
              <w:rPr>
                <w:sz w:val="20"/>
                <w:szCs w:val="20"/>
                <w:color w:val="auto"/>
              </w:rPr>
            </w:pPr>
            <w:r>
              <w:rPr>
                <w:rFonts w:ascii="Arial" w:cs="Arial" w:eastAsia="Arial" w:hAnsi="Arial"/>
                <w:sz w:val="15"/>
                <w:szCs w:val="15"/>
                <w:color w:val="auto"/>
              </w:rPr>
              <w:t>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244,011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201,250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182,231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non-controlled,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3,652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398</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Pr>
          <w:p>
            <w:pPr>
              <w:ind w:left="500"/>
              <w:spacing w:after="0" w:line="169" w:lineRule="exact"/>
              <w:rPr>
                <w:sz w:val="20"/>
                <w:szCs w:val="20"/>
                <w:color w:val="auto"/>
              </w:rPr>
            </w:pPr>
            <w:r>
              <w:rPr>
                <w:rFonts w:ascii="Arial" w:cs="Arial" w:eastAsia="Arial" w:hAnsi="Arial"/>
                <w:sz w:val="15"/>
                <w:szCs w:val="15"/>
                <w:color w:val="auto"/>
              </w:rPr>
              <w:t>Total investment income from non-controlled, affiliated investments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4,050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13,763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9,443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9,975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investment income from controlled, affiliated investments</w:t>
            </w:r>
          </w:p>
        </w:tc>
        <w:tc>
          <w:tcPr>
            <w:tcW w:w="6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13,853</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9,647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10,179</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Total Investment Income</w:t>
            </w:r>
          </w:p>
        </w:tc>
        <w:tc>
          <w:tcPr>
            <w:tcW w:w="6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261,914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210,897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192,410</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b w:val="1"/>
                <w:bCs w:val="1"/>
                <w:color w:val="auto"/>
              </w:rPr>
              <w:t>Expenses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Interest</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42,761</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27,441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23,108</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Management fees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28,589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24,287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24,253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Incentive fees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30,515</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25,497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22,703</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Professional fees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7,208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5,431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8,446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Directors’ fees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general and administrative</w:t>
            </w:r>
          </w:p>
        </w:tc>
        <w:tc>
          <w:tcPr>
            <w:tcW w:w="6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5,226</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4,827</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4,382</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6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114,713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87,888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83,282</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color w:val="auto"/>
              </w:rPr>
              <w:t>Management and incentive fees waived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(430)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Net Expenses</w:t>
            </w:r>
          </w:p>
        </w:tc>
        <w:tc>
          <w:tcPr>
            <w:tcW w:w="6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114,650</w:t>
            </w: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87,803</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82,852</w:t>
            </w: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 Before Income Taxes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147,264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123,094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109,558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Income taxes, including excise taxes</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3,375</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2,835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2,225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143,889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120,259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107,333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Unrealized and Realized Gains (Losses)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Net change in unrealized gains (losses):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(15,207)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10,090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44,676</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Non-controlled, affiliated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5"/>
                <w:szCs w:val="15"/>
                <w:color w:val="auto"/>
              </w:rPr>
              <w:t>(670)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(2,028)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7,668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(10,994)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Translation of other assets and liabilities in foreign currencies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5,455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5"/>
                <w:szCs w:val="15"/>
                <w:color w:val="auto"/>
              </w:rPr>
              <w:t>(11,432)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5"/>
                <w:szCs w:val="15"/>
                <w:color w:val="auto"/>
              </w:rPr>
              <w:t>(3,547)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rate swaps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(1,701)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(1,031)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740"/>
              <w:spacing w:after="0"/>
              <w:rPr>
                <w:sz w:val="20"/>
                <w:szCs w:val="20"/>
                <w:color w:val="auto"/>
              </w:rPr>
            </w:pPr>
            <w:r>
              <w:rPr>
                <w:rFonts w:ascii="Arial" w:cs="Arial" w:eastAsia="Arial" w:hAnsi="Arial"/>
                <w:sz w:val="15"/>
                <w:szCs w:val="15"/>
                <w:color w:val="auto"/>
              </w:rPr>
              <w:t>Total net change in unrealized gains (losses)</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(14,151)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5,295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29,802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Realized gains (losses):</w:t>
            </w:r>
          </w:p>
        </w:tc>
        <w:tc>
          <w:tcPr>
            <w:tcW w:w="6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3,457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7,481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5"/>
                <w:szCs w:val="15"/>
                <w:color w:val="auto"/>
              </w:rPr>
              <w:t>(772)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(14,890)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(21,776)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Foreign currency transactions</w:t>
            </w:r>
          </w:p>
        </w:tc>
        <w:tc>
          <w:tcPr>
            <w:tcW w:w="6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712</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644</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net realized gains (losses)</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(10,721)</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(13,945)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(128)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1000"/>
              <w:spacing w:after="0"/>
              <w:rPr>
                <w:sz w:val="20"/>
                <w:szCs w:val="20"/>
                <w:color w:val="auto"/>
              </w:rPr>
            </w:pPr>
            <w:r>
              <w:rPr>
                <w:rFonts w:ascii="Arial" w:cs="Arial" w:eastAsia="Arial" w:hAnsi="Arial"/>
                <w:sz w:val="15"/>
                <w:szCs w:val="15"/>
                <w:b w:val="1"/>
                <w:bCs w:val="1"/>
                <w:color w:val="auto"/>
              </w:rPr>
              <w:t>Total Unrealized and Realized Gains (Losses)</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(24,872)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(8,650)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29,674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ind w:left="1000"/>
              <w:spacing w:after="0"/>
              <w:rPr>
                <w:sz w:val="20"/>
                <w:szCs w:val="20"/>
                <w:color w:val="auto"/>
              </w:rPr>
            </w:pPr>
            <w:r>
              <w:rPr>
                <w:rFonts w:ascii="Arial" w:cs="Arial" w:eastAsia="Arial" w:hAnsi="Arial"/>
                <w:sz w:val="15"/>
                <w:szCs w:val="15"/>
                <w:b w:val="1"/>
                <w:bCs w:val="1"/>
                <w:color w:val="auto"/>
              </w:rPr>
              <w:t>Increase in Net Assets Resulting from Operations</w:t>
            </w:r>
          </w:p>
        </w:tc>
        <w:tc>
          <w:tcPr>
            <w:tcW w:w="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vMerge w:val="continue"/>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119,017</w:t>
            </w:r>
          </w:p>
        </w:tc>
        <w:tc>
          <w:tcPr>
            <w:tcW w:w="1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111,609</w:t>
            </w:r>
          </w:p>
        </w:tc>
        <w:tc>
          <w:tcPr>
            <w:tcW w:w="1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4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137,007</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Earnings per common share—basic and diluted</w:t>
            </w:r>
          </w:p>
        </w:tc>
        <w:tc>
          <w:tcPr>
            <w:tcW w:w="6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40" w:type="dxa"/>
            <w:vAlign w:val="bottom"/>
            <w:vMerge w:val="continue"/>
          </w:tcPr>
          <w:p>
            <w:pPr>
              <w:spacing w:after="0"/>
              <w:rPr>
                <w:sz w:val="13"/>
                <w:szCs w:val="13"/>
                <w:color w:val="auto"/>
              </w:rPr>
            </w:pPr>
          </w:p>
        </w:tc>
        <w:tc>
          <w:tcPr>
            <w:tcW w:w="800" w:type="dxa"/>
            <w:vAlign w:val="bottom"/>
            <w:gridSpan w:val="2"/>
          </w:tcPr>
          <w:p>
            <w:pPr>
              <w:jc w:val="right"/>
              <w:ind w:right="80"/>
              <w:spacing w:after="0" w:line="156" w:lineRule="exact"/>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56" w:lineRule="exact"/>
              <w:rPr>
                <w:sz w:val="20"/>
                <w:szCs w:val="20"/>
                <w:color w:val="auto"/>
              </w:rPr>
            </w:pPr>
            <w:r>
              <w:rPr>
                <w:rFonts w:ascii="Arial" w:cs="Arial" w:eastAsia="Arial" w:hAnsi="Arial"/>
                <w:sz w:val="15"/>
                <w:szCs w:val="15"/>
                <w:color w:val="auto"/>
              </w:rPr>
              <w:t>1.86</w:t>
            </w:r>
          </w:p>
        </w:tc>
        <w:tc>
          <w:tcPr>
            <w:tcW w:w="180" w:type="dxa"/>
            <w:vAlign w:val="bottom"/>
          </w:tcPr>
          <w:p>
            <w:pPr>
              <w:spacing w:after="0"/>
              <w:rPr>
                <w:sz w:val="13"/>
                <w:szCs w:val="13"/>
                <w:color w:val="auto"/>
              </w:rPr>
            </w:pPr>
          </w:p>
        </w:tc>
        <w:tc>
          <w:tcPr>
            <w:tcW w:w="28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56" w:lineRule="exact"/>
              <w:rPr>
                <w:sz w:val="20"/>
                <w:szCs w:val="20"/>
                <w:color w:val="auto"/>
              </w:rPr>
            </w:pPr>
            <w:r>
              <w:rPr>
                <w:rFonts w:ascii="Arial" w:cs="Arial" w:eastAsia="Arial" w:hAnsi="Arial"/>
                <w:sz w:val="15"/>
                <w:szCs w:val="15"/>
                <w:color w:val="auto"/>
              </w:rPr>
              <w:t>1.86</w:t>
            </w:r>
          </w:p>
        </w:tc>
        <w:tc>
          <w:tcPr>
            <w:tcW w:w="160" w:type="dxa"/>
            <w:vAlign w:val="bottom"/>
          </w:tcPr>
          <w:p>
            <w:pPr>
              <w:spacing w:after="0"/>
              <w:rPr>
                <w:sz w:val="13"/>
                <w:szCs w:val="13"/>
                <w:color w:val="auto"/>
              </w:rPr>
            </w:pPr>
          </w:p>
        </w:tc>
        <w:tc>
          <w:tcPr>
            <w:tcW w:w="26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auto"/>
              </w:rPr>
              <w:t>2.34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3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Weighted average shares of common stock outstanding—basic and diluted</w:t>
            </w:r>
          </w:p>
        </w:tc>
        <w:tc>
          <w:tcPr>
            <w:tcW w:w="6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64,028,137</w:t>
            </w: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59,995,387</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58,591,380</w:t>
            </w: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65" w:right="219" w:bottom="1440" w:gutter="0" w:footer="0" w:header="0"/>
        </w:sectPr>
      </w:pPr>
    </w:p>
    <w:bookmarkStart w:id="11" w:name="page12"/>
    <w:bookmarkEnd w:id="11"/>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The Company’s investment activity for the years ended December 31, 2018, 2017, and 2016 is presented below (information presented herein is at par value unless otherwise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Borders>
              <w:bottom w:val="single" w:sz="8" w:color="CFF0FC"/>
            </w:tcBorders>
            <w:vMerge w:val="continue"/>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2,199.4</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2,251.5</w:t>
            </w:r>
          </w:p>
        </w:tc>
        <w:tc>
          <w:tcPr>
            <w:tcW w:w="20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4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908.2</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1,072.6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798.2</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958.9</w:t>
            </w:r>
          </w:p>
        </w:tc>
        <w:tc>
          <w:tcPr>
            <w:tcW w:w="20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816.9</w:t>
            </w:r>
          </w:p>
        </w:tc>
        <w:tc>
          <w:tcPr>
            <w:tcW w:w="28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702.5</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906.0</w:t>
            </w:r>
          </w:p>
        </w:tc>
        <w:tc>
          <w:tcPr>
            <w:tcW w:w="20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20"/>
                <w:szCs w:val="20"/>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20" w:right="460" w:hanging="412"/>
        <w:spacing w:after="0" w:line="253"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two fixed rate investments for the years ended December 31, 2018 and December 31, 2017 and one fixed rate investment for the year ended December 31, 2016 for which the Company entered into interest rate swap agreements to swap to floating rates.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About TPG Specialty Lending, Inc.</w:t>
      </w:r>
    </w:p>
    <w:p>
      <w:pPr>
        <w:spacing w:after="0" w:line="1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the global credit and credit-related investment firm partnered with TPG, with over $28 billion of assets under management as of September 30, 2018.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PClifford@tssp.com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2019-12-28T16:13:56Z</dcterms:created>
  <dcterms:modified xsi:type="dcterms:W3CDTF">2019-12-28T16:13:56Z</dcterms:modified>
</cp:coreProperties>
</file>