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66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81"/>
              <w:spacing w:after="0"/>
              <w:rPr>
                <w:sz w:val="20"/>
                <w:szCs w:val="20"/>
                <w:color w:val="auto"/>
              </w:rPr>
            </w:pPr>
            <w:r>
              <w:rPr>
                <w:rFonts w:ascii="Arial" w:cs="Arial" w:eastAsia="Arial" w:hAnsi="Arial"/>
                <w:sz w:val="18"/>
                <w:szCs w:val="18"/>
                <w:b w:val="1"/>
                <w:bCs w:val="1"/>
                <w:color w:val="auto"/>
                <w:w w:val="91"/>
              </w:rPr>
              <w:t>27-3380000</w:t>
            </w:r>
          </w:p>
        </w:tc>
      </w:tr>
      <w:tr>
        <w:trPr>
          <w:trHeight w:val="149"/>
        </w:trPr>
        <w:tc>
          <w:tcPr>
            <w:tcW w:w="366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2100 McKinney Avenue, Suite 1500</w:t>
            </w:r>
          </w:p>
        </w:tc>
        <w:tc>
          <w:tcPr>
            <w:tcW w:w="23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60" w:type="dxa"/>
            <w:vAlign w:val="bottom"/>
          </w:tcPr>
          <w:p>
            <w:pPr>
              <w:jc w:val="center"/>
              <w:ind w:right="39"/>
              <w:spacing w:after="0"/>
              <w:rPr>
                <w:sz w:val="20"/>
                <w:szCs w:val="20"/>
                <w:color w:val="auto"/>
              </w:rPr>
            </w:pPr>
            <w:r>
              <w:rPr>
                <w:rFonts w:ascii="Arial" w:cs="Arial" w:eastAsia="Arial" w:hAnsi="Arial"/>
                <w:sz w:val="18"/>
                <w:szCs w:val="18"/>
                <w:b w:val="1"/>
                <w:bCs w:val="1"/>
                <w:color w:val="auto"/>
                <w:w w:val="95"/>
              </w:rPr>
              <w:t>Dallas, TX</w:t>
            </w:r>
          </w:p>
        </w:tc>
        <w:tc>
          <w:tcPr>
            <w:tcW w:w="2360" w:type="dxa"/>
            <w:vAlign w:val="bottom"/>
          </w:tcPr>
          <w:p>
            <w:pPr>
              <w:spacing w:after="0"/>
              <w:rPr>
                <w:sz w:val="19"/>
                <w:szCs w:val="19"/>
                <w:color w:val="auto"/>
              </w:rPr>
            </w:pPr>
          </w:p>
        </w:tc>
        <w:tc>
          <w:tcPr>
            <w:tcW w:w="2780" w:type="dxa"/>
            <w:vAlign w:val="bottom"/>
          </w:tcPr>
          <w:p>
            <w:pPr>
              <w:jc w:val="right"/>
              <w:ind w:right="11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60" w:type="dxa"/>
            <w:vAlign w:val="bottom"/>
          </w:tcPr>
          <w:p>
            <w:pPr>
              <w:spacing w:after="0"/>
              <w:rPr>
                <w:sz w:val="16"/>
                <w:szCs w:val="16"/>
                <w:color w:val="auto"/>
              </w:rPr>
            </w:pPr>
          </w:p>
        </w:tc>
        <w:tc>
          <w:tcPr>
            <w:tcW w:w="2780" w:type="dxa"/>
            <w:vAlign w:val="bottom"/>
          </w:tcPr>
          <w:p>
            <w:pPr>
              <w:jc w:val="center"/>
              <w:ind w:right="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183"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 – Creation of a Direct Financial Obligation or an Obligation Under an Off-Balance Sheet Arrangement of a Registrant</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February 5, 2020, TPG Specialty Lending, Inc. (the “Company”) issued an additional $50,000,000 aggregate principal amount of its 3.875% notes due 2024 (the “Reopened Notes”). The Reopened Notes were issued as additional notes under the Second Supplemental Indenture, dated November 1, 2019 (the “Second Supplemental Indenture”), between the Company and Wells Fargo Bank, National Association (the “Trustee”), to the Indenture, dated as of January 22, 2018, between the Company and the Trustee (the “Base Indenture”; and together with the Second Supplemental Indenture, the “Indenture”), pursuant to which the Company issued $300,000,000 aggregate principal amount of its 3.875% notes due 2024 on November 1, 2019 (the “Existing Notes,” and together with the Reopened Notes, the “Notes”). The Reopened Notes are a further issuance of, are fungible with, rank equally in right of payment with and have the same terms (other than the issue date and the public offering price) as the Existing Notes.</w:t>
      </w:r>
    </w:p>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Reopened Notes will mature on November 1, 2024 and may be redeemed in whole or in part at the Company’s option at any time at the redemption prices set forth in the Second Supplemental Indenture. The Reopened Notes bear interest at a rate of 3.875% per year payable semiannually on May 1 and November 1 of each year, commencing on May 1, 2020. The Reopened Notes are direct unsecured obligations of the Company.</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Reopened Notes were issued at a price to the public of 102.075% of their principal amount. The Company expects to use the net proceeds of this offering to pay down debt under its revolving credit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 and to provide financial information to the holders of the Notes and the Trustee if the Company should no longer be subject to the reporting requirements under the Securities Exchange Act of 1934. These covenants are subject to important limitations and exceptions that are described in the Indenture.</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addition, upon the occurrence of a change of control repurchase event (which involves the occurrence of both a change of control and a below investment grade rating of the Notes by Fitch Ratings, Inc., Moody’s Investor Service and S&amp;P Global Ratings), the Company will be required to make an offer to purchase the Notes at a price equal to 100% of the principal amount plus accrued and unpaid interest to the date of purchase.</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Reopened Notes were offered and sold pursuant to the Registration Statement on Form N-2 (File No. 333-231271), the preliminary prospectus supplement filed with the Securities and Exchange Commission on January 29, 2020 and the pricing term sheet filed with the Securities and Exchange Commission on January 29, 2020. The transaction closed on February 5, 2020.</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foregoing descriptions of the Base Indenture, Second Supplemental Indenture and the Reopened Notes do not purport to be complete and are qualified in their entirety by reference to the full text of the Base Indenture, Second Supplemental Indenture and the form of Note, respectively, each filed as exhibits hereto and incorporated by reference herein.</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 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340" w:type="dxa"/>
            <w:vAlign w:val="bottom"/>
            <w:gridSpan w:val="6"/>
            <w:vMerge w:val="restart"/>
          </w:tcPr>
          <w:p>
            <w:pPr>
              <w:ind w:left="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634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3"/>
                <w:szCs w:val="23"/>
                <w:color w:val="auto"/>
              </w:rPr>
            </w:pPr>
          </w:p>
        </w:tc>
        <w:tc>
          <w:tcPr>
            <w:tcW w:w="9760" w:type="dxa"/>
            <w:vAlign w:val="bottom"/>
            <w:tcBorders>
              <w:bottom w:val="single" w:sz="8" w:color="0000EE"/>
            </w:tcBorders>
            <w:gridSpan w:val="9"/>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Indenture, dated as of January 22, 2018, between TPG Specialty Lending, Inc. and Wells Fargo Bank, National Association, as Trustee</w:t>
              </w:r>
            </w:hyperlink>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(incorporated by reference to Exhibit 4.1 to the Company’s Current Report on Form 8-K filed on January 22, 2018)</w:t>
              </w:r>
            </w:hyperlink>
          </w:p>
        </w:tc>
        <w:tc>
          <w:tcPr>
            <w:tcW w:w="16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760" w:type="dxa"/>
            <w:vAlign w:val="bottom"/>
            <w:tcBorders>
              <w:bottom w:val="single" w:sz="8" w:color="0000EE"/>
            </w:tcBorders>
            <w:gridSpan w:val="9"/>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Second Supplemental Indenture, dated as of November 1, 2019, between TPG Specialty Lending, Inc. and Wells Fargo Bank, National</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EE"/>
                <w:w w:val="94"/>
              </w:rPr>
            </w:pPr>
            <w:hyperlink r:id="rId20">
              <w:r>
                <w:rPr>
                  <w:rFonts w:ascii="Arial" w:cs="Arial" w:eastAsia="Arial" w:hAnsi="Arial"/>
                  <w:sz w:val="18"/>
                  <w:szCs w:val="18"/>
                  <w:color w:val="0000EE"/>
                  <w:w w:val="94"/>
                </w:rPr>
                <w:t>Association, as Trustee (incorporated by reference to Exhibit 4.2 to the Company’s Current Report on Form 8-K filed on November 1,</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2019)</w:t>
              </w:r>
            </w:hyperlink>
          </w:p>
        </w:tc>
        <w:tc>
          <w:tcPr>
            <w:tcW w:w="226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w w:val="98"/>
              </w:rPr>
            </w:pPr>
            <w:hyperlink r:id="rId20">
              <w:r>
                <w:rPr>
                  <w:rFonts w:ascii="Arial" w:cs="Arial" w:eastAsia="Arial" w:hAnsi="Arial"/>
                  <w:sz w:val="18"/>
                  <w:szCs w:val="18"/>
                  <w:color w:val="0000EE"/>
                  <w:w w:val="98"/>
                </w:rPr>
                <w:t>Form of 3.875% Note Due 2024 (incorporated by reference to Exhibit 4.3 to the Company’s Current Report on Form 8-K filed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November 1, 2019)</w:t>
              </w:r>
            </w:hyperlink>
          </w:p>
        </w:tc>
        <w:tc>
          <w:tcPr>
            <w:tcW w:w="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Opinion of Cleary Gottlieb Steen &amp; Hamilton LLP</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60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Consent of Cleary Gottlieb Steen &amp; Hamilton LLP (included as part of Exhibit 5.1)</w:t>
              </w:r>
            </w:hyperlink>
          </w:p>
        </w:tc>
        <w:tc>
          <w:tcPr>
            <w:tcW w:w="3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TPG SPECIALTY LENDING, INC.</w:t>
            </w:r>
          </w:p>
        </w:tc>
      </w:tr>
      <w:tr>
        <w:trPr>
          <w:trHeight w:val="230"/>
        </w:trPr>
        <w:tc>
          <w:tcPr>
            <w:tcW w:w="366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(Registrant)</w:t>
            </w:r>
          </w:p>
        </w:tc>
      </w:tr>
      <w:tr>
        <w:trPr>
          <w:trHeight w:val="446"/>
        </w:trPr>
        <w:tc>
          <w:tcPr>
            <w:tcW w:w="3660" w:type="dxa"/>
            <w:vAlign w:val="bottom"/>
          </w:tcPr>
          <w:p>
            <w:pPr>
              <w:spacing w:after="0"/>
              <w:rPr>
                <w:sz w:val="20"/>
                <w:szCs w:val="20"/>
                <w:color w:val="auto"/>
              </w:rPr>
            </w:pPr>
            <w:r>
              <w:rPr>
                <w:rFonts w:ascii="Arial" w:cs="Arial" w:eastAsia="Arial" w:hAnsi="Arial"/>
                <w:sz w:val="18"/>
                <w:szCs w:val="18"/>
                <w:color w:val="auto"/>
              </w:rPr>
              <w:t>Date: February 5, 2020</w:t>
            </w: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Ian Simmonds</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4"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172085</wp:posOffset>
            </wp:positionV>
            <wp:extent cx="5925820" cy="2366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92582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have acted as counsel to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offering pursuant to a registration statement on Form N-2 (No. 333-231271), as amended as of January 29, 2020 for purposes of Rule 430C(a)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so amended, including the documents incorporated by reference therein, but excluding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(d)(3),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prospectus, dated May 7, 2019 (including the documents incorporated by reference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as supplemented by the prospectus supplement, dated January 29, 2020 (including the documents incorporated by reference therein,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of $50,000,000 aggregate principal amount of 3.875%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2024 (the “</w:t>
      </w:r>
      <w:r>
        <w:rPr>
          <w:rFonts w:ascii="Arial" w:cs="Arial" w:eastAsia="Arial" w:hAnsi="Arial"/>
          <w:sz w:val="17"/>
          <w:szCs w:val="17"/>
          <w:u w:val="single" w:color="auto"/>
          <w:color w:val="auto"/>
        </w:rPr>
        <w:t>Securities</w:t>
      </w:r>
      <w:r>
        <w:rPr>
          <w:rFonts w:ascii="Arial" w:cs="Arial" w:eastAsia="Arial" w:hAnsi="Arial"/>
          <w:sz w:val="17"/>
          <w:szCs w:val="17"/>
          <w:color w:val="auto"/>
        </w:rPr>
        <w:t>”). The Securities were issued pursuant to an indenture dated as of January 22, 2018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between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and Wells Fargo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as supplemented with respect to the Securities by the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thereto dated as of November 1, 2019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the Company and the Trustee. The Securities constitute a further issuance of, and will form a single series with, the $300,000,000 in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3.875% Notes due 2024 issued by the Company on 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100330</wp:posOffset>
            </wp:positionV>
            <wp:extent cx="3627755"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627755" cy="11176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2</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131" w:lineRule="exact"/>
        <w:rPr>
          <w:sz w:val="20"/>
          <w:szCs w:val="20"/>
          <w:color w:val="auto"/>
        </w:rPr>
      </w:pPr>
    </w:p>
    <w:p>
      <w:pPr>
        <w:ind w:left="1420" w:hanging="430"/>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30" w:lineRule="exact"/>
        <w:rPr>
          <w:rFonts w:ascii="Arial" w:cs="Arial" w:eastAsia="Arial" w:hAnsi="Arial"/>
          <w:sz w:val="18"/>
          <w:szCs w:val="18"/>
          <w:color w:val="auto"/>
        </w:rPr>
      </w:pPr>
    </w:p>
    <w:p>
      <w:pPr>
        <w:ind w:left="1420" w:right="20" w:hanging="430"/>
        <w:spacing w:after="0" w:line="27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January 29, 2020, among the Company, TSL Advisers, LLC and the several underwriters named in Schedule 1 thereto;</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copy of the Securities in global form as executed by the Company and authenticated by the Trustee;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executed copies of the Base Indenture and the Supplemental Indenture;</w:t>
      </w:r>
    </w:p>
    <w:p>
      <w:pPr>
        <w:spacing w:after="0" w:line="130" w:lineRule="exact"/>
        <w:rPr>
          <w:rFonts w:ascii="Arial" w:cs="Arial" w:eastAsia="Arial" w:hAnsi="Arial"/>
          <w:sz w:val="18"/>
          <w:szCs w:val="18"/>
          <w:color w:val="auto"/>
        </w:rPr>
      </w:pPr>
    </w:p>
    <w:p>
      <w:pPr>
        <w:ind w:left="1420" w:right="140" w:hanging="430"/>
        <w:spacing w:after="0" w:line="27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executed copy of the Unanimous Written Consent of the Board of Directors of the Company, dated January 29, 2020, approving the offering of the Securities; and</w:t>
      </w:r>
    </w:p>
    <w:p>
      <w:pPr>
        <w:spacing w:after="0" w:line="75" w:lineRule="exact"/>
        <w:rPr>
          <w:rFonts w:ascii="Arial" w:cs="Arial" w:eastAsia="Arial" w:hAnsi="Arial"/>
          <w:sz w:val="18"/>
          <w:szCs w:val="18"/>
          <w:color w:val="auto"/>
        </w:rPr>
      </w:pPr>
    </w:p>
    <w:p>
      <w:pPr>
        <w:ind w:left="1420" w:right="40" w:hanging="430"/>
        <w:spacing w:after="0" w:line="264"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the Company’s Amended and Restated Bylaws, certified by the Secretary of the Company.</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24" w:lineRule="exact"/>
        <w:rPr>
          <w:sz w:val="20"/>
          <w:szCs w:val="20"/>
          <w:color w:val="auto"/>
        </w:rPr>
      </w:pPr>
    </w:p>
    <w:p>
      <w:pPr>
        <w:ind w:right="320" w:firstLine="992"/>
        <w:spacing w:after="0" w:line="264"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1" w:lineRule="exact"/>
        <w:rPr>
          <w:sz w:val="20"/>
          <w:szCs w:val="20"/>
          <w:color w:val="auto"/>
        </w:rPr>
      </w:pPr>
    </w:p>
    <w:p>
      <w:pPr>
        <w:ind w:right="220" w:firstLine="992"/>
        <w:spacing w:after="0" w:line="27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are the valid, binding and enforceable obligations of the Company, entitled to the benefits of the Indenture.</w:t>
      </w:r>
    </w:p>
    <w:p>
      <w:pPr>
        <w:spacing w:after="0" w:line="170" w:lineRule="exact"/>
        <w:rPr>
          <w:sz w:val="20"/>
          <w:szCs w:val="20"/>
          <w:color w:val="auto"/>
        </w:rPr>
      </w:pPr>
    </w:p>
    <w:p>
      <w:pPr>
        <w:ind w:firstLine="992"/>
        <w:spacing w:after="0" w:line="271" w:lineRule="auto"/>
        <w:rPr>
          <w:sz w:val="20"/>
          <w:szCs w:val="20"/>
          <w:color w:val="auto"/>
        </w:rPr>
      </w:pPr>
      <w:r>
        <w:rPr>
          <w:rFonts w:ascii="Arial" w:cs="Arial" w:eastAsia="Arial" w:hAnsi="Arial"/>
          <w:sz w:val="17"/>
          <w:szCs w:val="17"/>
          <w:color w:val="auto"/>
        </w:rPr>
        <w:t>Insofar as the foregoing opinion relates to the valid existence and good standing of the Company or any subsidiary of the Company, it is based solely on confirmation from public officials. Insofar as the foregoing opinion relates to the validity, binding effect or enforceability of any agreement or obligation of the Company, (x)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(y) we express no opinion with respect to the effect of any mandatory choice of law rules and (z) such opinion is subject to applicable bankruptcy, insolvency and similar laws affecting creditors’ rights generally and to general principles of equity.</w:t>
      </w:r>
    </w:p>
    <w:p>
      <w:pPr>
        <w:sectPr>
          <w:pgSz w:w="11900" w:h="16838" w:orient="portrait"/>
          <w:cols w:equalWidth="0" w:num="1">
            <w:col w:w="11000"/>
          </w:cols>
          <w:pgMar w:left="440" w:top="422"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3</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foregoing opinion is limited to the law of the State of New York and the General Corporation Law of the State of Delaware.</w:t>
      </w:r>
    </w:p>
    <w:p>
      <w:pPr>
        <w:spacing w:after="0" w:line="237" w:lineRule="exact"/>
        <w:rPr>
          <w:sz w:val="20"/>
          <w:szCs w:val="20"/>
          <w:color w:val="auto"/>
        </w:rPr>
      </w:pPr>
    </w:p>
    <w:p>
      <w:pPr>
        <w:jc w:val="both"/>
        <w:ind w:firstLine="992"/>
        <w:spacing w:after="0" w:line="279" w:lineRule="auto"/>
        <w:rPr>
          <w:sz w:val="20"/>
          <w:szCs w:val="20"/>
          <w:color w:val="auto"/>
        </w:rPr>
      </w:pPr>
      <w:r>
        <w:rPr>
          <w:rFonts w:ascii="Arial" w:cs="Arial" w:eastAsia="Arial" w:hAnsi="Arial"/>
          <w:sz w:val="17"/>
          <w:szCs w:val="17"/>
          <w:color w:val="auto"/>
        </w:rPr>
        <w:t>We hereby consent to the use of our name in the Prospectus Supplement and the Prospectus under the headings “Legal Matters” as counsel for the Company that has passed on the validity of the Securities, and to the use of this opinion as Exhibit 5.1 to the Company’s Current Report on Form 8-K dated February 5, 2020. In giving this consent, we do not thereby admit that we are within the category of persons whose consent is required under Section 7 of the Securities Act or the rules and regulations of the Securities and Exchange Commission thereunder.</w:t>
      </w:r>
    </w:p>
    <w:p>
      <w:pPr>
        <w:spacing w:after="0" w:line="171" w:lineRule="exact"/>
        <w:rPr>
          <w:sz w:val="20"/>
          <w:szCs w:val="20"/>
          <w:color w:val="auto"/>
        </w:rPr>
      </w:pPr>
    </w:p>
    <w:p>
      <w:pPr>
        <w:jc w:val="both"/>
        <w:ind w:right="60" w:firstLine="992"/>
        <w:spacing w:after="0" w:line="264" w:lineRule="auto"/>
        <w:rPr>
          <w:sz w:val="20"/>
          <w:szCs w:val="20"/>
          <w:color w:val="auto"/>
        </w:rPr>
      </w:pPr>
      <w:r>
        <w:rPr>
          <w:rFonts w:ascii="Arial" w:cs="Arial" w:eastAsia="Arial" w:hAnsi="Arial"/>
          <w:sz w:val="18"/>
          <w:szCs w:val="18"/>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CLEARY GOTTLIEB STEEN &amp; HAMILTON LLP</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Adam E. Fleisher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Adam E. Fleisher,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sectPr>
      <w:pgSz w:w="11900" w:h="16838" w:orient="portrait"/>
      <w:cols w:equalWidth="0" w:num="1">
        <w:col w:w="10980"/>
      </w:cols>
      <w:pgMar w:left="440" w:top="42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9" Type="http://schemas.openxmlformats.org/officeDocument/2006/relationships/hyperlink" Target="http://www.sec.gov/Archives/edgar/data/1508655/000119312518016134/d428064dex41.htm" TargetMode="External"/><Relationship Id="rId20" Type="http://schemas.openxmlformats.org/officeDocument/2006/relationships/hyperlink" Target="http://www.sec.gov/Archives/edgar/data/1508655/000119312519281943/d82854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2020-02-05T15:11:56Z</dcterms:created>
  <dcterms:modified xsi:type="dcterms:W3CDTF">2020-02-05T15:11:56Z</dcterms:modified>
</cp:coreProperties>
</file>