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12, 2016</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Securities Act File No. 333-210524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N-2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6"/>
          <w:szCs w:val="16"/>
          <w:b w:val="1"/>
          <w:bCs w:val="1"/>
          <w:i w:val="1"/>
          <w:iCs w:val="1"/>
          <w:color w:val="auto"/>
        </w:rPr>
        <w:t>UNDER</w:t>
      </w:r>
    </w:p>
    <w:tbl>
      <w:tblPr>
        <w:tblLayout w:type="fixed"/>
        <w:tblInd w:w="4380" w:type="dxa"/>
        <w:tblCellMar>
          <w:top w:w="0" w:type="dxa"/>
          <w:left w:w="0" w:type="dxa"/>
          <w:bottom w:w="0" w:type="dxa"/>
          <w:right w:w="0" w:type="dxa"/>
        </w:tblCellMar>
      </w:tblPr>
      <w:tr>
        <w:trPr>
          <w:trHeight w:val="177"/>
        </w:trPr>
        <w:tc>
          <w:tcPr>
            <w:tcW w:w="4600" w:type="dxa"/>
            <w:vAlign w:val="bottom"/>
          </w:tcPr>
          <w:p>
            <w:pPr>
              <w:jc w:val="center"/>
              <w:ind w:right="2219"/>
              <w:spacing w:after="0" w:line="178" w:lineRule="exact"/>
              <w:rPr>
                <w:sz w:val="20"/>
                <w:szCs w:val="20"/>
                <w:color w:val="auto"/>
              </w:rPr>
            </w:pPr>
            <w:r>
              <w:rPr>
                <w:rFonts w:ascii="Arial" w:cs="Arial" w:eastAsia="Arial" w:hAnsi="Arial"/>
                <w:sz w:val="16"/>
                <w:szCs w:val="16"/>
                <w:b w:val="1"/>
                <w:bCs w:val="1"/>
                <w:i w:val="1"/>
                <w:iCs w:val="1"/>
                <w:color w:val="auto"/>
                <w:w w:val="97"/>
              </w:rPr>
              <w:t>THE SECURITIES ACT OF 1933</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4600" w:type="dxa"/>
            <w:vAlign w:val="bottom"/>
          </w:tcPr>
          <w:p>
            <w:pPr>
              <w:jc w:val="center"/>
              <w:ind w:right="2199"/>
              <w:spacing w:after="0"/>
              <w:rPr>
                <w:sz w:val="20"/>
                <w:szCs w:val="20"/>
                <w:color w:val="auto"/>
              </w:rPr>
            </w:pPr>
            <w:r>
              <w:rPr>
                <w:rFonts w:ascii="Arial" w:cs="Arial" w:eastAsia="Arial" w:hAnsi="Arial"/>
                <w:sz w:val="16"/>
                <w:szCs w:val="16"/>
                <w:b w:val="1"/>
                <w:bCs w:val="1"/>
                <w:color w:val="auto"/>
                <w:w w:val="92"/>
              </w:rPr>
              <w:t>Pre-Effective Amendment No. 1</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600" w:type="dxa"/>
            <w:vAlign w:val="bottom"/>
          </w:tcPr>
          <w:p>
            <w:pPr>
              <w:jc w:val="center"/>
              <w:ind w:right="2219"/>
              <w:spacing w:after="0"/>
              <w:rPr>
                <w:sz w:val="20"/>
                <w:szCs w:val="20"/>
                <w:color w:val="auto"/>
              </w:rPr>
            </w:pPr>
            <w:r>
              <w:rPr>
                <w:rFonts w:ascii="Arial" w:cs="Arial" w:eastAsia="Arial" w:hAnsi="Arial"/>
                <w:sz w:val="16"/>
                <w:szCs w:val="16"/>
                <w:b w:val="1"/>
                <w:bCs w:val="1"/>
                <w:color w:val="auto"/>
                <w:w w:val="91"/>
              </w:rPr>
              <w:t>Post-Effective Amendment No.</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Commerce Street, Suite 3300</w:t>
      </w:r>
    </w:p>
    <w:p>
      <w:pPr>
        <w:jc w:val="center"/>
        <w:spacing w:after="0" w:line="223" w:lineRule="auto"/>
        <w:rPr>
          <w:sz w:val="20"/>
          <w:szCs w:val="20"/>
          <w:color w:val="auto"/>
        </w:rPr>
      </w:pPr>
      <w:r>
        <w:rPr>
          <w:rFonts w:ascii="Arial" w:cs="Arial" w:eastAsia="Arial" w:hAnsi="Arial"/>
          <w:sz w:val="14"/>
          <w:szCs w:val="14"/>
          <w:b w:val="1"/>
          <w:bCs w:val="1"/>
          <w:color w:val="auto"/>
        </w:rPr>
        <w:t>Fort Worth, TX 76102</w:t>
      </w:r>
    </w:p>
    <w:p>
      <w:pPr>
        <w:jc w:val="center"/>
        <w:spacing w:after="0" w:line="222"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1" w:lineRule="auto"/>
        <w:rPr>
          <w:sz w:val="20"/>
          <w:szCs w:val="20"/>
          <w:color w:val="auto"/>
        </w:rPr>
      </w:pPr>
      <w:r>
        <w:rPr>
          <w:rFonts w:ascii="Arial" w:cs="Arial" w:eastAsia="Arial" w:hAnsi="Arial"/>
          <w:sz w:val="14"/>
          <w:szCs w:val="14"/>
          <w:b w:val="1"/>
          <w:bCs w:val="1"/>
          <w:color w:val="auto"/>
        </w:rPr>
        <w:t>(817) 871-4000</w:t>
      </w:r>
    </w:p>
    <w:p>
      <w:pPr>
        <w:jc w:val="center"/>
        <w:spacing w:after="0" w:line="222"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line="221" w:lineRule="auto"/>
        <w:rPr>
          <w:sz w:val="20"/>
          <w:szCs w:val="20"/>
          <w:color w:val="auto"/>
        </w:rPr>
      </w:pPr>
      <w:r>
        <w:rPr>
          <w:rFonts w:ascii="Arial" w:cs="Arial" w:eastAsia="Arial" w:hAnsi="Arial"/>
          <w:sz w:val="14"/>
          <w:szCs w:val="14"/>
          <w:b w:val="1"/>
          <w:bCs w:val="1"/>
          <w:color w:val="auto"/>
        </w:rPr>
        <w:t>David Stiepleman</w:t>
      </w:r>
    </w:p>
    <w:p>
      <w:pPr>
        <w:jc w:val="center"/>
        <w:spacing w:after="0" w:line="222" w:lineRule="auto"/>
        <w:rPr>
          <w:sz w:val="20"/>
          <w:szCs w:val="20"/>
          <w:color w:val="auto"/>
        </w:rPr>
      </w:pPr>
      <w:r>
        <w:rPr>
          <w:rFonts w:ascii="Arial" w:cs="Arial" w:eastAsia="Arial" w:hAnsi="Arial"/>
          <w:sz w:val="14"/>
          <w:szCs w:val="14"/>
          <w:b w:val="1"/>
          <w:bCs w:val="1"/>
          <w:color w:val="auto"/>
        </w:rPr>
        <w:t>c/o TPG Specialty Lending, Inc.</w:t>
      </w:r>
    </w:p>
    <w:p>
      <w:pPr>
        <w:jc w:val="center"/>
        <w:spacing w:after="0" w:line="221" w:lineRule="auto"/>
        <w:rPr>
          <w:sz w:val="20"/>
          <w:szCs w:val="20"/>
          <w:color w:val="auto"/>
        </w:rPr>
      </w:pPr>
      <w:r>
        <w:rPr>
          <w:rFonts w:ascii="Arial" w:cs="Arial" w:eastAsia="Arial" w:hAnsi="Arial"/>
          <w:sz w:val="14"/>
          <w:szCs w:val="14"/>
          <w:b w:val="1"/>
          <w:bCs w:val="1"/>
          <w:color w:val="auto"/>
        </w:rPr>
        <w:t>345 California Street, Suite 3300</w:t>
      </w:r>
    </w:p>
    <w:p>
      <w:pPr>
        <w:jc w:val="center"/>
        <w:spacing w:after="0" w:line="222" w:lineRule="auto"/>
        <w:rPr>
          <w:sz w:val="20"/>
          <w:szCs w:val="20"/>
          <w:color w:val="auto"/>
        </w:rPr>
      </w:pPr>
      <w:r>
        <w:rPr>
          <w:rFonts w:ascii="Arial" w:cs="Arial" w:eastAsia="Arial" w:hAnsi="Arial"/>
          <w:sz w:val="14"/>
          <w:szCs w:val="14"/>
          <w:b w:val="1"/>
          <w:bCs w:val="1"/>
          <w:color w:val="auto"/>
        </w:rPr>
        <w:t>San Francisco, CA 94104</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WITH COPIES TO:</w:t>
      </w:r>
    </w:p>
    <w:p>
      <w:pPr>
        <w:jc w:val="center"/>
        <w:spacing w:after="0" w:line="223" w:lineRule="auto"/>
        <w:rPr>
          <w:sz w:val="20"/>
          <w:szCs w:val="20"/>
          <w:color w:val="auto"/>
        </w:rPr>
      </w:pPr>
      <w:r>
        <w:rPr>
          <w:rFonts w:ascii="Arial" w:cs="Arial" w:eastAsia="Arial" w:hAnsi="Arial"/>
          <w:sz w:val="14"/>
          <w:szCs w:val="14"/>
          <w:b w:val="1"/>
          <w:bCs w:val="1"/>
          <w:color w:val="auto"/>
        </w:rPr>
        <w:t>Michael A. Gerstenzang, Esq.</w:t>
      </w:r>
    </w:p>
    <w:p>
      <w:pPr>
        <w:jc w:val="center"/>
        <w:spacing w:after="0" w:line="222" w:lineRule="auto"/>
        <w:rPr>
          <w:sz w:val="20"/>
          <w:szCs w:val="20"/>
          <w:color w:val="auto"/>
        </w:rPr>
      </w:pPr>
      <w:r>
        <w:rPr>
          <w:rFonts w:ascii="Arial" w:cs="Arial" w:eastAsia="Arial" w:hAnsi="Arial"/>
          <w:sz w:val="14"/>
          <w:szCs w:val="14"/>
          <w:b w:val="1"/>
          <w:bCs w:val="1"/>
          <w:color w:val="auto"/>
        </w:rPr>
        <w:t>Adam E. Fleisher, Esq.</w:t>
      </w:r>
    </w:p>
    <w:p>
      <w:pPr>
        <w:jc w:val="center"/>
        <w:spacing w:after="0" w:line="221" w:lineRule="auto"/>
        <w:rPr>
          <w:sz w:val="20"/>
          <w:szCs w:val="20"/>
          <w:color w:val="auto"/>
        </w:rPr>
      </w:pPr>
      <w:r>
        <w:rPr>
          <w:rFonts w:ascii="Arial" w:cs="Arial" w:eastAsia="Arial" w:hAnsi="Arial"/>
          <w:sz w:val="14"/>
          <w:szCs w:val="14"/>
          <w:b w:val="1"/>
          <w:bCs w:val="1"/>
          <w:color w:val="auto"/>
        </w:rPr>
        <w:t>Helena K. Grannis, Esq.</w:t>
      </w:r>
    </w:p>
    <w:p>
      <w:pPr>
        <w:jc w:val="center"/>
        <w:spacing w:after="0" w:line="222" w:lineRule="auto"/>
        <w:rPr>
          <w:sz w:val="20"/>
          <w:szCs w:val="20"/>
          <w:color w:val="auto"/>
        </w:rPr>
      </w:pPr>
      <w:r>
        <w:rPr>
          <w:rFonts w:ascii="Arial" w:cs="Arial" w:eastAsia="Arial" w:hAnsi="Arial"/>
          <w:sz w:val="14"/>
          <w:szCs w:val="14"/>
          <w:b w:val="1"/>
          <w:bCs w:val="1"/>
          <w:color w:val="auto"/>
        </w:rPr>
        <w:t>Cleary Gottlieb Steen &amp; Hamilton LLP</w:t>
      </w:r>
    </w:p>
    <w:p>
      <w:pPr>
        <w:jc w:val="center"/>
        <w:spacing w:after="0" w:line="221" w:lineRule="auto"/>
        <w:rPr>
          <w:sz w:val="20"/>
          <w:szCs w:val="20"/>
          <w:color w:val="auto"/>
        </w:rPr>
      </w:pPr>
      <w:r>
        <w:rPr>
          <w:rFonts w:ascii="Arial" w:cs="Arial" w:eastAsia="Arial" w:hAnsi="Arial"/>
          <w:sz w:val="14"/>
          <w:szCs w:val="14"/>
          <w:b w:val="1"/>
          <w:bCs w:val="1"/>
          <w:color w:val="auto"/>
        </w:rPr>
        <w:t>One Liberty Plaza</w:t>
      </w:r>
    </w:p>
    <w:p>
      <w:pPr>
        <w:jc w:val="center"/>
        <w:spacing w:after="0" w:line="222" w:lineRule="auto"/>
        <w:rPr>
          <w:sz w:val="20"/>
          <w:szCs w:val="20"/>
          <w:color w:val="auto"/>
        </w:rPr>
      </w:pPr>
      <w:r>
        <w:rPr>
          <w:rFonts w:ascii="Arial" w:cs="Arial" w:eastAsia="Arial" w:hAnsi="Arial"/>
          <w:sz w:val="14"/>
          <w:szCs w:val="14"/>
          <w:b w:val="1"/>
          <w:bCs w:val="1"/>
          <w:color w:val="auto"/>
        </w:rPr>
        <w:t>New York, NY 10006</w:t>
      </w:r>
    </w:p>
    <w:p>
      <w:pPr>
        <w:jc w:val="center"/>
        <w:spacing w:after="0" w:line="221" w:lineRule="auto"/>
        <w:rPr>
          <w:sz w:val="20"/>
          <w:szCs w:val="20"/>
          <w:color w:val="auto"/>
        </w:rPr>
      </w:pPr>
      <w:r>
        <w:rPr>
          <w:rFonts w:ascii="Arial" w:cs="Arial" w:eastAsia="Arial" w:hAnsi="Arial"/>
          <w:sz w:val="14"/>
          <w:szCs w:val="14"/>
          <w:b w:val="1"/>
          <w:bCs w:val="1"/>
          <w:color w:val="auto"/>
        </w:rPr>
        <w:t>Telephone: (212) 225-2000</w:t>
      </w:r>
    </w:p>
    <w:p>
      <w:pPr>
        <w:jc w:val="center"/>
        <w:spacing w:after="0"/>
        <w:rPr>
          <w:sz w:val="20"/>
          <w:szCs w:val="20"/>
          <w:color w:val="auto"/>
        </w:rPr>
      </w:pPr>
      <w:r>
        <w:rPr>
          <w:rFonts w:ascii="Arial" w:cs="Arial" w:eastAsia="Arial" w:hAnsi="Arial"/>
          <w:sz w:val="14"/>
          <w:szCs w:val="14"/>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Proposed Public Offering: </w:t>
      </w:r>
      <w:r>
        <w:rPr>
          <w:rFonts w:ascii="Arial" w:cs="Arial" w:eastAsia="Arial" w:hAnsi="Arial"/>
          <w:sz w:val="14"/>
          <w:szCs w:val="14"/>
          <w:color w:val="auto"/>
        </w:rPr>
        <w:t>From time to time after the effective date of this Registration Statement.</w:t>
      </w:r>
    </w:p>
    <w:p>
      <w:pPr>
        <w:spacing w:after="0" w:line="98" w:lineRule="exact"/>
        <w:rPr>
          <w:sz w:val="24"/>
          <w:szCs w:val="24"/>
          <w:color w:val="auto"/>
        </w:rPr>
      </w:pPr>
    </w:p>
    <w:p>
      <w:pPr>
        <w:ind w:right="40"/>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2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7"/>
              </w:rPr>
              <w:t>Being</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Being Registered</w:t>
            </w: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2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Common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Preferred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Subscription Rights </w:t>
            </w:r>
            <w:r>
              <w:rPr>
                <w:rFonts w:ascii="Arial" w:cs="Arial" w:eastAsia="Arial" w:hAnsi="Arial"/>
                <w:sz w:val="11"/>
                <w:szCs w:val="11"/>
                <w:color w:val="auto"/>
              </w:rPr>
              <w:t>(1)</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Warrants </w:t>
            </w:r>
            <w:r>
              <w:rPr>
                <w:rFonts w:ascii="Arial" w:cs="Arial" w:eastAsia="Arial" w:hAnsi="Arial"/>
                <w:sz w:val="11"/>
                <w:szCs w:val="11"/>
                <w:color w:val="auto"/>
              </w:rPr>
              <w:t>(3)</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Debt Securities </w:t>
            </w:r>
            <w:r>
              <w:rPr>
                <w:rFonts w:ascii="Arial" w:cs="Arial" w:eastAsia="Arial" w:hAnsi="Arial"/>
                <w:sz w:val="11"/>
                <w:szCs w:val="11"/>
                <w:color w:val="auto"/>
              </w:rPr>
              <w:t>(2)(4)</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1"/>
                <w:szCs w:val="11"/>
                <w:color w:val="auto"/>
              </w:rPr>
              <w:t>(5)</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 xml:space="preserve">$750,000,000 </w:t>
            </w:r>
            <w:r>
              <w:rPr>
                <w:rFonts w:ascii="Arial" w:cs="Arial" w:eastAsia="Arial" w:hAnsi="Arial"/>
                <w:sz w:val="11"/>
                <w:szCs w:val="11"/>
                <w:color w:val="auto"/>
                <w:w w:val="89"/>
              </w:rPr>
              <w:t>(6)</w:t>
            </w:r>
          </w:p>
        </w:tc>
        <w:tc>
          <w:tcPr>
            <w:tcW w:w="1680" w:type="dxa"/>
            <w:vAlign w:val="bottom"/>
            <w:tcBorders>
              <w:bottom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88"/>
              </w:rPr>
              <w:t xml:space="preserve">$75,525 </w:t>
            </w:r>
            <w:r>
              <w:rPr>
                <w:rFonts w:ascii="Arial" w:cs="Arial" w:eastAsia="Arial" w:hAnsi="Arial"/>
                <w:sz w:val="11"/>
                <w:szCs w:val="11"/>
                <w:color w:val="auto"/>
                <w:w w:val="88"/>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0" w:hanging="332"/>
        <w:spacing w:after="0" w:line="23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340" w:right="1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warrants as may be sold, from time to time, representing rights to purchase common stock, preferred stock or debt securities.</w:t>
      </w:r>
    </w:p>
    <w:p>
      <w:pPr>
        <w:ind w:left="340" w:right="320" w:hanging="332"/>
        <w:spacing w:after="0" w:line="25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by the Registrant exceed $750,000,000.</w:t>
      </w:r>
    </w:p>
    <w:p>
      <w:pPr>
        <w:ind w:left="340" w:right="1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ind w:right="36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May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172085</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2016, our investment portfolio consisted of investments in 48 portfolio companies with an aggregate fair value of $1,563.7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$16 billion of assets under management as of March 31, 2016. TPG Special Situations Partners is the special situations and credit platform of TPG, a leading global private investment firm founded in 1992 with over $74 billion of assets under management as of December 31, 2015.</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May 11, 2016, the last reported sales price of our common stock on the NYSE was $16.30 per share. The net asset value per share of our common stock at March 31, 2016 (the last date prior to the date of this prospectus for which we reported net asset value) was $15.11.</w:t>
      </w:r>
    </w:p>
    <w:p>
      <w:pPr>
        <w:spacing w:after="0" w:line="177" w:lineRule="exact"/>
        <w:rPr>
          <w:sz w:val="20"/>
          <w:szCs w:val="20"/>
          <w:color w:val="auto"/>
        </w:rPr>
      </w:pPr>
    </w:p>
    <w:p>
      <w:pPr>
        <w:ind w:right="80" w:firstLine="456"/>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22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301 Commerce Street, Suite 3300, Fort Worth, TX 76102,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63"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20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Arial" w:cs="Arial" w:eastAsia="Arial" w:hAnsi="Arial"/>
                <w:sz w:val="18"/>
                <w:szCs w:val="18"/>
                <w:b w:val="1"/>
                <w:bCs w:val="1"/>
                <w:color w:val="auto"/>
                <w:w w:val="93"/>
              </w:rPr>
              <w:t>The date of this prospectus is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spacing w:after="0"/>
              <w:rPr>
                <w:sz w:val="14"/>
                <w:szCs w:val="14"/>
                <w:color w:val="auto"/>
              </w:rPr>
            </w:pPr>
          </w:p>
        </w:tc>
        <w:tc>
          <w:tcPr>
            <w:tcW w:w="53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CAPTION</w:t>
            </w:r>
          </w:p>
        </w:tc>
        <w:tc>
          <w:tcPr>
            <w:tcW w:w="4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6"/>
                <w:szCs w:val="16"/>
                <w:color w:val="auto"/>
              </w:rPr>
            </w:pPr>
          </w:p>
        </w:tc>
        <w:tc>
          <w:tcPr>
            <w:tcW w:w="5380" w:type="dxa"/>
            <w:vAlign w:val="bottom"/>
            <w:gridSpan w:val="2"/>
            <w:vMerge w:val="continue"/>
          </w:tcPr>
          <w:p>
            <w:pPr>
              <w:spacing w:after="0"/>
              <w:rPr>
                <w:sz w:val="16"/>
                <w:szCs w:val="16"/>
                <w:color w:val="auto"/>
              </w:rPr>
            </w:pPr>
          </w:p>
        </w:tc>
        <w:tc>
          <w:tcPr>
            <w:tcW w:w="4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6"/>
                <w:szCs w:val="16"/>
                <w:color w:val="auto"/>
              </w:rPr>
            </w:pPr>
          </w:p>
        </w:tc>
        <w:tc>
          <w:tcPr>
            <w:tcW w:w="4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Outside Front Cover</w:t>
            </w:r>
          </w:p>
        </w:tc>
        <w:tc>
          <w:tcPr>
            <w:tcW w:w="560" w:type="dxa"/>
            <w:vAlign w:val="bottom"/>
          </w:tcPr>
          <w:p>
            <w:pPr>
              <w:spacing w:after="0"/>
              <w:rPr>
                <w:sz w:val="16"/>
                <w:szCs w:val="16"/>
                <w:color w:val="auto"/>
              </w:rPr>
            </w:pPr>
          </w:p>
        </w:tc>
        <w:tc>
          <w:tcPr>
            <w:tcW w:w="4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Cover Pages; Other Offering Information</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Fee Table and Synopsis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540" w:type="dxa"/>
            <w:vAlign w:val="bottom"/>
          </w:tcPr>
          <w:p>
            <w:pPr>
              <w:spacing w:after="0"/>
              <w:rPr>
                <w:sz w:val="19"/>
                <w:szCs w:val="19"/>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Financial Highlights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Financial 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Plan of Distribution</w:t>
            </w: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Selling Shareholders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Use of Proceeds</w:t>
            </w:r>
          </w:p>
        </w:tc>
        <w:tc>
          <w:tcPr>
            <w:tcW w:w="484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540" w:type="dxa"/>
            <w:vAlign w:val="bottom"/>
          </w:tcPr>
          <w:p>
            <w:pPr>
              <w:spacing w:after="0"/>
              <w:rPr>
                <w:sz w:val="19"/>
                <w:szCs w:val="19"/>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General Description of the Registrant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and Results of Operations; The Company; Portfolio Companies;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Common Stock and Distributions</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Management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Capital Stock, Long-Term Debt, and Other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Warrants; Description of Our Debt Securities; Dividend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Defaults and Arrears on Senior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20"/>
                <w:szCs w:val="20"/>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Legal Proceedings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bl>
    <w:p>
      <w:pPr>
        <w:ind w:left="1280" w:hanging="1272"/>
        <w:spacing w:after="0"/>
        <w:tabs>
          <w:tab w:leader="none" w:pos="1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Table of Contents of the Statement of Additional Information, or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rPr>
              <w:t>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1"/>
              </w:rPr>
              <w:t>Cover Page of 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15</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Table of Contents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16</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General Information and History</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20"/>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17</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Objective and Policies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18</w:t>
            </w:r>
          </w:p>
        </w:tc>
        <w:tc>
          <w:tcPr>
            <w:tcW w:w="5140" w:type="dxa"/>
            <w:vAlign w:val="bottom"/>
          </w:tcPr>
          <w:p>
            <w:pPr>
              <w:spacing w:after="0"/>
              <w:rPr>
                <w:sz w:val="18"/>
                <w:szCs w:val="18"/>
                <w:color w:val="auto"/>
              </w:rPr>
            </w:pP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and Results of Operations; Senior Securities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Management</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19</w:t>
            </w:r>
          </w:p>
        </w:tc>
        <w:tc>
          <w:tcPr>
            <w:tcW w:w="5140" w:type="dxa"/>
            <w:vAlign w:val="bottom"/>
          </w:tcPr>
          <w:p>
            <w:pPr>
              <w:spacing w:after="0"/>
              <w:rPr>
                <w:sz w:val="18"/>
                <w:szCs w:val="18"/>
                <w:color w:val="auto"/>
              </w:rPr>
            </w:pP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Regulation</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Control Persons and Principal Holders of Securities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20</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Advisory and Other Services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21</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Portfolio Managers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22</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Brokerage Allocation and Other Practices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23</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5"/>
              </w:rPr>
              <w:t>Tax Status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Financial Statements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FEES AND EXPENSES</w:t>
              </w:r>
            </w:hyperlink>
          </w:p>
        </w:tc>
        <w:tc>
          <w:tcPr>
            <w:tcW w:w="71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80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RISK FACTORS</w:t>
              </w:r>
            </w:hyperlink>
          </w:p>
        </w:tc>
        <w:tc>
          <w:tcPr>
            <w:tcW w:w="764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5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THE COMPANY</w:t>
              </w:r>
            </w:hyperlink>
          </w:p>
        </w:tc>
        <w:tc>
          <w:tcPr>
            <w:tcW w:w="72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PORTFOLIO COMPANIES</w:t>
              </w:r>
            </w:hyperlink>
          </w:p>
        </w:tc>
        <w:tc>
          <w:tcPr>
            <w:tcW w:w="68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3">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64">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6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88">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90">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this prospectus and the accompanying prospectus supplement before you make an investment decision.</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carefully. In particular, you should read the more detailed information set forth under “Risk Factors” and the consolidated financial statements and the related notes included elsewhere in this prospectus and any accompanying prospectus supplement.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060" w:right="4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5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firstLine="443"/>
        <w:spacing w:after="0" w:line="284"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2016, we have originated more than $4.4 billion aggregate principal amount of investments and retained approximately $3.1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w:t>
      </w:r>
    </w:p>
    <w:p>
      <w:pPr>
        <w:spacing w:after="0" w:line="5" w:lineRule="exact"/>
        <w:rPr>
          <w:sz w:val="20"/>
          <w:szCs w:val="20"/>
          <w:color w:val="auto"/>
        </w:rPr>
      </w:pPr>
    </w:p>
    <w:p>
      <w:pPr>
        <w:jc w:val="both"/>
        <w:ind w:left="200" w:right="200"/>
        <w:spacing w:after="0" w:line="255" w:lineRule="auto"/>
        <w:rPr>
          <w:sz w:val="20"/>
          <w:szCs w:val="20"/>
          <w:color w:val="auto"/>
        </w:rPr>
      </w:pPr>
      <w:r>
        <w:rPr>
          <w:rFonts w:ascii="Arial" w:cs="Arial" w:eastAsia="Arial" w:hAnsi="Arial"/>
          <w:sz w:val="18"/>
          <w:szCs w:val="18"/>
          <w:color w:val="auto"/>
        </w:rPr>
        <w:t>$10 million to $250 million, although we may invest in larger or smaller companies on occasion. As of March 31, 2016, our core portfolio companies, which exclude certain investments that fall outside of our typical borrower profile and represent 86% of our total investments based on fair value, had weighted average annual revenue of $137.5 million and weighted average annual EBITDA of $35.7 million.</w:t>
      </w:r>
    </w:p>
    <w:p>
      <w:pPr>
        <w:spacing w:after="0" w:line="190"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28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as a BDC since we began our investment activities in July 2011, and we are currently one of the largest BDCs by total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60" w:firstLine="443"/>
        <w:spacing w:after="0" w:line="273"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As of March 31, 2016, based on fair value our portfolio consisted of 89.0% first-lien debt investments, 7.7% second-lien debt investments, 1.9% mezzanine and unsecured debt investments and 1.4% equity and other investments. Approximately 96.2% of our debt investments based on fair value as of March 31, 2016 are floating rate in nature (when including investment specific hedges), with 94.2% of these subject to interest rate floors, which we believe helps act as a portfolio-wide hedge against inflation.</w:t>
      </w:r>
    </w:p>
    <w:p>
      <w:pPr>
        <w:spacing w:after="0" w:line="187"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As of March 31, 2016, we had investments in 48 portfolio companies with an aggregate fair value of $1,563.7 million. For the three months ended March 31, 2016, we made new investment commitments of $129.6 million, $78.5 million in four new portfolio companies and $51.1 million in four existing portfolio companies. For this period, we had $45.8 million aggregate principal amount in exits and repayments, resulting in a net portfolio increase of $83.8 million aggregate principal amount.</w:t>
      </w:r>
    </w:p>
    <w:p>
      <w:pPr>
        <w:spacing w:after="0" w:line="187" w:lineRule="exact"/>
        <w:rPr>
          <w:sz w:val="20"/>
          <w:szCs w:val="20"/>
          <w:color w:val="auto"/>
        </w:rPr>
      </w:pPr>
    </w:p>
    <w:p>
      <w:pPr>
        <w:ind w:left="200" w:right="400" w:firstLine="443"/>
        <w:spacing w:after="0" w:line="291" w:lineRule="auto"/>
        <w:rPr>
          <w:sz w:val="20"/>
          <w:szCs w:val="20"/>
          <w:color w:val="auto"/>
        </w:rPr>
      </w:pPr>
      <w:r>
        <w:rPr>
          <w:rFonts w:ascii="Arial" w:cs="Arial" w:eastAsia="Arial" w:hAnsi="Arial"/>
          <w:sz w:val="16"/>
          <w:szCs w:val="16"/>
          <w:color w:val="auto"/>
        </w:rPr>
        <w:t>As of December 31, 2015, we had investments in 46 portfolio companies with an aggregate fair value of $1,485.7 million. For the year ended December 31, 2015, we made new investment commitments of $718.7 million, including $631.6 million in 20 new portfolio companies and</w:t>
      </w:r>
    </w:p>
    <w:p>
      <w:pPr>
        <w:ind w:left="200"/>
        <w:spacing w:after="0" w:line="261" w:lineRule="auto"/>
        <w:rPr>
          <w:sz w:val="20"/>
          <w:szCs w:val="20"/>
          <w:color w:val="auto"/>
        </w:rPr>
      </w:pPr>
      <w:r>
        <w:rPr>
          <w:rFonts w:ascii="Arial" w:cs="Arial" w:eastAsia="Arial" w:hAnsi="Arial"/>
          <w:sz w:val="18"/>
          <w:szCs w:val="18"/>
          <w:color w:val="auto"/>
        </w:rPr>
        <w:t>$87.1 million in 14 existing portfolio companies. For this period, we had $385.2 million aggregate principal amount in exits and repayments, resulting in a net portfolio increase of $278.8 million aggregate principal amount.</w:t>
      </w:r>
    </w:p>
    <w:p>
      <w:pPr>
        <w:spacing w:after="0" w:line="184"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As of March 31, 2016, the average investment size in each of our portfolio companies was approximately $32.6 million based on fair value. As of March 31, 2016, the largest single investment based on fair value represented 4.7% of our total investment portfolio.</w:t>
      </w:r>
    </w:p>
    <w:p>
      <w:pPr>
        <w:spacing w:after="0" w:line="170"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As of March 31, 2016, our portfolio was invested across 19 different industries. The largest industries in our portfolio as of March 31, 2016 were business services, healthcare and retail and consumer products, which represented, as a percentage of our portfolio, 20.1%, 16.9% and 11.2%, respectively, based on fair value.</w:t>
      </w:r>
    </w:p>
    <w:p>
      <w:pPr>
        <w:spacing w:after="0" w:line="181" w:lineRule="exact"/>
        <w:rPr>
          <w:sz w:val="20"/>
          <w:szCs w:val="20"/>
          <w:color w:val="auto"/>
        </w:rPr>
      </w:pPr>
    </w:p>
    <w:p>
      <w:pPr>
        <w:ind w:left="200" w:right="120" w:firstLine="443"/>
        <w:spacing w:after="0" w:line="257" w:lineRule="auto"/>
        <w:rPr>
          <w:sz w:val="20"/>
          <w:szCs w:val="20"/>
          <w:color w:val="auto"/>
        </w:rPr>
      </w:pPr>
      <w:r>
        <w:rPr>
          <w:rFonts w:ascii="Arial" w:cs="Arial" w:eastAsia="Arial" w:hAnsi="Arial"/>
          <w:sz w:val="18"/>
          <w:szCs w:val="18"/>
          <w:color w:val="auto"/>
        </w:rPr>
        <w:t>Since we began investing in 2011 through March 31, 2016, our exited investments have resulted in an aggregate cash flow realized gross internal rate of return to us of 16.2% (based on cash invested of $1.3 billion and total proceeds from these exited investments of $1.6 billion). Ninety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TSSP, with over $16 billion of assets under management as of March 31, 2016,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three (23) of these personnel are dedicated to our business, including 16 investment professionals.</w:t>
      </w:r>
    </w:p>
    <w:p>
      <w:pPr>
        <w:spacing w:after="0" w:line="16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over $74 billion of assets under management as of December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6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940" w:firstLine="443"/>
        <w:spacing w:after="0" w:line="34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24"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i w:val="1"/>
          <w:iCs w:val="1"/>
          <w:color w:val="auto"/>
        </w:rPr>
        <w:t xml:space="preserve">Limited availability of capital for middle-market companies. </w:t>
      </w:r>
      <w:r>
        <w:rPr>
          <w:rFonts w:ascii="Arial" w:cs="Arial" w:eastAsia="Arial" w:hAnsi="Arial"/>
          <w:sz w:val="17"/>
          <w:szCs w:val="17"/>
          <w:color w:val="auto"/>
        </w:rPr>
        <w:t>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200" w:right="140" w:firstLine="443"/>
        <w:spacing w:after="0" w:line="257" w:lineRule="auto"/>
        <w:rPr>
          <w:sz w:val="20"/>
          <w:szCs w:val="20"/>
          <w:color w:val="auto"/>
        </w:rPr>
      </w:pPr>
      <w:r>
        <w:rPr>
          <w:rFonts w:ascii="Arial" w:cs="Arial" w:eastAsia="Arial" w:hAnsi="Arial"/>
          <w:sz w:val="18"/>
          <w:szCs w:val="18"/>
          <w:i w:val="1"/>
          <w:iCs w:val="1"/>
          <w:color w:val="auto"/>
        </w:rPr>
        <w:t xml:space="preserve">Strong demand for debt capital. </w:t>
      </w:r>
      <w:r>
        <w:rPr>
          <w:rFonts w:ascii="Arial" w:cs="Arial" w:eastAsia="Arial" w:hAnsi="Arial"/>
          <w:sz w:val="18"/>
          <w:szCs w:val="18"/>
          <w:color w:val="auto"/>
        </w:rPr>
        <w:t>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$1.4 trillion as of May 2016,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 xml:space="preserve">Attractive investment dynamics. </w:t>
      </w:r>
      <w:r>
        <w:rPr>
          <w:rFonts w:ascii="Arial" w:cs="Arial" w:eastAsia="Arial" w:hAnsi="Arial"/>
          <w:sz w:val="16"/>
          <w:szCs w:val="16"/>
          <w:color w:val="auto"/>
        </w:rPr>
        <w:t>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 xml:space="preserve">Conservative capital structures. </w:t>
      </w:r>
      <w:r>
        <w:rPr>
          <w:rFonts w:ascii="Arial" w:cs="Arial" w:eastAsia="Arial" w:hAnsi="Arial"/>
          <w:sz w:val="18"/>
          <w:szCs w:val="18"/>
          <w:color w:val="auto"/>
        </w:rPr>
        <w:t>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 xml:space="preserve">Specialized lending requirements. </w:t>
      </w:r>
      <w:r>
        <w:rPr>
          <w:rFonts w:ascii="Arial" w:cs="Arial" w:eastAsia="Arial" w:hAnsi="Arial"/>
          <w:sz w:val="18"/>
          <w:szCs w:val="18"/>
          <w:color w:val="auto"/>
        </w:rPr>
        <w:t>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left="200" w:firstLine="443"/>
        <w:spacing w:after="0" w:line="277" w:lineRule="auto"/>
        <w:rPr>
          <w:sz w:val="20"/>
          <w:szCs w:val="20"/>
          <w:color w:val="auto"/>
        </w:rPr>
      </w:pPr>
      <w:r>
        <w:rPr>
          <w:rFonts w:ascii="Arial" w:cs="Arial" w:eastAsia="Arial" w:hAnsi="Arial"/>
          <w:sz w:val="18"/>
          <w:szCs w:val="18"/>
          <w:i w:val="1"/>
          <w:iCs w:val="1"/>
          <w:color w:val="auto"/>
        </w:rPr>
        <w:t xml:space="preserve">Desirability of partnering with BDCs. </w:t>
      </w:r>
      <w:r>
        <w:rPr>
          <w:rFonts w:ascii="Arial" w:cs="Arial" w:eastAsia="Arial" w:hAnsi="Arial"/>
          <w:sz w:val="18"/>
          <w:szCs w:val="18"/>
          <w:color w:val="auto"/>
        </w:rPr>
        <w:t>We believe middle-market companies see advantages in raising capital from BDCs. BDCs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 xml:space="preserve">Leading platform and access to proprietary deal flow. </w:t>
      </w:r>
      <w:r>
        <w:rPr>
          <w:rFonts w:ascii="Arial" w:cs="Arial" w:eastAsia="Arial" w:hAnsi="Arial"/>
          <w:sz w:val="18"/>
          <w:szCs w:val="18"/>
          <w:color w:val="auto"/>
        </w:rPr>
        <w:t>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left="20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 xml:space="preserve">Disciplined investment and underwriting process. </w:t>
      </w:r>
      <w:r>
        <w:rPr>
          <w:rFonts w:ascii="Arial" w:cs="Arial" w:eastAsia="Arial" w:hAnsi="Arial"/>
          <w:sz w:val="16"/>
          <w:szCs w:val="16"/>
          <w:color w:val="auto"/>
        </w:rPr>
        <w:t>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4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 pricing. </w:t>
      </w:r>
      <w:r>
        <w:rPr>
          <w:rFonts w:ascii="Arial" w:cs="Arial" w:eastAsia="Arial" w:hAnsi="Arial"/>
          <w:sz w:val="18"/>
          <w:szCs w:val="18"/>
          <w:color w:val="auto"/>
        </w:rPr>
        <w:t>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7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Disciplined four-tiered investment framework. </w:t>
      </w:r>
      <w:r>
        <w:rPr>
          <w:rFonts w:ascii="Arial" w:cs="Arial" w:eastAsia="Arial" w:hAnsi="Arial"/>
          <w:sz w:val="18"/>
          <w:szCs w:val="18"/>
          <w:color w:val="auto"/>
        </w:rPr>
        <w:t>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18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and active investment management. Our Adviser rigorously monitors the credit profile of portfolio investments, with the aim of proactively identifying sector and operational issues and carefully managing risks. The information gathered on market trends through this process also informs our underwriting for new loans.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5,400 investment opportunities our Investment Team reviewed since our inception through March 31, 2016.</w:t>
      </w:r>
    </w:p>
    <w:p>
      <w:pPr>
        <w:spacing w:after="0" w:line="170" w:lineRule="exact"/>
        <w:rPr>
          <w:sz w:val="20"/>
          <w:szCs w:val="20"/>
          <w:color w:val="auto"/>
        </w:rPr>
      </w:pPr>
    </w:p>
    <w:p>
      <w:pPr>
        <w:ind w:left="200" w:right="80" w:firstLine="443"/>
        <w:spacing w:after="0" w:line="293" w:lineRule="auto"/>
        <w:rPr>
          <w:sz w:val="20"/>
          <w:szCs w:val="20"/>
          <w:color w:val="auto"/>
        </w:rPr>
      </w:pPr>
      <w:r>
        <w:rPr>
          <w:rFonts w:ascii="Arial" w:cs="Arial" w:eastAsia="Arial" w:hAnsi="Arial"/>
          <w:sz w:val="16"/>
          <w:szCs w:val="16"/>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6"/>
          <w:szCs w:val="16"/>
          <w:color w:val="auto"/>
        </w:rPr>
        <w:t>Since we began investing in 2011, we have invested approximately $3.1 billion. As of March 31, 2016, we had a portfolio of investments in 48 portfolio companies with an aggregate fair value of $1,563.7 million that we believe exhibits strong credit quality and broad industry composition. As of March 31, 2016, 96.2% of our debt investments based on fair value bore interest at floating rates (when including investment specific hedges), with 94.2% of these subject to interest rate floors, and 89.0% of the fair value of our portfolio was invested in first-lien debt investments. We believe this portfolio will allow us to generate meaningful investment income, and consequently dividend income, for our stockholders.</w:t>
      </w:r>
    </w:p>
    <w:p>
      <w:pPr>
        <w:spacing w:after="0" w:line="165"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 xml:space="preserve">Aligned investment professionals. </w:t>
      </w:r>
      <w:r>
        <w:rPr>
          <w:rFonts w:ascii="Arial" w:cs="Arial" w:eastAsia="Arial" w:hAnsi="Arial"/>
          <w:sz w:val="18"/>
          <w:szCs w:val="18"/>
          <w:color w:val="auto"/>
        </w:rPr>
        <w:t>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2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Leverage. </w:t>
      </w:r>
      <w:r>
        <w:rPr>
          <w:rFonts w:ascii="Arial" w:cs="Arial" w:eastAsia="Arial" w:hAnsi="Arial"/>
          <w:sz w:val="18"/>
          <w:szCs w:val="18"/>
          <w:color w:val="auto"/>
        </w:rPr>
        <w:t>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hanging="323"/>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Investment Allocation. </w:t>
      </w:r>
      <w:r>
        <w:rPr>
          <w:rFonts w:ascii="Arial" w:cs="Arial" w:eastAsia="Arial" w:hAnsi="Arial"/>
          <w:sz w:val="17"/>
          <w:szCs w:val="17"/>
          <w:color w:val="auto"/>
        </w:rPr>
        <w:t>As a BDC, we are required to invest at least 70% of our total assets in qualifying assets, which generally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“eligible portfolio companies,” cash, cash equivalents, U.S. government securities and high-quality debt instruments maturing in one year or less from the time of investment. “Eligible portfolio companies” are defined in the 1940 Act as:</w:t>
      </w:r>
    </w:p>
    <w:p>
      <w:pPr>
        <w:spacing w:after="0" w:line="70" w:lineRule="exact"/>
        <w:rPr>
          <w:rFonts w:ascii="Arial" w:cs="Arial" w:eastAsia="Arial" w:hAnsi="Arial"/>
          <w:sz w:val="17"/>
          <w:szCs w:val="17"/>
          <w:color w:val="auto"/>
        </w:rPr>
      </w:pPr>
    </w:p>
    <w:p>
      <w:pPr>
        <w:ind w:left="1620" w:hanging="437"/>
        <w:spacing w:after="0"/>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right="20" w:hanging="437"/>
        <w:spacing w:after="0" w:line="342"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9" w:lineRule="exact"/>
        <w:rPr>
          <w:rFonts w:ascii="Arial" w:cs="Arial" w:eastAsia="Arial" w:hAnsi="Arial"/>
          <w:sz w:val="16"/>
          <w:szCs w:val="16"/>
          <w:color w:val="auto"/>
        </w:rPr>
      </w:pPr>
    </w:p>
    <w:p>
      <w:pPr>
        <w:ind w:left="1620" w:hanging="437"/>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RIC Status. </w:t>
      </w:r>
      <w:r>
        <w:rPr>
          <w:rFonts w:ascii="Arial" w:cs="Arial" w:eastAsia="Arial" w:hAnsi="Arial"/>
          <w:sz w:val="18"/>
          <w:szCs w:val="18"/>
          <w:color w:val="auto"/>
        </w:rPr>
        <w:t>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120" w:firstLine="443"/>
        <w:spacing w:after="0" w:line="293"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0"/>
        <w:spacing w:after="0" w:line="342" w:lineRule="auto"/>
        <w:rPr>
          <w:sz w:val="20"/>
          <w:szCs w:val="20"/>
          <w:color w:val="auto"/>
        </w:rPr>
      </w:pPr>
      <w:r>
        <w:rPr>
          <w:rFonts w:ascii="Arial" w:cs="Arial" w:eastAsia="Arial" w:hAnsi="Arial"/>
          <w:sz w:val="16"/>
          <w:szCs w:val="16"/>
          <w:color w:val="auto"/>
        </w:rPr>
        <w:t>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24"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Relationships—Exemptive Relief.”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On November 3, 2014, our Board of Directors approved a stock repurchase plan, which we refer to as the Company 10b5-1 Plan, to acquire up to $50 million in the aggregate of our common stock at prices below our net asset value per share, in accordance with the guidelines specified in</w:t>
      </w:r>
    </w:p>
    <w:p>
      <w:pPr>
        <w:ind w:left="200" w:right="80"/>
        <w:spacing w:after="0" w:line="255" w:lineRule="auto"/>
        <w:rPr>
          <w:sz w:val="20"/>
          <w:szCs w:val="20"/>
          <w:color w:val="auto"/>
        </w:rPr>
      </w:pPr>
      <w:r>
        <w:rPr>
          <w:rFonts w:ascii="Arial" w:cs="Arial" w:eastAsia="Arial" w:hAnsi="Arial"/>
          <w:sz w:val="18"/>
          <w:szCs w:val="18"/>
          <w:color w:val="auto"/>
        </w:rPr>
        <w:t>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90"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200" w:right="440" w:firstLine="443"/>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80" w:firstLine="443"/>
        <w:spacing w:after="0" w:line="264" w:lineRule="auto"/>
        <w:rPr>
          <w:sz w:val="20"/>
          <w:szCs w:val="20"/>
          <w:color w:val="auto"/>
        </w:rPr>
      </w:pPr>
      <w:r>
        <w:rPr>
          <w:rFonts w:ascii="Arial" w:cs="Arial" w:eastAsia="Arial" w:hAnsi="Arial"/>
          <w:sz w:val="18"/>
          <w:szCs w:val="18"/>
          <w:color w:val="auto"/>
        </w:rPr>
        <w:t>On February 24, 2016, our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right="4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2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12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 and any new investment advisory agreement would require stockholder approval;</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86"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64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664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risks associated with our investments in energy companies;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w:t>
      </w:r>
    </w:p>
    <w:p>
      <w:pPr>
        <w:spacing w:after="0" w:line="23" w:lineRule="exact"/>
        <w:rPr>
          <w:sz w:val="20"/>
          <w:szCs w:val="20"/>
          <w:color w:val="auto"/>
        </w:rPr>
      </w:pPr>
    </w:p>
    <w:p>
      <w:pPr>
        <w:ind w:left="200" w:right="40" w:hanging="3"/>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220" w:hanging="3"/>
        <w:spacing w:after="0" w:line="255"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Related to Offerings Pursuant to This Prospectus.”</w:t>
      </w:r>
    </w:p>
    <w:p>
      <w:pPr>
        <w:spacing w:after="0" w:line="190"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ectPr>
          <w:pgSz w:w="11900" w:h="16838" w:orient="portrait"/>
          <w:cols w:equalWidth="0" w:num="1">
            <w:col w:w="11260"/>
          </w:cols>
          <w:pgMar w:left="240" w:top="459" w:right="39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9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240"/>
        <w:spacing w:after="0" w:line="277" w:lineRule="auto"/>
        <w:rPr>
          <w:sz w:val="20"/>
          <w:szCs w:val="20"/>
          <w:color w:val="auto"/>
        </w:rPr>
      </w:pPr>
      <w:r>
        <w:rPr>
          <w:rFonts w:ascii="Arial" w:cs="Arial" w:eastAsia="Arial" w:hAnsi="Arial"/>
          <w:sz w:val="18"/>
          <w:szCs w:val="18"/>
          <w:color w:val="auto"/>
        </w:rPr>
        <w:t>Each supplement to this prospectus relating to an offering will more fully identify the use of the proceeds from such offering. See “Use of Proceeds.”</w:t>
      </w:r>
    </w:p>
    <w:p>
      <w:pPr>
        <w:sectPr>
          <w:pgSz w:w="11900" w:h="16838" w:orient="portrait"/>
          <w:cols w:equalWidth="0" w:num="1">
            <w:col w:w="11260"/>
          </w:cols>
          <w:pgMar w:left="240" w:top="459" w:right="399"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Symbol on the NYSE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“TSLX”</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maintain our tax treatment as a RIC, we must make certain distributions. See “Material U.S.</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Federal Income Tax Considerations—Regulated Investment Company Classification.”</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240" w:top="459" w:right="39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118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1188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8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Taxation</w:t>
      </w:r>
    </w:p>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Arial" w:cs="Arial" w:eastAsia="Arial" w:hAnsi="Arial"/>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9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right="400"/>
        <w:spacing w:after="0" w:line="277" w:lineRule="auto"/>
        <w:rPr>
          <w:sz w:val="20"/>
          <w:szCs w:val="20"/>
          <w:color w:val="auto"/>
        </w:rPr>
      </w:pPr>
      <w:r>
        <w:rPr>
          <w:rFonts w:ascii="Arial" w:cs="Arial" w:eastAsia="Arial" w:hAnsi="Arial"/>
          <w:sz w:val="18"/>
          <w:szCs w:val="18"/>
          <w:color w:val="auto"/>
        </w:rPr>
        <w:t>To maintain our status as a RIC and to avoid being subject to corporate-level U.S. federal income taxation on our earnings, we must, among other things:</w:t>
      </w:r>
    </w:p>
    <w:p>
      <w:pPr>
        <w:spacing w:after="0" w:line="7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our election under the 1940 Act to be treated as a BDC;</w:t>
      </w:r>
    </w:p>
    <w:p>
      <w:pPr>
        <w:spacing w:after="0" w:line="131" w:lineRule="exact"/>
        <w:rPr>
          <w:sz w:val="20"/>
          <w:szCs w:val="20"/>
          <w:color w:val="auto"/>
        </w:rPr>
      </w:pPr>
    </w:p>
    <w:p>
      <w:pPr>
        <w:ind w:left="4620" w:right="40" w:hanging="179"/>
        <w:spacing w:after="0" w:line="264" w:lineRule="auto"/>
        <w:tabs>
          <w:tab w:leader="none" w:pos="4600" w:val="left"/>
        </w:tabs>
        <w:rPr>
          <w:sz w:val="20"/>
          <w:szCs w:val="20"/>
          <w:color w:val="auto"/>
        </w:rPr>
      </w:pPr>
      <w:r>
        <w:rPr>
          <w:rFonts w:ascii="Arial" w:cs="Arial" w:eastAsia="Arial" w:hAnsi="Arial"/>
          <w:sz w:val="18"/>
          <w:szCs w:val="18"/>
          <w:color w:val="auto"/>
        </w:rPr>
        <w:t>•</w:t>
        <w:tab/>
        <w:t>derive in each taxable year at least 90% of our gross income from dividends, interest, gains from the sale or other disposition of stock or securities and other specified categories of investment income; and</w:t>
      </w:r>
    </w:p>
    <w:p>
      <w:pPr>
        <w:spacing w:after="0" w:line="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diversified holdings.</w:t>
      </w:r>
    </w:p>
    <w:p>
      <w:pPr>
        <w:spacing w:after="0" w:line="252" w:lineRule="exact"/>
        <w:rPr>
          <w:sz w:val="20"/>
          <w:szCs w:val="20"/>
          <w:color w:val="auto"/>
        </w:rPr>
      </w:pPr>
    </w:p>
    <w:p>
      <w:pPr>
        <w:ind w:left="4400"/>
        <w:spacing w:after="0" w:line="264" w:lineRule="auto"/>
        <w:rPr>
          <w:sz w:val="20"/>
          <w:szCs w:val="20"/>
          <w:color w:val="auto"/>
        </w:rPr>
      </w:pPr>
      <w:r>
        <w:rPr>
          <w:rFonts w:ascii="Arial" w:cs="Arial" w:eastAsia="Arial" w:hAnsi="Arial"/>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208" w:lineRule="exact"/>
        <w:rPr>
          <w:sz w:val="20"/>
          <w:szCs w:val="20"/>
          <w:color w:val="auto"/>
        </w:rPr>
      </w:pPr>
    </w:p>
    <w:p>
      <w:pPr>
        <w:ind w:left="4400" w:right="20"/>
        <w:spacing w:after="0" w:line="268" w:lineRule="auto"/>
        <w:rPr>
          <w:sz w:val="20"/>
          <w:szCs w:val="20"/>
          <w:color w:val="auto"/>
        </w:rPr>
      </w:pPr>
      <w:r>
        <w:rPr>
          <w:rFonts w:ascii="Arial" w:cs="Arial" w:eastAsia="Arial" w:hAnsi="Arial"/>
          <w:sz w:val="17"/>
          <w:szCs w:val="17"/>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three months ended March 31, 2016 and the calendar years ended December 31, 2015 and 2014 and we recorded a net expense of $0.4 million, $1.5 million and $1.1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ectPr>
          <w:pgSz w:w="11900" w:h="16838" w:orient="portrait"/>
          <w:cols w:equalWidth="0" w:num="1">
            <w:col w:w="11220"/>
          </w:cols>
          <w:pgMar w:left="240" w:top="459" w:right="439" w:bottom="1440" w:gutter="0" w:footer="0" w:header="0"/>
          <w:type w:val="continuous"/>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Leverage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100"/>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With certain limited exceptions, we currently are only allowed to borrow amounts, including by issuing debt securities or preferred stock, where our asset coverage, as defined in the 1940 Act, equals at least 200% after the borrowing. The costs associated with our borrowings, including any increase in the fees payable to the Adviser, are borne by our stockholders. See “Regulation.”</w:t>
      </w:r>
    </w:p>
    <w:p>
      <w:pPr>
        <w:sectPr>
          <w:pgSz w:w="11900" w:h="16838" w:orient="portrait"/>
          <w:cols w:equalWidth="0" w:num="1">
            <w:col w:w="11240"/>
          </w:cols>
          <w:pgMar w:left="240" w:top="459" w:right="419"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4400" w:right="80"/>
        <w:spacing w:after="0" w:line="276" w:lineRule="auto"/>
        <w:rPr>
          <w:sz w:val="20"/>
          <w:szCs w:val="20"/>
          <w:color w:val="auto"/>
        </w:rPr>
      </w:pPr>
      <w:r>
        <w:rPr>
          <w:rFonts w:ascii="Arial" w:cs="Arial" w:eastAsia="Arial" w:hAnsi="Arial"/>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ectPr>
          <w:pgSz w:w="11900" w:h="16838" w:orient="portrait"/>
          <w:cols w:equalWidth="0" w:num="1">
            <w:col w:w="11240"/>
          </w:cols>
          <w:pgMar w:left="240" w:top="459" w:right="419"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Management Arrangements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Adviser serves as our investment adviser and our administrator. For a description of our Adviser and TPG and our contractual arrangements with these companies, see “Management and Other Agreements.”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Trading at a Discount</w:t>
      </w:r>
    </w:p>
    <w:p>
      <w:pPr>
        <w:spacing w:after="0" w:line="20" w:lineRule="exact"/>
        <w:rPr>
          <w:sz w:val="20"/>
          <w:szCs w:val="20"/>
          <w:color w:val="auto"/>
        </w:rPr>
      </w:pPr>
      <w:r>
        <w:rPr>
          <w:sz w:val="20"/>
          <w:szCs w:val="20"/>
          <w:color w:val="auto"/>
        </w:rPr>
        <w:br w:type="column"/>
      </w:r>
    </w:p>
    <w:p>
      <w:pPr>
        <w:ind w:right="60"/>
        <w:spacing w:after="0" w:line="270" w:lineRule="auto"/>
        <w:rPr>
          <w:sz w:val="20"/>
          <w:szCs w:val="20"/>
          <w:color w:val="auto"/>
        </w:rPr>
      </w:pPr>
      <w:r>
        <w:rPr>
          <w:rFonts w:ascii="Arial" w:cs="Arial" w:eastAsia="Arial" w:hAnsi="Arial"/>
          <w:sz w:val="17"/>
          <w:szCs w:val="17"/>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above, at or below net asset value. See “Risk Factors—Risks Related to Offerings Pursuant to This Prospectus.”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Available Information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This information is available at the SEC’s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88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788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360"/>
        <w:spacing w:after="0" w:line="264" w:lineRule="auto"/>
        <w:rPr>
          <w:sz w:val="20"/>
          <w:szCs w:val="20"/>
          <w:color w:val="auto"/>
        </w:rPr>
      </w:pPr>
      <w:r>
        <w:rPr>
          <w:rFonts w:ascii="Arial" w:cs="Arial" w:eastAsia="Arial" w:hAnsi="Arial"/>
          <w:sz w:val="18"/>
          <w:szCs w:val="18"/>
          <w:color w:val="auto"/>
        </w:rPr>
        <w:t>public reference room at 100 F Street, N.E., Washington, D.C. 20549 and on the SEC’s website at http://www.sec.gov. Information on the operation of the SEC’s public reference room may be obtained by calling the SEC at 1 (800) SEC-0330.</w:t>
      </w:r>
    </w:p>
    <w:p>
      <w:pPr>
        <w:spacing w:after="0" w:line="222" w:lineRule="exact"/>
        <w:rPr>
          <w:sz w:val="20"/>
          <w:szCs w:val="20"/>
          <w:color w:val="auto"/>
        </w:rPr>
      </w:pPr>
    </w:p>
    <w:p>
      <w:pPr>
        <w:ind w:left="4400"/>
        <w:spacing w:after="0" w:line="255" w:lineRule="auto"/>
        <w:rPr>
          <w:sz w:val="20"/>
          <w:szCs w:val="20"/>
          <w:color w:val="auto"/>
        </w:rPr>
      </w:pPr>
      <w:r>
        <w:rPr>
          <w:rFonts w:ascii="Arial" w:cs="Arial" w:eastAsia="Arial" w:hAnsi="Arial"/>
          <w:sz w:val="18"/>
          <w:szCs w:val="18"/>
          <w:color w:val="auto"/>
        </w:rPr>
        <w:t>We maintain a website at http://www.tpgspecialtylending.com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888 7th Avenue, 35th Floor, New York, NY 10106, Attention: TSLX Investor Relations, or by emailing us at IRTSL@tpg.com.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Sales load</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None</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
        </w:trPr>
        <w:tc>
          <w:tcPr>
            <w:tcW w:w="10080" w:type="dxa"/>
            <w:vAlign w:val="bottom"/>
            <w:vMerge w:val="restart"/>
          </w:tcPr>
          <w:p>
            <w:pPr>
              <w:spacing w:after="0"/>
              <w:rPr>
                <w:sz w:val="20"/>
                <w:szCs w:val="20"/>
                <w:color w:val="auto"/>
              </w:rPr>
            </w:pPr>
            <w:r>
              <w:rPr>
                <w:rFonts w:ascii="Arial" w:cs="Arial" w:eastAsia="Arial" w:hAnsi="Arial"/>
                <w:sz w:val="18"/>
                <w:szCs w:val="18"/>
                <w:color w:val="auto"/>
              </w:rPr>
              <w:t>Total annual expenses</w:t>
            </w: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80" w:type="dxa"/>
            <w:vAlign w:val="bottom"/>
            <w:vMerge w:val="continue"/>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8.71%</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20" w:right="360" w:hanging="423"/>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18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right="34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98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$820.7 million as of December 31, 2015.</w:t>
      </w:r>
    </w:p>
    <w:p>
      <w:pPr>
        <w:ind w:left="620" w:right="20" w:hanging="423"/>
        <w:spacing w:after="0" w:line="28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w:t>
      </w:r>
    </w:p>
    <w:p>
      <w:pPr>
        <w:spacing w:after="0" w:line="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 Investment Advisory Agreement; Administration Agreement; License Agreement.”</w:t>
      </w:r>
    </w:p>
    <w:p>
      <w:pPr>
        <w:spacing w:after="0" w:line="103"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2015 bears to our net assets attributable to common stock (rather than our gross assets).</w:t>
      </w:r>
    </w:p>
    <w:p>
      <w:pPr>
        <w:spacing w:after="0" w:line="62"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From time to time, our Adviser voluntarily has waived certain Management Fees. See “Management’s Discussion and Analysis of Financial Condition and Results of Operations—Results of Operations—Management Fees” elsewhere in this prospectus. The above estimates are based on our actual Management Fees for the year ended December 31, 2015 and reflect the Management Fees that were waived during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61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9"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2015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640" w:right="2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640" w:right="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Incentive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Incentive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w:t>
      </w:r>
    </w:p>
    <w:p>
      <w:pPr>
        <w:spacing w:after="0" w:line="70" w:lineRule="exact"/>
        <w:rPr>
          <w:rFonts w:ascii="Arial" w:cs="Arial" w:eastAsia="Arial" w:hAnsi="Arial"/>
          <w:sz w:val="18"/>
          <w:szCs w:val="18"/>
          <w:color w:val="auto"/>
        </w:rPr>
      </w:pPr>
    </w:p>
    <w:p>
      <w:pPr>
        <w:ind w:left="640" w:right="220"/>
        <w:spacing w:after="0" w:line="277"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included in this prospectus and “Management and Other Agreements—Investment Advisory Agreement; Administration Agreement; License Agreement.”</w:t>
      </w:r>
    </w:p>
    <w:p>
      <w:pPr>
        <w:spacing w:after="0" w:line="62"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our Adviser has voluntarily waived certain Incentive Fees. See “Management’s Discussion and Analysis of Financial Condition and Results of Operations—Results of Operations—Incentive Fees” elsewhere in this prospectus. The above estimates do not reflect or assume any such waivers.</w:t>
      </w:r>
    </w:p>
    <w:p>
      <w:pPr>
        <w:spacing w:after="0" w:line="86" w:lineRule="exact"/>
        <w:rPr>
          <w:rFonts w:ascii="Arial" w:cs="Arial" w:eastAsia="Arial" w:hAnsi="Arial"/>
          <w:sz w:val="18"/>
          <w:szCs w:val="18"/>
          <w:color w:val="auto"/>
        </w:rPr>
      </w:pPr>
    </w:p>
    <w:p>
      <w:pPr>
        <w:ind w:left="620" w:right="120" w:hanging="423"/>
        <w:spacing w:after="0" w:line="253"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2015 under our credit facilities excluding fees (such as fees on undrawn amounts and amortization of upfront fees) and including the swap-adjusted interest expense related to our Convertible Senior Notes due 2019, or the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Arial" w:cs="Arial" w:eastAsia="Arial" w:hAnsi="Arial"/>
          <w:sz w:val="18"/>
          <w:szCs w:val="18"/>
          <w:color w:val="auto"/>
        </w:rPr>
      </w:pPr>
    </w:p>
    <w:p>
      <w:pPr>
        <w:ind w:left="620" w:right="220" w:hanging="423"/>
        <w:spacing w:after="0" w:line="265"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excise taxes for the year ended December 31, 2015.</w:t>
      </w: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16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28168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5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  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$ 165</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$ 274</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  541</w:t>
            </w:r>
          </w:p>
        </w:tc>
        <w:tc>
          <w:tcPr>
            <w:tcW w:w="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79" w:lineRule="exact"/>
        <w:rPr>
          <w:sz w:val="20"/>
          <w:szCs w:val="20"/>
          <w:color w:val="auto"/>
        </w:rPr>
      </w:pPr>
    </w:p>
    <w:p>
      <w:pPr>
        <w:ind w:left="200" w:right="260" w:firstLine="443"/>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derived the selected consolidated financial data for the years ended December 31, 2015, 2014 and 2013 from our audited consolidated financial statements and related notes, which are included elsewhere in this prospectus. We derived the selected consolidated financial data for the years ended December 31, 2012 and 2011 from our audited consolidated financial statements and related notes, which are not included in this prospectus. We derived the selected consolidated financial data for the three months ended March 31, 2016 and 2015 from our unaudited interim consolidated financial statements and related notes, which are included elsewhere in this prospectus. Certain prior period information has been reclassified to conform to the current period presentation. See Note 7 to our unaudited interim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 in millions, except per share</w:t>
            </w:r>
          </w:p>
        </w:tc>
        <w:tc>
          <w:tcPr>
            <w:tcW w:w="140" w:type="dxa"/>
            <w:vAlign w:val="bottom"/>
          </w:tcPr>
          <w:p>
            <w:pPr>
              <w:spacing w:after="0"/>
              <w:rPr>
                <w:sz w:val="14"/>
                <w:szCs w:val="14"/>
                <w:color w:val="auto"/>
              </w:rPr>
            </w:pPr>
          </w:p>
        </w:tc>
        <w:tc>
          <w:tcPr>
            <w:tcW w:w="17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gridSpan w:val="5"/>
            <w:vMerge w:val="continue"/>
          </w:tcPr>
          <w:p>
            <w:pPr>
              <w:spacing w:after="0"/>
              <w:rPr>
                <w:sz w:val="10"/>
                <w:szCs w:val="10"/>
                <w:color w:val="auto"/>
              </w:rPr>
            </w:pPr>
          </w:p>
        </w:tc>
        <w:tc>
          <w:tcPr>
            <w:tcW w:w="8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gridSpan w:val="5"/>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w:t>
            </w: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Operations Data:</w:t>
            </w:r>
          </w:p>
        </w:tc>
        <w:tc>
          <w:tcPr>
            <w:tcW w:w="1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4"/>
          </w:tcPr>
          <w:p>
            <w:pPr>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163.3</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3460" w:type="dxa"/>
            <w:vAlign w:val="bottom"/>
            <w:gridSpan w:val="5"/>
          </w:tcPr>
          <w:p>
            <w:pPr>
              <w:spacing w:after="0"/>
              <w:rPr>
                <w:sz w:val="20"/>
                <w:szCs w:val="20"/>
                <w:color w:val="auto"/>
              </w:rPr>
            </w:pPr>
            <w:r>
              <w:rPr>
                <w:rFonts w:ascii="Arial" w:cs="Arial" w:eastAsia="Arial" w:hAnsi="Arial"/>
                <w:sz w:val="18"/>
                <w:szCs w:val="18"/>
                <w:color w:val="auto"/>
              </w:rPr>
              <w:t>Net Investment Income (Loss) Before</w:t>
            </w: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4"/>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23.6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57.7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4"/>
          </w:tcPr>
          <w:p>
            <w:pPr>
              <w:spacing w:after="0" w:line="201" w:lineRule="exact"/>
              <w:rPr>
                <w:sz w:val="20"/>
                <w:szCs w:val="20"/>
                <w:color w:val="auto"/>
              </w:rPr>
            </w:pPr>
            <w:r>
              <w:rPr>
                <w:rFonts w:ascii="Arial" w:cs="Arial" w:eastAsia="Arial" w:hAnsi="Arial"/>
                <w:sz w:val="18"/>
                <w:szCs w:val="18"/>
                <w:color w:val="auto"/>
              </w:rPr>
              <w:t>Total Net Change in Unrealized Gain</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4"/>
          </w:tcPr>
          <w:p>
            <w:pPr>
              <w:ind w:left="16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gridSpan w:val="5"/>
            <w:vMerge w:val="restart"/>
          </w:tcPr>
          <w:p>
            <w:pPr>
              <w:spacing w:after="0"/>
              <w:rPr>
                <w:sz w:val="20"/>
                <w:szCs w:val="20"/>
                <w:color w:val="auto"/>
              </w:rPr>
            </w:pPr>
            <w:r>
              <w:rPr>
                <w:rFonts w:ascii="Arial" w:cs="Arial" w:eastAsia="Arial" w:hAnsi="Arial"/>
                <w:sz w:val="18"/>
                <w:szCs w:val="18"/>
                <w:color w:val="auto"/>
              </w:rPr>
              <w:t>Increase in Net Assets Resulting from</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4"/>
          </w:tcPr>
          <w:p>
            <w:pPr>
              <w:ind w:left="16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 and</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472"/>
              <w:spacing w:after="0"/>
              <w:rPr>
                <w:sz w:val="20"/>
                <w:szCs w:val="20"/>
                <w:color w:val="auto"/>
              </w:rPr>
            </w:pPr>
            <w:r>
              <w:rPr>
                <w:rFonts w:ascii="Arial" w:cs="Arial" w:eastAsia="Arial" w:hAnsi="Arial"/>
                <w:sz w:val="18"/>
                <w:szCs w:val="18"/>
                <w:color w:val="auto"/>
                <w:w w:val="79"/>
              </w:rPr>
              <w:t>18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20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161.8</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1,584.3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1,506.6</w:t>
            </w:r>
          </w:p>
        </w:tc>
        <w:tc>
          <w:tcPr>
            <w:tcW w:w="22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1,288.9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1,033.0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828.1</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689.6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685.8</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453.5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458.3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348.3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820.8</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479.8</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15.11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15.15</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Data: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w w:val="90"/>
              </w:rPr>
              <w:t>Weighted average yield of debt and income-producing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at amortized cost</w:t>
            </w:r>
            <w:r>
              <w:rPr>
                <w:rFonts w:ascii="Arial" w:cs="Arial" w:eastAsia="Arial" w:hAnsi="Arial"/>
                <w:sz w:val="15"/>
                <w:szCs w:val="15"/>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Fair value of debt investments as a percentage of principal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spacing w:after="0" w:line="201" w:lineRule="exact"/>
              <w:rPr>
                <w:sz w:val="20"/>
                <w:szCs w:val="20"/>
                <w:color w:val="auto"/>
              </w:rPr>
            </w:pPr>
            <w:r>
              <w:rPr>
                <w:rFonts w:ascii="Arial" w:cs="Arial" w:eastAsia="Arial" w:hAnsi="Arial"/>
                <w:sz w:val="18"/>
                <w:szCs w:val="18"/>
                <w:color w:val="auto"/>
                <w:w w:val="89"/>
              </w:rPr>
              <w:t>Weighted average fair value of debt investments as a percentage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of call price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93.4%</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52"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Generally Accepted Accounting Principles, or 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w:t>
      </w:r>
    </w:p>
    <w:p>
      <w:pPr>
        <w:spacing w:after="0" w:line="188" w:lineRule="exact"/>
        <w:rPr>
          <w:rFonts w:ascii="Arial" w:cs="Arial" w:eastAsia="Arial" w:hAnsi="Arial"/>
          <w:sz w:val="18"/>
          <w:szCs w:val="18"/>
          <w:color w:val="auto"/>
        </w:rPr>
      </w:pPr>
    </w:p>
    <w:p>
      <w:pPr>
        <w:ind w:left="460" w:right="120"/>
        <w:spacing w:after="0" w:line="297" w:lineRule="auto"/>
        <w:rPr>
          <w:rFonts w:ascii="Arial" w:cs="Arial" w:eastAsia="Arial" w:hAnsi="Arial"/>
          <w:sz w:val="18"/>
          <w:szCs w:val="18"/>
          <w:color w:val="auto"/>
        </w:rPr>
      </w:pPr>
      <w:r>
        <w:rPr>
          <w:rFonts w:ascii="Arial" w:cs="Arial" w:eastAsia="Arial" w:hAnsi="Arial"/>
          <w:sz w:val="16"/>
          <w:szCs w:val="16"/>
          <w:color w:val="auto"/>
        </w:rPr>
        <w:t>Our total return set forth in the table above for the three months ended March 31, 2016 and the years ended December 31, 2015, 2014, 2013, 2012 and 2011 reflects the Adviser’s waivers of its right to receive a portion of the Management Fee and Incentive Fees prior to our IPO and separately with respect to our ownership of shares of common stock in TICC Capital Corp. See Note 3 to our consolidated financial statements included elsewhere in this prospectus for more information about the waivers. The Management Fee, excluding the effects of the waivers, would have been $5.7 million, $21.3 million, $18.3 million, $13.4 million, $8.9 million and $1.6 million for the three months ended March 31, 2016 and the years ended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December 31, 2015, 2014, 2013, 2012 and 2011, respectively. The Incentive Fee, excluding the effects of the waiver, would have been $4.9 million and $20.2 million for the three months ended March 31, 2016 and the year ended December 31, 2015, respectively. No fees were waived during the three months ended March 31, 2015.</w:t>
      </w:r>
    </w:p>
    <w:p>
      <w:pPr>
        <w:spacing w:after="0" w:line="208" w:lineRule="exact"/>
        <w:rPr>
          <w:sz w:val="20"/>
          <w:szCs w:val="20"/>
          <w:color w:val="auto"/>
        </w:rPr>
      </w:pPr>
    </w:p>
    <w:p>
      <w:pPr>
        <w:ind w:left="460" w:right="60" w:hanging="452"/>
        <w:spacing w:after="0" w:line="255"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19,559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23,192</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(5,421)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17,771</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r>
      <w:tr>
        <w:trPr>
          <w:trHeight w:val="350"/>
        </w:trPr>
        <w:tc>
          <w:tcPr>
            <w:tcW w:w="7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43,559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46,774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20,926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20,332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16,943</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23,643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25,849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(27,985)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(16,512)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9,085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34,105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24,468</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350"/>
        </w:trPr>
        <w:tc>
          <w:tcPr>
            <w:tcW w:w="7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6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45,778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38,404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15,094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16,224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30,684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29,433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(16,879)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13,805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27,294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15.66</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Net Expenses includes Income taxes, including excise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including our consolidated financial statements and the related notes thereto,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Adviser an incentive to use leverage to make additional investments. See “—Risks Related to Our Business and Structure—Even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8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March 31, 2016,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In addition, we may be unable to obtain additional leverage, which would, in turn, affect our return on capital.</w:t>
      </w:r>
    </w:p>
    <w:p>
      <w:pPr>
        <w:spacing w:after="0" w:line="178"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“—Risks Related to Our Portfolio Company Investments—We expose ourselves to risks when we engage in hedging transactions.”</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2016, we had $638.2 million of outstanding indebtedness, which had an annualized interest cost of 2.65% under the terms of our debt, excluding fees (such as fees on undrawn amounts and amortization of upfront fees) and giving effect to the swap-adjusted interest rate on our Convertible Senior Notes. As of March 31, 2016, the interest rate on our Convertible Senior Notes, as adjusted to give effect to the interest rate swaps, was three-month London Interbank Offered Rate, or LIBOR, plus 286 basis points.</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4"/>
              </w:rPr>
              <w:t>Assumed Return on Our Portfolio</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3"/>
        </w:trPr>
        <w:tc>
          <w:tcPr>
            <w:tcW w:w="6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4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(net of expenses)</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7"/>
        </w:trPr>
        <w:tc>
          <w:tcPr>
            <w:tcW w:w="69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-10%</w:t>
            </w:r>
          </w:p>
        </w:tc>
        <w:tc>
          <w:tcPr>
            <w:tcW w:w="5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-5%</w:t>
            </w: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0%</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5%</w:t>
            </w:r>
          </w:p>
        </w:tc>
        <w:tc>
          <w:tcPr>
            <w:tcW w:w="5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 (1)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-19.60%</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8"/>
              </w:rPr>
              <w:t>-10.75%</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6.96%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15.81%</w:t>
            </w:r>
          </w:p>
        </w:tc>
      </w:tr>
    </w:tbl>
    <w:p>
      <w:pPr>
        <w:spacing w:after="0" w:line="229" w:lineRule="exact"/>
        <w:rPr>
          <w:sz w:val="20"/>
          <w:szCs w:val="20"/>
          <w:color w:val="auto"/>
        </w:rPr>
      </w:pPr>
    </w:p>
    <w:p>
      <w:pPr>
        <w:ind w:left="460" w:right="4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as of March 31, 2016, (i) $1.6 billion in total assets, (ii) $638.2 million in outstanding indebtedness, (iii) $894.7 million in net assets and (iv) annualized interest cost of 2.65%, under the terms of our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2016, December 31, 2015 and December 31, 2014, we elected to retain approximately $40 million, $38 million and $31 million of taxable income and capital gains, respectively, in order to provide us with additional liquidity and we recorded a net expense of $0.4 million, $1.5 million and $1.1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 Regulated Investment Company Classification.”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404 requires a rigorous compliance program as well as adequate time and resources. We may not be able to complete our internal control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testing and any required remediation in a timely fashion. Additionally, if we identify one or more material weaknesses in our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we will be unable to assert that our internal controls are effective. If we are unable to assert that our internal control over financial reporting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or if our auditors are unable to attest to management’s report on the effectiveness of our internal controls, we could lose investor confidence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accuracy and completeness of our financial reports, which would have a material adverse effect on the price of our securities.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our information resources. These incidents may be an intentional attack or an unintentional event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w:t>
      </w:r>
    </w:p>
    <w:p>
      <w:pPr>
        <w:spacing w:after="0" w:line="182"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On July 21, 2010, the Wall Street Reform and Consumer Protection Act, or the Dodd-Frank Act, was signed into law. Although passage of the Dodd-Frank Act has resulted in extensive rulemaking and regulatory changes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December 2015, the Federal Reserve raised the target range for the federal funds rate by 0.25%. However, if key economic indicators, such as the unemployment rate or inflation, do not progress at a rate consistent with the Federal Reserve’s objectives, the target range for the federal funds rate may further increase and cause interest rates and borrowing costs to rise, which may negatively impact our ability to access the debt markets on favorable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investments in energy companies.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March 31, 2016, our investments in portfolio companies that operate in the oil, gas and consumable fuels industry represent 2.8% of our total portfolio. The energy industry has been in a period of disruption and volatility that has been characterized by decreases in oil and gas prices and production levels. This disruption and volatility has led to, and future disruptions and volatility may lead to, decreases in the credit quality and performance of certain of our debt and equity investments in energy companies, which could, in turn, negatively impact the fair value of our investments in energy companies. Any prolonged decline in oil and gas prices or production levels could adversely impact the ability of our portfolio companies in the energy industry to satisfy financial or operating covenants that may be imposed by us and other lenders or to make payments to us as and when due, which could have a material adverse effect on our business, financial condition and results of operations. In addition, energy companies are subject to supply and demand fluctuations in the markets in which they operate, which are impacted by numerous factors, including weather, use of renewable fuel sources, natural disasters, governmental regulation and general economic conditions, in addition to the effects of increasing regulation and general operational risks, any of which could have a material adverse effect on the performance and value of our energy-related investments as well as our cash flows from such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7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 xml:space="preserve">Second-Lien and Mezzanine Debt. </w:t>
      </w:r>
      <w:r>
        <w:rPr>
          <w:rFonts w:ascii="Arial" w:cs="Arial" w:eastAsia="Arial" w:hAnsi="Arial"/>
          <w:sz w:val="18"/>
          <w:szCs w:val="18"/>
          <w:color w:val="auto"/>
        </w:rPr>
        <w:t>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31" w:lineRule="exact"/>
        <w:rPr>
          <w:sz w:val="20"/>
          <w:szCs w:val="20"/>
          <w:color w:val="auto"/>
        </w:rPr>
      </w:pPr>
    </w:p>
    <w:p>
      <w:pPr>
        <w:ind w:left="900" w:right="8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6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29"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CLO or other securitization vehicle, if created, also would likely be consolidated in our financial statements and consequently affect our asset coverage ratio, which may limit our ability to incur additional leverage. See “Regulation.”</w:t>
      </w:r>
    </w:p>
    <w:p>
      <w:pPr>
        <w:spacing w:after="0" w:line="27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“—Risks Related to Economic Conditions— Uncertainty about financial stability could have a significant adverse effect on our business, results of operations and financial condition.”</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“—Risks Related to Our Portfolio Company Investments—We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 To the extent we and an affiliate both hold investments in the same portfolio company that are of a different character, we may also face restrictions on our ability to become actively involved in the event that portfolio company becomes distressed as a result of the restrictions imposed on transactions involving affiliates under the 1940 Act. In such cases, we may be unable to exercise rights we may otherwise have to protect our interests as security holders in such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may require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may require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66"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See “Related-Party Transactions and Certain Relationships—Exemptive Relief” for more information on the terms of the exemptive order.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Hedging against a decline in the values of our portfolio positions would not eliminate the possibility of fluctuations in the values of such positions or prevent losses if the values of such positions were to decline.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“—Risks Related to Our Portfolio Company Investments—We are exposed to risks associated with changes in interest rates” and “Management’s Discussion and Analysis of Financial Condition and Results of Operations—Results of Operations—Hedging.”</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4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4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including in connection with the accretion of OID. For other risks associated with debt obligations treated as having OID, see “—Risks Related to Our Portfolio Company Investments— There are certain risks associated with holding debt obligations that have original issue discount or payment-in-kind interest.”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future sales of our securities convertible into or exchangeable or exercisable for our common stock or the conversion of such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regarding European sovereign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below net asset value.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Convertible Senior Notes are convertible into shares of our common stock beginning on June 15, 2019 or, under certain circumstances, earlier. Upon conversion of the Convertible Senior Notes, we have the choice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August 31, 2016.</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and elsewhere in this prospectus and in our filings with the SEC.</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right="100" w:firstLine="8"/>
        <w:spacing w:after="0" w:line="261" w:lineRule="auto"/>
        <w:tabs>
          <w:tab w:leader="none" w:pos="2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declared by us. On May 11, 2016, the last reported closing sales price of our common stock on the NYSE was $16.30 per share, which represented a premium of approximately 7.9% to the net asset value per share reported by us as of March 31, 2016, the last date prior to the date of this prospectus for which we reported net asset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Price Range</w:t>
            </w:r>
          </w:p>
        </w:tc>
        <w:tc>
          <w:tcPr>
            <w:tcW w:w="52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High Sales</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82"/>
        </w:trPr>
        <w:tc>
          <w:tcPr>
            <w:tcW w:w="4360" w:type="dxa"/>
            <w:vAlign w:val="bottom"/>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Net Asset</w:t>
            </w:r>
          </w:p>
        </w:tc>
        <w:tc>
          <w:tcPr>
            <w:tcW w:w="26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50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12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240" w:type="dxa"/>
            <w:vAlign w:val="bottom"/>
          </w:tcPr>
          <w:p>
            <w:pPr>
              <w:spacing w:after="0"/>
              <w:rPr>
                <w:sz w:val="6"/>
                <w:szCs w:val="6"/>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52"/>
        </w:trPr>
        <w:tc>
          <w:tcPr>
            <w:tcW w:w="43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High</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Low</w:t>
            </w:r>
          </w:p>
        </w:tc>
        <w:tc>
          <w:tcPr>
            <w:tcW w:w="52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(2)</w:t>
            </w: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 xml:space="preserve">Share </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15.51</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$16.70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$16.00</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7.7%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15.70</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$23.90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15.66</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$22.36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$16.01</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42.8%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15.53</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$15.74</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15.60</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$18.54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$16.34</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15.84</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$18.35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$17.00</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15.8%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15.62</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$16.22</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15.15</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$17.65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$15.97</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16.5%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15.11</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$16.86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$15.15</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11.6%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11, 2016)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$16.49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173"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dividend declared in the relevant quarter.</w:t>
      </w:r>
    </w:p>
    <w:p>
      <w:pPr>
        <w:spacing w:after="0" w:line="252" w:lineRule="exact"/>
        <w:rPr>
          <w:sz w:val="20"/>
          <w:szCs w:val="20"/>
          <w:color w:val="auto"/>
        </w:rPr>
      </w:pPr>
    </w:p>
    <w:p>
      <w:pPr>
        <w:ind w:left="460" w:hanging="407"/>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May 4, 2016, our Board declared a dividend of $0.39 per share for the quarter ending June 30, 2016 to stockholders of record as of June 30, 2016. The dividend is expected to be paid on or about July 29, 2016. We anticipate that this dividend will be paid from income generated primarily by interest earned on our investment portfolio.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three months ended March 31, 2016 and the years ended December 31, 2015 and 2014:</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 31, 2016</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Record Date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ind w:right="68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6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2016</w:t>
            </w:r>
          </w:p>
        </w:tc>
        <w:tc>
          <w:tcPr>
            <w:tcW w:w="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March 31, 2016</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29, 2016</w:t>
            </w:r>
          </w:p>
        </w:tc>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Year Ended December 31, 2015</w:t>
            </w: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00" w:type="dxa"/>
            <w:vAlign w:val="bottom"/>
            <w:gridSpan w:val="2"/>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184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Record Date</w:t>
            </w:r>
          </w:p>
        </w:tc>
        <w:tc>
          <w:tcPr>
            <w:tcW w:w="420" w:type="dxa"/>
            <w:vAlign w:val="bottom"/>
          </w:tcPr>
          <w:p>
            <w:pPr>
              <w:spacing w:after="0"/>
              <w:rPr>
                <w:sz w:val="12"/>
                <w:szCs w:val="12"/>
                <w:color w:val="auto"/>
              </w:rPr>
            </w:pPr>
          </w:p>
        </w:tc>
        <w:tc>
          <w:tcPr>
            <w:tcW w:w="2060" w:type="dxa"/>
            <w:vAlign w:val="bottom"/>
            <w:gridSpan w:val="4"/>
          </w:tcPr>
          <w:p>
            <w:pPr>
              <w:jc w:val="center"/>
              <w:ind w:right="76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2015</w:t>
            </w:r>
          </w:p>
        </w:tc>
        <w:tc>
          <w:tcPr>
            <w:tcW w:w="1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March 31, 2015</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30, 2015</w:t>
            </w:r>
          </w:p>
        </w:tc>
        <w:tc>
          <w:tcPr>
            <w:tcW w:w="76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37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7, 2015</w:t>
            </w: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June 30, 2015</w:t>
            </w:r>
          </w:p>
        </w:tc>
        <w:tc>
          <w:tcPr>
            <w:tcW w:w="420" w:type="dxa"/>
            <w:vAlign w:val="bottom"/>
          </w:tcPr>
          <w:p>
            <w:pPr>
              <w:spacing w:after="0"/>
              <w:rPr>
                <w:sz w:val="18"/>
                <w:szCs w:val="18"/>
                <w:color w:val="auto"/>
              </w:rPr>
            </w:pPr>
          </w:p>
        </w:tc>
        <w:tc>
          <w:tcPr>
            <w:tcW w:w="2060" w:type="dxa"/>
            <w:vAlign w:val="bottom"/>
            <w:gridSpan w:val="4"/>
          </w:tcPr>
          <w:p>
            <w:pPr>
              <w:jc w:val="center"/>
              <w:ind w:right="760"/>
              <w:spacing w:after="0"/>
              <w:rPr>
                <w:sz w:val="20"/>
                <w:szCs w:val="20"/>
                <w:color w:val="auto"/>
              </w:rPr>
            </w:pPr>
            <w:r>
              <w:rPr>
                <w:rFonts w:ascii="Arial" w:cs="Arial" w:eastAsia="Arial" w:hAnsi="Arial"/>
                <w:sz w:val="18"/>
                <w:szCs w:val="18"/>
                <w:color w:val="auto"/>
                <w:w w:val="91"/>
              </w:rPr>
              <w:t>July 31, 2015</w:t>
            </w:r>
          </w:p>
        </w:tc>
        <w:tc>
          <w:tcPr>
            <w:tcW w:w="540" w:type="dxa"/>
            <w:vAlign w:val="bottom"/>
            <w:gridSpan w:val="2"/>
          </w:tcPr>
          <w:p>
            <w:pPr>
              <w:jc w:val="right"/>
              <w:ind w:right="37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8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30, 2015</w:t>
            </w:r>
          </w:p>
        </w:tc>
        <w:tc>
          <w:tcPr>
            <w:tcW w:w="42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jc w:val="center"/>
              <w:ind w:right="760"/>
              <w:spacing w:after="0"/>
              <w:rPr>
                <w:sz w:val="20"/>
                <w:szCs w:val="20"/>
                <w:color w:val="auto"/>
              </w:rPr>
            </w:pPr>
            <w:r>
              <w:rPr>
                <w:rFonts w:ascii="Arial" w:cs="Arial" w:eastAsia="Arial" w:hAnsi="Arial"/>
                <w:sz w:val="18"/>
                <w:szCs w:val="18"/>
                <w:color w:val="auto"/>
                <w:w w:val="90"/>
              </w:rPr>
              <w:t>October 30, 2015</w:t>
            </w:r>
          </w:p>
        </w:tc>
        <w:tc>
          <w:tcPr>
            <w:tcW w:w="540" w:type="dxa"/>
            <w:vAlign w:val="bottom"/>
            <w:gridSpan w:val="2"/>
            <w:shd w:val="clear" w:color="auto" w:fill="CCEEFF"/>
          </w:tcPr>
          <w:p>
            <w:pPr>
              <w:jc w:val="right"/>
              <w:ind w:right="37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November 3, 2015</w:t>
            </w: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December 31, 2015</w:t>
            </w:r>
          </w:p>
        </w:tc>
        <w:tc>
          <w:tcPr>
            <w:tcW w:w="420" w:type="dxa"/>
            <w:vAlign w:val="bottom"/>
          </w:tcPr>
          <w:p>
            <w:pPr>
              <w:spacing w:after="0"/>
              <w:rPr>
                <w:sz w:val="19"/>
                <w:szCs w:val="19"/>
                <w:color w:val="auto"/>
              </w:rPr>
            </w:pPr>
          </w:p>
        </w:tc>
        <w:tc>
          <w:tcPr>
            <w:tcW w:w="2060" w:type="dxa"/>
            <w:vAlign w:val="bottom"/>
            <w:gridSpan w:val="4"/>
          </w:tcPr>
          <w:p>
            <w:pPr>
              <w:jc w:val="center"/>
              <w:ind w:right="740"/>
              <w:spacing w:after="0"/>
              <w:rPr>
                <w:sz w:val="20"/>
                <w:szCs w:val="20"/>
                <w:color w:val="auto"/>
              </w:rPr>
            </w:pPr>
            <w:r>
              <w:rPr>
                <w:rFonts w:ascii="Arial" w:cs="Arial" w:eastAsia="Arial" w:hAnsi="Arial"/>
                <w:sz w:val="18"/>
                <w:szCs w:val="18"/>
                <w:color w:val="auto"/>
                <w:w w:val="89"/>
              </w:rPr>
              <w:t>January 29, 2016</w:t>
            </w:r>
          </w:p>
        </w:tc>
        <w:tc>
          <w:tcPr>
            <w:tcW w:w="54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7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Year Ended December 31, 2014</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0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Record Date</w:t>
            </w:r>
          </w:p>
        </w:tc>
        <w:tc>
          <w:tcPr>
            <w:tcW w:w="3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760" w:type="dxa"/>
            <w:vAlign w:val="bottom"/>
            <w:tcBorders>
              <w:bottom w:val="single" w:sz="8" w:color="CCEEFF"/>
            </w:tcBorders>
            <w:gridSpan w:val="2"/>
          </w:tcPr>
          <w:p>
            <w:pPr>
              <w:spacing w:after="0"/>
              <w:rPr>
                <w:sz w:val="12"/>
                <w:szCs w:val="12"/>
                <w:color w:val="auto"/>
              </w:rPr>
            </w:pPr>
          </w:p>
        </w:tc>
        <w:tc>
          <w:tcPr>
            <w:tcW w:w="12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March 31, 2014</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April 30, 2014</w:t>
            </w:r>
          </w:p>
        </w:tc>
        <w:tc>
          <w:tcPr>
            <w:tcW w:w="76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jc w:val="right"/>
              <w:ind w:right="37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June 30, 2014</w:t>
            </w:r>
          </w:p>
        </w:tc>
        <w:tc>
          <w:tcPr>
            <w:tcW w:w="420" w:type="dxa"/>
            <w:vAlign w:val="bottom"/>
          </w:tcPr>
          <w:p>
            <w:pPr>
              <w:spacing w:after="0"/>
              <w:rPr>
                <w:sz w:val="18"/>
                <w:szCs w:val="18"/>
                <w:color w:val="auto"/>
              </w:rPr>
            </w:pPr>
          </w:p>
        </w:tc>
        <w:tc>
          <w:tcPr>
            <w:tcW w:w="2060" w:type="dxa"/>
            <w:vAlign w:val="bottom"/>
            <w:gridSpan w:val="4"/>
          </w:tcPr>
          <w:p>
            <w:pPr>
              <w:jc w:val="center"/>
              <w:ind w:right="760"/>
              <w:spacing w:after="0"/>
              <w:rPr>
                <w:sz w:val="20"/>
                <w:szCs w:val="20"/>
                <w:color w:val="auto"/>
              </w:rPr>
            </w:pPr>
            <w:r>
              <w:rPr>
                <w:rFonts w:ascii="Arial" w:cs="Arial" w:eastAsia="Arial" w:hAnsi="Arial"/>
                <w:sz w:val="18"/>
                <w:szCs w:val="18"/>
                <w:color w:val="auto"/>
                <w:w w:val="91"/>
              </w:rPr>
              <w:t>July 31, 2014</w:t>
            </w:r>
          </w:p>
        </w:tc>
        <w:tc>
          <w:tcPr>
            <w:tcW w:w="540" w:type="dxa"/>
            <w:vAlign w:val="bottom"/>
            <w:gridSpan w:val="2"/>
          </w:tcPr>
          <w:p>
            <w:pPr>
              <w:jc w:val="right"/>
              <w:ind w:right="37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2014</w:t>
            </w:r>
          </w:p>
        </w:tc>
        <w:tc>
          <w:tcPr>
            <w:tcW w:w="184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8"/>
              </w:rPr>
              <w:t>September 30, 2014</w:t>
            </w:r>
          </w:p>
        </w:tc>
        <w:tc>
          <w:tcPr>
            <w:tcW w:w="420" w:type="dxa"/>
            <w:vAlign w:val="bottom"/>
            <w:shd w:val="clear" w:color="auto" w:fill="CCEEFF"/>
          </w:tcPr>
          <w:p>
            <w:pPr>
              <w:spacing w:after="0"/>
              <w:rPr>
                <w:sz w:val="18"/>
                <w:szCs w:val="18"/>
                <w:color w:val="auto"/>
              </w:rPr>
            </w:pPr>
          </w:p>
        </w:tc>
        <w:tc>
          <w:tcPr>
            <w:tcW w:w="2060" w:type="dxa"/>
            <w:vAlign w:val="bottom"/>
            <w:gridSpan w:val="4"/>
            <w:shd w:val="clear" w:color="auto" w:fill="CCEEFF"/>
          </w:tcPr>
          <w:p>
            <w:pPr>
              <w:jc w:val="center"/>
              <w:ind w:right="760"/>
              <w:spacing w:after="0"/>
              <w:rPr>
                <w:sz w:val="20"/>
                <w:szCs w:val="20"/>
                <w:color w:val="auto"/>
              </w:rPr>
            </w:pPr>
            <w:r>
              <w:rPr>
                <w:rFonts w:ascii="Arial" w:cs="Arial" w:eastAsia="Arial" w:hAnsi="Arial"/>
                <w:sz w:val="18"/>
                <w:szCs w:val="18"/>
                <w:color w:val="auto"/>
                <w:w w:val="90"/>
              </w:rPr>
              <w:t>October 31, 2014</w:t>
            </w:r>
          </w:p>
        </w:tc>
        <w:tc>
          <w:tcPr>
            <w:tcW w:w="540" w:type="dxa"/>
            <w:vAlign w:val="bottom"/>
            <w:gridSpan w:val="2"/>
            <w:shd w:val="clear" w:color="auto" w:fill="CCEEFF"/>
          </w:tcPr>
          <w:p>
            <w:pPr>
              <w:jc w:val="right"/>
              <w:ind w:right="37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November 3, 2014</w:t>
            </w: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December 31, 2014</w:t>
            </w:r>
          </w:p>
        </w:tc>
        <w:tc>
          <w:tcPr>
            <w:tcW w:w="420" w:type="dxa"/>
            <w:vAlign w:val="bottom"/>
          </w:tcPr>
          <w:p>
            <w:pPr>
              <w:spacing w:after="0"/>
              <w:rPr>
                <w:sz w:val="19"/>
                <w:szCs w:val="19"/>
                <w:color w:val="auto"/>
              </w:rPr>
            </w:pPr>
          </w:p>
        </w:tc>
        <w:tc>
          <w:tcPr>
            <w:tcW w:w="2060" w:type="dxa"/>
            <w:vAlign w:val="bottom"/>
            <w:gridSpan w:val="4"/>
          </w:tcPr>
          <w:p>
            <w:pPr>
              <w:jc w:val="center"/>
              <w:ind w:right="740"/>
              <w:spacing w:after="0"/>
              <w:rPr>
                <w:sz w:val="20"/>
                <w:szCs w:val="20"/>
                <w:color w:val="auto"/>
              </w:rPr>
            </w:pPr>
            <w:r>
              <w:rPr>
                <w:rFonts w:ascii="Arial" w:cs="Arial" w:eastAsia="Arial" w:hAnsi="Arial"/>
                <w:sz w:val="18"/>
                <w:szCs w:val="18"/>
                <w:color w:val="auto"/>
                <w:w w:val="89"/>
              </w:rPr>
              <w:t>January 30, 2015</w:t>
            </w:r>
          </w:p>
        </w:tc>
        <w:tc>
          <w:tcPr>
            <w:tcW w:w="54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7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dividends declared during the three months ended March 31, 2016 were derived from net investment income, determined on a tax basis. The dividends declared during the years ended December 31, 2015 and 2014 were derived from net investment income and net realized capital gains, determined on a tax basis.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5620" w:right="2120" w:hanging="5045"/>
        <w:spacing w:after="0" w:line="449" w:lineRule="auto"/>
        <w:tabs>
          <w:tab w:leader="none" w:pos="8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 54</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2016 and the calendar years ended December 31, 2015 and 2014 for purposes of additional liquidity and we recorded a net expense of $0.4 million, $1.5 million and $1.1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9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in this prospectus for a discussion of the uncertainties, risks and assumptions associated with these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over a specified period, in accordance with the guidelines specified in Rule 10b-18 and Rule 10b5-1 of the Exchange Act. On February 24, 2016, our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2016, we have originated more than $4.4 billion aggregate principal amount of investments and retained approximately $3.1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March 31, 2016, our core portfolio companies, which excludes certain investments that fall outside of our typical borrower profile and represent 86% of our total investments based on fair value, had weighted average annual revenue of $137.5 million and weighted average annual EBITDA of $35.7 million.</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2016, the average investment size in each of our portfolio companies was approximately $32.6 million based on fair value.</w:t>
      </w:r>
    </w:p>
    <w:p>
      <w:pPr>
        <w:spacing w:after="0" w:line="23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March 31, 2016, the largest single investment based on fair value represented 4.7% of our total investment portfolio.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no industry represented more than 20.1% of our total investment portfolio based on fair value.</w:t>
      </w:r>
    </w:p>
    <w:p>
      <w:pPr>
        <w:spacing w:after="0" w:line="225"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March 31, 2016,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96.7% of our portfolio was invested in secured debt, including 89.0%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2016, the weighted average term on new investment commitments in new portfolio companies was 5.0 years.</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income. As of March 31, 2016, we had call protection on 84.6% of our debt investments based on fair value, with weighted average call prices of 106.3% for the first year, 103.3% for the second year and 101.6% for the third year, in each case from the date of the initial investment. As of March 31, 2016, 96.2% of our debt investments based on fair value bore interest at floating rates (when including investment specific hedges), with 94.2%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TSSP, with over $16 billion of assets under management as of March 31, 2016,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three (23) of these personnel are dedicated to our business, including 16 investment professionals.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and equity securities and various loan origination and other fees. Our debt investments typically have a term of two to six years, and, as of March 31, 2016, 96.2% of these investments based on fair value bear interest at a floating rate (when including investment specific hedges), with 94.2% of these subject to interest rate floors. Interest on debt investments is generally payable quarterly or semiannually. Some of our investments provide for deferred interest payments or PIK interest. For the three months ended March 31, 2016, 4.8% of our total investment income was comprised of PIK interest.</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 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We record prepayment premiums on loans as interest income.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jc w:val="center"/>
        <w:ind w:left="5620" w:right="1320" w:hanging="5045"/>
        <w:spacing w:after="0" w:line="449" w:lineRule="auto"/>
        <w:tabs>
          <w:tab w:leader="none" w:pos="8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 60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to financing facilities from time to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March 31, 2016, our portfolio based on fair value consisted of 89.0% first-lien debt investments, 7.7% second-lien debt investments, 1.9% mezzanine and unsecured debt investments, and 1.4% equity and other investments. As of December 31, 2015, our portfolio based on fair value consisted of 88.2% first-lien debt investments, 8.1% second-lien debt investments, 1.9% mezzanine and unsecured debt investments and 1.8% equity and other investments.</w:t>
      </w:r>
    </w:p>
    <w:p>
      <w:pPr>
        <w:spacing w:after="0" w:line="18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As of March 31, 2016 and December 31, 2015, our weighted average total yield of debt and income-producing securities at fair value (which includes interest income and amortization of fees and discounts) was 10.5% and 10.3%, respectively, and our weighted average total yield of debt and income-producing securities at amortized cost (which includes interest income and amortization of fees and discounts) was 10.3% and 10.1%, respectively.</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of March 31, 2016 and December 31, 2015, we had investments in 48 and 46 portfolio companies, respectively, with an aggregate fair value of $1,563.7 million and $1,485.7 million, respectively.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three months ended March 31, 2016, we made new investment commitments of $129.6 million, $78.5 million in four new portfolio companies and $51.1 million in four existing portfolio companies. For this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period, we had $45.8 million aggregate principal amount in exits and repayments, resulting in a net portfolio increase of $83.8 million aggregate principal amount.</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three months ended March 31, 2015, we made new investment commitments of $137.8 million, $101.0 million in three new portfolio companies and $36.8 million in three existing portfolio companies. For this period, we had $60.8 million aggregate principal amount in exits and repayments, resulting in a net portfolio increase of $71.0 million aggregate principal amount.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year ended December 31, 2015, we made new investment commitments of $718.7 million, including $631.6 million in 20 new portfolio companies and $87.1 million in 14 existing portfolio companies. For this period, we had $385.2 million aggregate principal amount in exits and repayments, resulting in a net portfolio increase of $278.8 million aggregate principal amount.</w:t>
      </w:r>
    </w:p>
    <w:p>
      <w:pPr>
        <w:spacing w:after="0" w:line="181"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including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the year ended December 31, 2013, we made new investment commitments of $606.2 million, including $536.0 million in 14 new portfolio companies and $70.2 million in five existing portfolio companies. For this period, we had $192.1 million aggregate principal amount in exits and repayments, resulting in a net portfolio increase of $387.3 million aggregate principal amount.</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investment activity for the three months ended March 31, 2016 and 2015 and for the years ended December 31, 2015, 2014 and 2013 is presented below (information presented herein is at par value unless otherwise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Gross originations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164.6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267.8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964.2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Less: Syndications/sell downs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Total new investment commitments</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718.7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First-lien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127.5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122.0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581.3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681.3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664.0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4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First-lien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43.6</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353.3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395.0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385.2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new investment commitment amount in new portfolio companies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 commitments in new portfolio</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80" w:type="dxa"/>
            <w:vAlign w:val="bottom"/>
          </w:tcPr>
          <w:p>
            <w:pPr>
              <w:jc w:val="right"/>
              <w:ind w:right="4950"/>
              <w:spacing w:after="0"/>
              <w:rPr>
                <w:sz w:val="20"/>
                <w:szCs w:val="20"/>
                <w:color w:val="auto"/>
              </w:rPr>
            </w:pPr>
            <w:r>
              <w:rPr>
                <w:rFonts w:ascii="Arial" w:cs="Arial" w:eastAsia="Arial" w:hAnsi="Arial"/>
                <w:sz w:val="18"/>
                <w:szCs w:val="18"/>
                <w:b w:val="1"/>
                <w:bCs w:val="1"/>
                <w:color w:val="auto"/>
                <w:w w:val="96"/>
              </w:rPr>
              <w:t>companies (in years)</w:t>
            </w:r>
          </w:p>
        </w:tc>
        <w:tc>
          <w:tcPr>
            <w:tcW w:w="14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800" w:type="dxa"/>
            <w:vAlign w:val="bottom"/>
            <w:gridSpan w:val="2"/>
          </w:tcPr>
          <w:p>
            <w:pPr>
              <w:jc w:val="right"/>
              <w:ind w:right="91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4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4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600" w:type="dxa"/>
            <w:vAlign w:val="bottom"/>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vMerge w:val="restart"/>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8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Percentage of new debt investment commitments at floating rates </w:t>
            </w:r>
            <w:r>
              <w:rPr>
                <w:rFonts w:ascii="Arial" w:cs="Arial" w:eastAsia="Arial" w:hAnsi="Arial"/>
                <w:sz w:val="15"/>
                <w:szCs w:val="15"/>
                <w:b w:val="1"/>
                <w:bCs w:val="1"/>
                <w:color w:val="auto"/>
              </w:rPr>
              <w:t>(1)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98.3%</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92.9%</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96.5%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98.1%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3.5%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r>
        <w:trPr>
          <w:trHeight w:val="198"/>
        </w:trPr>
        <w:tc>
          <w:tcPr>
            <w:tcW w:w="63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9.3%</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8.5%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6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2015 for which we entered into an interest rate swap agreement to swap to a floating 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December 31, 2015 and December 31, 2014, our investments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560" w:type="dxa"/>
            <w:vAlign w:val="bottom"/>
            <w:gridSpan w:val="3"/>
          </w:tcPr>
          <w:p>
            <w:pPr>
              <w:ind w:left="580"/>
              <w:spacing w:after="0"/>
              <w:rPr>
                <w:sz w:val="20"/>
                <w:szCs w:val="20"/>
                <w:color w:val="auto"/>
              </w:rPr>
            </w:pPr>
            <w:r>
              <w:rPr>
                <w:rFonts w:ascii="Arial" w:cs="Arial" w:eastAsia="Arial" w:hAnsi="Arial"/>
                <w:sz w:val="14"/>
                <w:szCs w:val="14"/>
                <w:b w:val="1"/>
                <w:bCs w:val="1"/>
                <w:color w:val="auto"/>
                <w:w w:val="96"/>
              </w:rPr>
              <w:t>March 31, 2016</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 2015</w:t>
            </w:r>
          </w:p>
        </w:tc>
        <w:tc>
          <w:tcPr>
            <w:tcW w:w="2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11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2"/>
              </w:rPr>
              <w:t>Fair Value</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2"/>
              </w:rPr>
              <w:t>Fair Value</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0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2"/>
              </w:rPr>
              <w:t>Fair Value</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$1,391.2</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1,414.5</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$1,310.2</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640" w:type="dxa"/>
            <w:vAlign w:val="bottom"/>
          </w:tcPr>
          <w:p>
            <w:pPr>
              <w:jc w:val="right"/>
              <w:spacing w:after="0"/>
              <w:rPr>
                <w:sz w:val="20"/>
                <w:szCs w:val="20"/>
                <w:color w:val="auto"/>
              </w:rPr>
            </w:pPr>
            <w:r>
              <w:rPr>
                <w:rFonts w:ascii="Arial" w:cs="Arial" w:eastAsia="Arial" w:hAnsi="Arial"/>
                <w:sz w:val="18"/>
                <w:szCs w:val="18"/>
                <w:color w:val="auto"/>
              </w:rPr>
              <w:t>120.9</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126.9</w:t>
            </w:r>
          </w:p>
        </w:tc>
        <w:tc>
          <w:tcPr>
            <w:tcW w:w="640" w:type="dxa"/>
            <w:vAlign w:val="bottom"/>
          </w:tcPr>
          <w:p>
            <w:pPr>
              <w:jc w:val="right"/>
              <w:spacing w:after="0"/>
              <w:rPr>
                <w:sz w:val="20"/>
                <w:szCs w:val="20"/>
                <w:color w:val="auto"/>
              </w:rPr>
            </w:pPr>
            <w:r>
              <w:rPr>
                <w:rFonts w:ascii="Arial" w:cs="Arial" w:eastAsia="Arial" w:hAnsi="Arial"/>
                <w:sz w:val="18"/>
                <w:szCs w:val="18"/>
                <w:color w:val="auto"/>
              </w:rPr>
              <w:t>121.2</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126.0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29.6</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29.8</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40.8</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1,563.7</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1,611.8</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1,485.7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1,263.5</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the amortized cost of our performing and non-accrual investments as of March 31, 2016, December 31,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60" w:type="dxa"/>
            <w:vAlign w:val="bottom"/>
          </w:tcPr>
          <w:p>
            <w:pPr>
              <w:spacing w:after="0"/>
              <w:rPr>
                <w:sz w:val="14"/>
                <w:szCs w:val="14"/>
                <w:color w:val="auto"/>
              </w:rPr>
            </w:pPr>
          </w:p>
        </w:tc>
        <w:tc>
          <w:tcPr>
            <w:tcW w:w="23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March 31, 2016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December 31, 2015</w:t>
            </w:r>
          </w:p>
        </w:tc>
        <w:tc>
          <w:tcPr>
            <w:tcW w:w="280" w:type="dxa"/>
            <w:vAlign w:val="bottom"/>
          </w:tcPr>
          <w:p>
            <w:pPr>
              <w:spacing w:after="0"/>
              <w:rPr>
                <w:sz w:val="14"/>
                <w:szCs w:val="14"/>
                <w:color w:val="auto"/>
              </w:rPr>
            </w:pPr>
          </w:p>
        </w:tc>
        <w:tc>
          <w:tcPr>
            <w:tcW w:w="21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1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5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620" w:type="dxa"/>
            <w:vAlign w:val="bottom"/>
          </w:tcPr>
          <w:p>
            <w:pPr>
              <w:spacing w:after="0"/>
              <w:rPr>
                <w:sz w:val="12"/>
                <w:szCs w:val="12"/>
                <w:color w:val="auto"/>
              </w:rPr>
            </w:pPr>
          </w:p>
        </w:tc>
        <w:tc>
          <w:tcPr>
            <w:tcW w:w="15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 Cost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w:t>
            </w:r>
          </w:p>
        </w:tc>
        <w:tc>
          <w:tcPr>
            <w:tcW w:w="5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w:t>
            </w: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5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5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2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1,611.8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1,273.2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“—Critical Accounting Policies—Interest and Dividend Income Recognition.”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weighted average yields and interest rates of our debt investments at fair value as of March 31, 2016, December 31, 2015 and December 31, 2014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1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94"/>
              </w:rPr>
              <w:t>March 31, 2016</w:t>
            </w:r>
          </w:p>
        </w:tc>
        <w:tc>
          <w:tcPr>
            <w:tcW w:w="23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w w:val="90"/>
              </w:rPr>
              <w:t>December 31, 2015</w:t>
            </w:r>
          </w:p>
        </w:tc>
        <w:tc>
          <w:tcPr>
            <w:tcW w:w="1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December 31, 2014</w:t>
            </w:r>
          </w:p>
        </w:tc>
      </w:tr>
      <w:tr>
        <w:trPr>
          <w:trHeight w:val="182"/>
        </w:trPr>
        <w:tc>
          <w:tcPr>
            <w:tcW w:w="4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w:t>
            </w:r>
          </w:p>
        </w:tc>
        <w:tc>
          <w:tcPr>
            <w:tcW w:w="9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income-producing securities</w:t>
            </w:r>
          </w:p>
        </w:tc>
        <w:tc>
          <w:tcPr>
            <w:tcW w:w="21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10.5%</w:t>
            </w:r>
          </w:p>
        </w:tc>
        <w:tc>
          <w:tcPr>
            <w:tcW w:w="23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income-producing securities</w:t>
            </w:r>
          </w:p>
        </w:tc>
        <w:tc>
          <w:tcPr>
            <w:tcW w:w="2100" w:type="dxa"/>
            <w:vAlign w:val="bottom"/>
            <w:gridSpan w:val="2"/>
          </w:tcPr>
          <w:p>
            <w:pPr>
              <w:jc w:val="right"/>
              <w:ind w:right="1000"/>
              <w:spacing w:after="0"/>
              <w:rPr>
                <w:sz w:val="20"/>
                <w:szCs w:val="20"/>
                <w:color w:val="auto"/>
              </w:rPr>
            </w:pPr>
            <w:r>
              <w:rPr>
                <w:rFonts w:ascii="Arial" w:cs="Arial" w:eastAsia="Arial" w:hAnsi="Arial"/>
                <w:sz w:val="18"/>
                <w:szCs w:val="18"/>
                <w:color w:val="auto"/>
              </w:rPr>
              <w:t>9.9%</w:t>
            </w:r>
          </w:p>
        </w:tc>
        <w:tc>
          <w:tcPr>
            <w:tcW w:w="2320" w:type="dxa"/>
            <w:vAlign w:val="bottom"/>
            <w:gridSpan w:val="2"/>
          </w:tcPr>
          <w:p>
            <w:pPr>
              <w:jc w:val="right"/>
              <w:ind w:right="100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w:t>
            </w:r>
          </w:p>
        </w:tc>
        <w:tc>
          <w:tcPr>
            <w:tcW w:w="9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investments</w:t>
            </w:r>
          </w:p>
        </w:tc>
        <w:tc>
          <w:tcPr>
            <w:tcW w:w="21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8.9%</w:t>
            </w:r>
          </w:p>
        </w:tc>
        <w:tc>
          <w:tcPr>
            <w:tcW w:w="23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0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97"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March 31, 2016, December 31, 2015 and December 31, 2014. Investment performance ratings are accurate only as of those dates and may change due to subsequent developments relating to a portfolio company’s business or financial condition, market conditions or developments, and other factors.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2016</w:t>
            </w:r>
          </w:p>
        </w:tc>
        <w:tc>
          <w:tcPr>
            <w:tcW w:w="7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437"/>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50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87"/>
              </w:rPr>
              <w:t>Percentage</w:t>
            </w:r>
          </w:p>
        </w:tc>
        <w:tc>
          <w:tcPr>
            <w:tcW w:w="40" w:type="dxa"/>
            <w:vAlign w:val="bottom"/>
          </w:tcPr>
          <w:p>
            <w:pPr>
              <w:spacing w:after="0"/>
              <w:rPr>
                <w:sz w:val="10"/>
                <w:szCs w:val="10"/>
                <w:color w:val="auto"/>
              </w:rPr>
            </w:pPr>
          </w:p>
        </w:tc>
        <w:tc>
          <w:tcPr>
            <w:tcW w:w="152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Percentage</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6"/>
          </w:tcPr>
          <w:p>
            <w:pPr>
              <w:jc w:val="center"/>
              <w:ind w:right="7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Investment</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6"/>
              </w:rPr>
              <w:t>at</w:t>
            </w: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jc w:val="center"/>
              <w:ind w:right="88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500" w:type="dxa"/>
            <w:vAlign w:val="bottom"/>
            <w:gridSpan w:val="2"/>
          </w:tcPr>
          <w:p>
            <w:pPr>
              <w:jc w:val="center"/>
              <w:ind w:right="820"/>
              <w:spacing w:after="0" w:line="145"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1520" w:type="dxa"/>
            <w:vAlign w:val="bottom"/>
            <w:gridSpan w:val="3"/>
          </w:tcPr>
          <w:p>
            <w:pPr>
              <w:jc w:val="center"/>
              <w:ind w:right="760"/>
              <w:spacing w:after="0" w:line="145" w:lineRule="exact"/>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of</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jc w:val="center"/>
              <w:ind w:right="740"/>
              <w:spacing w:after="0" w:line="145"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00" w:type="dxa"/>
            <w:vAlign w:val="bottom"/>
            <w:gridSpan w:val="4"/>
          </w:tcPr>
          <w:p>
            <w:pPr>
              <w:jc w:val="center"/>
              <w:ind w:left="433"/>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w:t>
            </w:r>
          </w:p>
        </w:tc>
        <w:tc>
          <w:tcPr>
            <w:tcW w:w="7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15"/>
              <w:spacing w:after="0" w:line="149"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6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 in millions)</w:t>
            </w:r>
          </w:p>
        </w:tc>
        <w:tc>
          <w:tcPr>
            <w:tcW w:w="7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8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7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40" w:type="dxa"/>
            <w:vAlign w:val="bottom"/>
            <w:tcBorders>
              <w:bottom w:val="single" w:sz="8" w:color="CCEEFF"/>
            </w:tcBorders>
            <w:gridSpan w:val="3"/>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21"/>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7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1,078.3</w:t>
            </w:r>
          </w:p>
        </w:tc>
        <w:tc>
          <w:tcPr>
            <w:tcW w:w="7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left="673"/>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407.3</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266.1</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114.5</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380" w:type="dxa"/>
            <w:vAlign w:val="bottom"/>
            <w:gridSpan w:val="2"/>
          </w:tcPr>
          <w:p>
            <w:pPr>
              <w:jc w:val="center"/>
              <w:ind w:left="673"/>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28.5</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rPr>
              <w:t>26.8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gridSpan w:val="2"/>
            <w:shd w:val="clear" w:color="auto" w:fill="CCEEFF"/>
          </w:tcPr>
          <w:p>
            <w:pPr>
              <w:jc w:val="center"/>
              <w:ind w:left="673"/>
              <w:spacing w:after="0"/>
              <w:rPr>
                <w:sz w:val="20"/>
                <w:szCs w:val="20"/>
                <w:color w:val="auto"/>
              </w:rPr>
            </w:pPr>
            <w:r>
              <w:rPr>
                <w:rFonts w:ascii="Arial" w:cs="Arial" w:eastAsia="Arial" w:hAnsi="Arial"/>
                <w:sz w:val="18"/>
                <w:szCs w:val="18"/>
                <w:color w:val="auto"/>
                <w:w w:val="99"/>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4"/>
              </w:rPr>
              <w:t>Total</w:t>
            </w:r>
          </w:p>
        </w:tc>
        <w:tc>
          <w:tcPr>
            <w:tcW w:w="1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1,563.7</w:t>
            </w:r>
          </w:p>
        </w:tc>
        <w:tc>
          <w:tcPr>
            <w:tcW w:w="74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1,485.7</w:t>
            </w:r>
          </w:p>
        </w:tc>
        <w:tc>
          <w:tcPr>
            <w:tcW w:w="760" w:type="dxa"/>
            <w:vAlign w:val="bottom"/>
            <w:vMerge w:val="continue"/>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1,263.5</w:t>
            </w: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920" w:type="dxa"/>
            <w:vAlign w:val="bottom"/>
            <w:gridSpan w:val="11"/>
          </w:tcPr>
          <w:p>
            <w:pPr>
              <w:jc w:val="right"/>
              <w:ind w:right="40"/>
              <w:spacing w:after="0"/>
              <w:rPr>
                <w:sz w:val="20"/>
                <w:szCs w:val="20"/>
                <w:color w:val="auto"/>
              </w:rPr>
            </w:pPr>
            <w:r>
              <w:rPr>
                <w:rFonts w:ascii="Arial" w:cs="Arial" w:eastAsia="Arial" w:hAnsi="Arial"/>
                <w:sz w:val="18"/>
                <w:szCs w:val="18"/>
                <w:b w:val="1"/>
                <w:bCs w:val="1"/>
                <w:color w:val="auto"/>
                <w:w w:val="90"/>
              </w:rPr>
              <w:t>Results of Operations for the Three Months Ended March 31, 2016 and 2015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15"/>
          </w:tcPr>
          <w:p>
            <w:pPr>
              <w:jc w:val="right"/>
              <w:ind w:right="680"/>
              <w:spacing w:after="0"/>
              <w:rPr>
                <w:sz w:val="20"/>
                <w:szCs w:val="20"/>
                <w:color w:val="auto"/>
              </w:rPr>
            </w:pPr>
            <w:r>
              <w:rPr>
                <w:rFonts w:ascii="Arial" w:cs="Arial" w:eastAsia="Arial" w:hAnsi="Arial"/>
                <w:sz w:val="18"/>
                <w:szCs w:val="18"/>
                <w:color w:val="auto"/>
                <w:w w:val="96"/>
              </w:rPr>
              <w:t>Operating results for the three months ended March 31, 2016 and 2015 were as follows:</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240" w:type="dxa"/>
            <w:vAlign w:val="bottom"/>
            <w:gridSpan w:val="6"/>
            <w:vMerge w:val="restart"/>
          </w:tcPr>
          <w:p>
            <w:pPr>
              <w:ind w:left="720"/>
              <w:spacing w:after="0"/>
              <w:rPr>
                <w:sz w:val="20"/>
                <w:szCs w:val="20"/>
                <w:color w:val="auto"/>
              </w:rPr>
            </w:pPr>
            <w:r>
              <w:rPr>
                <w:rFonts w:ascii="Arial" w:cs="Arial" w:eastAsia="Arial" w:hAnsi="Arial"/>
                <w:sz w:val="14"/>
                <w:szCs w:val="14"/>
                <w:color w:val="auto"/>
              </w:rPr>
              <w:t>($ in millions)</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4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$37.7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auto"/>
                <w:w w:val="94"/>
              </w:rPr>
              <w:t>Less: Net expenses</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2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Net investment income before income taxes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20" w:type="dxa"/>
            <w:vAlign w:val="bottom"/>
            <w:gridSpan w:val="7"/>
          </w:tcPr>
          <w:p>
            <w:pPr>
              <w:ind w:left="140"/>
              <w:spacing w:after="0"/>
              <w:rPr>
                <w:sz w:val="20"/>
                <w:szCs w:val="20"/>
                <w:color w:val="auto"/>
              </w:rPr>
            </w:pPr>
            <w:r>
              <w:rPr>
                <w:rFonts w:ascii="Arial" w:cs="Arial" w:eastAsia="Arial" w:hAnsi="Arial"/>
                <w:sz w:val="18"/>
                <w:szCs w:val="18"/>
                <w:color w:val="auto"/>
              </w:rPr>
              <w:t>Less: Income taxes, including excise taxes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Net investment income</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20" w:type="dxa"/>
            <w:vAlign w:val="bottom"/>
            <w:gridSpan w:val="5"/>
          </w:tcPr>
          <w:p>
            <w:pPr>
              <w:spacing w:after="0"/>
              <w:rPr>
                <w:sz w:val="20"/>
                <w:szCs w:val="20"/>
                <w:color w:val="auto"/>
              </w:rPr>
            </w:pPr>
            <w:r>
              <w:rPr>
                <w:rFonts w:ascii="Arial" w:cs="Arial" w:eastAsia="Arial" w:hAnsi="Arial"/>
                <w:sz w:val="18"/>
                <w:szCs w:val="18"/>
                <w:color w:val="auto"/>
                <w:w w:val="89"/>
              </w:rPr>
              <w:t xml:space="preserve">Net realized gains </w:t>
            </w:r>
            <w:r>
              <w:rPr>
                <w:rFonts w:ascii="Arial" w:cs="Arial" w:eastAsia="Arial" w:hAnsi="Arial"/>
                <w:sz w:val="15"/>
                <w:szCs w:val="15"/>
                <w:color w:val="auto"/>
                <w:w w:val="89"/>
              </w:rPr>
              <w:t>(1)</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89"/>
              </w:rPr>
              <w:t xml:space="preserve">Net change in unrealized gains (losses) </w:t>
            </w:r>
            <w:r>
              <w:rPr>
                <w:rFonts w:ascii="Arial" w:cs="Arial" w:eastAsia="Arial" w:hAnsi="Arial"/>
                <w:sz w:val="15"/>
                <w:szCs w:val="15"/>
                <w:color w:val="auto"/>
                <w:w w:val="89"/>
              </w:rPr>
              <w:t>(1)</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20" w:type="dxa"/>
            <w:vAlign w:val="bottom"/>
            <w:gridSpan w:val="7"/>
          </w:tcPr>
          <w:p>
            <w:pPr>
              <w:ind w:left="140"/>
              <w:spacing w:after="0"/>
              <w:rPr>
                <w:sz w:val="20"/>
                <w:szCs w:val="20"/>
                <w:color w:val="auto"/>
              </w:rPr>
            </w:pPr>
            <w:r>
              <w:rPr>
                <w:rFonts w:ascii="Arial" w:cs="Arial" w:eastAsia="Arial" w:hAnsi="Arial"/>
                <w:sz w:val="18"/>
                <w:szCs w:val="18"/>
                <w:b w:val="1"/>
                <w:bCs w:val="1"/>
                <w:color w:val="auto"/>
                <w:w w:val="93"/>
              </w:rPr>
              <w:t>Net increase in net assets resulting from operations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5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$ 41.5</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Dividend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$ 42.7</w:t>
            </w:r>
          </w:p>
        </w:tc>
        <w:tc>
          <w:tcPr>
            <w:tcW w:w="6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$34.3 million for the three months ended March 31, 2015 to $41.5 million for the three months ended March 31, 2016. The average size of our investment portfolio increased from $1.3 billion during the three months ended March 31, 2015 to $1.5 billion during the three months ended March 31, 2016. In addition, accelerated amortization of upfront fees primarily from unscheduled paydowns increased from $0.3 million for the three months ended March 31, 2015 to $0.7 million for the three months ended March 31, 2016. Prepayment fees decreased from $1.7 million for the three months ended March 31, 2015 to $1.6 million for the three months ended March 31, 2016. The accelerated amortization and prepayment fees primarily resulted from full paydowns on two portfolio investments during the three months ended March 31, 2015 and a full paydown on one portfolio investment and earning a prepayment fee on one existing portfolio investment during the three months ended March 31, 2016. Dividend income for the three months ended March 31, 2016 was $0.5 million. We did not have dividend income for the three months ended March 31, 2015. Other income decreased from $3.4 million for the three months ended March 31, 2015 to $0.7 million for the three months ended March 31, 2016, primarily due to higher syndication, amendment and agency fees earned during the first quarter of 2015.</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months ended March 31, 2016 and 2015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 investment income (net of waivers)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19.1</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$4.2 million for the three months ended March 31, 2015 to $5.3 million for the three months ended March 31, 2016. This increase was primarily due to an increase in the weighted average debt outstanding from $422 million for the three months ended March 31, 2015 to $666 million for the three months ended March 31, 2016. The average interest rate on our debt outstanding was 2.6% for the three months ended March 31, 2015 and March 31, 2016.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Management Fees (net of waivers) increased from $5.0 million for the three months ended March 31, 2015 to $5.7 million for the three months ended March 31, 2016. Management Fees increased from $5.0 million for the three months ended March 31, 2015 to $5.7 million for the three months ended March 31, 2016 due to the increase in total assets, which increased from an average of $1.3 billion for the three months ended March 31, 2015 to an average of $1.5 billion for the three months ended March 31, 2016. Management Fees waived were $14,623 for the three months ended March 31, 2016, consisting solely of Management Fees attributable to our ownership of shares of common stock in TICC Capital Corp., or the TICC Shares; no management fees were waived for the three months ended March 31, 2015, which was prior to our ownership of TICC Shares.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our portfolio company.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continue to pay the full amount of the Management Fee, including with respect to the TICC Shares, in future periods.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Incentive Fees (net of waivers) related to pre-Incentive Fee net investment income increased from $4.5 million for the three months ended March 31, 2015 to $4.8 million for the three months ended March 31, 2016. This increase resulted from the increase in prepayment fees and accelerated amortization of upfront fees primarily from unscheduled paydowns. For the three months ended March 31, 2016, Incentive Fees related to pre-Incentive Fee net investment income of $0.1 million were waived, consisting solely of Incentive Fees attributable to our ownership of the TICC Shares. There were no Incentive Fees related to pre-Incentive Fee net investment income waived for the three months ended March 31, 2015, which was prior to our ownership of TICC Shares. Incentive Fees related to capital gains and losses were $0.5 million for the three months ended March 31, 2015. There were no Incentive Fees related to capital gains and losses for the three months ended March 31, 2016 due to unrealized losses on our investments.</w:t>
      </w:r>
    </w:p>
    <w:p>
      <w:pPr>
        <w:spacing w:after="0" w:line="16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depreciation with respect to the TICC Shares will be applied against our cumulative realized capital gains on which the Incentive Fee related to capital gains and losses is calculated.</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continue to pay the full amount of the Incentive Fee, including with respect to the TICC Shares,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Professional fees increased from $1.2 million for the three months ended March 31, 2015 to $1.9 million for the three months ended March 31, 2016 and other general and administrative fees increased from $1.1 million for the three months ended March 31, 2015 to $1.3 million for the three months ended March 31, 2016, both due to an increase in costs associated with servicing a growing investment portfolio.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2016 and 2015, we recorded a net expense of $0.4 million and $0.3 million, respectively, for U.S. federal excise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three months ended March 31, 2016 and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71"/>
        </w:trPr>
        <w:tc>
          <w:tcPr>
            <w:tcW w:w="658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on investments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realized gains on foreign currency forward contracts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Losses on Investments</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foreign currency borrowings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w w:val="95"/>
              </w:rPr>
              <w:t>Unrealized appreciation (depreciation) on foreign currency cash and forward contracts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5"/>
        </w:trPr>
        <w:tc>
          <w:tcPr>
            <w:tcW w:w="65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5"/>
              </w:rPr>
              <w:t>Net Change in Unrealized Gains (Losses) on Foreign Currency Transactions and</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Arial" w:cs="Arial" w:eastAsia="Arial" w:hAnsi="Arial"/>
                <w:sz w:val="18"/>
                <w:szCs w:val="18"/>
                <w:b w:val="1"/>
                <w:bCs w:val="1"/>
                <w:color w:val="auto"/>
              </w:rPr>
              <w:t>Interest Rate Swaps</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For the three months ended March 31, 2016, we did not have realized gains or losses on investments. For the three months ended March 31, 2015, we had net realized gains on investments of $0.3 million. For the three months ended March 31, 2016, we did not have realized gains or losses on interest rate swaps. For the three months ended March 31, 2015, we had net realized gains on interest rate swaps of $1.8 million. For the three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months ended March 31, 2016 and 2015, we had net realized losses of $0.1 million and net realized gains of less than $0.1 million, respectively, on foreign currency transactions, primarily as a result of translating foreign currency related to our non-USD denominated investments. We did not have realized gains or losses on foreign currency forward contracts for the three months ended March 31, 2016. For the three months ended March 31, 2015, we had net realized gains on foreign currency forward contracts of less than $0.1 million, primarily as a result of settling our foreign currency forward contracts. For the three months ended March 31, 2016 and 2015, we had net realized losses of less than $0.1 million and $0.1 million, respectively, on foreign currency investments. For the three months ended March 31, 2016 and 2015, we had net realized gains of $0.3 million and $0.1 million, respectively, on foreign currency borrowings.</w:t>
      </w:r>
    </w:p>
    <w:p>
      <w:pPr>
        <w:spacing w:after="0" w:line="18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March 31, 2016 we had $9.5 million in unrealized appreciation on 30 portfolio company investments, which was offset by $13.7 million in unrealized depreciation on 18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three months ended March 31, 2015 we had $7.2 million in unrealized appreciation on 22 portfolio company investments, which was offset by $12.5 million in unrealized depreciation on 15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three months ended March 31, 2016 and 2015, we had unrealized depreciation on foreign currency borrowings of $2.7 million and unrealized appreciation on foreign currency borrowings of $7.2 million, respectively, as a result of fluctuations in the GBP, SEK and EUR exchange rates. For the three months ended March 31, 2016, we had unrealized appreciation on foreign currency cash and forward contracts of $0.1 million. For the three months ended March 31, 2015, we had unrealized depreciation on foreign currency cash and forward contracts of less than $0.1 million. For the three months ended March 31, 2016 and 2015, we had unrealized appreciation on interest rate swaps of $1.2 million and unrealized depreciation on interest rate swaps of $0.3 million, respectively, due to fluctuations in interest rates.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2015, 2014 and 2013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2015, 2014 and 2013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540" w:type="dxa"/>
            <w:vAlign w:val="bottom"/>
          </w:tcPr>
          <w:p>
            <w:pPr>
              <w:spacing w:after="0"/>
              <w:rPr>
                <w:sz w:val="12"/>
                <w:szCs w:val="12"/>
                <w:color w:val="auto"/>
              </w:rPr>
            </w:pPr>
          </w:p>
        </w:tc>
        <w:tc>
          <w:tcPr>
            <w:tcW w:w="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163.3</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Less: Net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57.7</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105.6</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104.4</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7"/>
              </w:rPr>
              <w:t>(28.5)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(17.7)</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foreign exchange hedging activity.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vMerge w:val="continue"/>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$164.6</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$154.0</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Dividend income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$154.0 million for the year ended December 31, 2014 to $164.6 million for the year ended December 31, 2015, primarily due to the increase in the size of our investment portfolio. The average size of our investment portfolio increased from $1.2 billion during the year ended December 31, 2014 to $1.4 billion during the year ended December 31, 2015. Accelerated amortization of upfront fees primarily from unscheduled paydowns decreased from $12.5 million for the year ended December 31, 2014 to $6.9 million for the year ended December 31, 2015, and prepayment fees decreased from $21.0 million for the year ended December 31, 2014 to</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$15.4 million for the year ended December 31, 2015. The accelerated amortization and prepayment fees primarily resulted from partial paydowns on two portfolio investments, full paydowns on thirteen portfolio investments and the expiration of one unfunded commitment during the year ended December 31, 2014 and a partial paydown on one portfolio investment and full paydowns on eleven portfolio investments during the year ended December 31, 2015. Dividend income for the year ended December 31, 2015 was $0.9 million. We did not have dividend income for the year ended December 31, 2014. Other income decreased from $9.3 million for the year ended December 31, 2014 to $7.9 million for the year ended December 31, 2015, primarily due to higher syndication, amendment and agency fees earned during 2014.</w:t>
      </w:r>
    </w:p>
    <w:p>
      <w:pPr>
        <w:spacing w:after="0" w:line="17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Interest from investments, which includes amortization of upfront fees and prepayment fees, increased from $90.4 million for the year ended December 31, 2013 to $154.0 million for the year ended December 31, 2014, primarily due to the increase in the size of our investment portfolio. The average size of our investment portfolio increased from $0.8 billion during the year ended December 31, 2013 to $1.2 billion during the year ended December 31, 2014. Accelerated amortization of upfront fees primarily from unscheduled paydowns increased from $3.0 million for the year ended December 31, 2013 to $12.5 million for the year ended December 31, 2014 and prepayment fees increased from $3.0 million for the year ended December 31, 2013 to $21.0 million for the 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2015, 2014 and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540" w:type="dxa"/>
            <w:vAlign w:val="bottom"/>
          </w:tcPr>
          <w:p>
            <w:pPr>
              <w:spacing w:after="0"/>
              <w:rPr>
                <w:sz w:val="14"/>
                <w:szCs w:val="14"/>
                <w:color w:val="auto"/>
              </w:rPr>
            </w:pPr>
          </w:p>
        </w:tc>
        <w:tc>
          <w:tcPr>
            <w:tcW w:w="2440" w:type="dxa"/>
            <w:vAlign w:val="bottom"/>
            <w:gridSpan w:val="7"/>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w:t>
            </w:r>
          </w:p>
        </w:tc>
        <w:tc>
          <w:tcPr>
            <w:tcW w:w="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Incentive fees related to pre-incentive fee net investment income (net of</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 (losses)</w:t>
            </w:r>
          </w:p>
        </w:tc>
        <w:tc>
          <w:tcPr>
            <w:tcW w:w="5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700" w:type="dxa"/>
            <w:vAlign w:val="bottom"/>
          </w:tcPr>
          <w:p>
            <w:pPr>
              <w:ind w:left="4240"/>
              <w:spacing w:after="0"/>
              <w:rPr>
                <w:sz w:val="20"/>
                <w:szCs w:val="20"/>
                <w:color w:val="auto"/>
              </w:rPr>
            </w:pPr>
            <w:r>
              <w:rPr>
                <w:rFonts w:ascii="Arial" w:cs="Arial" w:eastAsia="Arial" w:hAnsi="Arial"/>
                <w:sz w:val="18"/>
                <w:szCs w:val="18"/>
                <w:color w:val="auto"/>
              </w:rPr>
              <w:t>71</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250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Directors fees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76.6</w:t>
            </w:r>
          </w:p>
        </w:tc>
        <w:tc>
          <w:tcPr>
            <w:tcW w:w="5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w:t>
            </w:r>
          </w:p>
        </w:tc>
        <w:tc>
          <w:tcPr>
            <w:tcW w:w="5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$15.1 million for the year ended December 31, 2014 to $22.0 million for the year ended December 31, 2015. This increase was primarily due to an increase in the weighted average debt outstanding from $377 million for the year ended December 31, 2014 to $541 million for the year ended December 31, 2015. The average interest rate on our debt outstanding for both the year ended December 31, 2014 and the year ended December 31, 2015 was 2.6%.</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Interest expense,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$15.8 million for the year ended December 31, 2014 to $21.2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Management Fees increased from $18.3 million for the year ended December 31, 2014 to $21.3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due to the increase in total assets, which increased from an average of $1.2 billion for the year ended December 31, 2014 to an average of $1.4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2015. Management Fees waived decreased from $2.5 million for the year ended December 31, 2014 to $0.1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2015. There were no Management Fees waived during the period April 1, 2014 through December 31, 2014, following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waived during the year ended December 31, 2015 were solely attributable to our ownership of shares of common stock in TICC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 or the TICC Shares.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Fees (net of waivers) increased from $6.2 million for the year ended December 31, 2013 to $15.8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Management Fees increased from $13.4 million for the year ended December 31, 2013 to $18.3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due to the increase in total assets, which increased from an average of $0.9 billion for the year ended December 31, 2013 to an average of $1.2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2014. Management Fees waived decreased from $7.1 million for the year ended December 31, 2013 to $2.5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2014, as there were no management fees waived during the period April 1, 2014 through December 31, 2014, following our IPO.</w:t>
      </w:r>
    </w:p>
    <w:p>
      <w:pPr>
        <w:spacing w:after="0" w:line="23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In addition, the Adviser has voluntarily waived the Management Fee on our ownership of the TICC Shares for any period in which TICC Capital Corp. remains our portfolio company.</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Agreement. There can be no assurance that the Adviser will continue to waive Management Fees related to the TICC Shares, as the Adviser can discontinue the voluntary waiver at any time. Accordingly, we may be required to continue to pay the full amount of the Management Fee, including with respect to the TICC Shares,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remained relatively flat at $20.8 million for the year ended December 31, 2014 and $20.0 million for the year ended December 31, 2015. For the year ended December 31, 2015, Incentive Fees related to pre-Incentive Fee net investment income of $0.2 million were waived, consisting solely of Incentive Fees attributable to our ownership of the TICC Shares. There were no Incentive Fees related to pre-Incentive Fee net investment income waived for the year ended December 31, 2014, as we did not hold any TICC Shares during the period. Incentive Fees related to capital gains and losses were ($2.9) million for the year ended December 31, 2014 due to unrealized losses on our investments and realized losses on foreign exchange transactions. There were no Incentive Fees related to capital gains and losses for the year ended December 31, 2015 due to unrealized losses on our investments and realized losses on our investments.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8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depreciation with respect to the TICC Shares will be applied against the our cumulative realized capital gains on which the Incentive Fee related to capital gains and losses is calculated.</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continue to pay the full amount of the Incentive Fee, including with respect to the TICC Shares,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Professional fees increased from $4.7 million for the year ended December 31, 2014 to $8.2 million for the year ended December 31, 2015 and other general and administrative fees increased from $3.9 million for the year ended December 31, 2014 to $4.8 million for the year ended December 31, 2015, both due to an increase in costs associated with servicing a growing investment portfolio, as well as incremental professional fees incurred relating to our investment in the TICC Shares and related activity.</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calendar years ended December 31, 2015, 2014 and 2013 we recorded a net expense of $1.5 million, $1.1 million and $0.2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transactions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(43.3)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(3.8)</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Unrealized appreciation (depreciation) on foreign currency cash and forward contracts</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160" w:type="dxa"/>
            <w:vAlign w:val="bottom"/>
          </w:tcPr>
          <w:p>
            <w:pPr>
              <w:spacing w:after="0" w:line="198" w:lineRule="exact"/>
              <w:rPr>
                <w:sz w:val="20"/>
                <w:szCs w:val="20"/>
                <w:color w:val="auto"/>
              </w:rPr>
            </w:pPr>
            <w:r>
              <w:rPr>
                <w:rFonts w:ascii="Arial" w:cs="Arial" w:eastAsia="Arial" w:hAnsi="Arial"/>
                <w:sz w:val="18"/>
                <w:szCs w:val="18"/>
                <w:b w:val="1"/>
                <w:bCs w:val="1"/>
                <w:color w:val="auto"/>
              </w:rPr>
              <w:t>Net Change in Unrealized Gains (Losses) on Foreign Currency Transactions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80"/>
              <w:spacing w:after="0"/>
              <w:rPr>
                <w:sz w:val="20"/>
                <w:szCs w:val="20"/>
                <w:color w:val="auto"/>
              </w:rPr>
            </w:pPr>
            <w:r>
              <w:rPr>
                <w:rFonts w:ascii="Arial" w:cs="Arial" w:eastAsia="Arial" w:hAnsi="Arial"/>
                <w:sz w:val="18"/>
                <w:szCs w:val="18"/>
                <w:b w:val="1"/>
                <w:bCs w:val="1"/>
                <w:color w:val="auto"/>
              </w:rPr>
              <w:t>Interest Rate Swaps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56"/>
        <w:spacing w:after="0" w:line="279" w:lineRule="auto"/>
        <w:rPr>
          <w:sz w:val="20"/>
          <w:szCs w:val="20"/>
          <w:color w:val="auto"/>
        </w:rPr>
      </w:pPr>
      <w:r>
        <w:rPr>
          <w:rFonts w:ascii="Arial" w:cs="Arial" w:eastAsia="Arial" w:hAnsi="Arial"/>
          <w:sz w:val="17"/>
          <w:szCs w:val="17"/>
          <w:color w:val="auto"/>
        </w:rPr>
        <w:t>For the years ended December 31, 2015, 2014 and 2013, we had net realized losses on investments of $5.0 million and net realized gains on investments of $0.1 million and $1.1 million, respectively. For the year ended December 31, 2015, we had net realized gains on interest rate swaps of $1.8 million. We did not have realized gains or losses on interest rate swaps for the years ended December 31, 2014 or 2013. For the years ended December 31, 2015, 2014 and 2013, we had net realized gains on foreign currency transactions of less than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$0.1 million, net realized losses on foreign currency transactions of $0.4 million and net realized gains on foreign currency transactions of less than $0.1 million, respectively, primarily as a result of translating foreign currency related to our non-USD denominated investments. For the years ended December 31, 2015, 2014 and 2013, we had net realized gains on foreign currency forward contracts of less than $0.1 million, net realized losses on foreign currency forward contracts of $1.6 million and net realized gains on foreign currency forward contracts of less than $0.1 million, respectively, primarily as a result of settling our foreign currency forward contracts. For the year ended December 31, 2015, we had net realized losses on foreign currency investments of $0.4 million. We did not have realized gains or losses on foreign currency investments for the years ended December 31, 2014 or 2013. For the years ended December 31, 2015 and 2014, we had net realized gains on foreign currency borrowings of $0.4 million and $0.2 million, respectively. We did not have realized gains or losses on foreign currency borrowings for the year ended December 31, 2013.</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$43.3 million in unrealized depreciation on 40 portfolio company investments. Unrealized appreciation for the year ended December 31, 2015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value, primarily due to positive valuation adjustments. Unrealized depreciation for the year ended December 31, 2015 resulted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widening in credit spreads, the reversal of prior period unrealized appreciation and in some instances negative credit-related adjustments.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2014, we had $5.4 million in unrealized appreciation on 10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fair value, primarily due to a tightening spread environment during the six months ended June 30, 2014 and positive credit-related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depreciation for the year ended December 31, 2014 resulted from the reversal of prior period unrealized appreciation, primarily due to a widening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spread environment during the six months ended December 31, 2014, and in some instances negative credit-related and energy-related adjustments.</w:t>
      </w:r>
    </w:p>
    <w:p>
      <w:pPr>
        <w:spacing w:after="0" w:line="22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 company investments. Unrealized appreciation for the year ended December 31, 2013 resulted from increases in fair value, primarily due to a tightening spread environment and positive credit-related adjustments. Unrealized depreciation for the year ended December 31, 2013 primarily resulted from the reversal of prior period unrealized appreciation and in some instances negative credit-related adjustments.</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For the years ended December 31, 2015 and 2014, we had unrealized appreciation on foreign currency borrowings of $6.3 million and $8.9 million, respectively, primarily as a result of fluctuations in the GBP, SEK and EUR exchange rates. For the year ended December 31, 2013, we did not have unrealized appreciation or depreciation on foreign currency borrowings. For the years ended December 31, 2015, 2014 and 2013, we had unrealized depreciation on foreign currency cash and forward contracts of less than $0.1 million, unrealized appreciation on foreign currency cash and forward contracts of $1.3 million, and unrealized depreciation on foreign currency cash and forward contracts of $1.2 million, respectively, primarily as a result of settling our foreign currency forward contracts. For the years ended December 31, 2015 and 2014, we had unrealized depreciation on interest rate swaps of $0.5 million and unrealized appreciation on interest rate swaps of $1.0 million, respectively, due to fluctuations in interest rates. For the year ended December 31, 2013, we did not have unrealized appreciation or depreciation on interest rate swaps.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Cash Flow Realized Gross Internal Rate of Return</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Since we began investing in 2011 through March 31, 2016, our exited investments have resulted in an aggregate cash flow realized gross internal rate of return to us of 16.2% (based on cash invested of $1.3 billion and total proceeds from these exited investments of $1.6 billion). Ninety percent of these exited investments resulted in an aggregate cash flow realized gross internal rate of return to us of 10% or greater.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necessary local currency under our Revolving Credit Facility to fund these investments. For the three months ended March 31, 2016, we had $2.7 million of unrealized losses on the translation of our non-U.S. dollar denominated debt into U.S. dollars; such amounts approximate the corresponding unrealized gains and losses on the translation of our non-U.S. dollar denominated investments into U.S. dollars for the three months ended March 31, 2016. For the years ended December 31, 2015 and 2014, we had $6.3 million and $8.9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2015 and 2014. We did not have non-U.S. dollar denominated debt in the year ended December 31, 2013. See Note 2 to our consolidated financial statements included in this prospectus for additional disclosure regarding our accounting for foreign currency. See Note 7 to our consolidated financial statements included in this prospectus for additional disclosure regarding the amounts of outstanding debt denominated in each foreign currency at March 31, 2016, December 31, 2015 and December 31, 2014. See our consolidated schedule of investments for additional disclosure regarding the foreign currency amounts (in both par and fair value) of our non-U.S. dollar denominated investments.</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three months ended March 31, 2015, we entered into foreign currency forward contracts related to our non-USD denominated investments. We did not enter into foreign currency forward contracts related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our non-USD denominated investments during the three months ended March 31, 2016. As of March 31, 2016 and 2015, we did not have any open foreign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currency forward contracts. During the years ended December 31, 2015, 2014 and 2013, we entered into foreign currency forward contracts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non-USD denominated investments. During the year ended December 31, 2015, our foreign currency forward contracts generated an unrealized loss of less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$0.1 million and a realized gain of less than $0.1 million. As of December 31, 2015, we did not have any open foreign currency forward contracts.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2014, our foreign currency forward contracts generated an unrealized gain of $1.3 million and a realized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million. During the year ended December 31, 2013, our foreign currency forward contracts generated an unrealized loss of $1.2 million and a realized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 of less than $0.1 million. We also entered into interest rate swaps in connection with one of our portfolio investments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We bear the costs incurred in connection with entering into, administering and settling derivative contracts. There can be no assurance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hedging strategy we employ will be successful.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2016 and December 31, 2015, 2014 and 2013, our asset coverage ratio was 240.7%, 225.7%, 311.0% and 232.9%,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2"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Cash and cash equivalents as of March 31, 2016, taken together with cash available under our credit facilities, is expected to be sufficient for our investing activities and to conduct our operations in the near term. As of March 31, 2016, we had approximately $298.0 million of availability on our Revolving Credit Facility.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of March 31, 2016, we had $4.0 million in cash and cash equivalents, an increase of $1.6 million from December 31, 2015. During the three months ended March 31, 2016, we used $37.0 million in cash for operating activities, primarily as a result of funding portfolio investments of $137.4 million, which was partially offset by repayments on investments of $61.5 million, other operating activity of $21.1 million, and an increase in net assets resulting from operations of $17.8 million. Lastly, cash provided by financing activities was $38.6 million during the period, primarily due to borrowings of $95.5 million and proceeds from issuance of common stock, net of offering and underwriting costs, of $78.3 million, which was partially offset by repayments on debt of $115.0 million, purchases of treasury stock of $1.4 million, and dividends paid of $18.8 million.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2015, we had $2.4 million in cash and cash equivalents. During the year ended December 31, 2015, we used $183.5 million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operating activities, primarily as a result of funding portfolio investments of $757.3 million, which was partially offset by proceeds from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$39.1 million, repayments on investments of $474.5 million, other operating activity of $3.4 million, and an increase in net assets resulting from operations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$63.6 million. Lastly, cash provided by financing activities was $183.5 million during the period, primarily due to borrowings of $847.5 million, partially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offset by repayments on debt of $584.5 million, debt issuance costs of $1.4 million and dividends paid of $78.1 million.</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w:t>
      </w:r>
    </w:p>
    <w:p>
      <w:pPr>
        <w:ind w:right="40"/>
        <w:spacing w:after="0" w:line="255" w:lineRule="auto"/>
        <w:rPr>
          <w:sz w:val="20"/>
          <w:szCs w:val="20"/>
          <w:color w:val="auto"/>
        </w:rPr>
      </w:pPr>
      <w:r>
        <w:rPr>
          <w:rFonts w:ascii="Arial" w:cs="Arial" w:eastAsia="Arial" w:hAnsi="Arial"/>
          <w:sz w:val="18"/>
          <w:szCs w:val="18"/>
          <w:color w:val="auto"/>
        </w:rPr>
        <w:t>$19.6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As of March 31, 2016, we had $0.8 million of restricted cash pledged as collateral under our interest rate swap agreements, a decrease of $0.1 million from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March 3, 2016, we issued 5,000,000 shares of common stock at $16.42 per share. Net of underwriting fees and offering costs, we received total cash proceeds of $78.3 million.</w:t>
      </w:r>
    </w:p>
    <w:p>
      <w:pPr>
        <w:spacing w:after="0" w:line="17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year ended December 31, 2014 in this section and the consolidated financial statements for the year ended December 31, 2014. During the year ended December 31, 2014, we did not deliver any drawdown notices to our private phase investors.</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remaining unfunded commitments under the subscription agreements terminated upon the completion of our IPO in March 2014, and hence as of December 31, 2015 no longer remain in effect.</w:t>
      </w:r>
    </w:p>
    <w:p>
      <w:pPr>
        <w:spacing w:after="0" w:line="17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three months ended March 31, 2016 and 2015, we issued 147,809 and 162,490 shares of our common stock, respectively, to investors who have not opted out of our dividend reinvestment plan for proceeds of $2.3 million and $2.7 million, respectively. During the years ended December 31, 2015 and 2014, we also issued 368,602 and 1,361,850 shares of our common stock, respectively, to investors who have not opted out of our dividend reinvestment plan for proceeds of $6.1 million and $22.6 million, respectively. On May 2, 2016, we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issued 186,204 shares of our common stock through our dividend reinvestment plan for proceeds of $2.9 million, which is not reflected in the number of shares issued for the three months ended March 31, 2016 in this section or the consolidated financial statements for the three months ended March 31, 2016.</w:t>
      </w:r>
    </w:p>
    <w:p>
      <w:pPr>
        <w:spacing w:after="0" w:line="12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us to enter into a new stock repurchase plan, on substantially the same terms as the prior stock repurchase plan. On February 24, 2016, the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During the three months ended March 31, 2016, 86,081 shares were repurchased under the Company 10b5-1 Plan at a weighted average price per share of $15.44, inclusive of commissions, for a total cost of $1.3 million. No shares were repurchased under the Company 10b5-1 Plan during the three months ended March 31, 2015.</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During the year ended December 31, 2015, we repurchased 2,000 shares under the Company 10b5-1 Plan at a weighted average price per share of $14.44, inclusive of commissions, for a total cost of $29 thousand. No shares were repurchased under the Company 10b5-1 Plan during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2016, December 31, 2015 and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40" w:type="dxa"/>
            <w:vAlign w:val="bottom"/>
          </w:tcPr>
          <w:p>
            <w:pPr>
              <w:spacing w:after="0"/>
              <w:rPr>
                <w:sz w:val="10"/>
                <w:szCs w:val="10"/>
                <w:color w:val="auto"/>
              </w:rPr>
            </w:pPr>
          </w:p>
        </w:tc>
        <w:tc>
          <w:tcPr>
            <w:tcW w:w="164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38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color w:val="auto"/>
              </w:rPr>
              <w:t>($ in millions)</w:t>
            </w:r>
          </w:p>
        </w:tc>
        <w:tc>
          <w:tcPr>
            <w:tcW w:w="16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Amount Committed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8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4"/>
              </w:rPr>
              <w:t>523.2</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109.8</w:t>
            </w:r>
          </w:p>
        </w:tc>
      </w:tr>
      <w:tr>
        <w:trPr>
          <w:trHeight w:val="27"/>
        </w:trPr>
        <w:tc>
          <w:tcPr>
            <w:tcW w:w="4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638.2</w:t>
            </w:r>
          </w:p>
        </w:tc>
        <w:tc>
          <w:tcPr>
            <w:tcW w:w="6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626.1</w:t>
            </w:r>
          </w:p>
        </w:tc>
      </w:tr>
      <w:tr>
        <w:trPr>
          <w:trHeight w:val="20"/>
        </w:trPr>
        <w:tc>
          <w:tcPr>
            <w:tcW w:w="4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$6.9 million and $2.9 million, respectively.</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540" w:type="dxa"/>
            <w:vAlign w:val="bottom"/>
          </w:tcPr>
          <w:p>
            <w:pPr>
              <w:spacing w:after="0"/>
              <w:rPr>
                <w:sz w:val="10"/>
                <w:szCs w:val="10"/>
                <w:color w:val="auto"/>
              </w:rPr>
            </w:pPr>
          </w:p>
        </w:tc>
        <w:tc>
          <w:tcPr>
            <w:tcW w:w="2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Aggregate Principal</w:t>
            </w:r>
          </w:p>
        </w:tc>
        <w:tc>
          <w:tcPr>
            <w:tcW w:w="1620" w:type="dxa"/>
            <w:vAlign w:val="bottom"/>
            <w:gridSpan w:val="3"/>
          </w:tcPr>
          <w:p>
            <w:pPr>
              <w:jc w:val="right"/>
              <w:ind w:right="8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100" w:type="dxa"/>
            <w:vAlign w:val="bottom"/>
          </w:tcPr>
          <w:p>
            <w:pPr>
              <w:spacing w:after="0"/>
              <w:rPr>
                <w:sz w:val="10"/>
                <w:szCs w:val="10"/>
                <w:color w:val="auto"/>
              </w:rPr>
            </w:pPr>
          </w:p>
        </w:tc>
        <w:tc>
          <w:tcPr>
            <w:tcW w:w="14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color w:val="auto"/>
              </w:rPr>
              <w:t>($ in millions)</w:t>
            </w: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821.3</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4"/>
              </w:rPr>
              <w:t>280.9</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46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109.4</w:t>
            </w:r>
          </w:p>
        </w:tc>
      </w:tr>
      <w:tr>
        <w:trPr>
          <w:trHeight w:val="27"/>
        </w:trPr>
        <w:tc>
          <w:tcPr>
            <w:tcW w:w="4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280.9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642.4</w:t>
            </w:r>
          </w:p>
        </w:tc>
      </w:tr>
      <w:tr>
        <w:trPr>
          <w:trHeight w:val="20"/>
        </w:trPr>
        <w:tc>
          <w:tcPr>
            <w:tcW w:w="4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Senior Notes are presented net of deferred financing costs of $7.3 million and $3.1 million, respectively.</w:t>
      </w:r>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780" w:type="dxa"/>
            <w:vAlign w:val="bottom"/>
          </w:tcPr>
          <w:p>
            <w:pPr>
              <w:spacing w:after="0"/>
              <w:rPr>
                <w:sz w:val="10"/>
                <w:szCs w:val="10"/>
                <w:color w:val="auto"/>
              </w:rPr>
            </w:pPr>
          </w:p>
        </w:tc>
        <w:tc>
          <w:tcPr>
            <w:tcW w:w="1540" w:type="dxa"/>
            <w:vAlign w:val="bottom"/>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0"/>
                <w:szCs w:val="10"/>
                <w:color w:val="auto"/>
              </w:rPr>
            </w:pPr>
          </w:p>
        </w:tc>
        <w:tc>
          <w:tcPr>
            <w:tcW w:w="14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Amount</w:t>
            </w: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700" w:type="dxa"/>
            <w:vAlign w:val="bottom"/>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Amount Committed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4"/>
              </w:rPr>
              <w:t>Principal</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12"/>
                <w:szCs w:val="12"/>
                <w:b w:val="1"/>
                <w:bCs w:val="1"/>
                <w:color w:val="auto"/>
                <w:w w:val="96"/>
              </w:rPr>
              <w:t>(2)</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781.3</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169.6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108.1</w:t>
            </w: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r>
              <w:rPr>
                <w:rFonts w:ascii="Arial" w:cs="Arial" w:eastAsia="Arial" w:hAnsi="Arial"/>
                <w:sz w:val="18"/>
                <w:szCs w:val="18"/>
                <w:u w:val="single" w:color="auto"/>
                <w:color w:val="auto"/>
              </w:rPr>
              <w:t>9</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381.0</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values of the SPV Asset Facility, Revolving Credit Facility and Convertible Senior Notes are presented net of deferred financing costs of $3.4 million, $7.6 million and $3.8 million, respectively.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Certain prior period information has been reclassified to conform to the current period presentation.</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of March 31, 2016, December 31, 2015 and December 31, 2014,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31"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w:t>
      </w:r>
    </w:p>
    <w:p>
      <w:pPr>
        <w:spacing w:after="0" w:line="46"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1.00% to 0.75% and (ii) any loan bearing interest at a rate determined by reference to the Adjusted LIBO Rate from 2.00% to 1.75%, in each case, if the Borrowing Base is equal to or greater than 1.85 times the Combined Debt Amount;</w:t>
      </w:r>
    </w:p>
    <w:p>
      <w:pPr>
        <w:spacing w:after="0" w:line="89" w:lineRule="exact"/>
        <w:rPr>
          <w:rFonts w:ascii="Arial" w:cs="Arial" w:eastAsia="Arial" w:hAnsi="Arial"/>
          <w:sz w:val="16"/>
          <w:szCs w:val="16"/>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660" w:right="740" w:hanging="206"/>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March 31, 2016, we had outstanding debt denominated in Swedish Krona (SEK) of 192.6 million, Euro (EUR) of 41.9 million and Pound Sterling (GBP) of 21.0 million on our Revolving Credit Facility, included in the Outstanding Principal amount in the table above.</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8, 2012, the Closing Date, our wholly owned subsidiary, TPG SL SPV, LLC,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After giving effect to amendments to the credit and security agreement in January 2014 and March 2015, the facility had commitments of $175 million and the pricing ranged from cost of funds plus 225 basis points to LIBOR plus 235 basis points and the facility was scheduled to mature on January 21, 2021.</w:t>
      </w:r>
    </w:p>
    <w:p>
      <w:pPr>
        <w:spacing w:after="0" w:line="124"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As of December 31, 2015 and 2014, TPG SL SPV had $230.3 million and $334.0 million, respectively, in investments at fair value. As of December 31, 2014, TPG SL SPV had $108.8 million in liabilities, including the outstanding borrowings, on its balance sheet. As of December 31, 2015, TPG SL SPV’s liabilities had been fully prepaid. As of December 31, 2014, TPG SL SPV had $10.2 million in restricted cash, a component of prepaid expenses and other assets, in the accompanying consolidated financial statements. TPG SL SPV did not have restricted cash as of December 31, 2015.</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of TPG SL SPV were considered our borrowings for purposes of complying with the asset coverage requirements of the 1940 Act.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Senior Notes, we have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40" w:firstLine="8"/>
        <w:spacing w:after="0" w:line="254"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w:t>
      </w:r>
    </w:p>
    <w:p>
      <w:pPr>
        <w:spacing w:after="0" w:line="19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March 31, 2016,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2016, we were in compliance with the terms of the Convertible Senior Notes Indenture.</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 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2016, December 31, 2015 and December 31, 2014, we had the following commitments to fund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color w:val="auto"/>
              </w:rPr>
              <w:t>($ in millions)</w:t>
            </w:r>
          </w:p>
        </w:tc>
        <w:tc>
          <w:tcPr>
            <w:tcW w:w="212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 2016</w:t>
            </w:r>
          </w:p>
        </w:tc>
        <w:tc>
          <w:tcPr>
            <w:tcW w:w="232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5"/>
              </w:rPr>
              <w:t>December 31, 2015</w:t>
            </w: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December 31, 2014</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 - Revolver</w:t>
            </w:r>
          </w:p>
        </w:tc>
        <w:tc>
          <w:tcPr>
            <w:tcW w:w="440" w:type="dxa"/>
            <w:vAlign w:val="bottom"/>
            <w:tcBorders>
              <w:top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4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15.4</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CrunchTime Information Systems, Inc. - Delayed Draw Term</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Loan</w:t>
            </w:r>
          </w:p>
        </w:tc>
        <w:tc>
          <w:tcPr>
            <w:tcW w:w="4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12.0</w:t>
            </w:r>
          </w:p>
        </w:tc>
        <w:tc>
          <w:tcPr>
            <w:tcW w:w="5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2.0</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440" w:type="dxa"/>
            <w:vAlign w:val="bottom"/>
          </w:tcPr>
          <w:p>
            <w:pPr>
              <w:spacing w:after="0"/>
              <w:rPr>
                <w:sz w:val="18"/>
                <w:szCs w:val="18"/>
                <w:color w:val="auto"/>
              </w:rPr>
            </w:pPr>
          </w:p>
        </w:tc>
        <w:tc>
          <w:tcPr>
            <w:tcW w:w="168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Global Healthcare Exchange, Inc. - Revolver</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Heartland Automotive Holdings, LLC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Highwinds Capital, Inc.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Infogix Inc. - Revolver</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Milagro Exploration, LLC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My Alarm Center, LLC - Delayed Draw</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 - Revolver</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PayLease, LLC - Revolver</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Multi Draw Term Loan</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1.5</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ScentAir Technologies, Inc. - Revolver</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102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Sears - ABL Revolver</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4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2016, December 31, 2015 and December 31, 2014, we had outstanding commitments to fund investments totaling $68.0 million, $78.6 million and $48.1 million, respectively.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March 31, 2016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w w:val="99"/>
              </w:rPr>
              <w:t>Payments Due by Period</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740" w:type="dxa"/>
            <w:vAlign w:val="bottom"/>
          </w:tcPr>
          <w:p>
            <w:pPr>
              <w:spacing w:after="0"/>
              <w:rPr>
                <w:sz w:val="10"/>
                <w:szCs w:val="10"/>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0"/>
                <w:szCs w:val="10"/>
                <w:color w:val="auto"/>
              </w:rPr>
            </w:pP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102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1-</w:t>
            </w:r>
          </w:p>
        </w:tc>
        <w:tc>
          <w:tcPr>
            <w:tcW w:w="1080" w:type="dxa"/>
            <w:vAlign w:val="bottom"/>
            <w:gridSpan w:val="2"/>
          </w:tcPr>
          <w:p>
            <w:pPr>
              <w:jc w:val="center"/>
              <w:ind w:left="518"/>
              <w:spacing w:after="0" w:line="119" w:lineRule="exact"/>
              <w:rPr>
                <w:sz w:val="20"/>
                <w:szCs w:val="20"/>
                <w:color w:val="auto"/>
              </w:rPr>
            </w:pPr>
            <w:r>
              <w:rPr>
                <w:rFonts w:ascii="Arial" w:cs="Arial" w:eastAsia="Arial" w:hAnsi="Arial"/>
                <w:sz w:val="13"/>
                <w:szCs w:val="13"/>
                <w:b w:val="1"/>
                <w:bCs w:val="1"/>
                <w:color w:val="auto"/>
              </w:rPr>
              <w:t>3-</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5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5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w:t>
            </w: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$523.2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$523.2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17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1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638.2</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58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3-5 years</w:t>
            </w:r>
          </w:p>
        </w:tc>
        <w:tc>
          <w:tcPr>
            <w:tcW w:w="2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w:t>
            </w: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$540.3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$ 540.3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655.3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$ 655.3</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March 31, 2016, 96.2% of our debt investments based on fair value in our portfolio bore interest at floating rates (when including investment specific hedges), with 94.2% of these subject to interest rate floors. Our credit facilities also bear interest at floating rates. In connection with our Convertible Senior Notes, which bear interest at a fixed rate, we have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that our consolidated balance sheet as of March 31, 2016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20"/>
                <w:szCs w:val="20"/>
                <w:color w:val="auto"/>
              </w:rPr>
            </w:pPr>
            <w:r>
              <w:rPr>
                <w:rFonts w:ascii="Arial" w:cs="Arial" w:eastAsia="Arial" w:hAnsi="Arial"/>
                <w:sz w:val="14"/>
                <w:szCs w:val="14"/>
                <w:b w:val="1"/>
                <w:bCs w:val="1"/>
                <w:color w:val="auto"/>
                <w:w w:val="89"/>
              </w:rPr>
              <w:t>Basis Point Change</w:t>
            </w:r>
          </w:p>
        </w:tc>
        <w:tc>
          <w:tcPr>
            <w:tcW w:w="1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Interest Income</w:t>
            </w:r>
          </w:p>
        </w:tc>
        <w:tc>
          <w:tcPr>
            <w:tcW w:w="46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48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Net Income</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6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5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5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24.0</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12.6</w:t>
            </w:r>
          </w:p>
        </w:tc>
        <w:tc>
          <w:tcPr>
            <w:tcW w:w="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4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determine if observable market information is being used, versus unobservable inputs. Some additional factors considered include the number of prices obtained, as well as an assessment as to their quality.</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93"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58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500" w:firstLine="456"/>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2016. The report of our independent registered public accounting firm, KPMG LLP, on the senior securities table as of December 31, 2015 is attached as an exhibit to the registration statement of which this prospectus is a part.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8"/>
              </w:rPr>
              <w:t>Involuntary</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Treasury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 xml:space="preserve">Securities </w:t>
            </w:r>
            <w:r>
              <w:rPr>
                <w:rFonts w:ascii="Arial" w:cs="Arial" w:eastAsia="Arial" w:hAnsi="Arial"/>
                <w:sz w:val="12"/>
                <w:szCs w:val="12"/>
                <w:b w:val="1"/>
                <w:bCs w:val="1"/>
                <w:color w:val="auto"/>
                <w:w w:val="91"/>
              </w:rPr>
              <w:t>(1)</w:t>
            </w:r>
          </w:p>
        </w:tc>
        <w:tc>
          <w:tcPr>
            <w:tcW w:w="440" w:type="dxa"/>
            <w:vAlign w:val="bottom"/>
          </w:tcPr>
          <w:p>
            <w:pPr>
              <w:spacing w:after="0"/>
              <w:rPr>
                <w:sz w:val="12"/>
                <w:szCs w:val="12"/>
                <w:color w:val="auto"/>
              </w:rPr>
            </w:pPr>
          </w:p>
        </w:tc>
        <w:tc>
          <w:tcPr>
            <w:tcW w:w="1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8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Average Market</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20" w:type="dxa"/>
            <w:vAlign w:val="bottom"/>
          </w:tcPr>
          <w:p>
            <w:pPr>
              <w:spacing w:after="0"/>
              <w:rPr>
                <w:sz w:val="12"/>
                <w:szCs w:val="12"/>
                <w:color w:val="auto"/>
              </w:rPr>
            </w:pPr>
          </w:p>
        </w:tc>
        <w:tc>
          <w:tcPr>
            <w:tcW w:w="7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6"/>
              </w:rPr>
              <w:t>($</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8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8"/>
              </w:rPr>
              <w:t>Preference Per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6"/>
              </w:rPr>
              <w:t xml:space="preserve">Per Unit </w:t>
            </w:r>
            <w:r>
              <w:rPr>
                <w:rFonts w:ascii="Arial" w:cs="Arial" w:eastAsia="Arial" w:hAnsi="Arial"/>
                <w:sz w:val="12"/>
                <w:szCs w:val="12"/>
                <w:b w:val="1"/>
                <w:bCs w:val="1"/>
                <w:color w:val="auto"/>
                <w:w w:val="96"/>
              </w:rPr>
              <w:t>(2)</w:t>
            </w:r>
          </w:p>
        </w:tc>
        <w:tc>
          <w:tcPr>
            <w:tcW w:w="18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6"/>
              </w:rPr>
              <w:t xml:space="preserve">Unit </w:t>
            </w:r>
            <w:r>
              <w:rPr>
                <w:rFonts w:ascii="Arial" w:cs="Arial" w:eastAsia="Arial" w:hAnsi="Arial"/>
                <w:sz w:val="12"/>
                <w:szCs w:val="12"/>
                <w:b w:val="1"/>
                <w:bCs w:val="1"/>
                <w:color w:val="auto"/>
                <w:w w:val="96"/>
              </w:rPr>
              <w:t>(3)</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 xml:space="preserve">Value Per Unit </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3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2016 (as of March 31, 2016)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523.2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2,407.0</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2,257.3</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283.9</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3,110.3</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432.3</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2,329.5</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331.8</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2,445.9</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2,116.7</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 (as of March 31, 2016)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2,407.0</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112.5</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2,257.3</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3,110.3</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52"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208"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73" w:lineRule="exact"/>
        <w:rPr>
          <w:rFonts w:ascii="Arial" w:cs="Arial" w:eastAsia="Arial" w:hAnsi="Arial"/>
          <w:sz w:val="17"/>
          <w:szCs w:val="17"/>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March 31, 2016, we have originated more than $4.4 billion aggregate principal amount of investments and retained approximately $3.1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By “middle-market companies,” we mean companies that have annual EBITDA, which we believe is a useful proxy for cash flow, of $10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 million, although we may invest in larger or smaller companies on occasion. As of March 31, 2016, our core portfolio companies, which exclude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that fall outside of our typical borrower profile and represent 86% of our total investments based on fair value, had weighted average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of $137.5 million and weighted average annual EBITDA of $35.7 million.</w:t>
      </w:r>
    </w:p>
    <w:p>
      <w:pPr>
        <w:spacing w:after="0" w:line="21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In conducting our investment activities, we believe that we benefit from the significant scale and resources of our Adviser and its affiliates. We have operated as a BDC since we began our investment activities in July 2011, and we are currently one of the largest BDCs by total assets.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March 31, 2016, based on fair value our portfolio consisted of 89.0% first-lien debt investments, 7.7% second-lien debt investments, 1.9% mezzanine and unsecured debt investments and 1.4% equity and other investments. Approximately 96.2% of our debt investments based on fair value as of March 31, 2016 are floating rate in nature (when including investment specific hedges), with 94.2% of these subject to interest rate floors, which we believe helps act as a portfolio-wide hedge against inflation.</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March 31, 2016, our portfolio was invested across 19 different industries. The largest industries in our portfolio as of March 31, 2016 were business services, healthcare and retail and consumer products, which represented, as a percentage of our portfolio, 20.1%, 16.9% and 11.2%, respectively, based on fair value. As of March 31, 2016, we had investments in 48 portfolio companies. As of March 31, 2016, our average investment size in each of our portfolio companies was approximately $32.6 million based on fair value. As of March 31, 2016, the largest single investment based on fair value represented 4.7% of our total investment portfolio.</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89"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TSSP, with over $16 billion of assets under management as of March 31, 2016,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Twenty three (23) of these personnel are dedicated to our business, including 16 investment professionals.</w:t>
      </w:r>
    </w:p>
    <w:p>
      <w:pPr>
        <w:spacing w:after="0" w:line="178"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TPG is a leading global private investment firm founded in 1992 with over $74 billion of assets under management as of December 31, 2015, and offices in San Francisco, Fort Worth, New York and throughout the world. In addition to TSSP, TPG’s investment business includes discrete investment platforms focused on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March 15, 2011, we entered into the Administration Agreement with our Adviser.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pay or reimburse the Adviser expenses incurred by any such affiliates or third parties for work done on our behalf. For the three months ended March 31, 2016 and the year ended December 31, 2015, we incurred expenses of $0.9 million and $3.6 million, respectively, for administrative services payable under the terms of the Administration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i w:val="1"/>
          <w:iCs w:val="1"/>
          <w:color w:val="auto"/>
        </w:rPr>
        <w:t>Strong demand for debt capital</w:t>
      </w:r>
      <w:r>
        <w:rPr>
          <w:rFonts w:ascii="Arial" w:cs="Arial" w:eastAsia="Arial" w:hAnsi="Arial"/>
          <w:sz w:val="16"/>
          <w:szCs w:val="16"/>
          <w:color w:val="auto"/>
        </w:rPr>
        <w:t>. We believe middle-market companies will continue to require access to debt capital to refinance existing debt,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growth and finance acquisitions. In addition, we believe the large amount of uninvested capital held by funds of private equity firms, estimated by Preqin Ltd., an alternative assets industry data and research company, at $1.4 trillion as of May 2016, will continue to drive deal activity. We expect that private equity firms will continue to pursue acquisitions and to seek to leverage their equity investments with secured loans provided by companies such as ours.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57150</wp:posOffset>
            </wp:positionV>
            <wp:extent cx="3095625" cy="2898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9562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80"/>
        <w:spacing w:after="0" w:line="230" w:lineRule="auto"/>
        <w:rPr>
          <w:sz w:val="20"/>
          <w:szCs w:val="20"/>
          <w:color w:val="auto"/>
        </w:rPr>
      </w:pPr>
      <w:r>
        <w:rPr>
          <w:rFonts w:ascii="Arial" w:cs="Arial" w:eastAsia="Arial" w:hAnsi="Arial"/>
          <w:sz w:val="14"/>
          <w:szCs w:val="14"/>
          <w:i w:val="1"/>
          <w:iCs w:val="1"/>
          <w:color w:val="auto"/>
        </w:rPr>
        <w:t>Notes: Excludes left and right agent commitments (including administrative, syndication and documentation agent as well as arranger); Excludes revolving credit-only asset-backed loans</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4"/>
          <w:szCs w:val="14"/>
          <w:i w:val="1"/>
          <w:iCs w:val="1"/>
          <w:color w:val="auto"/>
        </w:rPr>
        <w:t>Source: Standard &amp; Poor’s Capital IQ, Leverage Commentary &amp; Data 1Q16 Leverage Lending Review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92075</wp:posOffset>
            </wp:positionV>
            <wp:extent cx="2607310" cy="2246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0731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080"/>
        <w:spacing w:after="0"/>
        <w:rPr>
          <w:sz w:val="20"/>
          <w:szCs w:val="20"/>
          <w:color w:val="auto"/>
        </w:rPr>
      </w:pPr>
      <w:r>
        <w:rPr>
          <w:rFonts w:ascii="Arial" w:cs="Arial" w:eastAsia="Arial" w:hAnsi="Arial"/>
          <w:sz w:val="14"/>
          <w:szCs w:val="14"/>
          <w:i w:val="1"/>
          <w:iCs w:val="1"/>
          <w:color w:val="auto"/>
        </w:rPr>
        <w:t>($ in trillions)</w:t>
      </w:r>
    </w:p>
    <w:p>
      <w:pPr>
        <w:ind w:left="3080"/>
        <w:spacing w:after="0"/>
        <w:rPr>
          <w:sz w:val="20"/>
          <w:szCs w:val="20"/>
          <w:color w:val="auto"/>
        </w:rPr>
      </w:pPr>
      <w:r>
        <w:rPr>
          <w:rFonts w:ascii="Arial" w:cs="Arial" w:eastAsia="Arial" w:hAnsi="Arial"/>
          <w:sz w:val="14"/>
          <w:szCs w:val="14"/>
          <w:i w:val="1"/>
          <w:iCs w:val="1"/>
          <w:color w:val="auto"/>
        </w:rPr>
        <w:t>Source: Preqin, as of May 2016</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16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 xml:space="preserve">Disciplined investment and underwriting process. </w:t>
      </w:r>
      <w:r>
        <w:rPr>
          <w:rFonts w:ascii="Arial" w:cs="Arial" w:eastAsia="Arial" w:hAnsi="Arial"/>
          <w:sz w:val="16"/>
          <w:szCs w:val="16"/>
          <w:color w:val="auto"/>
        </w:rPr>
        <w:t>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6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Risk pricing. </w:t>
      </w:r>
      <w:r>
        <w:rPr>
          <w:rFonts w:ascii="Arial" w:cs="Arial" w:eastAsia="Arial" w:hAnsi="Arial"/>
          <w:sz w:val="18"/>
          <w:szCs w:val="18"/>
          <w:color w:val="auto"/>
        </w:rPr>
        <w:t>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Disciplined four-tiered investment framework. </w:t>
      </w:r>
      <w:r>
        <w:rPr>
          <w:rFonts w:ascii="Arial" w:cs="Arial" w:eastAsia="Arial" w:hAnsi="Arial"/>
          <w:sz w:val="18"/>
          <w:szCs w:val="18"/>
          <w:color w:val="auto"/>
        </w:rPr>
        <w:t>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right="20" w:hanging="446"/>
        <w:spacing w:after="0" w:line="276" w:lineRule="auto"/>
        <w:tabs>
          <w:tab w:leader="none" w:pos="1480" w:val="left"/>
        </w:tabs>
        <w:numPr>
          <w:ilvl w:val="1"/>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40" w:hanging="446"/>
        <w:spacing w:after="0" w:line="255" w:lineRule="auto"/>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right="240" w:hanging="446"/>
        <w:spacing w:after="0" w:line="312" w:lineRule="auto"/>
        <w:tabs>
          <w:tab w:leader="none" w:pos="1480"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80" w:hanging="446"/>
        <w:spacing w:after="0" w:line="264"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900" w:right="540" w:hanging="325"/>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Robust and active investment management. </w:t>
      </w:r>
      <w:r>
        <w:rPr>
          <w:rFonts w:ascii="Arial" w:cs="Arial" w:eastAsia="Arial" w:hAnsi="Arial"/>
          <w:sz w:val="18"/>
          <w:szCs w:val="18"/>
          <w:color w:val="auto"/>
        </w:rPr>
        <w:t>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5,400 investment opportunities our Investment Team reviewed since our inception through March 31, 2016.</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7"/>
          <w:szCs w:val="17"/>
          <w:color w:val="auto"/>
        </w:rPr>
        <w:t>Since</w:t>
      </w:r>
      <w:r>
        <w:rPr>
          <w:rFonts w:ascii="Arial" w:cs="Arial" w:eastAsia="Arial" w:hAnsi="Arial"/>
          <w:sz w:val="17"/>
          <w:szCs w:val="17"/>
          <w:i w:val="1"/>
          <w:iCs w:val="1"/>
          <w:color w:val="auto"/>
        </w:rPr>
        <w:t xml:space="preserve"> </w:t>
      </w:r>
      <w:r>
        <w:rPr>
          <w:rFonts w:ascii="Arial" w:cs="Arial" w:eastAsia="Arial" w:hAnsi="Arial"/>
          <w:sz w:val="17"/>
          <w:szCs w:val="17"/>
          <w:color w:val="auto"/>
        </w:rPr>
        <w:t>we began investing in 2011, we have invested approximately $3.1 billion. As of March 31, 2016, we had a portfolio of investments in 48 portfolio companies with an aggregate fair value of $1,563.7 million that we believe exhibits strong credit quality and broad industry composition. As of March 31, 2016, 96.2% of our debt investments based on fair value bore interest at floating rates (when including investment specific hedges), with 94.2% of these subject to interest rate floors, and 89.0% of the fair value of our portfolio was invested in first-lien debt investments. We believe this portfolio will allow us to generate meaningful investment income, and consequently dividend income, for our stockholders.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 xml:space="preserve">Aligned investment professionals. </w:t>
      </w:r>
      <w:r>
        <w:rPr>
          <w:rFonts w:ascii="Arial" w:cs="Arial" w:eastAsia="Arial" w:hAnsi="Arial"/>
          <w:sz w:val="18"/>
          <w:szCs w:val="18"/>
          <w:color w:val="auto"/>
        </w:rPr>
        <w:t>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8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 See “Management” and “Related-Party Transactions and Certain Relationships.”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w:t>
      </w:r>
      <w:r>
        <w:rPr>
          <w:rFonts w:ascii="Arial" w:cs="Arial" w:eastAsia="Arial" w:hAnsi="Arial"/>
          <w:sz w:val="18"/>
          <w:szCs w:val="18"/>
          <w:i w:val="1"/>
          <w:iCs w:val="1"/>
          <w:color w:val="auto"/>
        </w:rPr>
        <w:t xml:space="preserve"> </w:t>
      </w:r>
      <w:r>
        <w:rPr>
          <w:rFonts w:ascii="Arial" w:cs="Arial" w:eastAsia="Arial" w:hAnsi="Arial"/>
          <w:sz w:val="18"/>
          <w:szCs w:val="18"/>
          <w:color w:val="auto"/>
        </w:rPr>
        <w:t>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hanging="446"/>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8"/>
          <w:szCs w:val="18"/>
          <w:color w:val="auto"/>
        </w:rPr>
      </w:pPr>
    </w:p>
    <w:p>
      <w:pPr>
        <w:ind w:left="1480" w:hanging="446"/>
        <w:spacing w:after="0" w:line="271" w:lineRule="auto"/>
        <w:tabs>
          <w:tab w:leader="none" w:pos="1480"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“Last out” </w:t>
      </w:r>
      <w:r>
        <w:rPr>
          <w:rFonts w:ascii="Arial" w:cs="Arial" w:eastAsia="Arial" w:hAnsi="Arial"/>
          <w:sz w:val="17"/>
          <w:szCs w:val="17"/>
          <w:color w:val="auto"/>
        </w:rPr>
        <w:t>first-lien loans. “Last out” first-lien loans have a secondary priority behind super-senior “first out” first-lien loans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rFonts w:ascii="Arial" w:cs="Arial" w:eastAsia="Arial" w:hAnsi="Arial"/>
          <w:sz w:val="17"/>
          <w:szCs w:val="17"/>
          <w:color w:val="auto"/>
        </w:rPr>
      </w:pPr>
    </w:p>
    <w:p>
      <w:pPr>
        <w:ind w:left="1480" w:hanging="446"/>
        <w:spacing w:after="0" w:line="312" w:lineRule="auto"/>
        <w:tabs>
          <w:tab w:leader="none" w:pos="1480" w:val="left"/>
        </w:tabs>
        <w:numPr>
          <w:ilvl w:val="1"/>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40" w:hanging="325"/>
        <w:spacing w:after="0" w:line="270"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“Mezzanine” and “Unsecured” debt. </w:t>
      </w:r>
      <w:r>
        <w:rPr>
          <w:rFonts w:ascii="Arial" w:cs="Arial" w:eastAsia="Arial" w:hAnsi="Arial"/>
          <w:sz w:val="17"/>
          <w:szCs w:val="17"/>
          <w:color w:val="auto"/>
        </w:rPr>
        <w:t>Structurally, mezzanine debt usually ranks subordinate in priority of payment to first-lien and second-lien</w:t>
      </w:r>
      <w:r>
        <w:rPr>
          <w:rFonts w:ascii="Arial" w:cs="Arial" w:eastAsia="Arial" w:hAnsi="Arial"/>
          <w:sz w:val="17"/>
          <w:szCs w:val="17"/>
          <w:i w:val="1"/>
          <w:iCs w:val="1"/>
          <w:color w:val="auto"/>
        </w:rPr>
        <w:t xml:space="preserve"> </w:t>
      </w:r>
      <w:r>
        <w:rPr>
          <w:rFonts w:ascii="Arial" w:cs="Arial" w:eastAsia="Arial" w:hAnsi="Arial"/>
          <w:sz w:val="17"/>
          <w:szCs w:val="17"/>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 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As of March 31, 2016 and December 31, 2015, we had made investments with an aggregate fair value of $1,563.7 million and $1,485.7 million, respectively, in 48 and 46 portfolio companies,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March 31, 2016 and December 31,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6"/>
              </w:rPr>
              <w:t>March 31, 2016</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11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$ 1,414.5</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126.9</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40.8</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$ 1,611.8</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1,563.7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11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(Loss)</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$ 1,333.1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$1,310.2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40.8</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$ 1,529.7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0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00"/>
          </w:cols>
          <w:pgMar w:left="24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2016 and December 31, 2015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2016</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5.5%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2.3%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Real Estate</w:t>
            </w:r>
          </w:p>
        </w:tc>
        <w:tc>
          <w:tcPr>
            <w:tcW w:w="13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Retail and consumer products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Transportation</w:t>
            </w:r>
          </w:p>
        </w:tc>
        <w:tc>
          <w:tcPr>
            <w:tcW w:w="138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2016 and December 31, 2015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4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2016</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2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Arial" w:cs="Arial" w:eastAsia="Arial" w:hAnsi="Arial"/>
                <w:sz w:val="18"/>
                <w:szCs w:val="18"/>
                <w:color w:val="auto"/>
              </w:rPr>
              <w:t>Midwest</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11.4%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4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Arial" w:cs="Arial" w:eastAsia="Arial" w:hAnsi="Arial"/>
                <w:sz w:val="18"/>
                <w:szCs w:val="18"/>
                <w:color w:val="auto"/>
              </w:rPr>
              <w:t>South</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24.1%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4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Canada</w:t>
            </w:r>
          </w:p>
        </w:tc>
        <w:tc>
          <w:tcPr>
            <w:tcW w:w="4160" w:type="dxa"/>
            <w:vAlign w:val="bottom"/>
            <w:gridSpan w:val="3"/>
          </w:tcPr>
          <w:p>
            <w:pPr>
              <w:jc w:val="right"/>
              <w:ind w:right="520"/>
              <w:spacing w:after="0"/>
              <w:rPr>
                <w:sz w:val="20"/>
                <w:szCs w:val="20"/>
                <w:color w:val="auto"/>
              </w:rPr>
            </w:pPr>
            <w:r>
              <w:rPr>
                <w:rFonts w:ascii="Arial" w:cs="Arial" w:eastAsia="Arial" w:hAnsi="Arial"/>
                <w:sz w:val="18"/>
                <w:szCs w:val="18"/>
                <w:color w:val="auto"/>
              </w:rPr>
              <w:t>1.8%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5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540" w:type="dxa"/>
            <w:vAlign w:val="bottom"/>
            <w:vMerge w:val="restart"/>
          </w:tcPr>
          <w:p>
            <w:pPr>
              <w:jc w:val="right"/>
              <w:ind w:right="613"/>
              <w:spacing w:after="0"/>
              <w:rPr>
                <w:sz w:val="20"/>
                <w:szCs w:val="20"/>
                <w:color w:val="auto"/>
              </w:rPr>
            </w:pPr>
            <w:r>
              <w:rPr>
                <w:rFonts w:ascii="Arial" w:cs="Arial" w:eastAsia="Arial" w:hAnsi="Arial"/>
                <w:sz w:val="18"/>
                <w:szCs w:val="18"/>
                <w:color w:val="auto"/>
              </w:rPr>
              <w:t>105</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and December 31, 2015, we had the following commitments to fund investments: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tcPr>
          <w:p>
            <w:pPr>
              <w:spacing w:after="0"/>
              <w:rPr>
                <w:sz w:val="20"/>
                <w:szCs w:val="20"/>
                <w:color w:val="auto"/>
              </w:rPr>
            </w:pPr>
            <w:r>
              <w:rPr>
                <w:rFonts w:ascii="Arial" w:cs="Arial" w:eastAsia="Arial" w:hAnsi="Arial"/>
                <w:sz w:val="14"/>
                <w:szCs w:val="14"/>
                <w:color w:val="auto"/>
              </w:rPr>
              <w:t>($ in millions)</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5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 - Revolver</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CrunchTime Information Systems, Inc. - Delayed Draw Term Loan</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12.0</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36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Helix Health Ltd.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My Alarm Center, LLC - Delayed Draw</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PayLease, LLC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3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Revolver</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Sears - ABL Revolver</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7"/>
        </w:trPr>
        <w:tc>
          <w:tcPr>
            <w:tcW w:w="6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r>
      <w:tr>
        <w:trPr>
          <w:trHeight w:val="20"/>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maintain our principal executive office at 301 Commerce Street, Suite 3300, Fort Worth, Texas 76102. We do not own any real estate.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nor, to our knowledge, is any material legal proceeding threatened against 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March 31, 2016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We either originated or purchased in the secondary market the loans and securities in our current portfolio.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900" w:type="dxa"/>
            <w:vAlign w:val="bottom"/>
          </w:tcPr>
          <w:p>
            <w:pPr>
              <w:spacing w:after="0"/>
              <w:rPr>
                <w:sz w:val="12"/>
                <w:szCs w:val="12"/>
                <w:color w:val="auto"/>
              </w:rPr>
            </w:pPr>
          </w:p>
        </w:tc>
        <w:tc>
          <w:tcPr>
            <w:tcW w:w="17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Interest</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2"/>
                <w:szCs w:val="12"/>
                <w:b w:val="1"/>
                <w:bCs w:val="1"/>
                <w:color w:val="auto"/>
              </w:rPr>
              <w:t>(2)(8)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Automotive</w:t>
            </w: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w:t>
            </w:r>
          </w:p>
        </w:tc>
        <w:tc>
          <w:tcPr>
            <w:tcW w:w="2660" w:type="dxa"/>
            <w:vAlign w:val="bottom"/>
            <w:gridSpan w:val="3"/>
            <w:shd w:val="clear" w:color="auto" w:fill="CCEEFF"/>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($30,887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6/2017)</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8/28/2012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30,269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660" w:type="dxa"/>
            <w:vAlign w:val="bottom"/>
            <w:gridSpan w:val="3"/>
          </w:tcPr>
          <w:p>
            <w:pPr>
              <w:ind w:left="900"/>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loan</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($1,472 par,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due 6/2017)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10.75%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8/28/2012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3840" w:type="dxa"/>
            <w:vAlign w:val="bottom"/>
            <w:gridSpan w:val="2"/>
          </w:tcPr>
          <w:p>
            <w:pPr>
              <w:ind w:left="360"/>
              <w:spacing w:after="0"/>
              <w:rPr>
                <w:sz w:val="20"/>
                <w:szCs w:val="20"/>
                <w:color w:val="auto"/>
              </w:rPr>
            </w:pPr>
            <w:r>
              <w:rPr>
                <w:rFonts w:ascii="Arial" w:cs="Arial" w:eastAsia="Arial" w:hAnsi="Arial"/>
                <w:sz w:val="18"/>
                <w:szCs w:val="18"/>
                <w:b w:val="1"/>
                <w:bCs w:val="1"/>
                <w:color w:val="auto"/>
              </w:rPr>
              <w:t>Beverage, food and tobacco</w:t>
            </w:r>
          </w:p>
        </w:tc>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(3)(5)</w:t>
            </w:r>
          </w:p>
        </w:tc>
        <w:tc>
          <w:tcPr>
            <w:tcW w:w="2660" w:type="dxa"/>
            <w:vAlign w:val="bottom"/>
            <w:gridSpan w:val="3"/>
            <w:shd w:val="clear" w:color="auto" w:fill="CCEEFF"/>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($62,852 par,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due 3/2020)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61,831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62,066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84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services</w:t>
            </w: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(3)(5)</w:t>
            </w:r>
          </w:p>
        </w:tc>
        <w:tc>
          <w:tcPr>
            <w:tcW w:w="2660" w:type="dxa"/>
            <w:vAlign w:val="bottom"/>
            <w:gridSpan w:val="3"/>
            <w:shd w:val="clear" w:color="auto" w:fill="CCEEFF"/>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($57,982 par,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due 4/2018)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4/11/2013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56,991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60,591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Bullhorn, Inc.</w:t>
            </w:r>
            <w:r>
              <w:rPr>
                <w:rFonts w:ascii="Arial" w:cs="Arial" w:eastAsia="Arial" w:hAnsi="Arial"/>
                <w:sz w:val="15"/>
                <w:szCs w:val="15"/>
                <w:color w:val="auto"/>
              </w:rPr>
              <w:t>(3)(5)</w:t>
            </w:r>
          </w:p>
        </w:tc>
        <w:tc>
          <w:tcPr>
            <w:tcW w:w="2660" w:type="dxa"/>
            <w:vAlign w:val="bottom"/>
            <w:gridSpan w:val="3"/>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($45,000 par,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due 11/2020)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11/12/2015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43,987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Clarabridge, Inc.</w:t>
            </w:r>
            <w:r>
              <w:rPr>
                <w:rFonts w:ascii="Arial" w:cs="Arial" w:eastAsia="Arial" w:hAnsi="Arial"/>
                <w:sz w:val="15"/>
                <w:szCs w:val="15"/>
                <w:color w:val="auto"/>
              </w:rPr>
              <w:t>(3)</w:t>
            </w:r>
          </w:p>
        </w:tc>
        <w:tc>
          <w:tcPr>
            <w:tcW w:w="2660" w:type="dxa"/>
            <w:vAlign w:val="bottom"/>
            <w:gridSpan w:val="3"/>
            <w:shd w:val="clear" w:color="auto" w:fill="CCEEFF"/>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($22,331 par,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due 4/2019)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5/20/2015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Idera, Inc.</w:t>
            </w:r>
            <w:r>
              <w:rPr>
                <w:rFonts w:ascii="Arial" w:cs="Arial" w:eastAsia="Arial" w:hAnsi="Arial"/>
                <w:sz w:val="15"/>
                <w:szCs w:val="15"/>
                <w:color w:val="auto"/>
              </w:rPr>
              <w:t>(3)</w:t>
            </w:r>
          </w:p>
        </w:tc>
        <w:tc>
          <w:tcPr>
            <w:tcW w:w="2660" w:type="dxa"/>
            <w:vAlign w:val="bottom"/>
            <w:gridSpan w:val="3"/>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($62,344 par,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due 4/2021)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10/9/2015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56,533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55,798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(3)(4)</w:t>
            </w:r>
          </w:p>
        </w:tc>
        <w:tc>
          <w:tcPr>
            <w:tcW w:w="2660" w:type="dxa"/>
            <w:vAlign w:val="bottom"/>
            <w:gridSpan w:val="3"/>
            <w:shd w:val="clear" w:color="auto" w:fill="CCEEFF"/>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($28,196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6/2019)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27,752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27,668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w:t>
            </w:r>
          </w:p>
        </w:tc>
        <w:tc>
          <w:tcPr>
            <w:tcW w:w="2660" w:type="dxa"/>
            <w:vAlign w:val="bottom"/>
            <w:gridSpan w:val="3"/>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($25,782 par,</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60" w:type="dxa"/>
            <w:vAlign w:val="bottom"/>
            <w:gridSpan w:val="3"/>
          </w:tcPr>
          <w:p>
            <w:pPr>
              <w:ind w:left="900"/>
              <w:spacing w:after="0"/>
              <w:rPr>
                <w:sz w:val="20"/>
                <w:szCs w:val="20"/>
                <w:color w:val="auto"/>
              </w:rPr>
            </w:pPr>
            <w:r>
              <w:rPr>
                <w:rFonts w:ascii="Arial" w:cs="Arial" w:eastAsia="Arial" w:hAnsi="Arial"/>
                <w:sz w:val="18"/>
                <w:szCs w:val="18"/>
                <w:color w:val="auto"/>
              </w:rPr>
              <w:t>due 9/2018)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25,506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25,849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ScentAir Technologies, Inc.</w:t>
            </w:r>
            <w:r>
              <w:rPr>
                <w:rFonts w:ascii="Arial" w:cs="Arial" w:eastAsia="Arial" w:hAnsi="Arial"/>
                <w:sz w:val="15"/>
                <w:szCs w:val="15"/>
                <w:color w:val="auto"/>
              </w:rPr>
              <w:t>(3)</w:t>
            </w:r>
          </w:p>
        </w:tc>
        <w:tc>
          <w:tcPr>
            <w:tcW w:w="2660" w:type="dxa"/>
            <w:vAlign w:val="bottom"/>
            <w:gridSpan w:val="3"/>
            <w:shd w:val="clear" w:color="auto" w:fill="CCEEFF"/>
          </w:tcPr>
          <w:p>
            <w:pPr>
              <w:ind w:left="90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($19,714 par,</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due 12/2019)</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12/30/2014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19,546</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252,058</w:t>
            </w:r>
          </w:p>
        </w:tc>
        <w:tc>
          <w:tcPr>
            <w:tcW w:w="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254,839</w:t>
            </w:r>
          </w:p>
        </w:tc>
        <w:tc>
          <w:tcPr>
            <w:tcW w:w="26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60" w:type="dxa"/>
            <w:vAlign w:val="bottom"/>
            <w:gridSpan w:val="2"/>
          </w:tcPr>
          <w:p>
            <w:pPr>
              <w:ind w:left="17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3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720" w:type="dxa"/>
            <w:vAlign w:val="bottom"/>
          </w:tcPr>
          <w:p>
            <w:pPr>
              <w:spacing w:after="0"/>
              <w:rPr>
                <w:sz w:val="12"/>
                <w:szCs w:val="12"/>
                <w:color w:val="auto"/>
              </w:rPr>
            </w:pPr>
          </w:p>
        </w:tc>
        <w:tc>
          <w:tcPr>
            <w:tcW w:w="17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0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Chemicals</w:t>
            </w:r>
          </w:p>
        </w:tc>
        <w:tc>
          <w:tcPr>
            <w:tcW w:w="7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(3)(10)</w:t>
            </w:r>
          </w:p>
        </w:tc>
        <w:tc>
          <w:tcPr>
            <w:tcW w:w="24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4"/>
              </w:rPr>
              <w:t>First-lien loan ($11,980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10/2019)</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10.50%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10/31/2014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$ 10,879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7,008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Education</w:t>
            </w:r>
          </w:p>
        </w:tc>
        <w:tc>
          <w:tcPr>
            <w:tcW w:w="7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(3)(5)</w:t>
            </w:r>
          </w:p>
        </w:tc>
        <w:tc>
          <w:tcPr>
            <w:tcW w:w="24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4"/>
              </w:rPr>
              <w:t>First-lien loan ($26,277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9/2018)</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9/30/2013</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25,910</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26,409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Electronics</w:t>
            </w:r>
          </w:p>
        </w:tc>
        <w:tc>
          <w:tcPr>
            <w:tcW w:w="7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MyAlarm Center, LLC</w:t>
            </w:r>
            <w:r>
              <w:rPr>
                <w:rFonts w:ascii="Arial" w:cs="Arial" w:eastAsia="Arial" w:hAnsi="Arial"/>
                <w:sz w:val="15"/>
                <w:szCs w:val="15"/>
                <w:color w:val="auto"/>
              </w:rPr>
              <w:t>(3)</w:t>
            </w:r>
          </w:p>
        </w:tc>
        <w:tc>
          <w:tcPr>
            <w:tcW w:w="24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4"/>
              </w:rPr>
              <w:t>First-lien loan ($62,803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1/2019)</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1/9/2014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62,244</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62,158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APX Group Inc.</w:t>
            </w:r>
          </w:p>
        </w:tc>
        <w:tc>
          <w:tcPr>
            <w:tcW w:w="24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Senior notes 8.75%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($26,961 par,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due 12/2020)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12/11/2014</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85,807</w:t>
            </w:r>
          </w:p>
        </w:tc>
        <w:tc>
          <w:tcPr>
            <w:tcW w:w="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85,412</w:t>
            </w:r>
          </w:p>
        </w:tc>
        <w:tc>
          <w:tcPr>
            <w:tcW w:w="32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7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AppStar Financial, LLC</w:t>
            </w:r>
            <w:r>
              <w:rPr>
                <w:rFonts w:ascii="Arial" w:cs="Arial" w:eastAsia="Arial" w:hAnsi="Arial"/>
                <w:sz w:val="15"/>
                <w:szCs w:val="15"/>
                <w:color w:val="auto"/>
              </w:rPr>
              <w:t>(3)</w:t>
            </w:r>
          </w:p>
        </w:tc>
        <w:tc>
          <w:tcPr>
            <w:tcW w:w="24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4"/>
              </w:rPr>
              <w:t>First-lien loan ($23,100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8/2020)</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8/18/2015</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22,592</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22,473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AvidXchange, Inc.</w:t>
            </w:r>
            <w:r>
              <w:rPr>
                <w:rFonts w:ascii="Arial" w:cs="Arial" w:eastAsia="Arial" w:hAnsi="Arial"/>
                <w:sz w:val="15"/>
                <w:szCs w:val="15"/>
                <w:color w:val="auto"/>
              </w:rPr>
              <w:t>(3)</w:t>
            </w:r>
          </w:p>
        </w:tc>
        <w:tc>
          <w:tcPr>
            <w:tcW w:w="24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Second-lien loan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($32,770 par,</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10.50%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due 8/2020)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8/7/2015</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32,281</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31,884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PayLease, LLC</w:t>
            </w:r>
            <w:r>
              <w:rPr>
                <w:rFonts w:ascii="Arial" w:cs="Arial" w:eastAsia="Arial" w:hAnsi="Arial"/>
                <w:sz w:val="15"/>
                <w:szCs w:val="15"/>
                <w:color w:val="auto"/>
              </w:rPr>
              <w:t>(3)</w:t>
            </w:r>
          </w:p>
        </w:tc>
        <w:tc>
          <w:tcPr>
            <w:tcW w:w="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10.00%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w w:val="94"/>
              </w:rPr>
              <w:t>First-lien loan ($33,851</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(incl. 2.50%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3/2020)</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3/6/2015</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33,225</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33,172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Smarsh, Inc.</w:t>
            </w:r>
            <w:r>
              <w:rPr>
                <w:rFonts w:ascii="Arial" w:cs="Arial" w:eastAsia="Arial" w:hAnsi="Arial"/>
                <w:sz w:val="15"/>
                <w:szCs w:val="15"/>
                <w:color w:val="auto"/>
              </w:rPr>
              <w:t>(3)(5)</w:t>
            </w:r>
          </w:p>
        </w:tc>
        <w:tc>
          <w:tcPr>
            <w:tcW w:w="24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First-lien loan ($30,000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par, due 1/2021)</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1/7/2016</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29,252</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Tibco Software</w:t>
            </w:r>
            <w:r>
              <w:rPr>
                <w:rFonts w:ascii="Arial" w:cs="Arial" w:eastAsia="Arial" w:hAnsi="Arial"/>
                <w:sz w:val="15"/>
                <w:szCs w:val="15"/>
                <w:color w:val="auto"/>
              </w:rPr>
              <w:t>(3)</w:t>
            </w:r>
          </w:p>
        </w:tc>
        <w:tc>
          <w:tcPr>
            <w:tcW w:w="248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First-lien loan ($249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12/2020)</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6.50%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1/26/2016</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3020" w:type="dxa"/>
            <w:vAlign w:val="bottom"/>
            <w:gridSpan w:val="2"/>
          </w:tcPr>
          <w:p>
            <w:pPr>
              <w:ind w:left="360"/>
              <w:spacing w:after="0"/>
              <w:rPr>
                <w:sz w:val="20"/>
                <w:szCs w:val="20"/>
                <w:color w:val="auto"/>
              </w:rPr>
            </w:pPr>
            <w:r>
              <w:rPr>
                <w:rFonts w:ascii="Arial" w:cs="Arial" w:eastAsia="Arial" w:hAnsi="Arial"/>
                <w:sz w:val="18"/>
                <w:szCs w:val="18"/>
                <w:b w:val="1"/>
                <w:bCs w:val="1"/>
                <w:color w:val="auto"/>
              </w:rPr>
              <w:t>Healthcare</w:t>
            </w:r>
          </w:p>
        </w:tc>
        <w:tc>
          <w:tcPr>
            <w:tcW w:w="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(3)(4)</w:t>
            </w:r>
          </w:p>
        </w:tc>
        <w:tc>
          <w:tcPr>
            <w:tcW w:w="24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First-lien loan (EUR</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42,394</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0"/>
              </w:rPr>
              <w:t>35,686 par, due 9/2019)</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9/30/2014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42,204</w:t>
            </w: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(EUR 37,202)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480" w:type="dxa"/>
            <w:vAlign w:val="bottom"/>
            <w:gridSpan w:val="2"/>
          </w:tcPr>
          <w:p>
            <w:pPr>
              <w:ind w:left="720"/>
              <w:spacing w:after="0" w:line="201" w:lineRule="exact"/>
              <w:rPr>
                <w:sz w:val="20"/>
                <w:szCs w:val="20"/>
                <w:color w:val="auto"/>
              </w:rPr>
            </w:pPr>
            <w:r>
              <w:rPr>
                <w:rFonts w:ascii="Arial" w:cs="Arial" w:eastAsia="Arial" w:hAnsi="Arial"/>
                <w:sz w:val="18"/>
                <w:szCs w:val="18"/>
                <w:color w:val="auto"/>
                <w:w w:val="94"/>
              </w:rPr>
              <w:t>First-lien revolving loan</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(EUR 300 par,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463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due 9/2019)</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11.50%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9/30/2014</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(EUR 406)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MatrixCare, Inc.</w:t>
            </w:r>
            <w:r>
              <w:rPr>
                <w:rFonts w:ascii="Arial" w:cs="Arial" w:eastAsia="Arial" w:hAnsi="Arial"/>
                <w:sz w:val="15"/>
                <w:szCs w:val="15"/>
                <w:color w:val="auto"/>
              </w:rPr>
              <w:t>(3)(5)</w:t>
            </w:r>
          </w:p>
        </w:tc>
        <w:tc>
          <w:tcPr>
            <w:tcW w:w="248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First-lien loan ($45,000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par, due 12/2021)</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12/17/2015</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44,210</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44,212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MedeAnalytics, Inc.</w:t>
            </w:r>
            <w:r>
              <w:rPr>
                <w:rFonts w:ascii="Arial" w:cs="Arial" w:eastAsia="Arial" w:hAnsi="Arial"/>
                <w:sz w:val="15"/>
                <w:szCs w:val="15"/>
                <w:color w:val="auto"/>
              </w:rPr>
              <w:t>(3)(5)</w:t>
            </w:r>
          </w:p>
        </w:tc>
        <w:tc>
          <w:tcPr>
            <w:tcW w:w="7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6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9.13%</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w w:val="94"/>
              </w:rPr>
              <w:t>First-lien loan ($45,820</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(incl. 2.50%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80" w:type="dxa"/>
            <w:vAlign w:val="bottom"/>
            <w:gridSpan w:val="2"/>
          </w:tcPr>
          <w:p>
            <w:pPr>
              <w:ind w:left="720"/>
              <w:spacing w:after="0"/>
              <w:rPr>
                <w:sz w:val="20"/>
                <w:szCs w:val="20"/>
                <w:color w:val="auto"/>
              </w:rPr>
            </w:pPr>
            <w:r>
              <w:rPr>
                <w:rFonts w:ascii="Arial" w:cs="Arial" w:eastAsia="Arial" w:hAnsi="Arial"/>
                <w:sz w:val="18"/>
                <w:szCs w:val="18"/>
                <w:color w:val="auto"/>
              </w:rPr>
              <w:t>par, due 9/2020)</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9/30/2015</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44,489</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44,330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gridSpan w:val="2"/>
          </w:tcPr>
          <w:p>
            <w:pPr>
              <w:jc w:val="right"/>
              <w:ind w:right="613"/>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4"/>
                <w:szCs w:val="14"/>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20" w:type="dxa"/>
            <w:vAlign w:val="bottom"/>
          </w:tcPr>
          <w:p>
            <w:pPr>
              <w:spacing w:after="0"/>
              <w:rPr>
                <w:sz w:val="12"/>
                <w:szCs w:val="12"/>
                <w:color w:val="auto"/>
              </w:rPr>
            </w:pPr>
          </w:p>
        </w:tc>
        <w:tc>
          <w:tcPr>
            <w:tcW w:w="18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9"/>
              </w:rPr>
              <w:t>Mediware</w:t>
            </w:r>
          </w:p>
        </w:tc>
        <w:tc>
          <w:tcPr>
            <w:tcW w:w="2660" w:type="dxa"/>
            <w:vAlign w:val="bottom"/>
            <w:tcBorders>
              <w:top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Information Systems, Inc.</w:t>
            </w:r>
            <w:r>
              <w:rPr>
                <w:rFonts w:ascii="Arial" w:cs="Arial" w:eastAsia="Arial" w:hAnsi="Arial"/>
                <w:sz w:val="15"/>
                <w:szCs w:val="15"/>
                <w:color w:val="auto"/>
              </w:rPr>
              <w:t>(3)(5)</w:t>
            </w:r>
          </w:p>
        </w:tc>
        <w:tc>
          <w:tcPr>
            <w:tcW w:w="3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First-lien loan ($67,117</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par, due 5/2018)</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11/9/2012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$ 66,353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67,788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Quantros, Inc.</w:t>
            </w:r>
            <w:r>
              <w:rPr>
                <w:rFonts w:ascii="Arial" w:cs="Arial" w:eastAsia="Arial" w:hAnsi="Arial"/>
                <w:sz w:val="15"/>
                <w:szCs w:val="15"/>
                <w:color w:val="auto"/>
              </w:rPr>
              <w:t>(3)(5)</w:t>
            </w:r>
          </w:p>
        </w:tc>
        <w:tc>
          <w:tcPr>
            <w:tcW w:w="21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6"/>
              </w:rPr>
              <w:t>First-lien loan ($30,000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par, due 2/2021)</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8.75%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2/29/2016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28,997</w:t>
            </w:r>
          </w:p>
        </w:tc>
        <w:tc>
          <w:tcPr>
            <w:tcW w:w="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w:t>
            </w:r>
          </w:p>
        </w:tc>
        <w:tc>
          <w:tcPr>
            <w:tcW w:w="2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First-lien loan ($31,406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par, due 12/2017)</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12/28/2012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31,086</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31,092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1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6"/>
              </w:rPr>
              <w:t>First-lien revolving loan</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($2,000 par,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due 12/2017)</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8.75%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12/28/2012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1,961</w:t>
            </w:r>
          </w:p>
        </w:tc>
        <w:tc>
          <w:tcPr>
            <w:tcW w:w="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259,568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261,359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CrunchTime Information</w:t>
            </w: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9.13%</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Inc.</w:t>
            </w:r>
            <w:r>
              <w:rPr>
                <w:rFonts w:ascii="Arial" w:cs="Arial" w:eastAsia="Arial" w:hAnsi="Arial"/>
                <w:sz w:val="15"/>
                <w:szCs w:val="15"/>
                <w:color w:val="auto"/>
              </w:rPr>
              <w:t>(3)</w:t>
            </w: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First-lien loan ($25,613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(incl. 2.50%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par, due 4/2020)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4/16/2015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25,062</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24,554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(3)(7)</w:t>
            </w: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gridSpan w:val="3"/>
          </w:tcPr>
          <w:p>
            <w:pPr>
              <w:jc w:val="right"/>
              <w:ind w:right="320"/>
              <w:spacing w:after="0" w:line="201" w:lineRule="exact"/>
              <w:rPr>
                <w:sz w:val="20"/>
                <w:szCs w:val="20"/>
                <w:color w:val="auto"/>
              </w:rPr>
            </w:pPr>
            <w:r>
              <w:rPr>
                <w:rFonts w:ascii="Arial" w:cs="Arial" w:eastAsia="Arial" w:hAnsi="Arial"/>
                <w:sz w:val="18"/>
                <w:szCs w:val="18"/>
                <w:color w:val="auto"/>
              </w:rPr>
              <w:t>10.13%</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w w:val="96"/>
              </w:rPr>
              <w:t>First-lien loan ($20,517</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(incl. 5.00%</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par, due 9/2019)</w:t>
            </w:r>
          </w:p>
        </w:tc>
        <w:tc>
          <w:tcPr>
            <w:tcW w:w="10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9/29/2015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20,517</w:t>
            </w:r>
          </w:p>
        </w:tc>
        <w:tc>
          <w:tcPr>
            <w:tcW w:w="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19,850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10.13%</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First-lien revolver loan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(incl. 5.00%</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($8,819 par, due 9/2019)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9/29/2015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8,819</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8,532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(4)</w:t>
            </w:r>
          </w:p>
        </w:tc>
        <w:tc>
          <w:tcPr>
            <w:tcW w:w="21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4"/>
              </w:rPr>
              <w:t>Second-lien bond (GBP</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29,468</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1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20,375 par,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due 10/2018)</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9.13%</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9/20/2013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32,991</w:t>
            </w: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(GBP 20,502)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87,389</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b w:val="1"/>
                <w:bCs w:val="1"/>
                <w:color w:val="auto"/>
                <w:w w:val="99"/>
              </w:rPr>
              <w:t>Human Resource Support Services</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Saba Software, Inc.</w:t>
            </w:r>
            <w:r>
              <w:rPr>
                <w:rFonts w:ascii="Arial" w:cs="Arial" w:eastAsia="Arial" w:hAnsi="Arial"/>
                <w:sz w:val="15"/>
                <w:szCs w:val="15"/>
                <w:color w:val="auto"/>
              </w:rPr>
              <w:t>(3)(5)</w:t>
            </w:r>
          </w:p>
        </w:tc>
        <w:tc>
          <w:tcPr>
            <w:tcW w:w="2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First-lien loan ($54,588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par, due 3/2021)</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3/30/2015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54,025</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3380" w:type="dxa"/>
            <w:vAlign w:val="bottom"/>
            <w:gridSpan w:val="2"/>
          </w:tcPr>
          <w:p>
            <w:pPr>
              <w:spacing w:after="0" w:line="201" w:lineRule="exact"/>
              <w:rPr>
                <w:sz w:val="20"/>
                <w:szCs w:val="20"/>
                <w:color w:val="auto"/>
              </w:rPr>
            </w:pPr>
            <w:r>
              <w:rPr>
                <w:rFonts w:ascii="Arial" w:cs="Arial" w:eastAsia="Arial" w:hAnsi="Arial"/>
                <w:sz w:val="18"/>
                <w:szCs w:val="18"/>
                <w:color w:val="auto"/>
              </w:rPr>
              <w:t>Skillsoft</w:t>
            </w:r>
            <w:r>
              <w:rPr>
                <w:rFonts w:ascii="Arial" w:cs="Arial" w:eastAsia="Arial" w:hAnsi="Arial"/>
                <w:sz w:val="15"/>
                <w:szCs w:val="15"/>
                <w:color w:val="auto"/>
              </w:rPr>
              <w:t>(3)</w:t>
            </w:r>
          </w:p>
        </w:tc>
        <w:tc>
          <w:tcPr>
            <w:tcW w:w="21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6"/>
              </w:rPr>
              <w:t>First-lien loan ($21,804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par, due 4/2021)</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5.75%</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11/5/2015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17,271</w:t>
            </w:r>
          </w:p>
        </w:tc>
        <w:tc>
          <w:tcPr>
            <w:tcW w:w="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17,389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71,296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71,294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b w:val="1"/>
                <w:bCs w:val="1"/>
                <w:color w:val="auto"/>
              </w:rPr>
              <w:t>Insurance</w:t>
            </w: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(3)(5)</w:t>
            </w:r>
          </w:p>
        </w:tc>
        <w:tc>
          <w:tcPr>
            <w:tcW w:w="2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First-lien loan ($65,452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par, due 10/2020)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7.75%</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10/31/2014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64,809</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64,143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80" w:type="dxa"/>
            <w:vAlign w:val="bottom"/>
            <w:gridSpan w:val="2"/>
          </w:tcPr>
          <w:p>
            <w:pPr>
              <w:ind w:left="360"/>
              <w:spacing w:after="0"/>
              <w:rPr>
                <w:sz w:val="20"/>
                <w:szCs w:val="20"/>
                <w:color w:val="auto"/>
              </w:rPr>
            </w:pPr>
            <w:r>
              <w:rPr>
                <w:rFonts w:ascii="Arial" w:cs="Arial" w:eastAsia="Arial" w:hAnsi="Arial"/>
                <w:sz w:val="18"/>
                <w:szCs w:val="18"/>
                <w:b w:val="1"/>
                <w:bCs w:val="1"/>
                <w:color w:val="auto"/>
              </w:rPr>
              <w:t>Internet Services</w:t>
            </w: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w:t>
            </w:r>
          </w:p>
        </w:tc>
        <w:tc>
          <w:tcPr>
            <w:tcW w:w="21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6"/>
              </w:rPr>
              <w:t>First-lien loan ($50,503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par, due 7/2018)</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3/7/2014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50,039</w:t>
            </w:r>
          </w:p>
        </w:tc>
        <w:tc>
          <w:tcPr>
            <w:tcW w:w="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gridSpan w:val="2"/>
          </w:tcPr>
          <w:p>
            <w:pPr>
              <w:jc w:val="right"/>
              <w:ind w:right="613"/>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Initial</w:t>
            </w: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14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340" w:type="dxa"/>
            <w:vAlign w:val="bottom"/>
          </w:tcPr>
          <w:p>
            <w:pPr>
              <w:spacing w:after="0"/>
              <w:rPr>
                <w:sz w:val="12"/>
                <w:szCs w:val="12"/>
                <w:color w:val="auto"/>
              </w:rPr>
            </w:pPr>
          </w:p>
        </w:tc>
        <w:tc>
          <w:tcPr>
            <w:tcW w:w="18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10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shd w:val="clear" w:color="auto" w:fill="CCEEFF"/>
          </w:tcPr>
          <w:p>
            <w:pPr>
              <w:spacing w:after="0"/>
              <w:rPr>
                <w:sz w:val="16"/>
                <w:szCs w:val="16"/>
                <w:color w:val="auto"/>
              </w:rPr>
            </w:pPr>
          </w:p>
        </w:tc>
        <w:tc>
          <w:tcPr>
            <w:tcW w:w="24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First-lien revolving</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loan ($2,600 par,</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due 7/2018)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3/7/2014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  2,577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52,616</w:t>
            </w:r>
          </w:p>
        </w:tc>
        <w:tc>
          <w:tcPr>
            <w:tcW w:w="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52,435</w:t>
            </w:r>
          </w:p>
        </w:tc>
        <w:tc>
          <w:tcPr>
            <w:tcW w:w="3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Manufacturing</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Jeeves Information Systems</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First-lien loan (SEK</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23,956</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AB</w:t>
            </w:r>
            <w:r>
              <w:rPr>
                <w:rFonts w:ascii="Arial" w:cs="Arial" w:eastAsia="Arial" w:hAnsi="Arial"/>
                <w:sz w:val="15"/>
                <w:szCs w:val="15"/>
                <w:color w:val="auto"/>
              </w:rPr>
              <w:t>(3)(4)(5)</w:t>
            </w:r>
          </w:p>
        </w:tc>
        <w:tc>
          <w:tcPr>
            <w:tcW w:w="21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189,931 par,</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due 3/2019)</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6/5/2013</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28,888</w:t>
            </w:r>
          </w:p>
        </w:tc>
        <w:tc>
          <w:tcPr>
            <w:tcW w:w="10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(SEK 194,205)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Office products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First-lien loan ($36,811</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par, due 3/2019)</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3/11/2014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36,596</w:t>
            </w: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36,516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Key Energy Services</w:t>
            </w:r>
            <w:r>
              <w:rPr>
                <w:rFonts w:ascii="Arial" w:cs="Arial" w:eastAsia="Arial" w:hAnsi="Arial"/>
                <w:sz w:val="15"/>
                <w:szCs w:val="15"/>
                <w:color w:val="auto"/>
              </w:rPr>
              <w:t>(3)</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First-lien loan</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($13,470 par,</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due 6/2020)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10.25%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5/27/2015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13,029</w:t>
            </w: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10,416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(3)(7)</w:t>
            </w:r>
          </w:p>
        </w:tc>
        <w:tc>
          <w:tcPr>
            <w:tcW w:w="21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First-lien loan</w:t>
            </w:r>
          </w:p>
        </w:tc>
        <w:tc>
          <w:tcPr>
            <w:tcW w:w="140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13.00%</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($48,505 par,</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(incl. 1.50%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due 6/2018)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PIK)</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6/4/2014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47,918</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60,947</w:t>
            </w:r>
          </w:p>
        </w:tc>
        <w:tc>
          <w:tcPr>
            <w:tcW w:w="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44,491</w:t>
            </w:r>
          </w:p>
        </w:tc>
        <w:tc>
          <w:tcPr>
            <w:tcW w:w="3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Pharmaceuticals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Nektar Therapeutics</w:t>
            </w:r>
            <w:r>
              <w:rPr>
                <w:rFonts w:ascii="Arial" w:cs="Arial" w:eastAsia="Arial" w:hAnsi="Arial"/>
                <w:sz w:val="15"/>
                <w:szCs w:val="15"/>
                <w:color w:val="auto"/>
              </w:rPr>
              <w:t>(4)(5)(9)</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7"/>
              </w:rPr>
              <w:t>Secured note ($74,950</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par, due 10/2020)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10/5/2015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74,046</w:t>
            </w: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73,451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Retail and consumer products</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American Achievement</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6"/>
              </w:rPr>
              <w:t>First-lien loan ($24,811</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200" w:type="dxa"/>
            <w:vAlign w:val="bottom"/>
            <w:gridSpan w:val="2"/>
          </w:tcPr>
          <w:p>
            <w:pPr>
              <w:spacing w:after="0"/>
              <w:rPr>
                <w:sz w:val="20"/>
                <w:szCs w:val="20"/>
                <w:color w:val="auto"/>
              </w:rPr>
            </w:pPr>
            <w:r>
              <w:rPr>
                <w:rFonts w:ascii="Arial" w:cs="Arial" w:eastAsia="Arial" w:hAnsi="Arial"/>
                <w:sz w:val="18"/>
                <w:szCs w:val="18"/>
                <w:color w:val="auto"/>
              </w:rPr>
              <w:t>Corporation</w:t>
            </w:r>
            <w:r>
              <w:rPr>
                <w:rFonts w:ascii="Arial" w:cs="Arial" w:eastAsia="Arial" w:hAnsi="Arial"/>
                <w:sz w:val="15"/>
                <w:szCs w:val="15"/>
                <w:color w:val="auto"/>
              </w:rPr>
              <w:t>(3)(5)</w:t>
            </w: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par, due 9/2020)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8.25%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9/30/2015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24,483</w:t>
            </w:r>
          </w:p>
        </w:tc>
        <w:tc>
          <w:tcPr>
            <w:tcW w:w="100" w:type="dxa"/>
            <w:vAlign w:val="bottom"/>
          </w:tcPr>
          <w:p>
            <w:pPr>
              <w:spacing w:after="0"/>
              <w:rPr>
                <w:sz w:val="21"/>
                <w:szCs w:val="21"/>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24,500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Destination Maternity Corporation</w:t>
            </w:r>
            <w:r>
              <w:rPr>
                <w:rFonts w:ascii="Arial" w:cs="Arial" w:eastAsia="Arial" w:hAnsi="Arial"/>
                <w:sz w:val="15"/>
                <w:szCs w:val="15"/>
                <w:color w:val="auto"/>
              </w:rPr>
              <w:t>(3)(5)</w:t>
            </w:r>
          </w:p>
        </w:tc>
        <w:tc>
          <w:tcPr>
            <w:tcW w:w="21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ABL FILO term loan</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($18,286 par, due</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3/2021)</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3/25/2016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17,853</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Quiksilver - Boardriders SA</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Bond (EUR 5,699 par,</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6,023</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due 12/2020)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9.50%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5/26/2015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(EUR 5,286)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Sears</w:t>
            </w:r>
            <w:r>
              <w:rPr>
                <w:rFonts w:ascii="Arial" w:cs="Arial" w:eastAsia="Arial" w:hAnsi="Arial"/>
                <w:sz w:val="15"/>
                <w:szCs w:val="15"/>
                <w:color w:val="auto"/>
              </w:rPr>
              <w:t>(3)(4)(6)</w:t>
            </w:r>
          </w:p>
        </w:tc>
        <w:tc>
          <w:tcPr>
            <w:tcW w:w="21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First-lien loan ($3,670</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par, due 6/2018)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1/28/2016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First-lien ABL loan</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($22,727 par,</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due 7/2020)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3/18/2016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22,045</w:t>
            </w: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22,386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First-lien ABL</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revolving loan ($6,012</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par, due 4/2016)</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4/15/2015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Sports Authority</w:t>
            </w:r>
            <w:r>
              <w:rPr>
                <w:rFonts w:ascii="Arial" w:cs="Arial" w:eastAsia="Arial" w:hAnsi="Arial"/>
                <w:sz w:val="15"/>
                <w:szCs w:val="15"/>
                <w:color w:val="auto"/>
              </w:rPr>
              <w:t>(3)(5)</w:t>
            </w:r>
          </w:p>
        </w:tc>
        <w:tc>
          <w:tcPr>
            <w:tcW w:w="214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ABL FILO term loan</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($45,135 par,</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due 6/2016)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9.40%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11/3/2015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44,198</w:t>
            </w:r>
          </w:p>
        </w:tc>
        <w:tc>
          <w:tcPr>
            <w:tcW w:w="1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44,684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840" w:type="dxa"/>
            <w:vAlign w:val="bottom"/>
          </w:tcPr>
          <w:p>
            <w:pPr>
              <w:spacing w:after="0"/>
              <w:rPr>
                <w:sz w:val="12"/>
                <w:szCs w:val="12"/>
                <w:color w:val="auto"/>
              </w:rPr>
            </w:pPr>
          </w:p>
        </w:tc>
        <w:tc>
          <w:tcPr>
            <w:tcW w:w="18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5"/>
        </w:trPr>
        <w:tc>
          <w:tcPr>
            <w:tcW w:w="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Toys ‘R’</w:t>
            </w:r>
          </w:p>
        </w:tc>
        <w:tc>
          <w:tcPr>
            <w:tcW w:w="28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Us-Delaware, Inc.</w:t>
            </w:r>
            <w:r>
              <w:rPr>
                <w:rFonts w:ascii="Arial" w:cs="Arial" w:eastAsia="Arial" w:hAnsi="Arial"/>
                <w:sz w:val="15"/>
                <w:szCs w:val="15"/>
                <w:color w:val="auto"/>
              </w:rPr>
              <w:t>(3)</w:t>
            </w:r>
          </w:p>
        </w:tc>
        <w:tc>
          <w:tcPr>
            <w:tcW w:w="8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ABL FILO term loan</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($51,000 par,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due 10/2019)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10/9/2014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174,334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174,709</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Transportation</w:t>
            </w: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Carrix, Inc.</w:t>
            </w:r>
            <w:r>
              <w:rPr>
                <w:rFonts w:ascii="Arial" w:cs="Arial" w:eastAsia="Arial" w:hAnsi="Arial"/>
                <w:sz w:val="15"/>
                <w:szCs w:val="15"/>
                <w:color w:val="auto"/>
              </w:rPr>
              <w:t>(3)</w:t>
            </w:r>
          </w:p>
        </w:tc>
        <w:tc>
          <w:tcPr>
            <w:tcW w:w="2640" w:type="dxa"/>
            <w:vAlign w:val="bottom"/>
            <w:gridSpan w:val="3"/>
          </w:tcPr>
          <w:p>
            <w:pPr>
              <w:ind w:left="840"/>
              <w:spacing w:after="0" w:line="201" w:lineRule="exact"/>
              <w:rPr>
                <w:sz w:val="20"/>
                <w:szCs w:val="20"/>
                <w:color w:val="auto"/>
              </w:rPr>
            </w:pPr>
            <w:r>
              <w:rPr>
                <w:rFonts w:ascii="Arial" w:cs="Arial" w:eastAsia="Arial" w:hAnsi="Arial"/>
                <w:sz w:val="18"/>
                <w:szCs w:val="18"/>
                <w:color w:val="auto"/>
              </w:rPr>
              <w:t>First-lien loan</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($13,441 par,</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due 1/2019)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3/17/2015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12,534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(3)(4)</w:t>
            </w:r>
          </w:p>
        </w:tc>
        <w:tc>
          <w:tcPr>
            <w:tcW w:w="2640" w:type="dxa"/>
            <w:vAlign w:val="bottom"/>
            <w:gridSpan w:val="3"/>
            <w:shd w:val="clear" w:color="auto" w:fill="CCEEFF"/>
          </w:tcPr>
          <w:p>
            <w:pPr>
              <w:ind w:left="840"/>
              <w:spacing w:after="0" w:line="201" w:lineRule="exact"/>
              <w:rPr>
                <w:sz w:val="20"/>
                <w:szCs w:val="20"/>
                <w:color w:val="auto"/>
              </w:rPr>
            </w:pPr>
            <w:r>
              <w:rPr>
                <w:rFonts w:ascii="Arial" w:cs="Arial" w:eastAsia="Arial" w:hAnsi="Arial"/>
                <w:sz w:val="18"/>
                <w:szCs w:val="18"/>
                <w:color w:val="auto"/>
              </w:rPr>
              <w:t>Second-lien loan</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($62,500 par,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due 10/2019)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10/2/2013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74,355</w:t>
            </w:r>
          </w:p>
        </w:tc>
        <w:tc>
          <w:tcPr>
            <w:tcW w:w="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72,065</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 Investments</w:t>
            </w: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1,570,970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1,541,340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23"/>
        </w:trPr>
        <w:tc>
          <w:tcPr>
            <w:tcW w:w="3560" w:type="dxa"/>
            <w:vAlign w:val="bottom"/>
            <w:gridSpan w:val="2"/>
          </w:tcPr>
          <w:p>
            <w:pPr>
              <w:ind w:left="360"/>
              <w:spacing w:after="0"/>
              <w:rPr>
                <w:sz w:val="20"/>
                <w:szCs w:val="20"/>
                <w:color w:val="auto"/>
              </w:rPr>
            </w:pPr>
            <w:r>
              <w:rPr>
                <w:rFonts w:ascii="Arial" w:cs="Arial" w:eastAsia="Arial" w:hAnsi="Arial"/>
                <w:sz w:val="18"/>
                <w:szCs w:val="18"/>
                <w:b w:val="1"/>
                <w:bCs w:val="1"/>
                <w:color w:val="auto"/>
              </w:rPr>
              <w:t>Equity and Other Investments</w:t>
            </w: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Business services</w:t>
            </w: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p>
        </w:tc>
        <w:tc>
          <w:tcPr>
            <w:tcW w:w="2640" w:type="dxa"/>
            <w:vAlign w:val="bottom"/>
            <w:gridSpan w:val="3"/>
          </w:tcPr>
          <w:p>
            <w:pPr>
              <w:ind w:left="840"/>
              <w:spacing w:after="0" w:line="201" w:lineRule="exact"/>
              <w:rPr>
                <w:sz w:val="20"/>
                <w:szCs w:val="20"/>
                <w:color w:val="auto"/>
              </w:rPr>
            </w:pPr>
            <w:r>
              <w:rPr>
                <w:rFonts w:ascii="Arial" w:cs="Arial" w:eastAsia="Arial" w:hAnsi="Arial"/>
                <w:sz w:val="18"/>
                <w:szCs w:val="18"/>
                <w:color w:val="auto"/>
              </w:rPr>
              <w:t>Non-Voting Preferred</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Units (774,099 units)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9/12/2013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AvidXchange, Inc.</w:t>
            </w:r>
          </w:p>
        </w:tc>
        <w:tc>
          <w:tcPr>
            <w:tcW w:w="2640" w:type="dxa"/>
            <w:vAlign w:val="bottom"/>
            <w:gridSpan w:val="3"/>
          </w:tcPr>
          <w:p>
            <w:pPr>
              <w:ind w:left="840"/>
              <w:spacing w:after="0" w:line="201" w:lineRule="exact"/>
              <w:rPr>
                <w:sz w:val="20"/>
                <w:szCs w:val="20"/>
                <w:color w:val="auto"/>
              </w:rPr>
            </w:pPr>
            <w:r>
              <w:rPr>
                <w:rFonts w:ascii="Arial" w:cs="Arial" w:eastAsia="Arial" w:hAnsi="Arial"/>
                <w:sz w:val="18"/>
                <w:szCs w:val="18"/>
                <w:color w:val="auto"/>
              </w:rPr>
              <w:t>Series E Preferred</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Equity (214,132</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shares)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3,846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TICC Capital Corp.</w:t>
            </w:r>
            <w:r>
              <w:rPr>
                <w:rFonts w:ascii="Arial" w:cs="Arial" w:eastAsia="Arial" w:hAnsi="Arial"/>
                <w:sz w:val="15"/>
                <w:szCs w:val="15"/>
                <w:color w:val="auto"/>
              </w:rPr>
              <w:t>(4)</w:t>
            </w:r>
          </w:p>
        </w:tc>
        <w:tc>
          <w:tcPr>
            <w:tcW w:w="2640" w:type="dxa"/>
            <w:vAlign w:val="bottom"/>
            <w:gridSpan w:val="3"/>
            <w:shd w:val="clear" w:color="auto" w:fill="CCEEFF"/>
          </w:tcPr>
          <w:p>
            <w:pPr>
              <w:ind w:left="840"/>
              <w:spacing w:after="0" w:line="201" w:lineRule="exact"/>
              <w:rPr>
                <w:sz w:val="20"/>
                <w:szCs w:val="20"/>
                <w:color w:val="auto"/>
              </w:rPr>
            </w:pPr>
            <w:r>
              <w:rPr>
                <w:rFonts w:ascii="Arial" w:cs="Arial" w:eastAsia="Arial" w:hAnsi="Arial"/>
                <w:sz w:val="18"/>
                <w:szCs w:val="18"/>
                <w:color w:val="auto"/>
              </w:rPr>
              <w:t>Common Shares</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(1,633,660 shares)</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8/5/2015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14,789</w:t>
            </w:r>
          </w:p>
        </w:tc>
        <w:tc>
          <w:tcPr>
            <w:tcW w:w="1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11,688</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Healthcare</w:t>
            </w: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2640" w:type="dxa"/>
            <w:vAlign w:val="bottom"/>
            <w:gridSpan w:val="3"/>
          </w:tcPr>
          <w:p>
            <w:pPr>
              <w:ind w:left="840"/>
              <w:spacing w:after="0" w:line="201" w:lineRule="exact"/>
              <w:rPr>
                <w:sz w:val="20"/>
                <w:szCs w:val="20"/>
                <w:color w:val="auto"/>
              </w:rPr>
            </w:pPr>
            <w:r>
              <w:rPr>
                <w:rFonts w:ascii="Arial" w:cs="Arial" w:eastAsia="Arial" w:hAnsi="Arial"/>
                <w:sz w:val="18"/>
                <w:szCs w:val="18"/>
                <w:color w:val="auto"/>
                <w:w w:val="96"/>
              </w:rPr>
              <w:t>Common Shares Class</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A (598 shares)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3/11/2014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729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840"/>
              <w:spacing w:after="0" w:line="201" w:lineRule="exact"/>
              <w:rPr>
                <w:sz w:val="20"/>
                <w:szCs w:val="20"/>
                <w:color w:val="auto"/>
              </w:rPr>
            </w:pPr>
            <w:r>
              <w:rPr>
                <w:rFonts w:ascii="Arial" w:cs="Arial" w:eastAsia="Arial" w:hAnsi="Arial"/>
                <w:sz w:val="18"/>
                <w:szCs w:val="18"/>
                <w:color w:val="auto"/>
                <w:w w:val="96"/>
              </w:rPr>
              <w:t>Common Shares Class</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B (196 shares)</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3/11/2014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(4)</w:t>
            </w: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Warrants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1,012)</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9/30/2014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(EUR 888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2640" w:type="dxa"/>
            <w:vAlign w:val="bottom"/>
            <w:gridSpan w:val="3"/>
            <w:shd w:val="clear" w:color="auto" w:fill="CCEEFF"/>
          </w:tcPr>
          <w:p>
            <w:pPr>
              <w:ind w:left="840"/>
              <w:spacing w:after="0" w:line="201" w:lineRule="exact"/>
              <w:rPr>
                <w:sz w:val="20"/>
                <w:szCs w:val="20"/>
                <w:color w:val="auto"/>
              </w:rPr>
            </w:pPr>
            <w:r>
              <w:rPr>
                <w:rFonts w:ascii="Arial" w:cs="Arial" w:eastAsia="Arial" w:hAnsi="Arial"/>
                <w:sz w:val="18"/>
                <w:szCs w:val="18"/>
                <w:color w:val="auto"/>
              </w:rPr>
              <w:t>Common Shares</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w w:val="97"/>
              </w:rPr>
              <w:t>Class A (1,980 shares)</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12/28/2012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40" w:type="dxa"/>
            <w:vAlign w:val="bottom"/>
            <w:gridSpan w:val="3"/>
          </w:tcPr>
          <w:p>
            <w:pPr>
              <w:ind w:left="840"/>
              <w:spacing w:after="0" w:line="201" w:lineRule="exact"/>
              <w:rPr>
                <w:sz w:val="20"/>
                <w:szCs w:val="20"/>
                <w:color w:val="auto"/>
              </w:rPr>
            </w:pPr>
            <w:r>
              <w:rPr>
                <w:rFonts w:ascii="Arial" w:cs="Arial" w:eastAsia="Arial" w:hAnsi="Arial"/>
                <w:sz w:val="18"/>
                <w:szCs w:val="18"/>
                <w:color w:val="auto"/>
              </w:rPr>
              <w:t>Common Shares</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Class B (2,953,020</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shares)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12/28/2012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560" w:type="dxa"/>
            <w:vAlign w:val="bottom"/>
            <w:gridSpan w:val="2"/>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(7)</w:t>
            </w:r>
          </w:p>
        </w:tc>
        <w:tc>
          <w:tcPr>
            <w:tcW w:w="2640" w:type="dxa"/>
            <w:vAlign w:val="bottom"/>
            <w:gridSpan w:val="3"/>
            <w:shd w:val="clear" w:color="auto" w:fill="CCEEFF"/>
          </w:tcPr>
          <w:p>
            <w:pPr>
              <w:ind w:left="840"/>
              <w:spacing w:after="0" w:line="201" w:lineRule="exact"/>
              <w:rPr>
                <w:sz w:val="20"/>
                <w:szCs w:val="20"/>
                <w:color w:val="auto"/>
              </w:rPr>
            </w:pPr>
            <w:r>
              <w:rPr>
                <w:rFonts w:ascii="Arial" w:cs="Arial" w:eastAsia="Arial" w:hAnsi="Arial"/>
                <w:sz w:val="18"/>
                <w:szCs w:val="18"/>
                <w:color w:val="auto"/>
              </w:rPr>
              <w:t>Class A Units</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(5,000,000 units)</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9/29/2015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640" w:type="dxa"/>
            <w:vAlign w:val="bottom"/>
            <w:gridSpan w:val="3"/>
          </w:tcPr>
          <w:p>
            <w:pPr>
              <w:ind w:left="840"/>
              <w:spacing w:after="0" w:line="201" w:lineRule="exact"/>
              <w:rPr>
                <w:sz w:val="20"/>
                <w:szCs w:val="20"/>
                <w:color w:val="auto"/>
              </w:rPr>
            </w:pPr>
            <w:r>
              <w:rPr>
                <w:rFonts w:ascii="Arial" w:cs="Arial" w:eastAsia="Arial" w:hAnsi="Arial"/>
                <w:sz w:val="18"/>
                <w:szCs w:val="18"/>
                <w:color w:val="auto"/>
              </w:rPr>
              <w:t>Class C-1 Units</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40" w:type="dxa"/>
            <w:vAlign w:val="bottom"/>
            <w:gridSpan w:val="3"/>
          </w:tcPr>
          <w:p>
            <w:pPr>
              <w:ind w:left="840"/>
              <w:spacing w:after="0"/>
              <w:rPr>
                <w:sz w:val="20"/>
                <w:szCs w:val="20"/>
                <w:color w:val="auto"/>
              </w:rPr>
            </w:pPr>
            <w:r>
              <w:rPr>
                <w:rFonts w:ascii="Arial" w:cs="Arial" w:eastAsia="Arial" w:hAnsi="Arial"/>
                <w:sz w:val="18"/>
                <w:szCs w:val="18"/>
                <w:color w:val="auto"/>
              </w:rPr>
              <w:t>(8,800,000 units)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9/29/2015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40" w:type="dxa"/>
            <w:vAlign w:val="bottom"/>
            <w:gridSpan w:val="2"/>
          </w:tcPr>
          <w:p>
            <w:pPr>
              <w:ind w:left="20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108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8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Oil,</w:t>
            </w: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gas and consumable fuels</w:t>
            </w: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(7)</w:t>
            </w:r>
          </w:p>
        </w:tc>
        <w:tc>
          <w:tcPr>
            <w:tcW w:w="1860" w:type="dxa"/>
            <w:vAlign w:val="bottom"/>
            <w:gridSpan w:val="2"/>
          </w:tcPr>
          <w:p>
            <w:pPr>
              <w:spacing w:after="0" w:line="201" w:lineRule="exact"/>
              <w:rPr>
                <w:sz w:val="20"/>
                <w:szCs w:val="20"/>
                <w:color w:val="auto"/>
              </w:rPr>
            </w:pPr>
            <w:r>
              <w:rPr>
                <w:rFonts w:ascii="Arial" w:cs="Arial" w:eastAsia="Arial" w:hAnsi="Arial"/>
                <w:sz w:val="18"/>
                <w:szCs w:val="18"/>
                <w:color w:val="auto"/>
              </w:rPr>
              <w:t>Class A Member Units</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(933 units)</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6/4/2014</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8,874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Oak Hill Credit Partners</w:t>
            </w:r>
            <w:r>
              <w:rPr>
                <w:rFonts w:ascii="Arial" w:cs="Arial" w:eastAsia="Arial" w:hAnsi="Arial"/>
                <w:sz w:val="15"/>
                <w:szCs w:val="15"/>
                <w:color w:val="auto"/>
              </w:rPr>
              <w:t>(4)(6)</w:t>
            </w:r>
          </w:p>
        </w:tc>
        <w:tc>
          <w:tcPr>
            <w:tcW w:w="186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6.12%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8/21/2015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2,267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Symphony</w:t>
            </w:r>
            <w:r>
              <w:rPr>
                <w:rFonts w:ascii="Arial" w:cs="Arial" w:eastAsia="Arial" w:hAnsi="Arial"/>
                <w:sz w:val="15"/>
                <w:szCs w:val="15"/>
                <w:color w:val="auto"/>
              </w:rPr>
              <w:t>(4)(6)</w:t>
            </w: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Product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6.37%</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11/17/2014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6,490</w:t>
            </w:r>
          </w:p>
        </w:tc>
        <w:tc>
          <w:tcPr>
            <w:tcW w:w="320" w:type="dxa"/>
            <w:vAlign w:val="bottom"/>
            <w:vMerge w:val="continue"/>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and Other Investments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22,324</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1,611,793</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1,563,664</w:t>
            </w:r>
          </w:p>
        </w:tc>
        <w:tc>
          <w:tcPr>
            <w:tcW w:w="320" w:type="dxa"/>
            <w:vAlign w:val="bottom"/>
            <w:vMerge w:val="continue"/>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175.1%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52"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97"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13"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we may not acquire any non-qualifying asset unless, at the time such acquisition is made, qualifying assets represent at least 70% of total assets.</w:t>
      </w:r>
    </w:p>
    <w:p>
      <w:pPr>
        <w:spacing w:after="0" w:line="197"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an arrangement with other lenders in the syndication.</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9"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have the power to exercise control over management or policies of such portfolio company (including through a management agreement). Transactions during the three months ended March 31, 2016 in which the issuer was an Affiliated Person of and was deemed to Control a portfolio company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40" w:type="dxa"/>
            <w:vAlign w:val="bottom"/>
            <w:gridSpan w:val="17"/>
          </w:tcPr>
          <w:p>
            <w:pPr>
              <w:ind w:left="300"/>
              <w:spacing w:after="0"/>
              <w:rPr>
                <w:sz w:val="20"/>
                <w:szCs w:val="20"/>
                <w:color w:val="auto"/>
              </w:rPr>
            </w:pPr>
            <w:r>
              <w:rPr>
                <w:rFonts w:ascii="Arial" w:cs="Arial" w:eastAsia="Arial" w:hAnsi="Arial"/>
                <w:sz w:val="14"/>
                <w:szCs w:val="14"/>
                <w:b w:val="1"/>
                <w:bCs w:val="1"/>
                <w:color w:val="auto"/>
              </w:rPr>
              <w:t>Controlled, Affiliated Investments during the Three Months Ended March 31, 2016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Realized</w:t>
            </w: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Fair Value at</w:t>
            </w:r>
          </w:p>
        </w:tc>
        <w:tc>
          <w:tcPr>
            <w:tcW w:w="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32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Gain/</w:t>
            </w:r>
          </w:p>
        </w:tc>
        <w:tc>
          <w:tcPr>
            <w:tcW w:w="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20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Gain/(Loss)</w:t>
            </w:r>
          </w:p>
        </w:tc>
        <w:tc>
          <w:tcPr>
            <w:tcW w:w="1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36,682</w:t>
            </w:r>
          </w:p>
        </w:tc>
        <w:tc>
          <w:tcPr>
            <w:tcW w:w="2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1,958</w:t>
            </w:r>
          </w:p>
        </w:tc>
        <w:tc>
          <w:tcPr>
            <w:tcW w:w="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1"/>
              </w:rPr>
              <w:t>(121)</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(4,444)</w:t>
            </w:r>
          </w:p>
        </w:tc>
        <w:tc>
          <w:tcPr>
            <w:tcW w:w="2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34,075</w:t>
            </w:r>
          </w:p>
        </w:tc>
        <w:tc>
          <w:tcPr>
            <w:tcW w:w="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28,529</w:t>
            </w:r>
          </w:p>
        </w:tc>
        <w:tc>
          <w:tcPr>
            <w:tcW w:w="18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63,498</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3,586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(121)</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(4,359)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62,604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400" w:hanging="446"/>
        <w:spacing w:after="0" w:line="277"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March 31, 2016, the tax cost of our investments approximates their amortized cost.</w:t>
      </w:r>
    </w:p>
    <w:p>
      <w:pPr>
        <w:spacing w:after="0" w:line="252"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Notes contain a fixed rate structure. We entered into an interest rate swap agreement to swap to a floating rate. Refer to Note 5 for further information related to our interest rate swaps.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 on non-accrual as of March 31,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expire at the 2018 annual meeting of stockholders; the term of our Class II director will expire at the 2016 annual meeting of stockholders; and the terms of our Class III directors will expire at the 2017 annual meeting of stockholders.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Messrs. Higginbotham and Tanemura serve as Class I directors (with a term expiring in 2018). Mr. Ross serves as a Class II director (with a term expiring in 2016). The Board has renominated Mr. Ross as a Class II director. Messrs. Easterly and Fishman serve as Class III directors (with a term expiring in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00" w:type="dxa"/>
            <w:vAlign w:val="bottom"/>
            <w:vMerge w:val="restart"/>
          </w:tcPr>
          <w:p>
            <w:pPr>
              <w:spacing w:after="0"/>
              <w:rPr>
                <w:sz w:val="14"/>
                <w:szCs w:val="14"/>
                <w:color w:val="auto"/>
              </w:rPr>
            </w:pPr>
          </w:p>
        </w:tc>
        <w:tc>
          <w:tcPr>
            <w:tcW w:w="6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5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6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8"/>
                <w:szCs w:val="18"/>
                <w:color w:val="auto"/>
              </w:rPr>
            </w:pPr>
          </w:p>
        </w:tc>
        <w:tc>
          <w:tcPr>
            <w:tcW w:w="5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40" w:type="dxa"/>
            <w:vAlign w:val="bottom"/>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5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8"/>
                <w:szCs w:val="18"/>
                <w:color w:val="auto"/>
              </w:rPr>
            </w:pPr>
          </w:p>
        </w:tc>
        <w:tc>
          <w:tcPr>
            <w:tcW w:w="5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0"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Ronald Tanemura </w:t>
      </w:r>
      <w:r>
        <w:rPr>
          <w:rFonts w:ascii="Arial" w:cs="Arial" w:eastAsia="Arial" w:hAnsi="Arial"/>
          <w:sz w:val="18"/>
          <w:szCs w:val="18"/>
          <w:color w:val="auto"/>
        </w:rPr>
        <w:t>was elected a director of TSLX in March 2011. Since 2012, Mr. Tanemura has served as a director of post-reorganization Lehman</w:t>
      </w:r>
      <w:r>
        <w:rPr>
          <w:rFonts w:ascii="Arial" w:cs="Arial" w:eastAsia="Arial" w:hAnsi="Arial"/>
          <w:sz w:val="18"/>
          <w:szCs w:val="18"/>
          <w:b w:val="1"/>
          <w:bCs w:val="1"/>
          <w:color w:val="auto"/>
        </w:rPr>
        <w:t xml:space="preserve"> </w:t>
      </w:r>
      <w:r>
        <w:rPr>
          <w:rFonts w:ascii="Arial" w:cs="Arial" w:eastAsia="Arial" w:hAnsi="Arial"/>
          <w:sz w:val="18"/>
          <w:szCs w:val="18"/>
          <w:color w:val="auto"/>
        </w:rPr>
        <w:t>Brothers Holdings Inc. in New York. Also, since November 2012, 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6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and Chief Executive Officer of TSLX in April 2011 and became Co-Chief Executive Officer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December 2013. Mr. Fishman is a TSSP Partner. He has been an executive in corporate lending for more than 20 years with senior management experience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portfolio management and primary loan originations. Prior to joining TSLX, Mr. Fishman was the Executive Vice President and National Director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Originations for WFCF, formerly known as Wells Fargo Foothill and Foothill Capital Corporation. In this role, Mr. Fishman sat on the senior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and was responsible for primary and secondary lending, loan distribution and syndications, strategic transactions and new lending products.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2000 to 2007, he built the team that grew WFCF’s assets under management from approximately $2 billion to over $10 billion. Mr. Fishman has also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contributed to various industry publications and panel discussions, and has sat on the board of the American Bankruptcy Institute. He holds a degree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Finance from Rochester Institute of Technology. Mr. Fishman’s extensive experience in the credit markets provides the Board with valuable industry-specific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Chief Compliance Officer, Vice President and Secretary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Vice President and Principal Accounting Officer</w:t>
            </w:r>
          </w:p>
        </w:tc>
        <w:tc>
          <w:tcPr>
            <w:tcW w:w="44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44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(Bo) Stanley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President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Since 2014, Ms. Gordon has been a Managing Director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80"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 xml:space="preserve">Michael Graf </w:t>
      </w:r>
      <w:r>
        <w:rPr>
          <w:rFonts w:ascii="Arial" w:cs="Arial" w:eastAsia="Arial" w:hAnsi="Arial"/>
          <w:sz w:val="16"/>
          <w:szCs w:val="16"/>
          <w:color w:val="auto"/>
        </w:rPr>
        <w:t>is a Vice President and Principal Accounting Officer of TSLX. Mr. Graf has been TSLX’s Controller since 2013. From 2010 to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is a Certified Public Accountant with a B.S. in Finance and Accounting from the Leonard N. Stern School of Business at New York University.</w:t>
      </w:r>
    </w:p>
    <w:p>
      <w:pPr>
        <w:spacing w:after="0" w:line="151"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8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Chief Financial Officer of TSLX. From 2005 to 2015, Mr. Simmonds was a member of the Financial Institutions Group at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Merrill Lynch, most recently as Managing Director. From 2000 to 2003, Mr. Simmonds was Managing Director at Principal Global Investors, the asset management unit of The Principal Financial Group. Prior to that, Mr. Simmonds was a Senior Vice President at Bankers Trust Australia and a Senior Accountant at KPMG. Mr. Simmonds is a Chartered Accountant of Australia and New Zealand and holds a Bachelor of Commerce degree from the University of New South Wales, a Master of Applied Finance from Macquarie University and an MBA from the Wharton School of the University of Pennsylvania.</w:t>
      </w:r>
    </w:p>
    <w:p>
      <w:pPr>
        <w:spacing w:after="0" w:line="18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Robert (Bo) Stanley </w:t>
      </w:r>
      <w:r>
        <w:rPr>
          <w:rFonts w:ascii="Arial" w:cs="Arial" w:eastAsia="Arial" w:hAnsi="Arial"/>
          <w:sz w:val="18"/>
          <w:szCs w:val="18"/>
          <w:color w:val="auto"/>
        </w:rPr>
        <w:t>is President of TSLX. Since 2011, he has served as a Managing Director of the Adviser. Prior to joining TSSP in 2011, Mr.</w:t>
      </w:r>
      <w:r>
        <w:rPr>
          <w:rFonts w:ascii="Arial" w:cs="Arial" w:eastAsia="Arial" w:hAnsi="Arial"/>
          <w:sz w:val="18"/>
          <w:szCs w:val="18"/>
          <w:b w:val="1"/>
          <w:bCs w:val="1"/>
          <w:color w:val="auto"/>
        </w:rPr>
        <w:t xml:space="preserve"> </w:t>
      </w:r>
      <w:r>
        <w:rPr>
          <w:rFonts w:ascii="Arial" w:cs="Arial" w:eastAsia="Arial" w:hAnsi="Arial"/>
          <w:sz w:val="18"/>
          <w:szCs w:val="18"/>
          <w:color w:val="auto"/>
        </w:rPr>
        <w:t>Stanley was with Wells Fargo Capital Finance, a provider of specialized senior secured financing to companies throughout the U.S. and Canada, from 2000 to 2011. While at Wells Fargo, Mr. Stanley served in multiple roles in an underwriting and origination capacity, including as a Director of Loan Originations from 2006 to 2011 where he was responsible for lead development and generation of commercial loans. He holds a B.S. in Business Administration with a concentration in Finance from the University of Maine.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Associate General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TPG and TSSP Partner and is a member of the TPG’s Executive Committee.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the Chief Investment Officer of TSSP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Board has met two times in 2016, met six times in 2015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8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8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held four meetings in 2016, held ten meetings in 2015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2016 and held one meeting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1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00"/>
          </w:cols>
          <w:pgMar w:left="24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to 888 7th Avenue, 35th Floor, New York, NY 10106, Attention: TSLX Investor Relations, or by emailing us at IRTSL@tpg.com:</w:t>
      </w:r>
    </w:p>
    <w:p>
      <w:pPr>
        <w:spacing w:after="0" w:line="60"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additional fee of $10,000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2015,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2015:</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Fees Earned</w:t>
            </w:r>
          </w:p>
        </w:tc>
        <w:tc>
          <w:tcPr>
            <w:tcW w:w="78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4200" w:type="dxa"/>
            <w:vAlign w:val="bottom"/>
            <w:gridSpan w:val="3"/>
          </w:tcPr>
          <w:p>
            <w:pPr>
              <w:ind w:left="3240"/>
              <w:spacing w:after="0"/>
              <w:rPr>
                <w:sz w:val="20"/>
                <w:szCs w:val="20"/>
                <w:color w:val="auto"/>
              </w:rPr>
            </w:pPr>
            <w:r>
              <w:rPr>
                <w:rFonts w:ascii="Arial" w:cs="Arial" w:eastAsia="Arial" w:hAnsi="Arial"/>
                <w:sz w:val="14"/>
                <w:szCs w:val="14"/>
                <w:b w:val="1"/>
                <w:bCs w:val="1"/>
                <w:color w:val="auto"/>
                <w:w w:val="92"/>
              </w:rPr>
              <w:t>or Paid in Cash</w:t>
            </w:r>
          </w:p>
        </w:tc>
        <w:tc>
          <w:tcPr>
            <w:tcW w:w="7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John Ross</w:t>
            </w:r>
          </w:p>
        </w:tc>
        <w:tc>
          <w:tcPr>
            <w:tcW w:w="3340" w:type="dxa"/>
            <w:vAlign w:val="bottom"/>
            <w:gridSpan w:val="2"/>
          </w:tcPr>
          <w:p>
            <w:pPr>
              <w:ind w:left="3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133,500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334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3240" w:type="dxa"/>
            <w:vAlign w:val="bottom"/>
          </w:tcPr>
          <w:p>
            <w:pPr>
              <w:jc w:val="right"/>
              <w:ind w:right="16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the Investment Review Committee, which includes senior personnel of our Adviser and TSSP. The members of the Investment Review Committee are Joshua Easterly, Michael Fishman, Alan Waxman and David Stiepleman.</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Investment Advisory Agreement, we pay the Adviser the Management Fee and may also pay the Incentive Fees.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the year ended December 31, 2015, Management Fees were $21.3 million. For the three months ended March 31, 2016, Management Fees were $5.7 million.</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Adviser has voluntarily waived the Management Fee on our ownership of the TICC Shares for any period in which TICC Capital Corp. remains a portfolio company of the Company. For the year ended December 31, 2015 and the three months ended March 31, 2016, Management Fees of $0.1 million and $14.6 thousand were waived, respectively, consisting solely of Management Fees attributable to our ownership of the TICC Shares. Any waived Management Fees are not subject to recoupment by the Adviser.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9"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70"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2015, Incentive Fees were $20.2 million, comprised of fees related to pre-incentive fee net investment income. For the year ended December 31, 2015, no incentive fees were accrued related to capital gains. For the three months ended March 31, 2016, Incentive Fees were $4.9 million, of which $4.8 million were realized and payable to the Adviser.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year ended December 31, 2015 and the three months ended March 31, 2016, Incentive Fees of $0.2 million and $0.1 million were waived, respectively, consisting solely of Incentive Fees attributable to our ownership of the TICC Shares. Any waived Incentive Fees are not subject to recoupment by the Adviser.</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through November 2016,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2015, we incurred expenses of $3.6 million for administrative services payable under the terms of the Administration Agreement. For the three months ended March 31, 2016, we incurred expenses of $0.9 million for administrative services payable to the Adviser under the terms of the Administration Agreement.</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through November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168910</wp:posOffset>
            </wp:positionV>
            <wp:extent cx="4528185" cy="840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281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9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ind w:left="460" w:right="160"/>
        <w:spacing w:after="0" w:line="290"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8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Capital</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Depreciation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102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102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2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28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28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4"/>
              </w:rPr>
              <w:t>A</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B</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28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6</w:t>
            </w:r>
          </w:p>
        </w:tc>
        <w:tc>
          <w:tcPr>
            <w:tcW w:w="80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$16 million</w:t>
            </w: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ind w:left="6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$8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$15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 million</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$28 million</w:t>
            </w:r>
          </w:p>
        </w:tc>
      </w:tr>
      <w:tr>
        <w:trPr>
          <w:trHeight w:val="167"/>
        </w:trPr>
        <w:tc>
          <w:tcPr>
            <w:tcW w:w="2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2880" w:type="dxa"/>
            <w:vAlign w:val="bottom"/>
          </w:tcPr>
          <w:p>
            <w:pPr>
              <w:spacing w:after="0" w:line="130" w:lineRule="exact"/>
              <w:rPr>
                <w:sz w:val="20"/>
                <w:szCs w:val="20"/>
                <w:color w:val="auto"/>
              </w:rPr>
            </w:pPr>
            <w:r>
              <w:rPr>
                <w:rFonts w:ascii="Arial" w:cs="Arial" w:eastAsia="Arial" w:hAnsi="Arial"/>
                <w:sz w:val="14"/>
                <w:szCs w:val="14"/>
                <w:color w:val="auto"/>
              </w:rPr>
              <w:t>Year 7</w:t>
            </w:r>
          </w:p>
        </w:tc>
        <w:tc>
          <w:tcPr>
            <w:tcW w:w="8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60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(sale price)</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8</w:t>
            </w: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$36 million</w:t>
            </w:r>
          </w:p>
        </w:tc>
      </w:tr>
      <w:tr>
        <w:trPr>
          <w:trHeight w:val="167"/>
        </w:trPr>
        <w:tc>
          <w:tcPr>
            <w:tcW w:w="2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1840" w:right="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1840" w:right="220"/>
        <w:spacing w:after="0" w:line="34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2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1840" w:right="28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52"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1840" w:right="14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52"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7"/>
          <w:szCs w:val="17"/>
          <w:b w:val="1"/>
          <w:bCs w:val="1"/>
          <w:color w:val="auto"/>
        </w:rPr>
        <w:t>16.39%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40"/>
        <w:spacing w:after="0" w:line="264" w:lineRule="auto"/>
        <w:rPr>
          <w:sz w:val="20"/>
          <w:szCs w:val="20"/>
          <w:color w:val="auto"/>
        </w:rPr>
      </w:pPr>
      <w:r>
        <w:rPr>
          <w:rFonts w:ascii="Arial" w:cs="Arial" w:eastAsia="Arial" w:hAnsi="Arial"/>
          <w:sz w:val="18"/>
          <w:szCs w:val="18"/>
          <w:color w:val="auto"/>
        </w:rPr>
        <w:t>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7" w:lineRule="exact"/>
        <w:rPr>
          <w:sz w:val="20"/>
          <w:szCs w:val="20"/>
          <w:color w:val="auto"/>
        </w:rPr>
      </w:pPr>
    </w:p>
    <w:p>
      <w:pPr>
        <w:ind w:left="900" w:right="100" w:hanging="325"/>
        <w:spacing w:after="0" w:line="34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through November 2016,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2015.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of the factors collectively as a whole.</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2,772,201 shares, or 4.7%, of our common stock as of May 11, 2016.</w:t>
      </w:r>
    </w:p>
    <w:p>
      <w:pPr>
        <w:spacing w:after="0" w:line="15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4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11, 2016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 percentage ownership is based on 59,411,892 shares of common stock outstanding as of May 11, 2016.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7760" w:type="dxa"/>
            <w:vAlign w:val="bottom"/>
            <w:gridSpan w:val="2"/>
            <w:vMerge w:val="continue"/>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Owned(1)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Owned(1)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5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30,617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16,575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8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 (2)(3)</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2,890,413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of Investment, Department of Treasury, State of New Jersey (4)</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7,366,063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State Teachers Retirement Board of Ohio (5)</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3,961,829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 (6)</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3,488,476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FMR LLC (7)</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3,464,082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Creek Group (8)</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3,178,051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31" w:lineRule="exact"/>
        <w:rPr>
          <w:sz w:val="20"/>
          <w:szCs w:val="20"/>
          <w:color w:val="auto"/>
        </w:rPr>
      </w:pPr>
    </w:p>
    <w:p>
      <w:pPr>
        <w:ind w:left="460" w:hanging="452"/>
        <w:spacing w:after="0" w:line="271" w:lineRule="auto"/>
        <w:tabs>
          <w:tab w:leader="none" w:pos="4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TSL Advisers holds 2,772,201 shares of common stock, or the TSL Advisers Shares.</w:t>
      </w:r>
    </w:p>
    <w:p>
      <w:pPr>
        <w:spacing w:after="0" w:line="130"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92"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80" w:hanging="452"/>
        <w:spacing w:after="0" w:line="276"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right="20" w:hanging="452"/>
        <w:spacing w:after="0" w:line="287"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12, 2016 by FMR LLC and Abigail P. Johnson. FMR LLC has (i) sole power to vote 120,741 shares and (ii) sole power to dispose of 3,464,082 shares. Abigail P. Johnson has sole power to dispose of 3,464,082 shares.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74"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12, 2016 by Silver Creek Capital Management LLC, Silver Creek Advisory Partners LLC, Silver Creek Special Opportunities Fund III, L.P., Silver Creek Special Opportunities Fund Cayman III, L.P, Silver Creek Credit Opportunities II Master Fund A, L.P. and Silver Creek Credit Opportunities III Master Fund B, L.P. (collectively, the Silver Creek Group). The address of each of the Silver Creek Group entities is 1301 Fifth Avenue, 40th Floor, Seattle, WA 98101.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May 11, 2016. We are not part of a “family of investment companies,” as that term is defined in the 1940 Act.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our</w:t>
            </w:r>
          </w:p>
        </w:tc>
      </w:tr>
      <w:tr>
        <w:trPr>
          <w:trHeight w:val="149"/>
        </w:trPr>
        <w:tc>
          <w:tcPr>
            <w:tcW w:w="536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Beneficially</w:t>
            </w:r>
          </w:p>
        </w:tc>
      </w:tr>
      <w:tr>
        <w:trPr>
          <w:trHeight w:val="185"/>
        </w:trPr>
        <w:tc>
          <w:tcPr>
            <w:tcW w:w="536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Owned (1)(2)</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40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4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29"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May 11, 2016, multiplied by the closing sale price of our common stock as reported on the NYSE as of May 11, 2016.</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24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1480" w:hanging="446"/>
        <w:spacing w:after="0" w:line="312" w:lineRule="auto"/>
        <w:tabs>
          <w:tab w:leader="none" w:pos="14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2" w:lineRule="exact"/>
        <w:rPr>
          <w:rFonts w:ascii="Arial" w:cs="Arial" w:eastAsia="Arial" w:hAnsi="Arial"/>
          <w:sz w:val="16"/>
          <w:szCs w:val="16"/>
          <w:color w:val="auto"/>
        </w:rPr>
      </w:pPr>
    </w:p>
    <w:p>
      <w:pPr>
        <w:ind w:left="1480" w:right="60" w:hanging="446"/>
        <w:spacing w:after="0" w:line="286" w:lineRule="auto"/>
        <w:tabs>
          <w:tab w:leader="none" w:pos="148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20" w:hanging="325"/>
        <w:spacing w:after="0" w:line="312"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U.S. 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case of distributions made by the Company, and in the case of gross proceeds from the sale or other of shares of our common stock or preferred stock paid on or after January 1, 2019,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right="60" w:firstLine="8"/>
        <w:spacing w:after="0" w:line="323" w:lineRule="auto"/>
        <w:tabs>
          <w:tab w:leader="none" w:pos="31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60"/>
          </w:cols>
          <w:pgMar w:left="240" w:top="459" w:right="2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00"/>
          </w:cols>
          <w:pgMar w:left="24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59,411,892 shares are outstanding as of May 11, 2016, and 100,000,000 shares of preferred stock, par value $0.01 per share, of which no shares are outstanding as of May 11, 2016.</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May 11,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89,080</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59,411,892</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Investment Advisory Agreement, we have, to the extent permitted by applicable law, indemnified the Adviser and certain of its affiliates, as described under “Management and Other Agreements—Indemnification.”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person who, whether directly or indirectly and whether alone or together with its affiliates and associates, beneficially owns 10% or more of the outstanding shares of our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60"/>
          </w:cols>
          <w:pgMar w:left="240" w:top="460" w:right="2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Consolidation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 —Full Defeasance.”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5580" w:hanging="5005"/>
        <w:spacing w:after="0" w:line="449"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 169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and December 31, 2015 and 2014, our asset coverage was 240.7% and 225.7%,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Affiliates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 See “Related-Party Transactions and Certain Relationships—Exemptive Relief” for more information on the terms of the exemptive order.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80" w:hanging="446"/>
        <w:spacing w:after="0" w:line="264" w:lineRule="auto"/>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Gordon, 888 7th Avenue, 35th Floor, New York, NY 10106, Attention: TSLX Investor Relations, or by emailing us at IRTSL@tpg.com.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2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86"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7th Avenue, 35th Floor, New York, NY 10106, Attention: TSLX Investor Relations, or by emailing us at IRTSL@tpg.com.</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60"/>
          </w:cols>
          <w:pgMar w:left="240" w:top="459" w:right="3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aggregate amount of brokerage commissions paid by us during the three most recent fiscal years is $36,196, all of which was paid during fiscal year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2015 and 2014, and for each of the years in the three-year period ended December 31, 2015 and the Senior Securities schedule under the heading “Senior Securities” have been included herein and in the registration statement in reliance upon the reports of KPMG LLP, 345 Park Avenue, New York, New York 10154,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192">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Consolidated Balance Sheets as of December 31, 2015 and 2014</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Consolidated Statements of Operations for the Years Ended December 31, 2015, 2014 and 2013</w:t>
              </w:r>
            </w:hyperlink>
          </w:p>
        </w:tc>
        <w:tc>
          <w:tcPr>
            <w:tcW w:w="260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Consolidated Schedules of Investments as of December 31,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Consolidated Statements of Changes in Net Assets for the Years Ended December 31, 2015,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w w:val="99"/>
              </w:rPr>
            </w:pPr>
            <w:hyperlink w:anchor="page204">
              <w:r>
                <w:rPr>
                  <w:rFonts w:ascii="Arial" w:cs="Arial" w:eastAsia="Arial" w:hAnsi="Arial"/>
                  <w:sz w:val="18"/>
                  <w:szCs w:val="18"/>
                  <w:color w:val="0000EE"/>
                  <w:w w:val="99"/>
                </w:rPr>
                <w:t>Consolidated Statements of Cash Flows for the Years Ended December 31, 2015, 2014 and 2013</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5">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330"/>
        </w:trPr>
        <w:tc>
          <w:tcPr>
            <w:tcW w:w="9520" w:type="dxa"/>
            <w:vAlign w:val="bottom"/>
            <w:gridSpan w:val="14"/>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14"/>
          </w:tcPr>
          <w:p>
            <w:pPr>
              <w:spacing w:after="0" w:line="190" w:lineRule="exact"/>
              <w:rPr>
                <w:rFonts w:ascii="Arial" w:cs="Arial" w:eastAsia="Arial" w:hAnsi="Arial"/>
                <w:sz w:val="18"/>
                <w:szCs w:val="18"/>
                <w:color w:val="0000EE"/>
              </w:rPr>
            </w:pPr>
            <w:hyperlink w:anchor="page234">
              <w:r>
                <w:rPr>
                  <w:rFonts w:ascii="Arial" w:cs="Arial" w:eastAsia="Arial" w:hAnsi="Arial"/>
                  <w:sz w:val="18"/>
                  <w:szCs w:val="18"/>
                  <w:color w:val="0000EE"/>
                </w:rPr>
                <w:t>Consolidated Balance Sheets as of March 31, 2016 and December 31, 2015</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F-44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Consolidated Statements of Operations for the Three Months Ended March 31, 2016 and 2015</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F-45</w:t>
            </w:r>
          </w:p>
        </w:tc>
      </w:tr>
      <w:tr>
        <w:trPr>
          <w:trHeight w:val="196"/>
        </w:trPr>
        <w:tc>
          <w:tcPr>
            <w:tcW w:w="68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236">
              <w:r>
                <w:rPr>
                  <w:rFonts w:ascii="Arial" w:cs="Arial" w:eastAsia="Arial" w:hAnsi="Arial"/>
                  <w:sz w:val="18"/>
                  <w:szCs w:val="18"/>
                  <w:color w:val="0000EE"/>
                  <w:w w:val="98"/>
                </w:rPr>
                <w:t>Consolidated Schedules of Investments as of March 31, 2016 and December 31, 2015</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F-46</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Consolidated Statements of Changes in Net Assets for the Three Months Ended March 31, 2016 and 2015</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7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Consolidated Statements of Cash Flows for the Three Months Ended March 31, 2016 and 2015</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6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gridSpan w:val="8"/>
          </w:tcPr>
          <w:p>
            <w:pPr>
              <w:jc w:val="center"/>
              <w:ind w:right="358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We also have audited TPG Specialty Lending, Inc.’s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December 31, 2015 and 2014, by correspondence with custodians, or by other appropriate auditing procedures.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balance sheets of TPG Specialty Lending, Inc. (and subsidiaries), including the consolidated schedules of investments, as of December 31, 2015 and 2014, and the related consolidated statements of operations, changes in net assets, and cash flows for each of the years in the three-year period ended December 31, 2015, in conformity with U.S. generally accepted accounting principles. Also in our opinion, TPG Specialty Lending,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9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$1,443,017 and $1,225,672,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1,422,211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$86,659 and $47,580,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63,498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$1,529,676 and $1,273,252,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1,485,709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1,516,933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652,788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696,192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54,166,959 and 53,798,357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54,163,960 and 53,797,358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812,586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2,999 and 999 shares held,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27,521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820,741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1,516,933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157,964</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Dividend income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non-affiliated investments</w:t>
            </w:r>
          </w:p>
        </w:tc>
        <w:tc>
          <w:tcPr>
            <w:tcW w:w="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166,537</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160,183</w:t>
            </w:r>
          </w:p>
        </w:tc>
        <w:tc>
          <w:tcPr>
            <w:tcW w:w="7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controlled, affiliated investments: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controlled, affiliated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173,415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163,320</w:t>
            </w:r>
          </w:p>
        </w:tc>
        <w:tc>
          <w:tcPr>
            <w:tcW w:w="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Interest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22,010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15,078</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21,276</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18,296</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Incentive fees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20,180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17,839</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Directors’ fees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Other general and administrative</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7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640"/>
              <w:spacing w:after="0"/>
              <w:rPr>
                <w:sz w:val="20"/>
                <w:szCs w:val="20"/>
                <w:color w:val="auto"/>
              </w:rPr>
            </w:pPr>
            <w:r>
              <w:rPr>
                <w:rFonts w:ascii="Arial" w:cs="Arial" w:eastAsia="Arial" w:hAnsi="Arial"/>
                <w:sz w:val="16"/>
                <w:szCs w:val="16"/>
                <w:color w:val="auto"/>
              </w:rPr>
              <w:t>Total expenses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60,165</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and incentive fees waived (Note 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(226)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(2,464)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960"/>
              <w:spacing w:after="0"/>
              <w:rPr>
                <w:sz w:val="20"/>
                <w:szCs w:val="20"/>
                <w:color w:val="auto"/>
              </w:rPr>
            </w:pPr>
            <w:r>
              <w:rPr>
                <w:rFonts w:ascii="Arial" w:cs="Arial" w:eastAsia="Arial" w:hAnsi="Arial"/>
                <w:sz w:val="16"/>
                <w:szCs w:val="16"/>
                <w:b w:val="1"/>
                <w:bCs w:val="1"/>
                <w:color w:val="auto"/>
              </w:rPr>
              <w:t>Net Expenses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76,617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57,701</w:t>
            </w:r>
          </w:p>
        </w:tc>
        <w:tc>
          <w:tcPr>
            <w:tcW w:w="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 Before Income Taxes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105,619</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Income taxes, including excise taxes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104,475</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Unrealized and Realized Gains (Losses)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unrealized gains (losses):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(17,008)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6"/>
                <w:szCs w:val="16"/>
                <w:color w:val="auto"/>
              </w:rPr>
              <w:t>(22,950)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Controlled, affiliated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(17,217)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(5,945)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Translation of assets and liabilities in foreign currencies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6,275</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8,909</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rate swaps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(618)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1,244</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net change in unrealized gains (losses)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(28,568)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(17,722)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6"/>
                <w:szCs w:val="16"/>
                <w:color w:val="auto"/>
              </w:rPr>
              <w:t>Realized gains (losses):</w:t>
            </w: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(5,042)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rate swaps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(1,839)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color w:val="auto"/>
              </w:rPr>
              <w:t>Total realized gains (losses)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(3,162)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6"/>
                <w:szCs w:val="16"/>
                <w:color w:val="auto"/>
              </w:rPr>
              <w:t>(1,703)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Total Unrealized and Realized Gains (Losses)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(31,730)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(19,425)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6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63,568</w:t>
            </w:r>
          </w:p>
        </w:tc>
        <w:tc>
          <w:tcPr>
            <w:tcW w:w="420" w:type="dxa"/>
            <w:vAlign w:val="bottom"/>
          </w:tcPr>
          <w:p>
            <w:pPr>
              <w:spacing w:after="0"/>
              <w:rPr>
                <w:sz w:val="17"/>
                <w:szCs w:val="17"/>
                <w:color w:val="auto"/>
              </w:rPr>
            </w:pPr>
          </w:p>
        </w:tc>
        <w:tc>
          <w:tcPr>
            <w:tcW w:w="5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85,050</w:t>
            </w:r>
          </w:p>
        </w:tc>
        <w:tc>
          <w:tcPr>
            <w:tcW w:w="7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share—basic and diluted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6"/>
                <w:szCs w:val="16"/>
                <w:color w:val="auto"/>
              </w:rPr>
              <w:t>Weighted average shares of common stock outstanding—basic and diluted</w:t>
            </w:r>
          </w:p>
        </w:tc>
        <w:tc>
          <w:tcPr>
            <w:tcW w:w="4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54,006,322</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50,509,692</w:t>
            </w:r>
          </w:p>
        </w:tc>
        <w:tc>
          <w:tcPr>
            <w:tcW w:w="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34,635,208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22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Amortized</w:t>
            </w:r>
          </w:p>
        </w:tc>
        <w:tc>
          <w:tcPr>
            <w:tcW w:w="3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320" w:type="dxa"/>
            <w:vAlign w:val="bottom"/>
            <w:gridSpan w:val="2"/>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8"/>
              </w:rPr>
              <w:t xml:space="preserve">Cost </w:t>
            </w:r>
            <w:r>
              <w:rPr>
                <w:rFonts w:ascii="Arial" w:cs="Arial" w:eastAsia="Arial" w:hAnsi="Arial"/>
                <w:sz w:val="10"/>
                <w:szCs w:val="10"/>
                <w:b w:val="1"/>
                <w:bCs w:val="1"/>
                <w:color w:val="auto"/>
                <w:w w:val="98"/>
              </w:rPr>
              <w:t>(2)(8)</w:t>
            </w:r>
          </w:p>
        </w:tc>
        <w:tc>
          <w:tcPr>
            <w:tcW w:w="3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 Automotive</w:t>
            </w:r>
          </w:p>
        </w:tc>
        <w:tc>
          <w:tcPr>
            <w:tcW w:w="222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First-lien loan ($31,271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6/2017)</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8/28/2012</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$ 30,977</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$ 30,176</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($2,722 par, due 6/2017)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8/28/2012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33,652</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32,704</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Beverage, food and tobacco</w:t>
            </w: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22"/>
                <w:szCs w:val="22"/>
                <w:color w:val="auto"/>
                <w:vertAlign w:val="superscript"/>
              </w:rPr>
              <w:t>(3)(5)</w:t>
            </w:r>
          </w:p>
        </w:tc>
        <w:tc>
          <w:tcPr>
            <w:tcW w:w="2220" w:type="dxa"/>
            <w:vAlign w:val="bottom"/>
          </w:tcPr>
          <w:p>
            <w:pPr>
              <w:spacing w:after="0"/>
              <w:rPr>
                <w:sz w:val="20"/>
                <w:szCs w:val="20"/>
                <w:color w:val="auto"/>
              </w:rPr>
            </w:pPr>
            <w:r>
              <w:rPr>
                <w:rFonts w:ascii="Arial" w:cs="Arial" w:eastAsia="Arial" w:hAnsi="Arial"/>
                <w:sz w:val="16"/>
                <w:szCs w:val="16"/>
                <w:color w:val="auto"/>
              </w:rPr>
              <w:t>First-lien loan ($63,660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3/2020)</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3/3/2014</w:t>
            </w:r>
          </w:p>
        </w:tc>
        <w:tc>
          <w:tcPr>
            <w:tcW w:w="620" w:type="dxa"/>
            <w:vAlign w:val="bottom"/>
          </w:tcPr>
          <w:p>
            <w:pPr>
              <w:jc w:val="right"/>
              <w:spacing w:after="0"/>
              <w:rPr>
                <w:sz w:val="20"/>
                <w:szCs w:val="20"/>
                <w:color w:val="auto"/>
              </w:rPr>
            </w:pPr>
            <w:r>
              <w:rPr>
                <w:rFonts w:ascii="Arial" w:cs="Arial" w:eastAsia="Arial" w:hAnsi="Arial"/>
                <w:sz w:val="16"/>
                <w:szCs w:val="16"/>
                <w:color w:val="auto"/>
              </w:rPr>
              <w:t>62,575</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62,705</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(3)(5)</w:t>
            </w:r>
          </w:p>
        </w:tc>
        <w:tc>
          <w:tcPr>
            <w:tcW w:w="2220" w:type="dxa"/>
            <w:vAlign w:val="bottom"/>
          </w:tcPr>
          <w:p>
            <w:pPr>
              <w:spacing w:after="0"/>
              <w:rPr>
                <w:sz w:val="20"/>
                <w:szCs w:val="20"/>
                <w:color w:val="auto"/>
              </w:rPr>
            </w:pPr>
            <w:r>
              <w:rPr>
                <w:rFonts w:ascii="Arial" w:cs="Arial" w:eastAsia="Arial" w:hAnsi="Arial"/>
                <w:sz w:val="16"/>
                <w:szCs w:val="16"/>
                <w:color w:val="auto"/>
              </w:rPr>
              <w:t>First-lien loan ($59,915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4/2018)</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4/11/2013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58,781</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62,462</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Bullhorn, Inc.</w:t>
            </w:r>
            <w:r>
              <w:rPr>
                <w:rFonts w:ascii="Arial" w:cs="Arial" w:eastAsia="Arial" w:hAnsi="Arial"/>
                <w:sz w:val="23"/>
                <w:szCs w:val="23"/>
                <w:color w:val="auto"/>
                <w:vertAlign w:val="superscript"/>
              </w:rPr>
              <w:t>(3)(5)</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11/2020)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11/12/2015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43,763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Clarabridge, Inc.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First-lien loan ($22,388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4/2019)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8.50%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5/20/2015</w:t>
            </w:r>
          </w:p>
        </w:tc>
        <w:tc>
          <w:tcPr>
            <w:tcW w:w="620" w:type="dxa"/>
            <w:vAlign w:val="bottom"/>
          </w:tcPr>
          <w:p>
            <w:pPr>
              <w:jc w:val="right"/>
              <w:spacing w:after="0"/>
              <w:rPr>
                <w:sz w:val="20"/>
                <w:szCs w:val="20"/>
                <w:color w:val="auto"/>
              </w:rPr>
            </w:pPr>
            <w:r>
              <w:rPr>
                <w:rFonts w:ascii="Arial" w:cs="Arial" w:eastAsia="Arial" w:hAnsi="Arial"/>
                <w:sz w:val="16"/>
                <w:szCs w:val="16"/>
                <w:color w:val="auto"/>
              </w:rPr>
              <w:t>21,963</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21,641</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Idera, Inc.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($62,500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4/2021)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10/9/2015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55,937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22"/>
                <w:szCs w:val="22"/>
                <w:color w:val="auto"/>
                <w:vertAlign w:val="superscript"/>
              </w:rPr>
              <w:t>(3)(4)</w:t>
            </w:r>
          </w:p>
        </w:tc>
        <w:tc>
          <w:tcPr>
            <w:tcW w:w="2220" w:type="dxa"/>
            <w:vAlign w:val="bottom"/>
          </w:tcPr>
          <w:p>
            <w:pPr>
              <w:spacing w:after="0"/>
              <w:rPr>
                <w:sz w:val="20"/>
                <w:szCs w:val="20"/>
                <w:color w:val="auto"/>
              </w:rPr>
            </w:pPr>
            <w:r>
              <w:rPr>
                <w:rFonts w:ascii="Arial" w:cs="Arial" w:eastAsia="Arial" w:hAnsi="Arial"/>
                <w:sz w:val="16"/>
                <w:szCs w:val="16"/>
                <w:color w:val="auto"/>
                <w:w w:val="96"/>
              </w:rPr>
              <w:t>First-lien loan ($28,565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6/2019)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6/30/2014</w:t>
            </w:r>
          </w:p>
        </w:tc>
        <w:tc>
          <w:tcPr>
            <w:tcW w:w="620" w:type="dxa"/>
            <w:vAlign w:val="bottom"/>
          </w:tcPr>
          <w:p>
            <w:pPr>
              <w:jc w:val="right"/>
              <w:spacing w:after="0"/>
              <w:rPr>
                <w:sz w:val="20"/>
                <w:szCs w:val="20"/>
                <w:color w:val="auto"/>
              </w:rPr>
            </w:pPr>
            <w:r>
              <w:rPr>
                <w:rFonts w:ascii="Arial" w:cs="Arial" w:eastAsia="Arial" w:hAnsi="Arial"/>
                <w:sz w:val="16"/>
                <w:szCs w:val="16"/>
                <w:color w:val="auto"/>
              </w:rPr>
              <w:t>28,085</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27,877</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($25,782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9/2018)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9/12/2013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25,481</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25,981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First-lien loan ($18,857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12/2019)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12/30/2014</w:t>
            </w:r>
          </w:p>
        </w:tc>
        <w:tc>
          <w:tcPr>
            <w:tcW w:w="620" w:type="dxa"/>
            <w:vAlign w:val="bottom"/>
          </w:tcPr>
          <w:p>
            <w:pPr>
              <w:jc w:val="right"/>
              <w:spacing w:after="0"/>
              <w:rPr>
                <w:sz w:val="20"/>
                <w:szCs w:val="20"/>
                <w:color w:val="auto"/>
              </w:rPr>
            </w:pPr>
            <w:r>
              <w:rPr>
                <w:rFonts w:ascii="Arial" w:cs="Arial" w:eastAsia="Arial" w:hAnsi="Arial"/>
                <w:sz w:val="16"/>
                <w:szCs w:val="16"/>
                <w:color w:val="auto"/>
              </w:rPr>
              <w:t>18,505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18,463</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253,177</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256,124</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4"/>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Chemicals</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($10,839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10/31/2014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7,804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Education</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22"/>
                <w:szCs w:val="22"/>
                <w:color w:val="auto"/>
                <w:vertAlign w:val="superscript"/>
              </w:rPr>
              <w:t>(3)(5)</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($26,277 par,</w:t>
            </w: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9/2018)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25,879</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26,277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Electronics</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MyAlarm Center, LLC</w:t>
            </w:r>
            <w:r>
              <w:rPr>
                <w:rFonts w:ascii="Arial" w:cs="Arial" w:eastAsia="Arial" w:hAnsi="Arial"/>
                <w:sz w:val="22"/>
                <w:szCs w:val="22"/>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($62,371 par,</w:t>
            </w: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61,887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APX Group Inc.</w:t>
            </w:r>
          </w:p>
        </w:tc>
        <w:tc>
          <w:tcPr>
            <w:tcW w:w="2220" w:type="dxa"/>
            <w:vAlign w:val="bottom"/>
          </w:tcPr>
          <w:p>
            <w:pPr>
              <w:spacing w:after="0"/>
              <w:rPr>
                <w:sz w:val="20"/>
                <w:szCs w:val="20"/>
                <w:color w:val="auto"/>
              </w:rPr>
            </w:pPr>
            <w:r>
              <w:rPr>
                <w:rFonts w:ascii="Arial" w:cs="Arial" w:eastAsia="Arial" w:hAnsi="Arial"/>
                <w:sz w:val="16"/>
                <w:szCs w:val="16"/>
                <w:color w:val="auto"/>
              </w:rPr>
              <w:t>Senior notes 8.75% ($24,818</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par, due 12/2020)</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12/11/2014</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21,689</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20,165</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83,455</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82,052</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AppStar Financial, LLC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First-lien loan ($23,400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8/2020)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8/18/2015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22,862</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22,765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AvidXchange, Inc.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w w:val="99"/>
              </w:rPr>
              <w:t>Second-lien loan ($31,897 par,</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10.50%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8/2020)</w:t>
            </w:r>
          </w:p>
        </w:tc>
        <w:tc>
          <w:tcPr>
            <w:tcW w:w="1120" w:type="dxa"/>
            <w:vAlign w:val="bottom"/>
            <w:gridSpan w:val="2"/>
          </w:tcPr>
          <w:p>
            <w:pPr>
              <w:ind w:left="44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8/7/2015</w:t>
            </w:r>
          </w:p>
        </w:tc>
        <w:tc>
          <w:tcPr>
            <w:tcW w:w="620" w:type="dxa"/>
            <w:vAlign w:val="bottom"/>
          </w:tcPr>
          <w:p>
            <w:pPr>
              <w:jc w:val="right"/>
              <w:spacing w:after="0"/>
              <w:rPr>
                <w:sz w:val="20"/>
                <w:szCs w:val="20"/>
                <w:color w:val="auto"/>
              </w:rPr>
            </w:pPr>
            <w:r>
              <w:rPr>
                <w:rFonts w:ascii="Arial" w:cs="Arial" w:eastAsia="Arial" w:hAnsi="Arial"/>
                <w:sz w:val="16"/>
                <w:szCs w:val="16"/>
                <w:color w:val="auto"/>
              </w:rPr>
              <w:t>31,380</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30,910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PayLease, LLC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($33,639 par,</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3/2020)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5"/>
              </w:rPr>
              <w:t>(incl. 2.50%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22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3/6/2015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32,980</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32,769</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87,222</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86,444</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Healthcare</w:t>
            </w: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Aesynt Incorporated</w:t>
            </w:r>
            <w:r>
              <w:rPr>
                <w:rFonts w:ascii="Arial" w:cs="Arial" w:eastAsia="Arial" w:hAnsi="Arial"/>
                <w:sz w:val="22"/>
                <w:szCs w:val="22"/>
                <w:color w:val="auto"/>
                <w:vertAlign w:val="superscript"/>
              </w:rPr>
              <w:t>(3)(5)</w:t>
            </w:r>
          </w:p>
        </w:tc>
        <w:tc>
          <w:tcPr>
            <w:tcW w:w="2220" w:type="dxa"/>
            <w:vAlign w:val="bottom"/>
          </w:tcPr>
          <w:p>
            <w:pPr>
              <w:spacing w:after="0"/>
              <w:rPr>
                <w:sz w:val="20"/>
                <w:szCs w:val="20"/>
                <w:color w:val="auto"/>
              </w:rPr>
            </w:pPr>
            <w:r>
              <w:rPr>
                <w:rFonts w:ascii="Arial" w:cs="Arial" w:eastAsia="Arial" w:hAnsi="Arial"/>
                <w:sz w:val="16"/>
                <w:szCs w:val="16"/>
                <w:color w:val="auto"/>
              </w:rPr>
              <w:t>First-lien loan ($33,250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5/2019)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5/8/2014</w:t>
            </w:r>
          </w:p>
        </w:tc>
        <w:tc>
          <w:tcPr>
            <w:tcW w:w="620" w:type="dxa"/>
            <w:vAlign w:val="bottom"/>
          </w:tcPr>
          <w:p>
            <w:pPr>
              <w:jc w:val="right"/>
              <w:spacing w:after="0"/>
              <w:rPr>
                <w:sz w:val="20"/>
                <w:szCs w:val="20"/>
                <w:color w:val="auto"/>
              </w:rPr>
            </w:pPr>
            <w:r>
              <w:rPr>
                <w:rFonts w:ascii="Arial" w:cs="Arial" w:eastAsia="Arial" w:hAnsi="Arial"/>
                <w:sz w:val="16"/>
                <w:szCs w:val="16"/>
                <w:color w:val="auto"/>
              </w:rPr>
              <w:t>32,598</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33,918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0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8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780" w:type="dxa"/>
            <w:vAlign w:val="bottom"/>
            <w:gridSpan w:val="2"/>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2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40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gridSpan w:val="2"/>
            <w:shd w:val="clear" w:color="auto" w:fill="CCEEFF"/>
          </w:tcPr>
          <w:p>
            <w:pPr>
              <w:spacing w:after="0" w:line="187" w:lineRule="exact"/>
              <w:rPr>
                <w:sz w:val="20"/>
                <w:szCs w:val="20"/>
                <w:color w:val="auto"/>
              </w:rPr>
            </w:pPr>
            <w:r>
              <w:rPr>
                <w:rFonts w:ascii="Arial" w:cs="Arial" w:eastAsia="Arial" w:hAnsi="Arial"/>
                <w:sz w:val="13"/>
                <w:szCs w:val="13"/>
                <w:color w:val="auto"/>
              </w:rPr>
              <w:t>Helix Health, Ltd.</w:t>
            </w:r>
            <w:r>
              <w:rPr>
                <w:rFonts w:ascii="Arial" w:cs="Arial" w:eastAsia="Arial" w:hAnsi="Arial"/>
                <w:sz w:val="21"/>
                <w:szCs w:val="21"/>
                <w:color w:val="auto"/>
                <w:vertAlign w:val="superscript"/>
              </w:rPr>
              <w:t>(3)(4)</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(EUR</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40,572</w:t>
            </w:r>
          </w:p>
        </w:tc>
        <w:tc>
          <w:tcPr>
            <w:tcW w:w="32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35,912 par, due 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42,402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37,349)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(EUR 300 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11.50%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261</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(EUR 400)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MatrixCare, Inc.</w:t>
            </w:r>
            <w:r>
              <w:rPr>
                <w:rFonts w:ascii="Arial" w:cs="Arial" w:eastAsia="Arial" w:hAnsi="Arial"/>
                <w:sz w:val="23"/>
                <w:szCs w:val="23"/>
                <w:color w:val="auto"/>
                <w:vertAlign w:val="superscript"/>
              </w:rPr>
              <w:t>(3)(5)</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12/2021)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12/17/2015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44,184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MedeAnalytics,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($45,411 par, due</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9/2020)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44,022</w:t>
            </w:r>
          </w:p>
        </w:tc>
        <w:tc>
          <w:tcPr>
            <w:tcW w:w="960" w:type="dxa"/>
            <w:vAlign w:val="bottom"/>
          </w:tcPr>
          <w:p>
            <w:pPr>
              <w:jc w:val="right"/>
              <w:spacing w:after="0"/>
              <w:rPr>
                <w:sz w:val="20"/>
                <w:szCs w:val="20"/>
                <w:color w:val="auto"/>
              </w:rPr>
            </w:pPr>
            <w:r>
              <w:rPr>
                <w:rFonts w:ascii="Arial" w:cs="Arial" w:eastAsia="Arial" w:hAnsi="Arial"/>
                <w:sz w:val="16"/>
                <w:szCs w:val="16"/>
                <w:color w:val="auto"/>
              </w:rPr>
              <w:t>43,708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3"/>
                <w:szCs w:val="23"/>
                <w:color w:val="auto"/>
                <w:vertAlign w:val="superscript"/>
              </w:rPr>
              <w:t>(3)(5)</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($67,574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5/2018)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11/9/2012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66,725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SRS Software, LLC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($31,875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12/2017)</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12/28/2012</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31,508</w:t>
            </w:r>
          </w:p>
        </w:tc>
        <w:tc>
          <w:tcPr>
            <w:tcW w:w="960" w:type="dxa"/>
            <w:vAlign w:val="bottom"/>
          </w:tcPr>
          <w:p>
            <w:pPr>
              <w:jc w:val="right"/>
              <w:spacing w:after="0"/>
              <w:rPr>
                <w:sz w:val="20"/>
                <w:szCs w:val="20"/>
                <w:color w:val="auto"/>
              </w:rPr>
            </w:pPr>
            <w:r>
              <w:rPr>
                <w:rFonts w:ascii="Arial" w:cs="Arial" w:eastAsia="Arial" w:hAnsi="Arial"/>
                <w:sz w:val="16"/>
                <w:szCs w:val="16"/>
                <w:color w:val="auto"/>
              </w:rPr>
              <w:t>31,477</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($2,000 par, due 12/2017)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12/28/2012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263,655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264,398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Hotel, gaming, and leisure</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CrunchTime Information Systems, Inc.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($25,452 par, due</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4/2020)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4/16/2015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24,873</w:t>
            </w:r>
          </w:p>
        </w:tc>
        <w:tc>
          <w:tcPr>
            <w:tcW w:w="960" w:type="dxa"/>
            <w:vAlign w:val="bottom"/>
          </w:tcPr>
          <w:p>
            <w:pPr>
              <w:jc w:val="right"/>
              <w:spacing w:after="0"/>
              <w:rPr>
                <w:sz w:val="20"/>
                <w:szCs w:val="20"/>
                <w:color w:val="auto"/>
              </w:rPr>
            </w:pPr>
            <w:r>
              <w:rPr>
                <w:rFonts w:ascii="Arial" w:cs="Arial" w:eastAsia="Arial" w:hAnsi="Arial"/>
                <w:sz w:val="16"/>
                <w:szCs w:val="16"/>
                <w:color w:val="auto"/>
              </w:rPr>
              <w:t>24,200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(3)(7)</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($20,260 par, due</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10.10%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(incl. 5.00%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9/29/2015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20,260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w w:val="95"/>
              </w:rPr>
              <w:t>First-lien revolver loan ($7,448 par,</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9/2019)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5.00%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9/29/2015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7,448</w:t>
            </w:r>
          </w:p>
        </w:tc>
        <w:tc>
          <w:tcPr>
            <w:tcW w:w="960" w:type="dxa"/>
            <w:vAlign w:val="bottom"/>
          </w:tcPr>
          <w:p>
            <w:pPr>
              <w:jc w:val="right"/>
              <w:spacing w:after="0"/>
              <w:rPr>
                <w:sz w:val="20"/>
                <w:szCs w:val="20"/>
                <w:color w:val="auto"/>
              </w:rPr>
            </w:pPr>
            <w:r>
              <w:rPr>
                <w:rFonts w:ascii="Arial" w:cs="Arial" w:eastAsia="Arial" w:hAnsi="Arial"/>
                <w:sz w:val="16"/>
                <w:szCs w:val="16"/>
                <w:color w:val="auto"/>
              </w:rPr>
              <w:t>7,169</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Soho House</w:t>
            </w:r>
            <w:r>
              <w:rPr>
                <w:rFonts w:ascii="Arial" w:cs="Arial" w:eastAsia="Arial" w:hAnsi="Arial"/>
                <w:sz w:val="23"/>
                <w:szCs w:val="23"/>
                <w:color w:val="auto"/>
                <w:vertAlign w:val="superscript"/>
              </w:rPr>
              <w:t>(4)</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Second-lien bond (GBP 20,375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30,781</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10/2018)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9/20/2013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33,055</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(GBP 20,884)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85,636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81,650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Human Resource Support Services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Saba Software,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($54,725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3/2021)</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3/30/2015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54,141</w:t>
            </w:r>
          </w:p>
        </w:tc>
        <w:tc>
          <w:tcPr>
            <w:tcW w:w="960" w:type="dxa"/>
            <w:vAlign w:val="bottom"/>
          </w:tcPr>
          <w:p>
            <w:pPr>
              <w:jc w:val="right"/>
              <w:spacing w:after="0"/>
              <w:rPr>
                <w:sz w:val="20"/>
                <w:szCs w:val="20"/>
                <w:color w:val="auto"/>
              </w:rPr>
            </w:pPr>
            <w:r>
              <w:rPr>
                <w:rFonts w:ascii="Arial" w:cs="Arial" w:eastAsia="Arial" w:hAnsi="Arial"/>
                <w:sz w:val="16"/>
                <w:szCs w:val="16"/>
                <w:color w:val="auto"/>
              </w:rPr>
              <w:t>53,767</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Skillsoft</w:t>
            </w:r>
            <w:r>
              <w:rPr>
                <w:rFonts w:ascii="Arial" w:cs="Arial" w:eastAsia="Arial" w:hAnsi="Arial"/>
                <w:sz w:val="23"/>
                <w:szCs w:val="23"/>
                <w:color w:val="auto"/>
                <w:vertAlign w:val="superscript"/>
              </w:rPr>
              <w:t>(3)</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($500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4/2021)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54,579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54,152</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Insurance</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Insurity,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($65,452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10/2020)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10/31/2014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64,782</w:t>
            </w:r>
          </w:p>
        </w:tc>
        <w:tc>
          <w:tcPr>
            <w:tcW w:w="960" w:type="dxa"/>
            <w:vAlign w:val="bottom"/>
          </w:tcPr>
          <w:p>
            <w:pPr>
              <w:jc w:val="right"/>
              <w:spacing w:after="0"/>
              <w:rPr>
                <w:sz w:val="20"/>
                <w:szCs w:val="20"/>
                <w:color w:val="auto"/>
              </w:rPr>
            </w:pPr>
            <w:r>
              <w:rPr>
                <w:rFonts w:ascii="Arial" w:cs="Arial" w:eastAsia="Arial" w:hAnsi="Arial"/>
                <w:sz w:val="16"/>
                <w:szCs w:val="16"/>
                <w:color w:val="auto"/>
              </w:rPr>
              <w:t>63,980</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6"/>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Internet Services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($50,987 par, due</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7/2018)</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3/7/2014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50,474</w:t>
            </w:r>
          </w:p>
        </w:tc>
        <w:tc>
          <w:tcPr>
            <w:tcW w:w="960" w:type="dxa"/>
            <w:vAlign w:val="bottom"/>
          </w:tcPr>
          <w:p>
            <w:pPr>
              <w:jc w:val="right"/>
              <w:spacing w:after="0"/>
              <w:rPr>
                <w:sz w:val="20"/>
                <w:szCs w:val="20"/>
                <w:color w:val="auto"/>
              </w:rPr>
            </w:pPr>
            <w:r>
              <w:rPr>
                <w:rFonts w:ascii="Arial" w:cs="Arial" w:eastAsia="Arial" w:hAnsi="Arial"/>
                <w:sz w:val="16"/>
                <w:szCs w:val="16"/>
                <w:color w:val="auto"/>
              </w:rPr>
              <w:t>50,095</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 ($2,800</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par, due 7/2018)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53,249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52,843</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Manufacturing</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22"/>
                <w:szCs w:val="22"/>
                <w:color w:val="auto"/>
                <w:vertAlign w:val="superscript"/>
              </w:rPr>
              <w:t>(3)(4)(5)</w:t>
            </w:r>
          </w:p>
        </w:tc>
        <w:tc>
          <w:tcPr>
            <w:tcW w:w="2400" w:type="dxa"/>
            <w:vAlign w:val="bottom"/>
          </w:tcPr>
          <w:p>
            <w:pPr>
              <w:spacing w:after="0"/>
              <w:rPr>
                <w:sz w:val="20"/>
                <w:szCs w:val="20"/>
                <w:color w:val="auto"/>
              </w:rPr>
            </w:pPr>
            <w:r>
              <w:rPr>
                <w:rFonts w:ascii="Arial" w:cs="Arial" w:eastAsia="Arial" w:hAnsi="Arial"/>
                <w:sz w:val="16"/>
                <w:szCs w:val="16"/>
                <w:color w:val="auto"/>
              </w:rPr>
              <w:t>First-lien loan (SEK 192,573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23,470</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6/5/2013</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29,289</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(SEK 197,869)</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($36,811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3/11/2014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36,579</w:t>
            </w:r>
          </w:p>
        </w:tc>
        <w:tc>
          <w:tcPr>
            <w:tcW w:w="960" w:type="dxa"/>
            <w:vAlign w:val="bottom"/>
          </w:tcPr>
          <w:p>
            <w:pPr>
              <w:jc w:val="right"/>
              <w:spacing w:after="0"/>
              <w:rPr>
                <w:sz w:val="20"/>
                <w:szCs w:val="20"/>
                <w:color w:val="auto"/>
              </w:rPr>
            </w:pPr>
            <w:r>
              <w:rPr>
                <w:rFonts w:ascii="Arial" w:cs="Arial" w:eastAsia="Arial" w:hAnsi="Arial"/>
                <w:sz w:val="16"/>
                <w:szCs w:val="16"/>
                <w:color w:val="auto"/>
              </w:rPr>
              <w:t>36,370</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740" w:type="dxa"/>
            <w:vAlign w:val="bottom"/>
          </w:tcPr>
          <w:p>
            <w:pPr>
              <w:spacing w:after="0"/>
              <w:rPr>
                <w:sz w:val="11"/>
                <w:szCs w:val="11"/>
                <w:color w:val="auto"/>
              </w:rPr>
            </w:pPr>
          </w:p>
        </w:tc>
        <w:tc>
          <w:tcPr>
            <w:tcW w:w="2360" w:type="dxa"/>
            <w:vAlign w:val="bottom"/>
            <w:gridSpan w:val="2"/>
            <w:vMerge w:val="restart"/>
          </w:tcPr>
          <w:p>
            <w:pPr>
              <w:ind w:left="820"/>
              <w:spacing w:after="0"/>
              <w:rPr>
                <w:sz w:val="20"/>
                <w:szCs w:val="20"/>
                <w:color w:val="auto"/>
              </w:rPr>
            </w:pPr>
            <w:r>
              <w:rPr>
                <w:rFonts w:ascii="Arial" w:cs="Arial" w:eastAsia="Arial" w:hAnsi="Arial"/>
                <w:sz w:val="13"/>
                <w:szCs w:val="13"/>
                <w:b w:val="1"/>
                <w:bCs w:val="1"/>
                <w:color w:val="auto"/>
              </w:rPr>
              <w:t>Investment</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4"/>
              </w:rPr>
              <w:t>Amortized</w:t>
            </w: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2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w:t>
            </w: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0"/>
                <w:szCs w:val="10"/>
                <w:b w:val="1"/>
                <w:bCs w:val="1"/>
                <w:color w:val="auto"/>
              </w:rPr>
              <w:t>(2)(8)</w:t>
            </w: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auto"/>
            </w:tcBorders>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Oil,</w:t>
            </w:r>
          </w:p>
        </w:tc>
        <w:tc>
          <w:tcPr>
            <w:tcW w:w="2640" w:type="dxa"/>
            <w:vAlign w:val="bottom"/>
            <w:tcBorders>
              <w:top w:val="single" w:sz="8" w:color="CCEEFF"/>
            </w:tcBorders>
            <w:shd w:val="clear" w:color="auto" w:fill="CCEEFF"/>
          </w:tcPr>
          <w:p>
            <w:pPr>
              <w:jc w:val="right"/>
              <w:ind w:right="799"/>
              <w:spacing w:after="0" w:line="183" w:lineRule="exact"/>
              <w:rPr>
                <w:sz w:val="20"/>
                <w:szCs w:val="20"/>
                <w:color w:val="auto"/>
              </w:rPr>
            </w:pPr>
            <w:r>
              <w:rPr>
                <w:rFonts w:ascii="Arial" w:cs="Arial" w:eastAsia="Arial" w:hAnsi="Arial"/>
                <w:sz w:val="16"/>
                <w:szCs w:val="16"/>
                <w:b w:val="1"/>
                <w:bCs w:val="1"/>
                <w:color w:val="auto"/>
                <w:w w:val="86"/>
              </w:rPr>
              <w:t>gas and consumable fuels</w:t>
            </w:r>
          </w:p>
        </w:tc>
        <w:tc>
          <w:tcPr>
            <w:tcW w:w="74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2"/>
          </w:tcPr>
          <w:p>
            <w:pPr>
              <w:spacing w:after="0" w:line="192" w:lineRule="exact"/>
              <w:rPr>
                <w:sz w:val="20"/>
                <w:szCs w:val="20"/>
                <w:color w:val="auto"/>
              </w:rPr>
            </w:pPr>
            <w:r>
              <w:rPr>
                <w:rFonts w:ascii="Arial" w:cs="Arial" w:eastAsia="Arial" w:hAnsi="Arial"/>
                <w:sz w:val="14"/>
                <w:szCs w:val="14"/>
                <w:color w:val="auto"/>
              </w:rPr>
              <w:t>Key Energy Services</w:t>
            </w:r>
            <w:r>
              <w:rPr>
                <w:rFonts w:ascii="Arial" w:cs="Arial" w:eastAsia="Arial" w:hAnsi="Arial"/>
                <w:sz w:val="22"/>
                <w:szCs w:val="22"/>
                <w:color w:val="auto"/>
                <w:vertAlign w:val="superscript"/>
              </w:rPr>
              <w:t>(3)</w:t>
            </w:r>
          </w:p>
        </w:tc>
        <w:tc>
          <w:tcPr>
            <w:tcW w:w="3100" w:type="dxa"/>
            <w:vAlign w:val="bottom"/>
            <w:gridSpan w:val="3"/>
          </w:tcPr>
          <w:p>
            <w:pPr>
              <w:ind w:left="740"/>
              <w:spacing w:after="0"/>
              <w:rPr>
                <w:sz w:val="20"/>
                <w:szCs w:val="20"/>
                <w:color w:val="auto"/>
              </w:rPr>
            </w:pPr>
            <w:r>
              <w:rPr>
                <w:rFonts w:ascii="Arial" w:cs="Arial" w:eastAsia="Arial" w:hAnsi="Arial"/>
                <w:sz w:val="16"/>
                <w:szCs w:val="16"/>
                <w:color w:val="auto"/>
              </w:rPr>
              <w:t>First-lien loan ($13,504 par,</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100" w:type="dxa"/>
            <w:vAlign w:val="bottom"/>
            <w:gridSpan w:val="3"/>
          </w:tcPr>
          <w:p>
            <w:pPr>
              <w:ind w:left="740"/>
              <w:spacing w:after="0"/>
              <w:rPr>
                <w:sz w:val="20"/>
                <w:szCs w:val="20"/>
                <w:color w:val="auto"/>
              </w:rPr>
            </w:pPr>
            <w:r>
              <w:rPr>
                <w:rFonts w:ascii="Arial" w:cs="Arial" w:eastAsia="Arial" w:hAnsi="Arial"/>
                <w:sz w:val="16"/>
                <w:szCs w:val="16"/>
                <w:color w:val="auto"/>
              </w:rPr>
              <w:t>due 6/2020)</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10.25%</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5/27/2015</w:t>
            </w:r>
          </w:p>
        </w:tc>
        <w:tc>
          <w:tcPr>
            <w:tcW w:w="660" w:type="dxa"/>
            <w:vAlign w:val="bottom"/>
          </w:tcPr>
          <w:p>
            <w:pPr>
              <w:jc w:val="right"/>
              <w:spacing w:after="0"/>
              <w:rPr>
                <w:sz w:val="20"/>
                <w:szCs w:val="20"/>
                <w:color w:val="auto"/>
              </w:rPr>
            </w:pPr>
            <w:r>
              <w:rPr>
                <w:rFonts w:ascii="Arial" w:cs="Arial" w:eastAsia="Arial" w:hAnsi="Arial"/>
                <w:sz w:val="16"/>
                <w:szCs w:val="16"/>
                <w:color w:val="auto"/>
              </w:rPr>
              <w:t>13,043</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10,533</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23"/>
                <w:szCs w:val="23"/>
                <w:color w:val="auto"/>
                <w:vertAlign w:val="superscript"/>
              </w:rPr>
              <w:t>(3)(7)</w:t>
            </w: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First-lien loan ($46,679 par,</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13.00%</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due 6/2018)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(incl. 1.50%</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6/4/2014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36,682</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59,124</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47,215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Nektar Therapeutics</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Secured note ($74,950 par, due</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60" w:type="dxa"/>
            <w:vAlign w:val="bottom"/>
            <w:gridSpan w:val="3"/>
          </w:tcPr>
          <w:p>
            <w:pPr>
              <w:jc w:val="right"/>
              <w:ind w:right="1479"/>
              <w:spacing w:after="0"/>
              <w:rPr>
                <w:sz w:val="20"/>
                <w:szCs w:val="20"/>
                <w:color w:val="auto"/>
              </w:rPr>
            </w:pPr>
            <w:r>
              <w:rPr>
                <w:rFonts w:ascii="Arial" w:cs="Arial" w:eastAsia="Arial" w:hAnsi="Arial"/>
                <w:sz w:val="13"/>
                <w:szCs w:val="13"/>
                <w:color w:val="auto"/>
              </w:rPr>
              <w:t>(4)(5)(9)</w:t>
            </w:r>
          </w:p>
        </w:tc>
        <w:tc>
          <w:tcPr>
            <w:tcW w:w="3000" w:type="dxa"/>
            <w:vAlign w:val="bottom"/>
            <w:gridSpan w:val="2"/>
            <w:vMerge w:val="restart"/>
          </w:tcPr>
          <w:p>
            <w:pPr>
              <w:ind w:left="740"/>
              <w:spacing w:after="0"/>
              <w:rPr>
                <w:sz w:val="20"/>
                <w:szCs w:val="20"/>
                <w:color w:val="auto"/>
              </w:rPr>
            </w:pPr>
            <w:r>
              <w:rPr>
                <w:rFonts w:ascii="Arial" w:cs="Arial" w:eastAsia="Arial" w:hAnsi="Arial"/>
                <w:sz w:val="15"/>
                <w:szCs w:val="15"/>
                <w:color w:val="auto"/>
              </w:rPr>
              <w:t>10/2020)</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10/5/2015</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74,005</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73,076</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Real Estate</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JL Secured Promissory Note</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Secured note ($10,224 par, due</w:t>
            </w:r>
          </w:p>
        </w:tc>
        <w:tc>
          <w:tcPr>
            <w:tcW w:w="11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7.00%</w:t>
            </w: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60" w:type="dxa"/>
            <w:vAlign w:val="bottom"/>
            <w:gridSpan w:val="3"/>
          </w:tcPr>
          <w:p>
            <w:pPr>
              <w:jc w:val="right"/>
              <w:ind w:right="1259"/>
              <w:spacing w:after="0"/>
              <w:rPr>
                <w:sz w:val="20"/>
                <w:szCs w:val="20"/>
                <w:color w:val="auto"/>
              </w:rPr>
            </w:pPr>
            <w:r>
              <w:rPr>
                <w:rFonts w:ascii="Arial" w:cs="Arial" w:eastAsia="Arial" w:hAnsi="Arial"/>
                <w:sz w:val="13"/>
                <w:szCs w:val="13"/>
                <w:color w:val="auto"/>
              </w:rPr>
              <w:t>(4)</w:t>
            </w:r>
          </w:p>
        </w:tc>
        <w:tc>
          <w:tcPr>
            <w:tcW w:w="3000" w:type="dxa"/>
            <w:vAlign w:val="bottom"/>
            <w:gridSpan w:val="2"/>
            <w:vMerge w:val="restart"/>
          </w:tcPr>
          <w:p>
            <w:pPr>
              <w:ind w:left="740"/>
              <w:spacing w:after="0"/>
              <w:rPr>
                <w:sz w:val="20"/>
                <w:szCs w:val="20"/>
                <w:color w:val="auto"/>
              </w:rPr>
            </w:pPr>
            <w:r>
              <w:rPr>
                <w:rFonts w:ascii="Arial" w:cs="Arial" w:eastAsia="Arial" w:hAnsi="Arial"/>
                <w:sz w:val="15"/>
                <w:szCs w:val="15"/>
                <w:color w:val="auto"/>
              </w:rPr>
              <w:t>9/2017)</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5"/>
                <w:szCs w:val="15"/>
                <w:color w:val="auto"/>
              </w:rPr>
              <w:t>PIK</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9/29/2015</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10,224</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10,224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First-lien loan ($25,000 par, due</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0" w:type="dxa"/>
            <w:vAlign w:val="bottom"/>
            <w:gridSpan w:val="2"/>
          </w:tcPr>
          <w:p>
            <w:pPr>
              <w:ind w:left="740"/>
              <w:spacing w:after="0"/>
              <w:rPr>
                <w:sz w:val="20"/>
                <w:szCs w:val="20"/>
                <w:color w:val="auto"/>
              </w:rPr>
            </w:pPr>
            <w:r>
              <w:rPr>
                <w:rFonts w:ascii="Arial" w:cs="Arial" w:eastAsia="Arial" w:hAnsi="Arial"/>
                <w:sz w:val="15"/>
                <w:szCs w:val="15"/>
                <w:color w:val="auto"/>
              </w:rPr>
              <w:t>9/2020)</w:t>
            </w:r>
          </w:p>
        </w:tc>
        <w:tc>
          <w:tcPr>
            <w:tcW w:w="1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9/30/2015</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24,664</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24,563</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Quiksilver - Boardriders SA</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w w:val="97"/>
              </w:rPr>
              <w:t>Bond (EUR 7,599 par, due 12/2017)</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7,801</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8.88%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5/26/2015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8,062</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(EUR 7,181)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Sears </w:t>
            </w:r>
            <w:r>
              <w:rPr>
                <w:rFonts w:ascii="Arial" w:cs="Arial" w:eastAsia="Arial" w:hAnsi="Arial"/>
                <w:sz w:val="13"/>
                <w:szCs w:val="13"/>
                <w:color w:val="auto"/>
              </w:rPr>
              <w:t>(4)(6)</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First-lien ABL revolving loan ($303</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par, due 4/2016)</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2.84%</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4/15/2015</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116</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257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Sports Authority</w:t>
            </w:r>
            <w:r>
              <w:rPr>
                <w:rFonts w:ascii="Arial" w:cs="Arial" w:eastAsia="Arial" w:hAnsi="Arial"/>
                <w:sz w:val="13"/>
                <w:szCs w:val="13"/>
                <w:color w:val="auto"/>
              </w:rPr>
              <w:t>(3)(5)</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First-lien loan ($45,000 par,</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due 6/2017)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7.40%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11/3/2015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44,249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43,762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First-lien loan ($51,000 par,</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due 10/2019)</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w w:val="95"/>
              </w:rPr>
              <w:t>10/10/2014</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50,313</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49,470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127,404</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125,853</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Carrix, Inc.</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First-lien loan ($13,441 par,</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(3)</w:t>
            </w:r>
          </w:p>
        </w:tc>
        <w:tc>
          <w:tcPr>
            <w:tcW w:w="3100" w:type="dxa"/>
            <w:vAlign w:val="bottom"/>
            <w:gridSpan w:val="3"/>
            <w:vMerge w:val="restart"/>
            <w:shd w:val="clear" w:color="auto" w:fill="CCEEFF"/>
          </w:tcPr>
          <w:p>
            <w:pPr>
              <w:ind w:left="740"/>
              <w:spacing w:after="0"/>
              <w:rPr>
                <w:sz w:val="20"/>
                <w:szCs w:val="20"/>
                <w:color w:val="auto"/>
              </w:rPr>
            </w:pPr>
            <w:r>
              <w:rPr>
                <w:rFonts w:ascii="Arial" w:cs="Arial" w:eastAsia="Arial" w:hAnsi="Arial"/>
                <w:sz w:val="15"/>
                <w:szCs w:val="15"/>
                <w:color w:val="auto"/>
              </w:rPr>
              <w:t>due 1/2019)</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4.50%</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3/17/2015</w:t>
            </w: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12,631</w:t>
            </w:r>
          </w:p>
        </w:tc>
        <w:tc>
          <w:tcPr>
            <w:tcW w:w="11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12,500</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3100" w:type="dxa"/>
            <w:vAlign w:val="bottom"/>
            <w:gridSpan w:val="3"/>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Kewill, Ltd.</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Second-lien loan ($62,500 par,</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60" w:type="dxa"/>
            <w:vAlign w:val="bottom"/>
            <w:gridSpan w:val="3"/>
          </w:tcPr>
          <w:p>
            <w:pPr>
              <w:jc w:val="right"/>
              <w:ind w:right="2119"/>
              <w:spacing w:after="0"/>
              <w:rPr>
                <w:sz w:val="20"/>
                <w:szCs w:val="20"/>
                <w:color w:val="auto"/>
              </w:rPr>
            </w:pPr>
            <w:r>
              <w:rPr>
                <w:rFonts w:ascii="Arial" w:cs="Arial" w:eastAsia="Arial" w:hAnsi="Arial"/>
                <w:sz w:val="13"/>
                <w:szCs w:val="13"/>
                <w:color w:val="auto"/>
              </w:rPr>
              <w:t>(3)(4)</w:t>
            </w:r>
          </w:p>
        </w:tc>
        <w:tc>
          <w:tcPr>
            <w:tcW w:w="3100" w:type="dxa"/>
            <w:vAlign w:val="bottom"/>
            <w:gridSpan w:val="3"/>
            <w:vMerge w:val="restart"/>
          </w:tcPr>
          <w:p>
            <w:pPr>
              <w:ind w:left="740"/>
              <w:spacing w:after="0"/>
              <w:rPr>
                <w:sz w:val="20"/>
                <w:szCs w:val="20"/>
                <w:color w:val="auto"/>
              </w:rPr>
            </w:pPr>
            <w:r>
              <w:rPr>
                <w:rFonts w:ascii="Arial" w:cs="Arial" w:eastAsia="Arial" w:hAnsi="Arial"/>
                <w:sz w:val="15"/>
                <w:szCs w:val="15"/>
                <w:color w:val="auto"/>
              </w:rPr>
              <w:t>due 10/2019)</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9.50%</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10/2/2013</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61,614</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59,531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74,245</w:t>
            </w:r>
          </w:p>
        </w:tc>
        <w:tc>
          <w:tcPr>
            <w:tcW w:w="11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72,031</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1,488,879</w:t>
            </w:r>
          </w:p>
        </w:tc>
        <w:tc>
          <w:tcPr>
            <w:tcW w:w="300" w:type="dxa"/>
            <w:vAlign w:val="bottom"/>
          </w:tcPr>
          <w:p>
            <w:pPr>
              <w:spacing w:after="0"/>
              <w:rPr>
                <w:sz w:val="15"/>
                <w:szCs w:val="15"/>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1,459,372</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Business services</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Network Merchants, Inc.</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Non-Voting Preferred Units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(774,099 units)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780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Series E Preferred Equity (214,132</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8/7/2015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TICC Capital Corp.</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Common Shares (1,633,660 shares)</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8/5/2015</w:t>
            </w:r>
          </w:p>
        </w:tc>
        <w:tc>
          <w:tcPr>
            <w:tcW w:w="96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10,943</w:t>
            </w:r>
          </w:p>
        </w:tc>
        <w:tc>
          <w:tcPr>
            <w:tcW w:w="78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9,933</w:t>
            </w:r>
          </w:p>
        </w:tc>
        <w:tc>
          <w:tcPr>
            <w:tcW w:w="3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1.2%</w:t>
            </w:r>
          </w:p>
        </w:tc>
        <w:tc>
          <w:tcPr>
            <w:tcW w:w="0" w:type="dxa"/>
            <w:vAlign w:val="bottom"/>
          </w:tcPr>
          <w:p>
            <w:pPr>
              <w:spacing w:after="0" w:line="20" w:lineRule="exact"/>
              <w:rPr>
                <w:sz w:val="1"/>
                <w:szCs w:val="1"/>
                <w:color w:val="auto"/>
              </w:rPr>
            </w:pPr>
          </w:p>
        </w:tc>
      </w:tr>
      <w:tr>
        <w:trPr>
          <w:trHeight w:val="163"/>
        </w:trPr>
        <w:tc>
          <w:tcPr>
            <w:tcW w:w="3260" w:type="dxa"/>
            <w:vAlign w:val="bottom"/>
            <w:gridSpan w:val="3"/>
          </w:tcPr>
          <w:p>
            <w:pPr>
              <w:jc w:val="right"/>
              <w:ind w:right="1799"/>
              <w:spacing w:after="0"/>
              <w:rPr>
                <w:sz w:val="20"/>
                <w:szCs w:val="20"/>
                <w:color w:val="auto"/>
              </w:rPr>
            </w:pPr>
            <w:r>
              <w:rPr>
                <w:rFonts w:ascii="Arial" w:cs="Arial" w:eastAsia="Arial" w:hAnsi="Arial"/>
                <w:sz w:val="13"/>
                <w:szCs w:val="13"/>
                <w:color w:val="auto"/>
              </w:rPr>
              <w:t>(4)</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14,789</w:t>
            </w:r>
          </w:p>
        </w:tc>
        <w:tc>
          <w:tcPr>
            <w:tcW w:w="11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13,779</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40" w:type="dxa"/>
            <w:vAlign w:val="bottom"/>
            <w:gridSpan w:val="2"/>
          </w:tcPr>
          <w:p>
            <w:pPr>
              <w:ind w:left="300"/>
              <w:spacing w:after="0" w:line="152" w:lineRule="exact"/>
              <w:rPr>
                <w:sz w:val="20"/>
                <w:szCs w:val="20"/>
                <w:color w:val="auto"/>
              </w:rPr>
            </w:pPr>
            <w:r>
              <w:rPr>
                <w:rFonts w:ascii="Arial" w:cs="Arial" w:eastAsia="Arial" w:hAnsi="Arial"/>
                <w:sz w:val="15"/>
                <w:szCs w:val="15"/>
                <w:b w:val="1"/>
                <w:bCs w:val="1"/>
                <w:color w:val="auto"/>
              </w:rPr>
              <w:t>Healthcare and</w:t>
            </w:r>
          </w:p>
        </w:tc>
        <w:tc>
          <w:tcPr>
            <w:tcW w:w="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2"/>
          </w:tcPr>
          <w:p>
            <w:pPr>
              <w:ind w:left="300"/>
              <w:spacing w:after="0"/>
              <w:rPr>
                <w:sz w:val="20"/>
                <w:szCs w:val="20"/>
                <w:color w:val="auto"/>
              </w:rPr>
            </w:pPr>
            <w:r>
              <w:rPr>
                <w:rFonts w:ascii="Arial" w:cs="Arial" w:eastAsia="Arial" w:hAnsi="Arial"/>
                <w:sz w:val="15"/>
                <w:szCs w:val="15"/>
                <w:b w:val="1"/>
                <w:bCs w:val="1"/>
                <w:color w:val="auto"/>
              </w:rPr>
              <w:t>pharmaceuticals</w:t>
            </w:r>
          </w:p>
        </w:tc>
        <w:tc>
          <w:tcPr>
            <w:tcW w:w="7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Common Shares Class A (598</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3/11/2014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467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Common Shares Class B (196</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3/11/2014</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137</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214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(4)</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Warrants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5"/>
                <w:szCs w:val="15"/>
                <w:color w:val="auto"/>
              </w:rPr>
              <w:t>965</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9/30/2014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877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888)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SRS Parent Corp.</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Common Shares Class A</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(1,980 shares)</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w w:val="95"/>
              </w:rPr>
              <w:t>12/28/2012</w:t>
            </w:r>
          </w:p>
        </w:tc>
        <w:tc>
          <w:tcPr>
            <w:tcW w:w="660" w:type="dxa"/>
            <w:vAlign w:val="bottom"/>
          </w:tcPr>
          <w:p>
            <w:pPr>
              <w:jc w:val="right"/>
              <w:spacing w:after="0"/>
              <w:rPr>
                <w:sz w:val="20"/>
                <w:szCs w:val="20"/>
                <w:color w:val="auto"/>
              </w:rPr>
            </w:pPr>
            <w:r>
              <w:rPr>
                <w:rFonts w:ascii="Arial" w:cs="Arial" w:eastAsia="Arial" w:hAnsi="Arial"/>
                <w:sz w:val="15"/>
                <w:szCs w:val="15"/>
                <w:color w:val="auto"/>
              </w:rPr>
              <w:t>1,980</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1,173</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w w:val="95"/>
              </w:rPr>
              <w:t>Common Shares Class B (2,953,020</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5"/>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3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3,093</w:t>
            </w:r>
          </w:p>
        </w:tc>
        <w:tc>
          <w:tcPr>
            <w:tcW w:w="32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32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20" w:type="dxa"/>
            <w:vAlign w:val="bottom"/>
          </w:tcPr>
          <w:p>
            <w:pPr>
              <w:spacing w:after="0"/>
              <w:rPr>
                <w:sz w:val="11"/>
                <w:szCs w:val="11"/>
                <w:color w:val="auto"/>
              </w:rPr>
            </w:pPr>
          </w:p>
        </w:tc>
        <w:tc>
          <w:tcPr>
            <w:tcW w:w="9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98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420" w:type="dxa"/>
            <w:vAlign w:val="bottom"/>
            <w:gridSpan w:val="2"/>
            <w:vMerge w:val="continue"/>
          </w:tcPr>
          <w:p>
            <w:pPr>
              <w:spacing w:after="0"/>
              <w:rPr>
                <w:sz w:val="13"/>
                <w:szCs w:val="13"/>
                <w:color w:val="auto"/>
              </w:rPr>
            </w:pPr>
          </w:p>
        </w:tc>
        <w:tc>
          <w:tcPr>
            <w:tcW w:w="2320" w:type="dxa"/>
            <w:vAlign w:val="bottom"/>
            <w:gridSpan w:val="2"/>
            <w:vMerge w:val="continue"/>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Interest</w:t>
            </w: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3"/>
                <w:szCs w:val="13"/>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Value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w w:val="71"/>
              </w:rPr>
              <w:t>Hotel,</w:t>
            </w:r>
          </w:p>
        </w:tc>
        <w:tc>
          <w:tcPr>
            <w:tcW w:w="380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5"/>
                <w:szCs w:val="15"/>
                <w:b w:val="1"/>
                <w:bCs w:val="1"/>
                <w:color w:val="auto"/>
              </w:rPr>
              <w:t>gaming, and leisure</w:t>
            </w:r>
          </w:p>
        </w:tc>
        <w:tc>
          <w:tcPr>
            <w:tcW w:w="2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3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9/29/2015</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97</w:t>
            </w:r>
          </w:p>
        </w:tc>
        <w:tc>
          <w:tcPr>
            <w:tcW w:w="28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42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147</w:t>
            </w: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xml:space="preserve">Mississippi Resources, LLC </w:t>
            </w:r>
            <w:r>
              <w:rPr>
                <w:rFonts w:ascii="Arial" w:cs="Arial" w:eastAsia="Arial" w:hAnsi="Arial"/>
                <w:sz w:val="13"/>
                <w:szCs w:val="13"/>
                <w:color w:val="auto"/>
              </w:rPr>
              <w:t>(7)</w:t>
            </w:r>
          </w:p>
        </w:tc>
        <w:tc>
          <w:tcPr>
            <w:tcW w:w="2320" w:type="dxa"/>
            <w:vAlign w:val="bottom"/>
            <w:gridSpan w:val="2"/>
          </w:tcPr>
          <w:p>
            <w:pPr>
              <w:spacing w:after="0" w:line="162" w:lineRule="exact"/>
              <w:rPr>
                <w:sz w:val="20"/>
                <w:szCs w:val="20"/>
                <w:color w:val="auto"/>
              </w:rPr>
            </w:pPr>
            <w:r>
              <w:rPr>
                <w:rFonts w:ascii="Arial" w:cs="Arial" w:eastAsia="Arial" w:hAnsi="Arial"/>
                <w:sz w:val="15"/>
                <w:szCs w:val="15"/>
                <w:color w:val="auto"/>
              </w:rPr>
              <w:t>Class A Member Units (933 units)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6/4/2014</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8,874</w:t>
            </w:r>
          </w:p>
        </w:tc>
        <w:tc>
          <w:tcPr>
            <w:tcW w:w="260" w:type="dxa"/>
            <w:vAlign w:val="bottom"/>
          </w:tcPr>
          <w:p>
            <w:pPr>
              <w:spacing w:after="0"/>
              <w:rPr>
                <w:sz w:val="14"/>
                <w:szCs w:val="14"/>
                <w:color w:val="auto"/>
              </w:rPr>
            </w:pPr>
          </w:p>
        </w:tc>
        <w:tc>
          <w:tcPr>
            <w:tcW w:w="98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xml:space="preserve">Oak Hill Credit Partners </w:t>
            </w:r>
            <w:r>
              <w:rPr>
                <w:rFonts w:ascii="Arial" w:cs="Arial" w:eastAsia="Arial" w:hAnsi="Arial"/>
                <w:sz w:val="13"/>
                <w:szCs w:val="13"/>
                <w:color w:val="auto"/>
              </w:rPr>
              <w:t>(4)(6)</w:t>
            </w:r>
          </w:p>
        </w:tc>
        <w:tc>
          <w:tcPr>
            <w:tcW w:w="232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5.82%</w:t>
            </w:r>
          </w:p>
        </w:tc>
        <w:tc>
          <w:tcPr>
            <w:tcW w:w="10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8/21/2015</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3,293</w:t>
            </w:r>
          </w:p>
        </w:tc>
        <w:tc>
          <w:tcPr>
            <w:tcW w:w="2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3,099</w:t>
            </w:r>
          </w:p>
        </w:tc>
        <w:tc>
          <w:tcPr>
            <w:tcW w:w="2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 xml:space="preserve">Symphony </w:t>
            </w:r>
            <w:r>
              <w:rPr>
                <w:rFonts w:ascii="Arial" w:cs="Arial" w:eastAsia="Arial" w:hAnsi="Arial"/>
                <w:sz w:val="13"/>
                <w:szCs w:val="13"/>
                <w:color w:val="auto"/>
              </w:rPr>
              <w:t>(4)(6)</w:t>
            </w:r>
          </w:p>
        </w:tc>
        <w:tc>
          <w:tcPr>
            <w:tcW w:w="23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Structured Product</w:t>
            </w: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6.07%</w:t>
            </w:r>
          </w:p>
        </w:tc>
        <w:tc>
          <w:tcPr>
            <w:tcW w:w="10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w w:val="95"/>
              </w:rPr>
              <w:t>11/17/2014</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5,583</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5,100</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8,876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8,199</w:t>
            </w:r>
          </w:p>
        </w:tc>
        <w:tc>
          <w:tcPr>
            <w:tcW w:w="280" w:type="dxa"/>
            <w:vAlign w:val="bottom"/>
          </w:tcPr>
          <w:p>
            <w:pPr>
              <w:spacing w:after="0"/>
              <w:rPr>
                <w:sz w:val="14"/>
                <w:szCs w:val="14"/>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40,797</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26,337</w:t>
            </w: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1,529,676</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1,485,709</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180.8%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40" w:hanging="332"/>
        <w:spacing w:after="0" w:line="225"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ind w:left="340" w:right="360" w:hanging="332"/>
        <w:spacing w:after="0" w:line="225"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5"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0"/>
              </w:rPr>
              <w:t>Fair Value at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060" w:type="dxa"/>
            <w:vAlign w:val="bottom"/>
          </w:tcPr>
          <w:p>
            <w:pPr>
              <w:spacing w:after="0"/>
              <w:rPr>
                <w:sz w:val="11"/>
                <w:szCs w:val="11"/>
                <w:color w:val="auto"/>
              </w:rPr>
            </w:pPr>
          </w:p>
        </w:tc>
        <w:tc>
          <w:tcPr>
            <w:tcW w:w="1120" w:type="dxa"/>
            <w:vAlign w:val="bottom"/>
            <w:gridSpan w:val="3"/>
          </w:tcPr>
          <w:p>
            <w:pPr>
              <w:jc w:val="right"/>
              <w:ind w:right="400"/>
              <w:spacing w:after="0" w:line="135" w:lineRule="exact"/>
              <w:rPr>
                <w:sz w:val="20"/>
                <w:szCs w:val="20"/>
                <w:color w:val="auto"/>
              </w:rPr>
            </w:pPr>
            <w:r>
              <w:rPr>
                <w:rFonts w:ascii="Arial" w:cs="Arial" w:eastAsia="Arial" w:hAnsi="Arial"/>
                <w:sz w:val="13"/>
                <w:szCs w:val="13"/>
                <w:b w:val="1"/>
                <w:bCs w:val="1"/>
                <w:color w:val="auto"/>
                <w:w w:val="82"/>
              </w:rPr>
              <w:t>December 31,</w:t>
            </w: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2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80" w:type="dxa"/>
            <w:vAlign w:val="bottom"/>
          </w:tcPr>
          <w:p>
            <w:pPr>
              <w:spacing w:after="0"/>
              <w:rPr>
                <w:sz w:val="11"/>
                <w:szCs w:val="11"/>
                <w:color w:val="auto"/>
              </w:rPr>
            </w:pPr>
          </w:p>
        </w:tc>
        <w:tc>
          <w:tcPr>
            <w:tcW w:w="940" w:type="dxa"/>
            <w:vAlign w:val="bottom"/>
            <w:gridSpan w:val="3"/>
          </w:tcPr>
          <w:p>
            <w:pPr>
              <w:jc w:val="right"/>
              <w:ind w:right="20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5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3"/>
        </w:trPr>
        <w:tc>
          <w:tcPr>
            <w:tcW w:w="278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7"/>
              <w:spacing w:after="0"/>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(b)</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22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7,833</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(459)</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5"/>
              </w:rPr>
              <w:t>(12,328)</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219</w:t>
            </w:r>
          </w:p>
        </w:tc>
        <w:tc>
          <w:tcPr>
            <w:tcW w:w="3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$6,003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1"/>
              </w:rPr>
              <w:t>31,704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8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(4,888)</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26,816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380" w:type="dxa"/>
            <w:vAlign w:val="bottom"/>
          </w:tcPr>
          <w:p>
            <w:pPr>
              <w:spacing w:after="0"/>
              <w:rPr>
                <w:sz w:val="14"/>
                <w:szCs w:val="14"/>
                <w:color w:val="auto"/>
              </w:rPr>
            </w:pPr>
          </w:p>
        </w:tc>
        <w:tc>
          <w:tcPr>
            <w:tcW w:w="5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220" w:type="dxa"/>
            <w:vAlign w:val="bottom"/>
            <w:gridSpan w:val="2"/>
            <w:shd w:val="clear" w:color="auto" w:fill="CCEEFF"/>
          </w:tcPr>
          <w:p>
            <w:pPr>
              <w:jc w:val="right"/>
              <w:ind w:right="42"/>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41,636</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w w:val="91"/>
              </w:rPr>
              <w:t>39,537</w:t>
            </w:r>
          </w:p>
        </w:tc>
        <w:tc>
          <w:tcPr>
            <w:tcW w:w="30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b w:val="1"/>
                <w:bCs w:val="1"/>
                <w:color w:val="auto"/>
                <w:w w:val="95"/>
              </w:rPr>
              <w:t>$</w:t>
            </w:r>
          </w:p>
        </w:tc>
        <w:tc>
          <w:tcPr>
            <w:tcW w:w="9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b w:val="1"/>
                <w:bCs w:val="1"/>
                <w:color w:val="auto"/>
                <w:w w:val="96"/>
              </w:rPr>
              <w:t>(17,216)</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4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63,498</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240</w:t>
            </w:r>
          </w:p>
        </w:tc>
        <w:tc>
          <w:tcPr>
            <w:tcW w:w="5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discounts on debt investments, as applicable.</w:t>
      </w:r>
    </w:p>
    <w:p>
      <w:pPr>
        <w:ind w:left="340" w:hanging="332"/>
        <w:spacing w:after="0" w:line="225" w:lineRule="auto"/>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As of December 31, 2015, the tax cost of the Company’s investments approximates their amortized cost.</w:t>
      </w:r>
    </w:p>
    <w:p>
      <w:pPr>
        <w:ind w:left="340" w:right="400" w:hanging="332"/>
        <w:spacing w:after="0" w:line="239" w:lineRule="auto"/>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840" w:type="dxa"/>
            <w:vAlign w:val="bottom"/>
          </w:tcPr>
          <w:p>
            <w:pPr>
              <w:spacing w:after="0"/>
              <w:rPr>
                <w:sz w:val="12"/>
                <w:szCs w:val="12"/>
                <w:color w:val="auto"/>
              </w:rPr>
            </w:pPr>
          </w:p>
        </w:tc>
        <w:tc>
          <w:tcPr>
            <w:tcW w:w="230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(2)(9)</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Debt Investments Automotive</w:t>
            </w:r>
          </w:p>
        </w:tc>
        <w:tc>
          <w:tcPr>
            <w:tcW w:w="8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Heartland Automotive Holdings, LLC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($32,826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234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6/2017)</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9.75%</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8/28/2012</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  32,340</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5"/>
              </w:rPr>
              <w:t>$ 30,447</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14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($4,500 par, due 6/2017)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8/28/2012</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4,421</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4,097</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36,761</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34,544</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Beverage, food and tobacco</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AFS Technologies,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($64,399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460"/>
              <w:spacing w:after="0"/>
              <w:rPr>
                <w:sz w:val="20"/>
                <w:szCs w:val="20"/>
                <w:color w:val="auto"/>
              </w:rPr>
            </w:pPr>
            <w:r>
              <w:rPr>
                <w:rFonts w:ascii="Arial" w:cs="Arial" w:eastAsia="Arial" w:hAnsi="Arial"/>
                <w:sz w:val="13"/>
                <w:szCs w:val="13"/>
                <w:color w:val="auto"/>
              </w:rPr>
              <w:t>(3)(4)(6)</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3/2020)</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6.25%</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3/3/2014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63,102</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63,111</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Great Atlantic &amp; Pacific Tea Co.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($22,787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shd w:val="clear" w:color="auto" w:fill="CCEEFF"/>
          </w:tcPr>
          <w:p>
            <w:pPr>
              <w:ind w:left="228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shd w:val="clear" w:color="auto" w:fill="CCEEFF"/>
          </w:tcPr>
          <w:p>
            <w:pPr>
              <w:ind w:left="840"/>
              <w:spacing w:after="0"/>
              <w:rPr>
                <w:sz w:val="20"/>
                <w:szCs w:val="20"/>
                <w:color w:val="auto"/>
              </w:rPr>
            </w:pPr>
            <w:r>
              <w:rPr>
                <w:rFonts w:ascii="Arial" w:cs="Arial" w:eastAsia="Arial" w:hAnsi="Arial"/>
                <w:sz w:val="15"/>
                <w:szCs w:val="15"/>
                <w:color w:val="auto"/>
              </w:rPr>
              <w:t>due 9/2019)</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9.85%</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9/17/2014</w:t>
            </w:r>
          </w:p>
        </w:tc>
        <w:tc>
          <w:tcPr>
            <w:tcW w:w="14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22,426</w:t>
            </w:r>
          </w:p>
        </w:tc>
        <w:tc>
          <w:tcPr>
            <w:tcW w:w="2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22,274</w:t>
            </w:r>
          </w:p>
        </w:tc>
        <w:tc>
          <w:tcPr>
            <w:tcW w:w="260" w:type="dxa"/>
            <w:vAlign w:val="bottom"/>
            <w:vMerge w:val="restart"/>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140" w:type="dxa"/>
            <w:vAlign w:val="bottom"/>
            <w:gridSpan w:val="3"/>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85,528</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85,385</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Business services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Actian Corporation </w:t>
            </w:r>
            <w:r>
              <w:rPr>
                <w:rFonts w:ascii="Arial" w:cs="Arial" w:eastAsia="Arial" w:hAnsi="Arial"/>
                <w:sz w:val="13"/>
                <w:szCs w:val="13"/>
                <w:color w:val="auto"/>
              </w:rPr>
              <w:t>(3)(4)(6)</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($63,933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4/2018)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4/11/2013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62,282</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63,933</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Leaf US Holdings, Inc.</w:t>
            </w:r>
            <w:r>
              <w:rPr>
                <w:rFonts w:ascii="Arial" w:cs="Arial" w:eastAsia="Arial" w:hAnsi="Arial"/>
                <w:sz w:val="13"/>
                <w:szCs w:val="13"/>
                <w:color w:val="auto"/>
              </w:rPr>
              <w:t>(3)(4)(5)</w:t>
            </w: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loan ($16,418 par, due</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6/2019)</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6/30/2014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16,077</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16,003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Network Merchants, Inc</w:t>
            </w:r>
            <w:r>
              <w:rPr>
                <w:rFonts w:ascii="Arial" w:cs="Arial" w:eastAsia="Arial" w:hAnsi="Arial"/>
                <w:sz w:val="13"/>
                <w:szCs w:val="13"/>
                <w:color w:val="auto"/>
              </w:rPr>
              <w:t>(3)(4)</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($29,659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9/2018)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8.75%</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9/12/2013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29,204</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29,506</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ScentAir Technologies, Inc</w:t>
            </w:r>
            <w:r>
              <w:rPr>
                <w:rFonts w:ascii="Arial" w:cs="Arial" w:eastAsia="Arial" w:hAnsi="Arial"/>
                <w:sz w:val="13"/>
                <w:szCs w:val="13"/>
                <w:color w:val="auto"/>
              </w:rPr>
              <w:t>(3)(4)</w:t>
            </w: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loan ($16,071 par,</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14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due 12/2019)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12/30/2014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15,628</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15,621</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123,191</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125,063</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Chemicals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Vertellus Specialties,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($19,950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56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10/2019)</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10.50%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w w:val="95"/>
              </w:rPr>
              <w:t>10/31/2014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19,267</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18,753</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Communications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IPC Systems,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Second-lien loan ($17,000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10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5/2021)</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9.50%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5/2/2014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16,935</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17,680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Containers and packaging</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The Newark Group, Inc.</w:t>
            </w:r>
            <w:r>
              <w:rPr>
                <w:rFonts w:ascii="Arial" w:cs="Arial" w:eastAsia="Arial" w:hAnsi="Arial"/>
                <w:sz w:val="13"/>
                <w:szCs w:val="13"/>
                <w:color w:val="auto"/>
              </w:rPr>
              <w:t>(3)(4)</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($39,240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2/2018)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8.50%</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2/8/2013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38,984</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40,025</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Education</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Campus Management, Inc.</w:t>
            </w:r>
            <w:r>
              <w:rPr>
                <w:rFonts w:ascii="Arial" w:cs="Arial" w:eastAsia="Arial" w:hAnsi="Arial"/>
                <w:sz w:val="13"/>
                <w:szCs w:val="13"/>
                <w:color w:val="auto"/>
              </w:rPr>
              <w:t>(3)(4)(6)</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($28,125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9/2018)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8.75%</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9/30/2013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27,576</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27,914</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Electronics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MyAlarm Center, LLC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($61,861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42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1/2018)</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8.50%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1/9/2014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61,013</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60,893</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MyAlarm Center, LLC</w:t>
            </w: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Mezzanine loan ($4,887 par, due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16.25%</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40"/>
              <w:spacing w:after="0" w:line="162" w:lineRule="exact"/>
              <w:rPr>
                <w:sz w:val="20"/>
                <w:szCs w:val="20"/>
                <w:color w:val="auto"/>
              </w:rPr>
            </w:pPr>
            <w:r>
              <w:rPr>
                <w:rFonts w:ascii="Arial" w:cs="Arial" w:eastAsia="Arial" w:hAnsi="Arial"/>
                <w:sz w:val="15"/>
                <w:szCs w:val="15"/>
                <w:color w:val="auto"/>
              </w:rPr>
              <w:t>7/2018)</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9"/>
              </w:rPr>
              <w:t>(incl. 4.25%</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PIK)</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4,849</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4,520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APX Group Inc.</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bond 6.375% ($5,000</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par, due 12/2019)</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6.38%</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12/12/2014</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4,727</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4,788</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bond 8.75% ($10,000</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14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par, due 12/2020)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8.75%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12/11/2014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8,566</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8,444</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79,155</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78,645</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Financial services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Embarcadero Technologies,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($40,243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980"/>
              <w:spacing w:after="0"/>
              <w:rPr>
                <w:sz w:val="20"/>
                <w:szCs w:val="20"/>
                <w:color w:val="auto"/>
              </w:rPr>
            </w:pPr>
            <w:r>
              <w:rPr>
                <w:rFonts w:ascii="Arial" w:cs="Arial" w:eastAsia="Arial" w:hAnsi="Arial"/>
                <w:sz w:val="13"/>
                <w:szCs w:val="13"/>
                <w:color w:val="auto"/>
              </w:rPr>
              <w:t>(3)(4)(6)</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12/2017)</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8.00%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w w:val="95"/>
              </w:rPr>
              <w:t>12/28/2012</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39,585</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40,544</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Rogue Wave Holdings,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($66,470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shd w:val="clear" w:color="auto" w:fill="CCEEFF"/>
          </w:tcPr>
          <w:p>
            <w:pPr>
              <w:ind w:left="1700"/>
              <w:spacing w:after="0"/>
              <w:rPr>
                <w:sz w:val="20"/>
                <w:szCs w:val="20"/>
                <w:color w:val="auto"/>
              </w:rPr>
            </w:pPr>
            <w:r>
              <w:rPr>
                <w:rFonts w:ascii="Arial" w:cs="Arial" w:eastAsia="Arial" w:hAnsi="Arial"/>
                <w:sz w:val="13"/>
                <w:szCs w:val="13"/>
                <w:color w:val="auto"/>
              </w:rPr>
              <w:t>(3)(4)(6)</w:t>
            </w:r>
          </w:p>
        </w:tc>
        <w:tc>
          <w:tcPr>
            <w:tcW w:w="3140" w:type="dxa"/>
            <w:vAlign w:val="bottom"/>
            <w:gridSpan w:val="3"/>
            <w:vMerge w:val="restart"/>
            <w:shd w:val="clear" w:color="auto" w:fill="CCEEFF"/>
          </w:tcPr>
          <w:p>
            <w:pPr>
              <w:ind w:left="840"/>
              <w:spacing w:after="0"/>
              <w:rPr>
                <w:sz w:val="20"/>
                <w:szCs w:val="20"/>
                <w:color w:val="auto"/>
              </w:rPr>
            </w:pPr>
            <w:r>
              <w:rPr>
                <w:rFonts w:ascii="Arial" w:cs="Arial" w:eastAsia="Arial" w:hAnsi="Arial"/>
                <w:sz w:val="15"/>
                <w:szCs w:val="15"/>
                <w:color w:val="auto"/>
              </w:rPr>
              <w:t>due 12/2018)</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5"/>
              </w:rPr>
              <w:t>11/21/2012</w:t>
            </w:r>
          </w:p>
        </w:tc>
        <w:tc>
          <w:tcPr>
            <w:tcW w:w="14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65,344</w:t>
            </w:r>
          </w:p>
        </w:tc>
        <w:tc>
          <w:tcPr>
            <w:tcW w:w="2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65,971</w:t>
            </w:r>
          </w:p>
        </w:tc>
        <w:tc>
          <w:tcPr>
            <w:tcW w:w="260" w:type="dxa"/>
            <w:vAlign w:val="bottom"/>
            <w:vMerge w:val="restart"/>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140" w:type="dxa"/>
            <w:vAlign w:val="bottom"/>
            <w:gridSpan w:val="3"/>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104,929</w:t>
            </w:r>
          </w:p>
        </w:tc>
        <w:tc>
          <w:tcPr>
            <w:tcW w:w="28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106,515</w:t>
            </w:r>
          </w:p>
        </w:tc>
        <w:tc>
          <w:tcPr>
            <w:tcW w:w="260" w:type="dxa"/>
            <w:vAlign w:val="bottom"/>
          </w:tcPr>
          <w:p>
            <w:pPr>
              <w:spacing w:after="0"/>
              <w:rPr>
                <w:sz w:val="14"/>
                <w:szCs w:val="14"/>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34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(2)(9)</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Healthcare</w:t>
            </w:r>
          </w:p>
        </w:tc>
        <w:tc>
          <w:tcPr>
            <w:tcW w:w="2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Aesynt Incorporated </w:t>
            </w:r>
            <w:r>
              <w:rPr>
                <w:rFonts w:ascii="Arial" w:cs="Arial" w:eastAsia="Arial" w:hAnsi="Arial"/>
                <w:sz w:val="13"/>
                <w:szCs w:val="13"/>
                <w:color w:val="auto"/>
              </w:rPr>
              <w:t>(3)(4)(6)</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($34,563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5"/>
                <w:szCs w:val="15"/>
                <w:color w:val="auto"/>
              </w:rPr>
              <w:t>due 5/2019)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5/8/2014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33,714</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33,526</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Global Healthcare Exchange,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($46,250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208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3/2020)</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3/11/2014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45,149</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45,139</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(3)(5)</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(EUR 28,014 par,</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11.50%</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40" w:type="dxa"/>
            <w:vAlign w:val="bottom"/>
            <w:gridSpan w:val="2"/>
          </w:tcPr>
          <w:p>
            <w:pPr>
              <w:spacing w:after="0" w:line="162" w:lineRule="exact"/>
              <w:rPr>
                <w:sz w:val="20"/>
                <w:szCs w:val="20"/>
                <w:color w:val="auto"/>
              </w:rPr>
            </w:pPr>
            <w:r>
              <w:rPr>
                <w:rFonts w:ascii="Arial" w:cs="Arial" w:eastAsia="Arial" w:hAnsi="Arial"/>
                <w:sz w:val="15"/>
                <w:szCs w:val="15"/>
                <w:color w:val="auto"/>
              </w:rPr>
              <w:t>due 9/2019)</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3.00%</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32,373</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9/30/2014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33,761</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w w:val="98"/>
              </w:rPr>
              <w:t>(EUR 26,753)</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5"/>
                <w:szCs w:val="15"/>
                <w:color w:val="auto"/>
              </w:rPr>
              <w:t>227</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(EUR 300 par, due 9/2019)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9/30/2014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235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(EUR 188)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Mediware Information Systems, Inc. </w:t>
            </w:r>
            <w:r>
              <w:rPr>
                <w:rFonts w:ascii="Arial" w:cs="Arial" w:eastAsia="Arial" w:hAnsi="Arial"/>
                <w:sz w:val="13"/>
                <w:szCs w:val="13"/>
                <w:color w:val="auto"/>
              </w:rPr>
              <w:t>(3)(4)(6)</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($69,405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5"/>
                <w:szCs w:val="15"/>
                <w:color w:val="auto"/>
              </w:rPr>
              <w:t>due 5/2018)</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11/9/2012</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68,221</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68,885</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SRS Software, LLC</w:t>
            </w:r>
            <w:r>
              <w:rPr>
                <w:rFonts w:ascii="Arial" w:cs="Arial" w:eastAsia="Arial" w:hAnsi="Arial"/>
                <w:sz w:val="13"/>
                <w:szCs w:val="13"/>
                <w:color w:val="auto"/>
              </w:rPr>
              <w:t>(3)(4)</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($33,750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12/2017)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12/28/2012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33,192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33,834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5"/>
                <w:szCs w:val="15"/>
                <w:color w:val="auto"/>
              </w:rPr>
              <w:t>($2,000 par, due 12/2017)</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12/28/2012</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1,933</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2,005</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216,205</w:t>
            </w: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215,989</w:t>
            </w:r>
          </w:p>
        </w:tc>
        <w:tc>
          <w:tcPr>
            <w:tcW w:w="9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69"/>
        </w:trPr>
        <w:tc>
          <w:tcPr>
            <w:tcW w:w="392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Hotel, gaming, and leisure</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Centaur, LLC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loan ($10,000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2/2020)</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2/15/2013</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9,931</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9,913</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IRG Sports &amp; Entertainment, LLC</w:t>
            </w:r>
            <w:r>
              <w:rPr>
                <w:rFonts w:ascii="Arial" w:cs="Arial" w:eastAsia="Arial" w:hAnsi="Arial"/>
                <w:sz w:val="13"/>
                <w:szCs w:val="13"/>
                <w:color w:val="auto"/>
              </w:rPr>
              <w:t>(3)(4)</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($43,653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12.00%</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line="162" w:lineRule="exact"/>
              <w:rPr>
                <w:sz w:val="20"/>
                <w:szCs w:val="20"/>
                <w:color w:val="auto"/>
              </w:rPr>
            </w:pPr>
            <w:r>
              <w:rPr>
                <w:rFonts w:ascii="Arial" w:cs="Arial" w:eastAsia="Arial" w:hAnsi="Arial"/>
                <w:sz w:val="15"/>
                <w:szCs w:val="15"/>
                <w:color w:val="auto"/>
              </w:rPr>
              <w:t>9/2019)</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5.00%</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9/30/2014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41,073</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40,161</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Soho House</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bond (GBP 13,750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22,565</w:t>
            </w: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10/2018)</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(GBP</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340" w:type="dxa"/>
            <w:vAlign w:val="bottom"/>
            <w:gridSpan w:val="2"/>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9/20/2013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22,826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14,472)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73,830</w:t>
            </w:r>
          </w:p>
        </w:tc>
        <w:tc>
          <w:tcPr>
            <w:tcW w:w="11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72,639</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Insurance</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Infogix,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($35,438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tcPr>
          <w:p>
            <w:pPr>
              <w:ind w:left="76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tcPr>
          <w:p>
            <w:pPr>
              <w:spacing w:after="0"/>
              <w:rPr>
                <w:sz w:val="20"/>
                <w:szCs w:val="20"/>
                <w:color w:val="auto"/>
              </w:rPr>
            </w:pPr>
            <w:r>
              <w:rPr>
                <w:rFonts w:ascii="Arial" w:cs="Arial" w:eastAsia="Arial" w:hAnsi="Arial"/>
                <w:sz w:val="15"/>
                <w:szCs w:val="15"/>
                <w:color w:val="auto"/>
              </w:rPr>
              <w:t>due 6/2017)</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10.00%</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6/1/2012</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35,034</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35,260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 ($2,010</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par, due 6/2017)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11.00%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6/1/2012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1,985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Insurity,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($65,000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tcPr>
          <w:p>
            <w:pPr>
              <w:ind w:left="780"/>
              <w:spacing w:after="0"/>
              <w:rPr>
                <w:sz w:val="20"/>
                <w:szCs w:val="20"/>
                <w:color w:val="auto"/>
              </w:rPr>
            </w:pPr>
            <w:r>
              <w:rPr>
                <w:rFonts w:ascii="Arial" w:cs="Arial" w:eastAsia="Arial" w:hAnsi="Arial"/>
                <w:sz w:val="13"/>
                <w:szCs w:val="13"/>
                <w:color w:val="auto"/>
              </w:rPr>
              <w:t>(3)(4)(6)</w:t>
            </w:r>
          </w:p>
        </w:tc>
        <w:tc>
          <w:tcPr>
            <w:tcW w:w="2340" w:type="dxa"/>
            <w:vAlign w:val="bottom"/>
            <w:gridSpan w:val="2"/>
            <w:vMerge w:val="restart"/>
          </w:tcPr>
          <w:p>
            <w:pPr>
              <w:spacing w:after="0"/>
              <w:rPr>
                <w:sz w:val="20"/>
                <w:szCs w:val="20"/>
                <w:color w:val="auto"/>
              </w:rPr>
            </w:pPr>
            <w:r>
              <w:rPr>
                <w:rFonts w:ascii="Arial" w:cs="Arial" w:eastAsia="Arial" w:hAnsi="Arial"/>
                <w:sz w:val="15"/>
                <w:szCs w:val="15"/>
                <w:color w:val="auto"/>
              </w:rPr>
              <w:t>due 10/2020)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w w:val="95"/>
              </w:rPr>
              <w:t>10/31/2014</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64,363</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64,025</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101,358</w:t>
            </w: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101,270</w:t>
            </w:r>
          </w:p>
        </w:tc>
        <w:tc>
          <w:tcPr>
            <w:tcW w:w="9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9"/>
        </w:trPr>
        <w:tc>
          <w:tcPr>
            <w:tcW w:w="392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Internet Services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Highwinds Capital,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($41,401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1460"/>
              <w:spacing w:after="0"/>
              <w:rPr>
                <w:sz w:val="20"/>
                <w:szCs w:val="20"/>
                <w:color w:val="auto"/>
              </w:rPr>
            </w:pPr>
            <w:r>
              <w:rPr>
                <w:rFonts w:ascii="Arial" w:cs="Arial" w:eastAsia="Arial" w:hAnsi="Arial"/>
                <w:sz w:val="13"/>
                <w:szCs w:val="13"/>
                <w:color w:val="auto"/>
              </w:rPr>
              <w:t>(3)(4)</w:t>
            </w:r>
          </w:p>
        </w:tc>
        <w:tc>
          <w:tcPr>
            <w:tcW w:w="22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7/2018)</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3/7/2014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40,931</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40,859</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Manufacturing</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Jeeves Information Systems AB</w:t>
            </w:r>
            <w:r>
              <w:rPr>
                <w:rFonts w:ascii="Arial" w:cs="Arial" w:eastAsia="Arial" w:hAnsi="Arial"/>
                <w:sz w:val="13"/>
                <w:szCs w:val="13"/>
                <w:color w:val="auto"/>
              </w:rPr>
              <w:t>(3)(5)(6)</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(SEK 203,140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5"/>
                <w:szCs w:val="15"/>
                <w:color w:val="auto"/>
              </w:rPr>
              <w:t>25,690</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3/2019)</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(SEK</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6/5/2013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30,897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201,109)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39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Metals and mining</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Metalico, Inc.</w:t>
            </w:r>
            <w:r>
              <w:rPr>
                <w:rFonts w:ascii="Arial" w:cs="Arial" w:eastAsia="Arial" w:hAnsi="Arial"/>
                <w:sz w:val="13"/>
                <w:szCs w:val="13"/>
                <w:color w:val="auto"/>
              </w:rPr>
              <w:t>(3)(4)(6)</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($19,973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11/2019)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10.50%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11/21/2013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17,699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21,321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39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Office products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Ecommerce Industries,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($35,390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1700"/>
              <w:spacing w:after="0"/>
              <w:rPr>
                <w:sz w:val="20"/>
                <w:szCs w:val="20"/>
                <w:color w:val="auto"/>
              </w:rPr>
            </w:pPr>
            <w:r>
              <w:rPr>
                <w:rFonts w:ascii="Arial" w:cs="Arial" w:eastAsia="Arial" w:hAnsi="Arial"/>
                <w:sz w:val="13"/>
                <w:szCs w:val="13"/>
                <w:color w:val="auto"/>
              </w:rPr>
              <w:t>(3)(4)(6)</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7.25%</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3/11/2014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35,090</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34,868</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920" w:type="dxa"/>
            <w:vAlign w:val="bottom"/>
            <w:gridSpan w:val="2"/>
          </w:tcPr>
          <w:p>
            <w:pPr>
              <w:ind w:left="320"/>
              <w:spacing w:after="0" w:line="145" w:lineRule="exact"/>
              <w:rPr>
                <w:sz w:val="20"/>
                <w:szCs w:val="20"/>
                <w:color w:val="auto"/>
              </w:rPr>
            </w:pPr>
            <w:r>
              <w:rPr>
                <w:rFonts w:ascii="Arial" w:cs="Arial" w:eastAsia="Arial" w:hAnsi="Arial"/>
                <w:sz w:val="15"/>
                <w:szCs w:val="15"/>
                <w:b w:val="1"/>
                <w:bCs w:val="1"/>
                <w:color w:val="auto"/>
              </w:rPr>
              <w:t>Oil, gas and consumable</w:t>
            </w: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20" w:type="dxa"/>
            <w:vAlign w:val="bottom"/>
            <w:gridSpan w:val="2"/>
          </w:tcPr>
          <w:p>
            <w:pPr>
              <w:ind w:left="320"/>
              <w:spacing w:after="0"/>
              <w:rPr>
                <w:sz w:val="20"/>
                <w:szCs w:val="20"/>
                <w:color w:val="auto"/>
              </w:rPr>
            </w:pPr>
            <w:r>
              <w:rPr>
                <w:rFonts w:ascii="Arial" w:cs="Arial" w:eastAsia="Arial" w:hAnsi="Arial"/>
                <w:sz w:val="15"/>
                <w:szCs w:val="15"/>
                <w:b w:val="1"/>
                <w:bCs w:val="1"/>
                <w:color w:val="auto"/>
              </w:rPr>
              <w:t>fuels</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Milagro Exploration, LLC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($62,857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162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9/2017)</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9.50%</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9/4/2014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62,130</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61,457</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($39,505 par,</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13.00%</w:t>
            </w: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tcPr>
          <w:p>
            <w:pPr>
              <w:ind w:left="1740"/>
              <w:spacing w:after="0"/>
              <w:rPr>
                <w:sz w:val="20"/>
                <w:szCs w:val="20"/>
                <w:color w:val="auto"/>
              </w:rPr>
            </w:pPr>
            <w:r>
              <w:rPr>
                <w:rFonts w:ascii="Arial" w:cs="Arial" w:eastAsia="Arial" w:hAnsi="Arial"/>
                <w:sz w:val="13"/>
                <w:szCs w:val="13"/>
                <w:color w:val="auto"/>
              </w:rPr>
              <w:t>(3)(4)(8)</w:t>
            </w:r>
          </w:p>
        </w:tc>
        <w:tc>
          <w:tcPr>
            <w:tcW w:w="2340" w:type="dxa"/>
            <w:vAlign w:val="bottom"/>
            <w:gridSpan w:val="2"/>
            <w:vMerge w:val="restart"/>
          </w:tcPr>
          <w:p>
            <w:pPr>
              <w:spacing w:after="0"/>
              <w:rPr>
                <w:sz w:val="20"/>
                <w:szCs w:val="20"/>
                <w:color w:val="auto"/>
              </w:rPr>
            </w:pPr>
            <w:r>
              <w:rPr>
                <w:rFonts w:ascii="Arial" w:cs="Arial" w:eastAsia="Arial" w:hAnsi="Arial"/>
                <w:sz w:val="15"/>
                <w:szCs w:val="15"/>
                <w:color w:val="auto"/>
              </w:rPr>
              <w:t>due 6/2018)</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9"/>
              </w:rPr>
              <w:t>(incl. 1.50%</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6/4/2014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38,706</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37,381</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100,836</w:t>
            </w: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98,838</w:t>
            </w:r>
          </w:p>
        </w:tc>
        <w:tc>
          <w:tcPr>
            <w:tcW w:w="9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Initial</w:t>
            </w: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1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(2)(9)</w:t>
            </w: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w w:val="92"/>
              </w:rPr>
              <w:t>Retail</w:t>
            </w:r>
          </w:p>
        </w:tc>
        <w:tc>
          <w:tcPr>
            <w:tcW w:w="37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5"/>
                <w:szCs w:val="15"/>
                <w:b w:val="1"/>
                <w:bCs w:val="1"/>
                <w:color w:val="auto"/>
              </w:rPr>
              <w:t>and consumer products</w:t>
            </w:r>
          </w:p>
        </w:tc>
        <w:tc>
          <w:tcPr>
            <w:tcW w:w="2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(3)(4)</w:t>
            </w:r>
          </w:p>
        </w:tc>
        <w:tc>
          <w:tcPr>
            <w:tcW w:w="218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($42,000 par,</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due 10/2019)</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8.25%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10/10/2014</w:t>
            </w: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41,149</w:t>
            </w: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41,370</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Transportation</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Kewill, Ltd.</w:t>
            </w:r>
          </w:p>
        </w:tc>
        <w:tc>
          <w:tcPr>
            <w:tcW w:w="21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loan ($62,500 par,</w:t>
            </w: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20" w:type="dxa"/>
            <w:vAlign w:val="bottom"/>
            <w:gridSpan w:val="2"/>
          </w:tcPr>
          <w:p>
            <w:pPr>
              <w:ind w:left="760"/>
              <w:spacing w:after="0"/>
              <w:rPr>
                <w:sz w:val="20"/>
                <w:szCs w:val="20"/>
                <w:color w:val="auto"/>
              </w:rPr>
            </w:pPr>
            <w:r>
              <w:rPr>
                <w:rFonts w:ascii="Arial" w:cs="Arial" w:eastAsia="Arial" w:hAnsi="Arial"/>
                <w:sz w:val="13"/>
                <w:szCs w:val="13"/>
                <w:color w:val="auto"/>
              </w:rPr>
              <w:t>(3)(5)</w:t>
            </w: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due 10/2019)</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9.50%</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10/2/2013</w:t>
            </w:r>
          </w:p>
        </w:tc>
        <w:tc>
          <w:tcPr>
            <w:tcW w:w="26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61,428</w:t>
            </w: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61,250</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Debt Investments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1,251,749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1,248,618</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Equity and Other Investments Business services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Network Merchants, Inc</w:t>
            </w: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Non-Voting Preferred Units</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(774,099 units)</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9/12/2013</w:t>
            </w:r>
          </w:p>
        </w:tc>
        <w:tc>
          <w:tcPr>
            <w:tcW w:w="2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780</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932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44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Healthcare and pharmaceuticals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A (598</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3/11/2014</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467</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467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B (196</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shares)</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3/11/2014</w:t>
            </w: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137</w:t>
            </w: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137</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(5)</w:t>
            </w: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Warrants</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5"/>
                <w:szCs w:val="15"/>
                <w:color w:val="auto"/>
              </w:rPr>
              <w:t>840</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(EUR</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9/30/2014</w:t>
            </w:r>
          </w:p>
        </w:tc>
        <w:tc>
          <w:tcPr>
            <w:tcW w:w="2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877</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694)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5"/>
                <w:szCs w:val="15"/>
                <w:color w:val="auto"/>
              </w:rPr>
              <w:t>SRS Parent Corp.</w:t>
            </w:r>
          </w:p>
        </w:tc>
        <w:tc>
          <w:tcPr>
            <w:tcW w:w="21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A</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(1,980 shares)</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12/28/2012</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1,980</w:t>
            </w:r>
          </w:p>
        </w:tc>
        <w:tc>
          <w:tcPr>
            <w:tcW w:w="12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1,099</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B</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(2,953,020 shares)</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12/28/2012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2,554</w:t>
            </w:r>
          </w:p>
        </w:tc>
        <w:tc>
          <w:tcPr>
            <w:tcW w:w="280" w:type="dxa"/>
            <w:vAlign w:val="bottom"/>
          </w:tcPr>
          <w:p>
            <w:pPr>
              <w:spacing w:after="0"/>
              <w:rPr>
                <w:sz w:val="15"/>
                <w:szCs w:val="15"/>
                <w:color w:val="auto"/>
              </w:rPr>
            </w:pP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Hotel, gaming, and leisure</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IRG Sports &amp; Entertainment, LLC</w:t>
            </w:r>
          </w:p>
        </w:tc>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rPr>
              <w:t>Warrants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9/30/2014</w:t>
            </w:r>
          </w:p>
        </w:tc>
        <w:tc>
          <w:tcPr>
            <w:tcW w:w="260" w:type="dxa"/>
            <w:vAlign w:val="bottom"/>
          </w:tcPr>
          <w:p>
            <w:pPr>
              <w:spacing w:after="0"/>
              <w:rPr>
                <w:sz w:val="14"/>
                <w:szCs w:val="14"/>
                <w:color w:val="auto"/>
              </w:rPr>
            </w:pPr>
          </w:p>
        </w:tc>
        <w:tc>
          <w:tcPr>
            <w:tcW w:w="7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1,494</w:t>
            </w:r>
          </w:p>
        </w:tc>
        <w:tc>
          <w:tcPr>
            <w:tcW w:w="120" w:type="dxa"/>
            <w:vAlign w:val="bottom"/>
          </w:tcPr>
          <w:p>
            <w:pPr>
              <w:spacing w:after="0"/>
              <w:rPr>
                <w:sz w:val="14"/>
                <w:szCs w:val="14"/>
                <w:color w:val="auto"/>
              </w:rPr>
            </w:pPr>
          </w:p>
        </w:tc>
        <w:tc>
          <w:tcPr>
            <w:tcW w:w="11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1,494</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Metals and mining</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Metalico, Inc.</w:t>
            </w:r>
          </w:p>
        </w:tc>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rPr>
              <w:t>Warrants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8"/>
              </w:rPr>
              <w:t>11/21/2013</w:t>
            </w:r>
          </w:p>
        </w:tc>
        <w:tc>
          <w:tcPr>
            <w:tcW w:w="7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1,343</w:t>
            </w:r>
          </w:p>
        </w:tc>
        <w:tc>
          <w:tcPr>
            <w:tcW w:w="120" w:type="dxa"/>
            <w:vAlign w:val="bottom"/>
          </w:tcPr>
          <w:p>
            <w:pPr>
              <w:spacing w:after="0"/>
              <w:rPr>
                <w:sz w:val="14"/>
                <w:szCs w:val="14"/>
                <w:color w:val="auto"/>
              </w:rPr>
            </w:pPr>
          </w:p>
        </w:tc>
        <w:tc>
          <w:tcPr>
            <w:tcW w:w="11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133</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1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w:t>
            </w: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gridSpan w:val="2"/>
          </w:tcPr>
          <w:p>
            <w:pPr>
              <w:ind w:left="1740"/>
              <w:spacing w:after="0"/>
              <w:rPr>
                <w:sz w:val="20"/>
                <w:szCs w:val="20"/>
                <w:color w:val="auto"/>
              </w:rPr>
            </w:pPr>
            <w:r>
              <w:rPr>
                <w:rFonts w:ascii="Arial" w:cs="Arial" w:eastAsia="Arial" w:hAnsi="Arial"/>
                <w:sz w:val="13"/>
                <w:szCs w:val="13"/>
                <w:color w:val="auto"/>
              </w:rPr>
              <w:t>(8)</w:t>
            </w: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(933 units)</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6/4/2014</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8,874</w:t>
            </w:r>
          </w:p>
        </w:tc>
        <w:tc>
          <w:tcPr>
            <w:tcW w:w="12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4,254</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1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40" w:type="dxa"/>
            <w:vAlign w:val="bottom"/>
            <w:gridSpan w:val="2"/>
            <w:shd w:val="clear" w:color="auto" w:fill="CCEEFF"/>
          </w:tcPr>
          <w:p>
            <w:pPr>
              <w:jc w:val="right"/>
              <w:ind w:right="220"/>
              <w:spacing w:after="0" w:line="6" w:lineRule="exact"/>
              <w:rPr>
                <w:sz w:val="20"/>
                <w:szCs w:val="20"/>
                <w:color w:val="auto"/>
              </w:rPr>
            </w:pPr>
            <w:r>
              <w:rPr>
                <w:rFonts w:ascii="Arial" w:cs="Arial" w:eastAsia="Arial" w:hAnsi="Arial"/>
                <w:sz w:val="1"/>
                <w:szCs w:val="1"/>
                <w:color w:val="auto"/>
              </w:rPr>
              <w:t>5.98%</w:t>
            </w:r>
          </w:p>
        </w:tc>
        <w:tc>
          <w:tcPr>
            <w:tcW w:w="10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11/17/2014</w:t>
            </w:r>
          </w:p>
        </w:tc>
        <w:tc>
          <w:tcPr>
            <w:tcW w:w="720" w:type="dxa"/>
            <w:vAlign w:val="bottom"/>
            <w:gridSpan w:val="2"/>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5,531</w:t>
            </w:r>
          </w:p>
        </w:tc>
        <w:tc>
          <w:tcPr>
            <w:tcW w:w="120" w:type="dxa"/>
            <w:vAlign w:val="bottom"/>
            <w:shd w:val="clear" w:color="auto" w:fill="CCEEFF"/>
          </w:tcPr>
          <w:p>
            <w:pPr>
              <w:spacing w:after="0" w:line="20" w:lineRule="exact"/>
              <w:rPr>
                <w:sz w:val="1"/>
                <w:szCs w:val="1"/>
                <w:color w:val="auto"/>
              </w:rPr>
            </w:pPr>
          </w:p>
        </w:tc>
        <w:tc>
          <w:tcPr>
            <w:tcW w:w="1120" w:type="dxa"/>
            <w:vAlign w:val="bottom"/>
            <w:gridSpan w:val="3"/>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5,526</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0.7%</w:t>
            </w:r>
          </w:p>
        </w:tc>
        <w:tc>
          <w:tcPr>
            <w:tcW w:w="0" w:type="dxa"/>
            <w:vAlign w:val="bottom"/>
          </w:tcPr>
          <w:p>
            <w:pPr>
              <w:spacing w:after="0" w:line="20" w:lineRule="exact"/>
              <w:rPr>
                <w:sz w:val="1"/>
                <w:szCs w:val="1"/>
                <w:color w:val="auto"/>
              </w:rPr>
            </w:pPr>
          </w:p>
        </w:tc>
      </w:tr>
      <w:tr>
        <w:trPr>
          <w:trHeight w:val="163"/>
        </w:trPr>
        <w:tc>
          <w:tcPr>
            <w:tcW w:w="4420" w:type="dxa"/>
            <w:vAlign w:val="bottom"/>
            <w:gridSpan w:val="2"/>
          </w:tcPr>
          <w:p>
            <w:pPr>
              <w:ind w:left="680"/>
              <w:spacing w:after="0"/>
              <w:rPr>
                <w:sz w:val="20"/>
                <w:szCs w:val="20"/>
                <w:color w:val="auto"/>
              </w:rPr>
            </w:pPr>
            <w:r>
              <w:rPr>
                <w:rFonts w:ascii="Arial" w:cs="Arial" w:eastAsia="Arial" w:hAnsi="Arial"/>
                <w:sz w:val="13"/>
                <w:szCs w:val="13"/>
                <w:color w:val="auto"/>
              </w:rPr>
              <w:t>(5)(7)</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21,503</w:t>
            </w:r>
          </w:p>
        </w:tc>
        <w:tc>
          <w:tcPr>
            <w:tcW w:w="112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14,893</w:t>
            </w: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1,273,252</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85"/>
              </w:rPr>
              <w:t>$ 1,263,511</w:t>
            </w:r>
          </w:p>
        </w:tc>
        <w:tc>
          <w:tcPr>
            <w:tcW w:w="280" w:type="dxa"/>
            <w:vAlign w:val="bottom"/>
            <w:vMerge w:val="continue"/>
          </w:tcPr>
          <w:p>
            <w:pPr>
              <w:spacing w:after="0"/>
              <w:rPr>
                <w:sz w:val="14"/>
                <w:szCs w:val="14"/>
                <w:color w:val="auto"/>
              </w:rPr>
            </w:pPr>
          </w:p>
        </w:tc>
        <w:tc>
          <w:tcPr>
            <w:tcW w:w="10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151.4%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660" w:hanging="332"/>
        <w:spacing w:after="0" w:line="225"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investment, or a portion thereof, is held within TPG SL SPV, LLC, a wholly-owned subsidiary of the Company, and was pledged as collateral supporting the amounts outstanding under the SPV Asset Facility (see Note 7).</w:t>
      </w:r>
    </w:p>
    <w:p>
      <w:pPr>
        <w:ind w:left="340" w:right="20" w:hanging="332"/>
        <w:spacing w:after="0" w:line="225"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340" w:right="360" w:hanging="332"/>
        <w:spacing w:after="0" w:line="225" w:lineRule="auto"/>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tabs>
          <w:tab w:leader="none" w:pos="3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0" w:right="60" w:hanging="332"/>
        <w:spacing w:after="0" w:line="236" w:lineRule="auto"/>
        <w:tabs>
          <w:tab w:leader="none" w:pos="3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Fair Value at</w:t>
            </w:r>
          </w:p>
        </w:tc>
        <w:tc>
          <w:tcPr>
            <w:tcW w:w="460" w:type="dxa"/>
            <w:vAlign w:val="bottom"/>
          </w:tcPr>
          <w:p>
            <w:pPr>
              <w:spacing w:after="0"/>
              <w:rPr>
                <w:sz w:val="13"/>
                <w:szCs w:val="13"/>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500" w:type="dxa"/>
            <w:vAlign w:val="bottom"/>
          </w:tcPr>
          <w:p>
            <w:pPr>
              <w:jc w:val="center"/>
              <w:ind w:right="50"/>
              <w:spacing w:after="0"/>
              <w:rPr>
                <w:sz w:val="20"/>
                <w:szCs w:val="20"/>
                <w:color w:val="auto"/>
              </w:rPr>
            </w:pPr>
            <w:r>
              <w:rPr>
                <w:rFonts w:ascii="Arial" w:cs="Arial" w:eastAsia="Arial" w:hAnsi="Arial"/>
                <w:sz w:val="13"/>
                <w:szCs w:val="13"/>
                <w:b w:val="1"/>
                <w:bCs w:val="1"/>
                <w:color w:val="auto"/>
                <w:w w:val="79"/>
              </w:rPr>
              <w:t>Gross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 at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5"/>
              </w:rPr>
              <w:t>December 31,</w:t>
            </w:r>
          </w:p>
        </w:tc>
        <w:tc>
          <w:tcPr>
            <w:tcW w:w="460" w:type="dxa"/>
            <w:vAlign w:val="bottom"/>
          </w:tcPr>
          <w:p>
            <w:pPr>
              <w:spacing w:after="0"/>
              <w:rPr>
                <w:sz w:val="11"/>
                <w:szCs w:val="11"/>
                <w:color w:val="auto"/>
              </w:rPr>
            </w:pPr>
          </w:p>
        </w:tc>
        <w:tc>
          <w:tcPr>
            <w:tcW w:w="9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Additions</w:t>
            </w:r>
          </w:p>
        </w:tc>
        <w:tc>
          <w:tcPr>
            <w:tcW w:w="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Reductions</w:t>
            </w:r>
          </w:p>
        </w:tc>
        <w:tc>
          <w:tcPr>
            <w:tcW w:w="44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Realized</w:t>
            </w:r>
          </w:p>
        </w:tc>
        <w:tc>
          <w:tcPr>
            <w:tcW w:w="440" w:type="dxa"/>
            <w:vAlign w:val="bottom"/>
          </w:tcPr>
          <w:p>
            <w:pPr>
              <w:spacing w:after="0"/>
              <w:rPr>
                <w:sz w:val="11"/>
                <w:szCs w:val="11"/>
                <w:color w:val="auto"/>
              </w:rPr>
            </w:pPr>
          </w:p>
        </w:tc>
        <w:tc>
          <w:tcPr>
            <w:tcW w:w="12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5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3"/>
        </w:trPr>
        <w:tc>
          <w:tcPr>
            <w:tcW w:w="3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8"/>
              <w:spacing w:after="0"/>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3"/>
                <w:szCs w:val="13"/>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20" w:type="dxa"/>
            <w:vAlign w:val="bottom"/>
          </w:tcPr>
          <w:p>
            <w:pPr>
              <w:spacing w:after="0"/>
              <w:rPr>
                <w:sz w:val="13"/>
                <w:szCs w:val="13"/>
                <w:color w:val="auto"/>
              </w:rPr>
            </w:pPr>
          </w:p>
        </w:tc>
        <w:tc>
          <w:tcPr>
            <w:tcW w:w="500" w:type="dxa"/>
            <w:vAlign w:val="bottom"/>
          </w:tcPr>
          <w:p>
            <w:pPr>
              <w:jc w:val="center"/>
              <w:ind w:right="50"/>
              <w:spacing w:after="0"/>
              <w:rPr>
                <w:sz w:val="20"/>
                <w:szCs w:val="20"/>
                <w:color w:val="auto"/>
              </w:rPr>
            </w:pPr>
            <w:r>
              <w:rPr>
                <w:rFonts w:ascii="Arial" w:cs="Arial" w:eastAsia="Arial" w:hAnsi="Arial"/>
                <w:sz w:val="13"/>
                <w:szCs w:val="13"/>
                <w:b w:val="1"/>
                <w:bCs w:val="1"/>
                <w:color w:val="auto"/>
                <w:w w:val="84"/>
              </w:rPr>
              <w:t>(b)</w:t>
            </w:r>
          </w:p>
        </w:tc>
        <w:tc>
          <w:tcPr>
            <w:tcW w:w="44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8"/>
              <w:spacing w:after="0"/>
              <w:rPr>
                <w:sz w:val="20"/>
                <w:szCs w:val="20"/>
                <w:color w:val="auto"/>
              </w:rPr>
            </w:pPr>
            <w:r>
              <w:rPr>
                <w:rFonts w:ascii="Arial" w:cs="Arial" w:eastAsia="Arial" w:hAnsi="Arial"/>
                <w:sz w:val="13"/>
                <w:szCs w:val="13"/>
                <w:b w:val="1"/>
                <w:bCs w:val="1"/>
                <w:color w:val="auto"/>
              </w:rPr>
              <w:t>2014</w:t>
            </w:r>
          </w:p>
        </w:tc>
        <w:tc>
          <w:tcPr>
            <w:tcW w:w="4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5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Mississippi</w:t>
            </w:r>
          </w:p>
        </w:tc>
        <w:tc>
          <w:tcPr>
            <w:tcW w:w="28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shd w:val="clear" w:color="auto" w:fill="CCEEFF"/>
          </w:tcPr>
          <w:p>
            <w:pPr>
              <w:ind w:left="360"/>
              <w:spacing w:after="0" w:line="156" w:lineRule="exact"/>
              <w:rPr>
                <w:sz w:val="20"/>
                <w:szCs w:val="20"/>
                <w:color w:val="auto"/>
              </w:rPr>
            </w:pPr>
            <w:r>
              <w:rPr>
                <w:rFonts w:ascii="Arial" w:cs="Arial" w:eastAsia="Arial" w:hAnsi="Arial"/>
                <w:sz w:val="15"/>
                <w:szCs w:val="15"/>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88"/>
              </w:rPr>
              <w:t>$ 47,580</w:t>
            </w: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bottom w:val="single" w:sz="8" w:color="auto"/>
            </w:tcBorders>
            <w:shd w:val="clear" w:color="auto" w:fill="CCEEFF"/>
          </w:tcPr>
          <w:p>
            <w:pPr>
              <w:ind w:left="260"/>
              <w:spacing w:after="0" w:line="156"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89"/>
              </w:rPr>
              <w:t>(5,944</w:t>
            </w:r>
          </w:p>
        </w:tc>
        <w:tc>
          <w:tcPr>
            <w:tcW w:w="440" w:type="dxa"/>
            <w:vAlign w:val="bottom"/>
            <w:tcBorders>
              <w:top w:val="single" w:sz="8" w:color="CCEEFF"/>
            </w:tcBorders>
            <w:shd w:val="clear" w:color="auto" w:fill="CCEEFF"/>
          </w:tcPr>
          <w:p>
            <w:pPr>
              <w:jc w:val="right"/>
              <w:ind w:right="36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ind w:left="420"/>
              <w:spacing w:after="0" w:line="156"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143</w:t>
            </w: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u w:val="single" w:color="auto"/>
                <w:color w:val="auto"/>
                <w:w w:val="91"/>
              </w:rPr>
              <w:t>$</w:t>
            </w:r>
            <w:r>
              <w:rPr>
                <w:rFonts w:ascii="Arial" w:cs="Arial" w:eastAsia="Arial" w:hAnsi="Arial"/>
                <w:sz w:val="15"/>
                <w:szCs w:val="15"/>
                <w:color w:val="auto"/>
                <w:w w:val="91"/>
              </w:rPr>
              <w:t>2,994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ind w:left="360"/>
              <w:spacing w:after="0" w:line="169" w:lineRule="exact"/>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8"/>
              </w:rPr>
              <w:t>$ 47,580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b w:val="1"/>
                <w:bCs w:val="1"/>
                <w:color w:val="auto"/>
                <w:w w:val="89"/>
              </w:rPr>
              <w:t>(5,944</w:t>
            </w:r>
          </w:p>
        </w:tc>
        <w:tc>
          <w:tcPr>
            <w:tcW w:w="440" w:type="dxa"/>
            <w:vAlign w:val="bottom"/>
          </w:tcPr>
          <w:p>
            <w:pPr>
              <w:jc w:val="right"/>
              <w:ind w:right="362"/>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41,636</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143</w:t>
            </w:r>
          </w:p>
        </w:tc>
        <w:tc>
          <w:tcPr>
            <w:tcW w:w="440" w:type="dxa"/>
            <w:vAlign w:val="bottom"/>
          </w:tcPr>
          <w:p>
            <w:pPr>
              <w:spacing w:after="0"/>
              <w:rPr>
                <w:sz w:val="14"/>
                <w:szCs w:val="14"/>
                <w:color w:val="auto"/>
              </w:rPr>
            </w:pPr>
          </w:p>
        </w:tc>
        <w:tc>
          <w:tcPr>
            <w:tcW w:w="4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2,994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50"/>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discounts on debt investments, as applicable.</w:t>
      </w:r>
    </w:p>
    <w:p>
      <w:pPr>
        <w:ind w:left="340" w:hanging="332"/>
        <w:spacing w:after="0"/>
        <w:tabs>
          <w:tab w:leader="none" w:pos="34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As of December 31, 2014, the tax cost of the Company’s investments approximates their amortized cost.</w:t>
      </w:r>
    </w:p>
    <w:p>
      <w:pPr>
        <w:spacing w:after="0" w:line="19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95,298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104,475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57,501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(28,568)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(3,162)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(1,703)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85,050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66,983</w:t>
            </w:r>
          </w:p>
        </w:tc>
        <w:tc>
          <w:tcPr>
            <w:tcW w:w="0" w:type="dxa"/>
            <w:vAlign w:val="bottom"/>
          </w:tcPr>
          <w:p>
            <w:pPr>
              <w:spacing w:after="0"/>
              <w:rPr>
                <w:sz w:val="1"/>
                <w:szCs w:val="1"/>
                <w:color w:val="auto"/>
              </w:rPr>
            </w:pPr>
          </w:p>
        </w:tc>
      </w:tr>
      <w:tr>
        <w:trPr>
          <w:trHeight w:val="205"/>
        </w:trPr>
        <w:tc>
          <w:tcPr>
            <w:tcW w:w="564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Arial" w:cs="Arial" w:eastAsia="Arial" w:hAnsi="Arial"/>
                <w:sz w:val="18"/>
                <w:szCs w:val="18"/>
                <w:b w:val="1"/>
                <w:bCs w:val="1"/>
                <w:color w:val="auto"/>
              </w:rPr>
              <w:t>Transactions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234,419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6,095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22,566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26,438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(62,332)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(80,077)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(48,301)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05"/>
        </w:trPr>
        <w:tc>
          <w:tcPr>
            <w:tcW w:w="564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(78,232)</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175,659</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27,910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(Decrease) in Net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260,709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94,893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835,405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574,696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479,803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820,741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835,405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w w:val="98"/>
              </w:rPr>
              <w:t>Undistributed Net Investment Income Included in Net Assets at the</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Arial" w:cs="Arial" w:eastAsia="Arial" w:hAnsi="Arial"/>
                <w:sz w:val="18"/>
                <w:szCs w:val="18"/>
                <w:b w:val="1"/>
                <w:bCs w:val="1"/>
                <w:color w:val="auto"/>
              </w:rPr>
              <w:t>End of the Period</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27,521</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6,555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63,568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85,050</w:t>
            </w: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66,983</w:t>
            </w:r>
          </w:p>
        </w:tc>
        <w:tc>
          <w:tcPr>
            <w:tcW w:w="0" w:type="dxa"/>
            <w:vAlign w:val="bottom"/>
          </w:tcPr>
          <w:p>
            <w:pPr>
              <w:spacing w:after="0"/>
              <w:rPr>
                <w:sz w:val="1"/>
                <w:szCs w:val="1"/>
                <w:color w:val="auto"/>
              </w:rPr>
            </w:pPr>
          </w:p>
        </w:tc>
      </w:tr>
      <w:tr>
        <w:trPr>
          <w:trHeight w:val="185"/>
        </w:trPr>
        <w:tc>
          <w:tcPr>
            <w:tcW w:w="61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used in operating activities: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investments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34,225</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28,895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(9,630)</w:t>
            </w:r>
          </w:p>
        </w:tc>
        <w:tc>
          <w:tcPr>
            <w:tcW w:w="0" w:type="dxa"/>
            <w:vAlign w:val="bottom"/>
          </w:tcPr>
          <w:p>
            <w:pPr>
              <w:spacing w:after="0"/>
              <w:rPr>
                <w:sz w:val="1"/>
                <w:szCs w:val="1"/>
                <w:color w:val="auto"/>
              </w:rPr>
            </w:pPr>
          </w:p>
        </w:tc>
      </w:tr>
      <w:tr>
        <w:trPr>
          <w:trHeight w:val="185"/>
        </w:trPr>
        <w:tc>
          <w:tcPr>
            <w:tcW w:w="6180" w:type="dxa"/>
            <w:vAlign w:val="bottom"/>
            <w:shd w:val="clear" w:color="auto" w:fill="CCEEFF"/>
          </w:tcPr>
          <w:p>
            <w:pPr>
              <w:ind w:left="700"/>
              <w:spacing w:after="0" w:line="185" w:lineRule="exact"/>
              <w:rPr>
                <w:sz w:val="20"/>
                <w:szCs w:val="20"/>
                <w:color w:val="auto"/>
              </w:rPr>
            </w:pPr>
            <w:r>
              <w:rPr>
                <w:rFonts w:ascii="Arial" w:cs="Arial" w:eastAsia="Arial" w:hAnsi="Arial"/>
                <w:sz w:val="17"/>
                <w:szCs w:val="17"/>
                <w:color w:val="auto"/>
              </w:rPr>
              <w:t>Net change in unrealized (gains) losses on foreign currency</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transactions</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(6,275)</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(11,173)</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change in unrealized losses on interest rate swaps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618</w:t>
            </w:r>
          </w:p>
        </w:tc>
        <w:tc>
          <w:tcPr>
            <w:tcW w:w="160" w:type="dxa"/>
            <w:vAlign w:val="bottom"/>
          </w:tcPr>
          <w:p>
            <w:pPr>
              <w:spacing w:after="0"/>
              <w:rPr>
                <w:sz w:val="17"/>
                <w:szCs w:val="17"/>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losses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5,042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(83)</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realized gains on foreign currency transactions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(195)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(1,851)</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(12,729)</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(19,627)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(6,728)</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5,874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2,553</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1,903</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Accretion of discount on Convertible Senior Notes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560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300</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of investments, net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(757,295)</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(974,824)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(602,988)</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39,077</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100,656</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46,390</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474,483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620,671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214,293</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(5,410)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(2,748)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(2,749)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(3,725)</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(1,167)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(298)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9,836</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(12,443)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643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3,307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(1,040)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(181)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(1,426)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2,188</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(27,378)</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31,972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(183,506)</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(148,831)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(289,631)</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847,547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1,108,097</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902,000</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Payments on debt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(584,481)</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(1,135,388)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(801,569)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(1,452)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(6,766)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185"/>
        </w:trPr>
        <w:tc>
          <w:tcPr>
            <w:tcW w:w="6180" w:type="dxa"/>
            <w:vAlign w:val="bottom"/>
          </w:tcPr>
          <w:p>
            <w:pPr>
              <w:spacing w:after="0" w:line="185" w:lineRule="exact"/>
              <w:rPr>
                <w:sz w:val="20"/>
                <w:szCs w:val="20"/>
                <w:color w:val="auto"/>
              </w:rPr>
            </w:pPr>
            <w:r>
              <w:rPr>
                <w:rFonts w:ascii="Arial" w:cs="Arial" w:eastAsia="Arial" w:hAnsi="Arial"/>
                <w:sz w:val="17"/>
                <w:szCs w:val="17"/>
                <w:color w:val="auto"/>
              </w:rPr>
              <w:t>Proceeds from issuance of common stock, net of offering and underwriting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234,419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56,857</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(78,063)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(52,589)</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(24,396)</w:t>
            </w:r>
          </w:p>
        </w:tc>
        <w:tc>
          <w:tcPr>
            <w:tcW w:w="0" w:type="dxa"/>
            <w:vAlign w:val="bottom"/>
          </w:tcPr>
          <w:p>
            <w:pPr>
              <w:spacing w:after="0"/>
              <w:rPr>
                <w:sz w:val="1"/>
                <w:szCs w:val="1"/>
                <w:color w:val="auto"/>
              </w:rPr>
            </w:pPr>
          </w:p>
        </w:tc>
      </w:tr>
      <w:tr>
        <w:trPr>
          <w:trHeight w:val="217"/>
        </w:trPr>
        <w:tc>
          <w:tcPr>
            <w:tcW w:w="6180" w:type="dxa"/>
            <w:vAlign w:val="bottom"/>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183,524</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147,773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(1,058)</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(158,354)</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2,413</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3,471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161,825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2,413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paid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11,000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11,394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8,792</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Excise taxes paid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1,200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199</w:t>
            </w:r>
          </w:p>
        </w:tc>
        <w:tc>
          <w:tcPr>
            <w:tcW w:w="440" w:type="dxa"/>
            <w:vAlign w:val="bottom"/>
          </w:tcPr>
          <w:p>
            <w:pPr>
              <w:spacing w:after="0"/>
              <w:rPr>
                <w:sz w:val="17"/>
                <w:szCs w:val="17"/>
                <w:color w:val="auto"/>
              </w:rPr>
            </w:pP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Dividends declared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84,297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81,326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55,385</w:t>
            </w:r>
          </w:p>
        </w:tc>
        <w:tc>
          <w:tcPr>
            <w:tcW w:w="0" w:type="dxa"/>
            <w:vAlign w:val="bottom"/>
          </w:tcPr>
          <w:p>
            <w:pPr>
              <w:spacing w:after="0"/>
              <w:rPr>
                <w:sz w:val="1"/>
                <w:szCs w:val="1"/>
                <w:color w:val="auto"/>
              </w:rPr>
            </w:pPr>
          </w:p>
        </w:tc>
      </w:tr>
      <w:tr>
        <w:trPr>
          <w:trHeight w:val="216"/>
        </w:trPr>
        <w:tc>
          <w:tcPr>
            <w:tcW w:w="6180" w:type="dxa"/>
            <w:vAlign w:val="bottom"/>
          </w:tcPr>
          <w:p>
            <w:pPr>
              <w:ind w:left="700"/>
              <w:spacing w:after="0"/>
              <w:rPr>
                <w:sz w:val="20"/>
                <w:szCs w:val="20"/>
                <w:color w:val="auto"/>
              </w:rPr>
            </w:pPr>
            <w:r>
              <w:rPr>
                <w:rFonts w:ascii="Arial" w:cs="Arial" w:eastAsia="Arial" w:hAnsi="Arial"/>
                <w:sz w:val="17"/>
                <w:szCs w:val="17"/>
                <w:color w:val="auto"/>
              </w:rPr>
              <w:t>Reinvestment of dividends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6,094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22,566</w:t>
            </w: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26,438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and similar type instruments) with original maturities of three months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2015, the independent third-party valuation firms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primarily uses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Financial Accounting Standards Board issued Accounting Standards Update No. 2015-03 (“ASU 2015-03”), </w:t>
      </w:r>
      <w:r>
        <w:rPr>
          <w:rFonts w:ascii="Arial" w:cs="Arial" w:eastAsia="Arial" w:hAnsi="Arial"/>
          <w:sz w:val="18"/>
          <w:szCs w:val="18"/>
          <w:i w:val="1"/>
          <w:iCs w:val="1"/>
          <w:color w:val="auto"/>
        </w:rPr>
        <w:t>“Interest – Imputation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Interest (Subtopic 835-30): Simplifying the Presentation of Debt Issuance Costs.” </w:t>
      </w:r>
      <w:r>
        <w:rPr>
          <w:rFonts w:ascii="Arial" w:cs="Arial" w:eastAsia="Arial" w:hAnsi="Arial"/>
          <w:sz w:val="18"/>
          <w:szCs w:val="18"/>
          <w:color w:val="auto"/>
        </w:rPr>
        <w:t>ASU 2015-03 requires that debt issuance costs be presented as a direct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from the carrying amount of the related debt liability, consistent with the presentation of debt discounts. Prior to the issuance of ASU 2015-03, debt issuance costs were required to be presented as deferred charge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issued Accounting Standards Update No. 2015-02 (“ASU 2015-02”),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810): Amendments to the Consolidation Analysis.” </w:t>
      </w:r>
      <w:r>
        <w:rPr>
          <w:rFonts w:ascii="Arial" w:cs="Arial" w:eastAsia="Arial" w:hAnsi="Arial"/>
          <w:sz w:val="18"/>
          <w:szCs w:val="18"/>
          <w:color w:val="auto"/>
        </w:rPr>
        <w:t>ASU 2015-02 modifies the consolidation analysis for limited partnerships and similar type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variable interests in a variable interest entity, particularly those that have fee arrangements and related party relationships. Additionally, it provides a scope exception to the consolidation guidance for certain entities. ASU No. 2015-02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Going Concern (Subtopic 205 – 40): Disclosure of Uncertainties About an Entity’s Ability to Continue as a Going Concern</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2014-09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The guidance in this ASU supersedes the revenue recognition requirements in Topic 605, Revenue Recognition.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the years ended December 31, 2015, 2014 and 2013, the Company incurred expenses of $3.6 million, $2.7 million and $1.4 million, respectively, for administrative services payable to the Adviser under the terms of the Administration Agreement.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3,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2015, 2014 and 2013, Management Fees were $21.3 million, $18.3 million and $13.4 million, respectively.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Until the Company’s initial public offering ( the “IPO”), the Adviser had waived its right to receive the Management Fee in excess of the sum of</w:t>
      </w:r>
    </w:p>
    <w:p>
      <w:pPr>
        <w:spacing w:after="0" w:line="35" w:lineRule="exact"/>
        <w:rPr>
          <w:sz w:val="20"/>
          <w:szCs w:val="20"/>
          <w:color w:val="auto"/>
        </w:rPr>
      </w:pPr>
    </w:p>
    <w:p>
      <w:pPr>
        <w:ind w:right="360" w:firstLine="8"/>
        <w:spacing w:after="0" w:line="261" w:lineRule="auto"/>
        <w:tabs>
          <w:tab w:leader="none" w:pos="2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0.25% of aggregate committed but undrawn capital; and, (ii) 0.75% of aggregate drawn capital (including capital drawn to pay Company expenses) as determined as of the end of any calendar quarter (the “Pre-IPO Waiver”).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Adviser has voluntarily waived the Management Fee on the Company’s ownership of shares of common stock in TICC Capital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“TICC Shares”) for any period in which TICC Capital Corp. remains a portfolio company of the Company.</w:t>
      </w:r>
    </w:p>
    <w:p>
      <w:pPr>
        <w:spacing w:after="0" w:line="211"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For the year ended December 31, 2015, Management Fees of $0.1 million were waived, consisting solely of Management Fees attributable to the Company’s ownership of the TICC shares. For the years ended December 31, 2014 and 2013, Management Fees of $2.5 million and $7.1 million, respectively, were waived pursuant to the Pre-IPO Waiver. Any waived Management Fees are not subject to recoupment by the Adviser.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1"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71" w:lineRule="exact"/>
        <w:rPr>
          <w:sz w:val="20"/>
          <w:szCs w:val="20"/>
          <w:color w:val="auto"/>
        </w:rPr>
      </w:pPr>
    </w:p>
    <w:p>
      <w:pPr>
        <w:ind w:left="920" w:right="180"/>
        <w:spacing w:after="0" w:line="297" w:lineRule="auto"/>
        <w:rPr>
          <w:sz w:val="20"/>
          <w:szCs w:val="20"/>
          <w:color w:val="auto"/>
        </w:rPr>
      </w:pPr>
      <w:r>
        <w:rPr>
          <w:rFonts w:ascii="Arial" w:cs="Arial" w:eastAsia="Arial" w:hAnsi="Arial"/>
          <w:sz w:val="16"/>
          <w:szCs w:val="16"/>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3"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9"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For the year ended December 31, 2015, Incentive Fees were $20.2 million which were realized and payable to the Adviser. For the year ended December 31, 2014, Incentive Fees were $17.8 million, of which $20.8 million were realized and payable to the Adviser. For the year ended December 31, 2013, Incentive Fees were $11.8 million, of which $10.4 million were realized and payable to the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the year ended December 31, 2015, Incentive Fees of $0.2 million were waived, consisting solely of Incentive Fees attributable to the Company’s ownership of the TICC Shares. For the years ending December 31, 2014 and 2013, no Incentive Fees were waived, as the Company did not hold any TICC Shares during such periods. Any waived Incentive Fees are not subject to recoupment by the Adviser.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Following the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3,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1,333,080</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$1,310,183</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126,049</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121,223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6"/>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29,751</w:t>
            </w:r>
          </w:p>
        </w:tc>
        <w:tc>
          <w:tcPr>
            <w:tcW w:w="26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27,965</w:t>
            </w: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40,796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26,338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7"/>
        </w:trPr>
        <w:tc>
          <w:tcPr>
            <w:tcW w:w="50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1,529,676</w:t>
            </w:r>
          </w:p>
        </w:tc>
        <w:tc>
          <w:tcPr>
            <w:tcW w:w="26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1,485,709</w:t>
            </w:r>
          </w:p>
        </w:tc>
        <w:tc>
          <w:tcPr>
            <w:tcW w:w="4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December 31, 2014</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$1,124,246</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111,120</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111,408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13,414</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12,964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21,503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260" w:type="dxa"/>
            <w:vAlign w:val="bottom"/>
            <w:tcBorders>
              <w:left w:val="single" w:sz="8" w:color="CCEEFF"/>
            </w:tcBorders>
            <w:shd w:val="clear" w:color="auto" w:fill="CCEEFF"/>
          </w:tcPr>
          <w:p>
            <w:pPr>
              <w:spacing w:after="0"/>
              <w:rPr>
                <w:sz w:val="18"/>
                <w:szCs w:val="18"/>
                <w:color w:val="auto"/>
              </w:rPr>
            </w:pP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1,263,511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2015 and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2015</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6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Chemicals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0.5%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6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5.5%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18.0%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Metals and mining</w:t>
            </w:r>
          </w:p>
        </w:tc>
        <w:tc>
          <w:tcPr>
            <w:tcW w:w="16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Pharmaceuticals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8.5%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460" w:type="dxa"/>
            <w:vAlign w:val="bottom"/>
            <w:gridSpan w:val="3"/>
          </w:tcPr>
          <w:p>
            <w:pPr>
              <w:jc w:val="right"/>
              <w:ind w:right="224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60" w:right="5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2015 and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2015</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9.9%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26.1%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6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During the year ended December 31, 2015, the Company entered into foreign currency forward contracts related to its non-USD investments. The Company did not have any open foreign currency forward contracts as of December 31, 2015.</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As of December 31, 2014 the Company received fixed rate interest at 4.50% and paid variable rate interest based on the three-month London Interbank Offered Rate (“LIBOR”) plus 252.9 basis points.</w:t>
      </w:r>
    </w:p>
    <w:p>
      <w:pPr>
        <w:spacing w:after="0" w:line="181" w:lineRule="exact"/>
        <w:rPr>
          <w:sz w:val="20"/>
          <w:szCs w:val="20"/>
          <w:color w:val="auto"/>
        </w:rPr>
      </w:pPr>
    </w:p>
    <w:p>
      <w:pPr>
        <w:jc w:val="both"/>
        <w:ind w:right="44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November 2015, the Company entered into two interest rate swap transactions, each with a $46.3 million notional amount. As of December 31, 2015, the Company receives three-month LIBOR and paid fixed rate interest at 1.16%.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presents the gross and net information on the Company’s interest rate swap transactions that are eligible for offset in the Company’s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Year Ended December 31, 2015</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Net Amount</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the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220" w:type="dxa"/>
            <w:vAlign w:val="bottom"/>
            <w:gridSpan w:val="2"/>
            <w:vMerge w:val="continue"/>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Balance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4"/>
                <w:szCs w:val="14"/>
                <w:color w:val="auto"/>
              </w:rPr>
              <w:t>($ in thousands)</w:t>
            </w:r>
          </w:p>
        </w:tc>
        <w:tc>
          <w:tcPr>
            <w:tcW w:w="1420" w:type="dxa"/>
            <w:vAlign w:val="bottom"/>
            <w:gridSpan w:val="2"/>
            <w:vMerge w:val="continue"/>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12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4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12/15/2019</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$ 115,000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swaps</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10/5/2018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interest rate swaps</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of December 31, 2015, $0.9 million of cash is pledged as collateral under the Company’s derivative instruments and is included in restricted cash as a component of Prepaid Expenses and Other Assets in the Company’s consolidated balance sheets.</w:t>
      </w:r>
    </w:p>
    <w:p>
      <w:pPr>
        <w:spacing w:after="0" w:line="18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the year ended December 31, 2015, the Company received $5.2 million and paid $3.7 million related to the quarterly settlements of its interest rate swaps. During the year ended December 31, 2014, the Company received $2.6 million and paid $1.6 million related to the quarterly settlements of its interest rate swaps. These net amounts are reductions to interest expense in the Company’s consolidated statements of operations.</w:t>
      </w:r>
    </w:p>
    <w:p>
      <w:pPr>
        <w:spacing w:after="0" w:line="16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the years ended December 31, 2015 and 2014, the Company recognized ($0.6) million and $1.0 million, respectively, in unrealized depreciation and appreciation on derivatives in the consolidated statement of operations related to the swap transactions. As of December 31, 2015 and 2014, the swap transactions had a fair value of $0.4 million and $1.0 million, respectively, which is included in receivable for interest rate swaps on the Company’s consolidated balance sheet.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2015, $0.9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Fair Value Hierarchy at December 31, 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1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  —</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$1,229,491</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30,781</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90,441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121,222</w:t>
            </w: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9,933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8,205</w:t>
            </w:r>
          </w:p>
        </w:tc>
        <w:tc>
          <w:tcPr>
            <w:tcW w:w="5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26,338</w:t>
            </w: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$9,933</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$139,838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$1,335,938</w:t>
            </w:r>
          </w:p>
        </w:tc>
        <w:tc>
          <w:tcPr>
            <w:tcW w:w="5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$1,485,709</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7"/>
        </w:trPr>
        <w:tc>
          <w:tcPr>
            <w:tcW w:w="6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9,933</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140,240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1,335,938</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$ 1,486,111</w:t>
            </w:r>
          </w:p>
        </w:tc>
      </w:tr>
      <w:tr>
        <w:trPr>
          <w:trHeight w:val="20"/>
        </w:trPr>
        <w:tc>
          <w:tcPr>
            <w:tcW w:w="6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6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Fair Value Hierarchy at December 31, 2014</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1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$1,059,336</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50,158</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61,250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9,368</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14,893</w:t>
            </w:r>
          </w:p>
        </w:tc>
      </w:tr>
      <w:tr>
        <w:trPr>
          <w:trHeight w:val="27"/>
        </w:trPr>
        <w:tc>
          <w:tcPr>
            <w:tcW w:w="6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$129,037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$1,134,474</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$ 1,263,511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7"/>
        </w:trPr>
        <w:tc>
          <w:tcPr>
            <w:tcW w:w="6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130,057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1,134,474</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1,264,531</w:t>
            </w:r>
          </w:p>
        </w:tc>
        <w:tc>
          <w:tcPr>
            <w:tcW w:w="1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320" w:type="dxa"/>
            <w:vAlign w:val="bottom"/>
            <w:gridSpan w:val="2"/>
          </w:tcPr>
          <w:p>
            <w:pPr>
              <w:jc w:val="center"/>
              <w:ind w:right="390"/>
              <w:spacing w:after="0" w:line="119" w:lineRule="exact"/>
              <w:rPr>
                <w:sz w:val="20"/>
                <w:szCs w:val="20"/>
                <w:color w:val="auto"/>
              </w:rPr>
            </w:pPr>
            <w:r>
              <w:rPr>
                <w:rFonts w:ascii="Arial" w:cs="Arial" w:eastAsia="Arial" w:hAnsi="Arial"/>
                <w:sz w:val="13"/>
                <w:szCs w:val="13"/>
                <w:b w:val="1"/>
                <w:bCs w:val="1"/>
                <w:color w:val="auto"/>
              </w:rPr>
              <w:t>First-lien</w:t>
            </w:r>
          </w:p>
        </w:tc>
        <w:tc>
          <w:tcPr>
            <w:tcW w:w="10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160" w:type="dxa"/>
            <w:vAlign w:val="bottom"/>
          </w:tcPr>
          <w:p>
            <w:pPr>
              <w:spacing w:after="0"/>
              <w:rPr>
                <w:sz w:val="10"/>
                <w:szCs w:val="10"/>
                <w:color w:val="auto"/>
              </w:rPr>
            </w:pPr>
          </w:p>
        </w:tc>
        <w:tc>
          <w:tcPr>
            <w:tcW w:w="16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9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32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debt</w:t>
            </w:r>
          </w:p>
        </w:tc>
        <w:tc>
          <w:tcPr>
            <w:tcW w:w="18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and unsecured debt</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2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investments</w:t>
            </w: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$1,059,336</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61,250</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color w:val="auto"/>
              </w:rPr>
              <w:t>632,277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30,201</w:t>
            </w:r>
          </w:p>
        </w:tc>
        <w:tc>
          <w:tcPr>
            <w:tcW w:w="16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7,843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670,321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(22,344)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(438,438)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(443,325)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(2,375)</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(6,169)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1,229,491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90,441</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F-28</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First-lien</w:t>
            </w:r>
          </w:p>
        </w:tc>
        <w:tc>
          <w:tcPr>
            <w:tcW w:w="26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160" w:type="dxa"/>
            <w:vAlign w:val="bottom"/>
          </w:tcPr>
          <w:p>
            <w:pPr>
              <w:spacing w:after="0"/>
              <w:rPr>
                <w:sz w:val="10"/>
                <w:szCs w:val="10"/>
                <w:color w:val="auto"/>
              </w:rPr>
            </w:pPr>
          </w:p>
        </w:tc>
        <w:tc>
          <w:tcPr>
            <w:tcW w:w="16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20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debt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debt</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unsecured debt</w:t>
            </w:r>
          </w:p>
        </w:tc>
        <w:tc>
          <w:tcPr>
            <w:tcW w:w="13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investments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103,530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770,732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72,850</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861,414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(94,952)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(473,178)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(113,148)</w:t>
            </w:r>
          </w:p>
        </w:tc>
        <w:tc>
          <w:tcPr>
            <w:tcW w:w="160" w:type="dxa"/>
            <w:vAlign w:val="bottom"/>
          </w:tcPr>
          <w:p>
            <w:pPr>
              <w:spacing w:after="0"/>
              <w:rPr>
                <w:sz w:val="18"/>
                <w:szCs w:val="18"/>
                <w:color w:val="auto"/>
              </w:rPr>
            </w:pP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(586,326)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(15,365)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(5,681)</w:t>
            </w: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15,357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1,059,336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1,134,474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Quiksilver – Boardriders SA and Sears were transferred into Level 3 for fair value measurement purposes during the year ended December 31, 2015, as a result of changes in the observability of inputs into these securities valuation inputs.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60" w:type="dxa"/>
            <w:vAlign w:val="bottom"/>
            <w:gridSpan w:val="3"/>
          </w:tcPr>
          <w:p>
            <w:pPr>
              <w:jc w:val="center"/>
              <w:ind w:right="156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6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1"/>
              </w:rPr>
              <w:t>December 31, 2015 on</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 2014 on</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2"/>
          </w:tcPr>
          <w:p>
            <w:pPr>
              <w:jc w:val="right"/>
              <w:ind w:right="1500"/>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Mezzanine and unsecured debt</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2"/>
          </w:tcPr>
          <w:p>
            <w:pPr>
              <w:jc w:val="right"/>
              <w:ind w:right="1500"/>
              <w:spacing w:after="0"/>
              <w:rPr>
                <w:sz w:val="20"/>
                <w:szCs w:val="20"/>
                <w:color w:val="auto"/>
              </w:rPr>
            </w:pPr>
            <w:r>
              <w:rPr>
                <w:rFonts w:ascii="Arial" w:cs="Arial" w:eastAsia="Arial" w:hAnsi="Arial"/>
                <w:sz w:val="18"/>
                <w:szCs w:val="18"/>
                <w:color w:val="auto"/>
              </w:rPr>
              <w:t>(7,378)</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(5,629)</w:t>
            </w:r>
          </w:p>
        </w:tc>
      </w:tr>
      <w:tr>
        <w:trPr>
          <w:trHeight w:val="27"/>
        </w:trPr>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(18,815)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(16,621)</w:t>
            </w:r>
          </w:p>
        </w:tc>
      </w:tr>
      <w:tr>
        <w:trPr>
          <w:trHeight w:val="20"/>
        </w:trPr>
        <w:tc>
          <w:tcPr>
            <w:tcW w:w="3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2"/>
          </w:tcPr>
          <w:p>
            <w:pPr>
              <w:jc w:val="right"/>
              <w:ind w:right="2600"/>
              <w:spacing w:after="0"/>
              <w:rPr>
                <w:sz w:val="20"/>
                <w:szCs w:val="20"/>
                <w:color w:val="auto"/>
              </w:rPr>
            </w:pPr>
            <w:r>
              <w:rPr>
                <w:rFonts w:ascii="Arial" w:cs="Arial" w:eastAsia="Arial" w:hAnsi="Arial"/>
                <w:sz w:val="18"/>
                <w:szCs w:val="18"/>
                <w:color w:val="auto"/>
              </w:rPr>
              <w:t>F-29</w:t>
            </w: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Unobservable</w:t>
            </w:r>
          </w:p>
        </w:tc>
        <w:tc>
          <w:tcPr>
            <w:tcW w:w="4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220" w:type="dxa"/>
            <w:vAlign w:val="bottom"/>
          </w:tcPr>
          <w:p>
            <w:pP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1660" w:type="dxa"/>
            <w:vAlign w:val="bottom"/>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w:t>
            </w:r>
          </w:p>
        </w:tc>
        <w:tc>
          <w:tcPr>
            <w:tcW w:w="4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1,229,491</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3.9% — 15.3% (10.8%)</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w w:val="93"/>
              </w:rPr>
              <w:t>Second-lien debt investments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90,441</w:t>
            </w:r>
          </w:p>
        </w:tc>
        <w:tc>
          <w:tcPr>
            <w:tcW w:w="1660" w:type="dxa"/>
            <w:vAlign w:val="bottom"/>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Market yield</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12.1% — 13.8% (13.2%)</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Mezzanine and unsecured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investments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7,801</w:t>
            </w: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Market yield</w:t>
            </w:r>
          </w:p>
        </w:tc>
        <w:tc>
          <w:tcPr>
            <w:tcW w:w="4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12.6% — 12.6% (12.6%)</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20"/>
                <w:szCs w:val="20"/>
                <w:color w:val="auto"/>
              </w:rPr>
            </w:pPr>
            <w:r>
              <w:rPr>
                <w:rFonts w:ascii="Arial" w:cs="Arial" w:eastAsia="Arial" w:hAnsi="Arial"/>
                <w:sz w:val="16"/>
                <w:szCs w:val="16"/>
                <w:color w:val="auto"/>
                <w:w w:val="94"/>
              </w:rPr>
              <w:t>Equity and other investments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Comparable</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Market Multiple or</w:t>
            </w: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multiple or</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Increase or</w:t>
            </w:r>
          </w:p>
        </w:tc>
        <w:tc>
          <w:tcPr>
            <w:tcW w:w="0" w:type="dxa"/>
            <w:vAlign w:val="bottom"/>
          </w:tcPr>
          <w:p>
            <w:pPr>
              <w:spacing w:after="0"/>
              <w:rPr>
                <w:sz w:val="1"/>
                <w:szCs w:val="1"/>
                <w:color w:val="auto"/>
              </w:rPr>
            </w:pPr>
          </w:p>
        </w:tc>
      </w:tr>
      <w:tr>
        <w:trPr>
          <w:trHeight w:val="359"/>
        </w:trPr>
        <w:tc>
          <w:tcPr>
            <w:tcW w:w="19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8,205</w:t>
            </w:r>
          </w:p>
        </w:tc>
        <w:tc>
          <w:tcPr>
            <w:tcW w:w="1660" w:type="dxa"/>
            <w:vAlign w:val="bottom"/>
          </w:tcPr>
          <w:p>
            <w:pPr>
              <w:spacing w:after="0"/>
              <w:rPr>
                <w:sz w:val="20"/>
                <w:szCs w:val="20"/>
                <w:color w:val="auto"/>
              </w:rPr>
            </w:pPr>
            <w:r>
              <w:rPr>
                <w:rFonts w:ascii="Arial" w:cs="Arial" w:eastAsia="Arial" w:hAnsi="Arial"/>
                <w:sz w:val="16"/>
                <w:szCs w:val="16"/>
                <w:color w:val="auto"/>
                <w:w w:val="90"/>
              </w:rPr>
              <w:t>Discounted Cash Flow</w:t>
            </w:r>
            <w:r>
              <w:rPr>
                <w:rFonts w:ascii="Arial" w:cs="Arial" w:eastAsia="Arial" w:hAnsi="Arial"/>
                <w:sz w:val="27"/>
                <w:szCs w:val="27"/>
                <w:color w:val="auto"/>
                <w:w w:val="90"/>
                <w:vertAlign w:val="superscript"/>
              </w:rPr>
              <w:t>(2)</w:t>
            </w: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discount rate</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8.4x — 13.5x (11.8x) or 12.0%</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right="40" w:hanging="452"/>
        <w:spacing w:after="0" w:line="258"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cost of the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4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Range (Weighted</w:t>
            </w:r>
          </w:p>
        </w:tc>
        <w:tc>
          <w:tcPr>
            <w:tcW w:w="1220" w:type="dxa"/>
            <w:vAlign w:val="bottom"/>
          </w:tcPr>
          <w:p>
            <w:pP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178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Input</w:t>
            </w:r>
          </w:p>
        </w:tc>
        <w:tc>
          <w:tcPr>
            <w:tcW w:w="4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1,059,336</w:t>
            </w:r>
          </w:p>
        </w:tc>
        <w:tc>
          <w:tcPr>
            <w:tcW w:w="2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0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8.0% —15.4% (10.9%)</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w w:val="93"/>
              </w:rPr>
              <w:t>Second-lien debt investments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61,250</w:t>
            </w:r>
          </w:p>
        </w:tc>
        <w:tc>
          <w:tcPr>
            <w:tcW w:w="178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340" w:type="dxa"/>
            <w:vAlign w:val="bottom"/>
            <w:gridSpan w:val="2"/>
          </w:tcPr>
          <w:p>
            <w:pPr>
              <w:spacing w:after="0"/>
              <w:rPr>
                <w:sz w:val="20"/>
                <w:szCs w:val="20"/>
                <w:color w:val="auto"/>
              </w:rPr>
            </w:pPr>
            <w:r>
              <w:rPr>
                <w:rFonts w:ascii="Arial" w:cs="Arial" w:eastAsia="Arial" w:hAnsi="Arial"/>
                <w:sz w:val="16"/>
                <w:szCs w:val="16"/>
                <w:color w:val="auto"/>
              </w:rPr>
              <w:t>Market yield</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11.0% —11.0% (11.0%)</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6"/>
              </w:rPr>
              <w:t>Mezzanine debt investments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4,520</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1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Market yield</w:t>
            </w:r>
          </w:p>
        </w:tc>
        <w:tc>
          <w:tcPr>
            <w:tcW w:w="4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20.8% —20.8% (20.8%)</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20"/>
                <w:szCs w:val="20"/>
                <w:color w:val="auto"/>
              </w:rPr>
            </w:pPr>
            <w:r>
              <w:rPr>
                <w:rFonts w:ascii="Arial" w:cs="Arial" w:eastAsia="Arial" w:hAnsi="Arial"/>
                <w:sz w:val="16"/>
                <w:szCs w:val="16"/>
                <w:color w:val="auto"/>
                <w:w w:val="94"/>
              </w:rPr>
              <w:t>Equity and other investments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Market Multiple,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w w:val="98"/>
              </w:rPr>
              <w:t>Discounted Cash Flow or</w:t>
            </w:r>
          </w:p>
        </w:tc>
        <w:tc>
          <w:tcPr>
            <w:tcW w:w="1340" w:type="dxa"/>
            <w:vAlign w:val="bottom"/>
            <w:gridSpan w:val="2"/>
          </w:tcPr>
          <w:p>
            <w:pPr>
              <w:spacing w:after="0"/>
              <w:rPr>
                <w:sz w:val="20"/>
                <w:szCs w:val="20"/>
                <w:color w:val="auto"/>
              </w:rPr>
            </w:pPr>
            <w:r>
              <w:rPr>
                <w:rFonts w:ascii="Arial" w:cs="Arial" w:eastAsia="Arial" w:hAnsi="Arial"/>
                <w:sz w:val="16"/>
                <w:szCs w:val="16"/>
                <w:color w:val="auto"/>
              </w:rPr>
              <w:t>Comparable</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Black Scholes Option</w:t>
            </w:r>
          </w:p>
        </w:tc>
        <w:tc>
          <w:tcPr>
            <w:tcW w:w="1340" w:type="dxa"/>
            <w:vAlign w:val="bottom"/>
            <w:gridSpan w:val="2"/>
          </w:tcPr>
          <w:p>
            <w:pPr>
              <w:spacing w:after="0"/>
              <w:rPr>
                <w:sz w:val="20"/>
                <w:szCs w:val="20"/>
                <w:color w:val="auto"/>
              </w:rPr>
            </w:pPr>
            <w:r>
              <w:rPr>
                <w:rFonts w:ascii="Arial" w:cs="Arial" w:eastAsia="Arial" w:hAnsi="Arial"/>
                <w:sz w:val="16"/>
                <w:szCs w:val="16"/>
                <w:color w:val="auto"/>
              </w:rPr>
              <w:t>multiple, discount</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Increase or</w:t>
            </w:r>
          </w:p>
        </w:tc>
        <w:tc>
          <w:tcPr>
            <w:tcW w:w="0" w:type="dxa"/>
            <w:vAlign w:val="bottom"/>
          </w:tcPr>
          <w:p>
            <w:pPr>
              <w:spacing w:after="0"/>
              <w:rPr>
                <w:sz w:val="1"/>
                <w:szCs w:val="1"/>
                <w:color w:val="auto"/>
              </w:rPr>
            </w:pPr>
          </w:p>
        </w:tc>
      </w:tr>
      <w:tr>
        <w:trPr>
          <w:trHeight w:val="206"/>
        </w:trPr>
        <w:tc>
          <w:tcPr>
            <w:tcW w:w="19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9,368</w:t>
            </w:r>
          </w:p>
        </w:tc>
        <w:tc>
          <w:tcPr>
            <w:tcW w:w="1780" w:type="dxa"/>
            <w:vAlign w:val="bottom"/>
            <w:gridSpan w:val="2"/>
          </w:tcPr>
          <w:p>
            <w:pPr>
              <w:spacing w:after="0"/>
              <w:rPr>
                <w:sz w:val="20"/>
                <w:szCs w:val="20"/>
                <w:color w:val="auto"/>
              </w:rPr>
            </w:pPr>
            <w:r>
              <w:rPr>
                <w:rFonts w:ascii="Arial" w:cs="Arial" w:eastAsia="Arial" w:hAnsi="Arial"/>
                <w:sz w:val="16"/>
                <w:szCs w:val="16"/>
                <w:color w:val="auto"/>
              </w:rPr>
              <w:t>Model</w:t>
            </w:r>
          </w:p>
        </w:tc>
        <w:tc>
          <w:tcPr>
            <w:tcW w:w="1340" w:type="dxa"/>
            <w:vAlign w:val="bottom"/>
            <w:gridSpan w:val="2"/>
          </w:tcPr>
          <w:p>
            <w:pPr>
              <w:spacing w:after="0"/>
              <w:rPr>
                <w:sz w:val="20"/>
                <w:szCs w:val="20"/>
                <w:color w:val="auto"/>
              </w:rPr>
            </w:pPr>
            <w:r>
              <w:rPr>
                <w:rFonts w:ascii="Arial" w:cs="Arial" w:eastAsia="Arial" w:hAnsi="Arial"/>
                <w:sz w:val="16"/>
                <w:szCs w:val="16"/>
                <w:color w:val="auto"/>
              </w:rPr>
              <w:t>rate or volatility</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7.9x —13.0x (10.4x) or 14.4% or 40%</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right="40" w:hanging="452"/>
        <w:spacing w:after="0" w:line="277"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December 31, 2015, approximates its carrying value as the outstanding balance is callable at carrying value. The fair value of the Company’s Convertible Senior Notes, which is categorized as Level 2 within the fair value hierarchy, as of December 31, 2015, was $114.3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2015 and 2014, the Company’s asset coverage was 225.7% and 311.0%,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80" w:type="dxa"/>
            <w:vAlign w:val="bottom"/>
            <w:gridSpan w:val="5"/>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1520" w:type="dxa"/>
            <w:vAlign w:val="bottom"/>
            <w:gridSpan w:val="6"/>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10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3"/>
              </w:rPr>
              <w:t>Amount Committed</w:t>
            </w:r>
          </w:p>
        </w:tc>
        <w:tc>
          <w:tcPr>
            <w:tcW w:w="10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3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540,305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$540,305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115,000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112,483</w:t>
            </w:r>
          </w:p>
        </w:tc>
      </w:tr>
      <w:tr>
        <w:trPr>
          <w:trHeight w:val="27"/>
        </w:trPr>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936,250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655,305</w:t>
            </w: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$ 280,945</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652,788</w:t>
            </w:r>
          </w:p>
        </w:tc>
      </w:tr>
      <w:tr>
        <w:trPr>
          <w:trHeight w:val="20"/>
        </w:trPr>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2014</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3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10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3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17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45,279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781,250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177,216</w:t>
            </w: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466,189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177,216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115,000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33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70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1,071,250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398,941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$ 511,468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395,864</w:t>
            </w:r>
          </w:p>
        </w:tc>
        <w:tc>
          <w:tcPr>
            <w:tcW w:w="10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3560" w:hanging="5532"/>
        <w:spacing w:after="0" w:line="449" w:lineRule="auto"/>
        <w:tabs>
          <w:tab w:leader="none" w:pos="45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 F-31</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2014 and 2013,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7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46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Commitment fees</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1,773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1100"/>
              <w:spacing w:after="0"/>
              <w:rPr>
                <w:sz w:val="20"/>
                <w:szCs w:val="20"/>
                <w:color w:val="auto"/>
              </w:rPr>
            </w:pPr>
            <w:r>
              <w:rPr>
                <w:rFonts w:ascii="Arial" w:cs="Arial" w:eastAsia="Arial" w:hAnsi="Arial"/>
                <w:sz w:val="18"/>
                <w:szCs w:val="18"/>
                <w:color w:val="auto"/>
              </w:rPr>
              <w:t>2,263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2,553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560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110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2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Average debt outstanding (in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540.8</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377.1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0" w:type="dxa"/>
            <w:vAlign w:val="bottom"/>
            <w:shd w:val="clear" w:color="auto" w:fill="CCEEFF"/>
          </w:tcPr>
          <w:p>
            <w:pPr>
              <w:spacing w:after="0"/>
              <w:rPr>
                <w:sz w:val="20"/>
                <w:szCs w:val="20"/>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4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20" w:hanging="446"/>
        <w:spacing w:after="0" w:line="277" w:lineRule="auto"/>
        <w:tabs>
          <w:tab w:leader="none" w:pos="14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2015, the Company had outstanding debt denominated in Swedish Krona (SEK) of 195.2 million, Euro (EUR) of 43.9 million and Pound Sterling (GBP) of 21.0 million on its Revolving Credit Facility, included in the Outstanding Principal amount in the table above.</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+ 2.25% to LIBOR + 2.35% and the facility was scheduled to mature on January 21, 2021.</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4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December 31, 2015, and 2014 TPG SL SPV had $230.3 million and $334.0 million, respectively, in investments at fair value. As of December 31, 2014, TPG SL SPV had $108.8 million in liabilities, including the outstanding borrowings, on its balance sheet. As of December 31, 2015, TPG SL SPV’s liabilities had been fully prepaid. As of December 31, 2014 TPG SL SPV had $10.2 million in restricted cash, a component of prepaid expenses and other assets, in the accompanying consolidated financial statements. TPG SL SPV did not have restricted cash as of December 31, 2015.</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2015 and 2014, the components of interest expense related to the Convertible Senior Notes were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2015</w:t>
            </w:r>
          </w:p>
        </w:tc>
        <w:tc>
          <w:tcPr>
            <w:tcW w:w="2520" w:type="dxa"/>
            <w:vAlign w:val="bottom"/>
            <w:gridSpan w:val="4"/>
          </w:tcPr>
          <w:p>
            <w:pPr>
              <w:ind w:left="1260"/>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12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years ended December 31, 2015 and 2014, the Company received $5.2 million and $2.6 million, respectively, and paid $3.7 million and $1.6 million, respectively,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2015, the components of the carrying value of the Convertible Senior Notes and the stated interest rate were as follows: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20" w:type="dxa"/>
            <w:vAlign w:val="bottom"/>
            <w:gridSpan w:val="4"/>
          </w:tcPr>
          <w:p>
            <w:pPr>
              <w:ind w:left="1860"/>
              <w:spacing w:after="0"/>
              <w:rPr>
                <w:sz w:val="20"/>
                <w:szCs w:val="20"/>
                <w:color w:val="auto"/>
              </w:rPr>
            </w:pPr>
            <w:r>
              <w:rPr>
                <w:rFonts w:ascii="Arial" w:cs="Arial" w:eastAsia="Arial" w:hAnsi="Arial"/>
                <w:sz w:val="14"/>
                <w:szCs w:val="14"/>
                <w:b w:val="1"/>
                <w:bCs w:val="1"/>
                <w:color w:val="auto"/>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56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2015 was three-month LIBOR plus 286 basis points. Please see Note 5 for further information about the Company’s interest rate swaps.</w:t>
      </w:r>
    </w:p>
    <w:p>
      <w:pPr>
        <w:spacing w:after="0" w:line="12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2015, the Company was in compliance with the terms of the Convertible Senior Notes Indenture.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December 31, 2014,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As of December 31, 2015 and 2014, the Company had the following commitments to fund investments: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2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42,797</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w:t>
            </w:r>
          </w:p>
        </w:tc>
        <w:tc>
          <w:tcPr>
            <w:tcW w:w="1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78,646</w:t>
            </w:r>
          </w:p>
        </w:tc>
        <w:tc>
          <w:tcPr>
            <w:tcW w:w="15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10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2015,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4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For the year ended December 31, 2014, the Company issued 4,234,501 shares and received proceeds of $65 million related to capital drawdowns delivered pursuant to the Subscription Agreements. There were no shares issued related to capital drawdowns for the year ended December 31, 2015.</w:t>
      </w:r>
    </w:p>
    <w:p>
      <w:pPr>
        <w:spacing w:after="0" w:line="12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2015 and 2014. All shares issued to stockholders in the tables below are newly issued shares.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December 31, 2015</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Record Date</w:t>
            </w:r>
          </w:p>
        </w:tc>
        <w:tc>
          <w:tcPr>
            <w:tcW w:w="580" w:type="dxa"/>
            <w:vAlign w:val="bottom"/>
            <w:gridSpan w:val="3"/>
            <w:vMerge w:val="restart"/>
          </w:tcPr>
          <w:p>
            <w:pPr>
              <w:spacing w:after="0"/>
              <w:rPr>
                <w:sz w:val="10"/>
                <w:szCs w:val="10"/>
                <w:color w:val="auto"/>
              </w:rPr>
            </w:pPr>
          </w:p>
        </w:tc>
        <w:tc>
          <w:tcPr>
            <w:tcW w:w="2180" w:type="dxa"/>
            <w:vAlign w:val="bottom"/>
            <w:gridSpan w:val="4"/>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Date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gridSpan w:val="3"/>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580" w:type="dxa"/>
            <w:vAlign w:val="bottom"/>
            <w:tcBorders>
              <w:bottom w:val="single" w:sz="8" w:color="CCEEFF"/>
            </w:tcBorders>
            <w:gridSpan w:val="3"/>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February 2, 2015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2280" w:type="dxa"/>
            <w:vAlign w:val="bottom"/>
            <w:gridSpan w:val="4"/>
          </w:tcPr>
          <w:p>
            <w:pPr>
              <w:jc w:val="right"/>
              <w:ind w:right="580"/>
              <w:spacing w:after="0"/>
              <w:rPr>
                <w:sz w:val="20"/>
                <w:szCs w:val="20"/>
                <w:color w:val="auto"/>
              </w:rPr>
            </w:pPr>
            <w:r>
              <w:rPr>
                <w:rFonts w:ascii="Arial" w:cs="Arial" w:eastAsia="Arial" w:hAnsi="Arial"/>
                <w:sz w:val="18"/>
                <w:szCs w:val="18"/>
                <w:color w:val="auto"/>
              </w:rPr>
              <w:t>March 31, 2015</w:t>
            </w:r>
          </w:p>
        </w:tc>
        <w:tc>
          <w:tcPr>
            <w:tcW w:w="2180" w:type="dxa"/>
            <w:vAlign w:val="bottom"/>
            <w:gridSpan w:val="4"/>
          </w:tcPr>
          <w:p>
            <w:pPr>
              <w:jc w:val="right"/>
              <w:ind w:right="580"/>
              <w:spacing w:after="0"/>
              <w:rPr>
                <w:sz w:val="20"/>
                <w:szCs w:val="20"/>
                <w:color w:val="auto"/>
              </w:rPr>
            </w:pPr>
            <w:r>
              <w:rPr>
                <w:rFonts w:ascii="Arial" w:cs="Arial" w:eastAsia="Arial" w:hAnsi="Arial"/>
                <w:sz w:val="18"/>
                <w:szCs w:val="18"/>
                <w:color w:val="auto"/>
              </w:rPr>
              <w:t>May 1, 2015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41,441</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2015</w:t>
            </w:r>
          </w:p>
        </w:tc>
        <w:tc>
          <w:tcPr>
            <w:tcW w:w="2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June 30, 2015</w:t>
            </w:r>
          </w:p>
        </w:tc>
        <w:tc>
          <w:tcPr>
            <w:tcW w:w="21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August 3, 2015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26,258</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2015</w:t>
            </w:r>
          </w:p>
        </w:tc>
        <w:tc>
          <w:tcPr>
            <w:tcW w:w="2280" w:type="dxa"/>
            <w:vAlign w:val="bottom"/>
            <w:gridSpan w:val="4"/>
          </w:tcPr>
          <w:p>
            <w:pPr>
              <w:jc w:val="right"/>
              <w:ind w:right="580"/>
              <w:spacing w:after="0"/>
              <w:rPr>
                <w:sz w:val="20"/>
                <w:szCs w:val="20"/>
                <w:color w:val="auto"/>
              </w:rPr>
            </w:pPr>
            <w:r>
              <w:rPr>
                <w:rFonts w:ascii="Arial" w:cs="Arial" w:eastAsia="Arial" w:hAnsi="Arial"/>
                <w:sz w:val="18"/>
                <w:szCs w:val="18"/>
                <w:color w:val="auto"/>
              </w:rPr>
              <w:t>September 30, 2015</w:t>
            </w:r>
          </w:p>
        </w:tc>
        <w:tc>
          <w:tcPr>
            <w:tcW w:w="2180" w:type="dxa"/>
            <w:vAlign w:val="bottom"/>
            <w:gridSpan w:val="4"/>
          </w:tcPr>
          <w:p>
            <w:pPr>
              <w:jc w:val="right"/>
              <w:ind w:right="580"/>
              <w:spacing w:after="0"/>
              <w:rPr>
                <w:sz w:val="20"/>
                <w:szCs w:val="20"/>
                <w:color w:val="auto"/>
              </w:rPr>
            </w:pPr>
            <w:r>
              <w:rPr>
                <w:rFonts w:ascii="Arial" w:cs="Arial" w:eastAsia="Arial" w:hAnsi="Arial"/>
                <w:sz w:val="18"/>
                <w:szCs w:val="18"/>
                <w:color w:val="auto"/>
              </w:rPr>
              <w:t>November 2, 2015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138,413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368,602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6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Year Ended December 31, 2014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6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Record Date</w:t>
            </w:r>
          </w:p>
        </w:tc>
        <w:tc>
          <w:tcPr>
            <w:tcW w:w="5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180" w:type="dxa"/>
            <w:vAlign w:val="bottom"/>
            <w:gridSpan w:val="4"/>
          </w:tcPr>
          <w:p>
            <w:pPr>
              <w:jc w:val="center"/>
              <w:ind w:right="560"/>
              <w:spacing w:after="0" w:line="119" w:lineRule="exact"/>
              <w:rPr>
                <w:sz w:val="20"/>
                <w:szCs w:val="20"/>
                <w:color w:val="auto"/>
              </w:rPr>
            </w:pPr>
            <w:r>
              <w:rPr>
                <w:rFonts w:ascii="Arial" w:cs="Arial" w:eastAsia="Arial" w:hAnsi="Arial"/>
                <w:sz w:val="13"/>
                <w:szCs w:val="13"/>
                <w:b w:val="1"/>
                <w:bCs w:val="1"/>
                <w:color w:val="auto"/>
              </w:rPr>
              <w:t>Date</w:t>
            </w:r>
          </w:p>
        </w:tc>
        <w:tc>
          <w:tcPr>
            <w:tcW w:w="9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0"/>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Shares Issued</w:t>
            </w:r>
          </w:p>
        </w:tc>
        <w:tc>
          <w:tcPr>
            <w:tcW w:w="5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February 13, 2014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2280" w:type="dxa"/>
            <w:vAlign w:val="bottom"/>
            <w:gridSpan w:val="4"/>
          </w:tcPr>
          <w:p>
            <w:pPr>
              <w:jc w:val="right"/>
              <w:ind w:right="520"/>
              <w:spacing w:after="0"/>
              <w:rPr>
                <w:sz w:val="20"/>
                <w:szCs w:val="20"/>
                <w:color w:val="auto"/>
              </w:rPr>
            </w:pPr>
            <w:r>
              <w:rPr>
                <w:rFonts w:ascii="Arial" w:cs="Arial" w:eastAsia="Arial" w:hAnsi="Arial"/>
                <w:sz w:val="18"/>
                <w:szCs w:val="18"/>
                <w:color w:val="auto"/>
              </w:rPr>
              <w:t>March 31, 2014</w:t>
            </w:r>
          </w:p>
        </w:tc>
        <w:tc>
          <w:tcPr>
            <w:tcW w:w="2180" w:type="dxa"/>
            <w:vAlign w:val="bottom"/>
            <w:gridSpan w:val="4"/>
          </w:tcPr>
          <w:p>
            <w:pPr>
              <w:jc w:val="right"/>
              <w:ind w:right="540"/>
              <w:spacing w:after="0"/>
              <w:rPr>
                <w:sz w:val="20"/>
                <w:szCs w:val="20"/>
                <w:color w:val="auto"/>
              </w:rPr>
            </w:pPr>
            <w:r>
              <w:rPr>
                <w:rFonts w:ascii="Arial" w:cs="Arial" w:eastAsia="Arial" w:hAnsi="Arial"/>
                <w:sz w:val="18"/>
                <w:szCs w:val="18"/>
                <w:color w:val="auto"/>
              </w:rPr>
              <w:t>May 1, 2014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410,183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2014</w:t>
            </w:r>
          </w:p>
        </w:tc>
        <w:tc>
          <w:tcPr>
            <w:tcW w:w="22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June 30, 2014</w:t>
            </w:r>
          </w:p>
        </w:tc>
        <w:tc>
          <w:tcPr>
            <w:tcW w:w="21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August 1, 2014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2014</w:t>
            </w:r>
          </w:p>
        </w:tc>
        <w:tc>
          <w:tcPr>
            <w:tcW w:w="2280" w:type="dxa"/>
            <w:vAlign w:val="bottom"/>
            <w:gridSpan w:val="4"/>
          </w:tcPr>
          <w:p>
            <w:pPr>
              <w:jc w:val="right"/>
              <w:ind w:right="520"/>
              <w:spacing w:after="0"/>
              <w:rPr>
                <w:sz w:val="20"/>
                <w:szCs w:val="20"/>
                <w:color w:val="auto"/>
              </w:rPr>
            </w:pPr>
            <w:r>
              <w:rPr>
                <w:rFonts w:ascii="Arial" w:cs="Arial" w:eastAsia="Arial" w:hAnsi="Arial"/>
                <w:sz w:val="18"/>
                <w:szCs w:val="18"/>
                <w:color w:val="auto"/>
              </w:rPr>
              <w:t>September 30, 2014</w:t>
            </w:r>
          </w:p>
        </w:tc>
        <w:tc>
          <w:tcPr>
            <w:tcW w:w="2180" w:type="dxa"/>
            <w:vAlign w:val="bottom"/>
            <w:gridSpan w:val="4"/>
          </w:tcPr>
          <w:p>
            <w:pPr>
              <w:jc w:val="right"/>
              <w:ind w:right="540"/>
              <w:spacing w:after="0"/>
              <w:rPr>
                <w:sz w:val="20"/>
                <w:szCs w:val="20"/>
                <w:color w:val="auto"/>
              </w:rPr>
            </w:pPr>
            <w:r>
              <w:rPr>
                <w:rFonts w:ascii="Arial" w:cs="Arial" w:eastAsia="Arial" w:hAnsi="Arial"/>
                <w:sz w:val="18"/>
                <w:szCs w:val="18"/>
                <w:color w:val="auto"/>
              </w:rPr>
              <w:t>November 3, 2014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the Company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 On February 24, 2016, the Board authorized the extension of the termination date of the Company 10b5-1 Plan to August 31, 2016.</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the year ended December 31, 2015, the Company repurchased 2,000 shares under the Company 10b5-1 Plan at a weighted average price per share of $14.44, inclusive of commissions, for a total cost of $29 thousand. No shares were repurchased under the Company 10b5-1 Plan during the year ended December 31, 2014.</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2020" w:type="dxa"/>
            <w:vAlign w:val="bottom"/>
            <w:gridSpan w:val="3"/>
          </w:tcPr>
          <w:p>
            <w:pPr>
              <w:ind w:left="840"/>
              <w:spacing w:after="0" w:line="142" w:lineRule="exact"/>
              <w:rPr>
                <w:sz w:val="20"/>
                <w:szCs w:val="20"/>
                <w:color w:val="auto"/>
              </w:rPr>
            </w:pPr>
            <w:r>
              <w:rPr>
                <w:rFonts w:ascii="Arial" w:cs="Arial" w:eastAsia="Arial" w:hAnsi="Arial"/>
                <w:sz w:val="14"/>
                <w:szCs w:val="14"/>
                <w:b w:val="1"/>
                <w:bCs w:val="1"/>
                <w:color w:val="auto"/>
                <w:w w:val="91"/>
              </w:rPr>
              <w:t>December 31, 2014</w:t>
            </w:r>
          </w:p>
        </w:tc>
        <w:tc>
          <w:tcPr>
            <w:tcW w:w="2020" w:type="dxa"/>
            <w:vAlign w:val="bottom"/>
            <w:gridSpan w:val="3"/>
          </w:tcPr>
          <w:p>
            <w:pPr>
              <w:ind w:left="860"/>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100" w:type="dxa"/>
            <w:vAlign w:val="bottom"/>
          </w:tcPr>
          <w:p>
            <w:pPr>
              <w:spacing w:after="0"/>
              <w:rPr>
                <w:sz w:val="12"/>
                <w:szCs w:val="12"/>
                <w:color w:val="auto"/>
              </w:rPr>
            </w:pPr>
          </w:p>
        </w:tc>
      </w:tr>
      <w:tr>
        <w:trPr>
          <w:trHeight w:val="182"/>
        </w:trPr>
        <w:tc>
          <w:tcPr>
            <w:tcW w:w="2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shd w:val="clear" w:color="auto" w:fill="CCEEFF"/>
          </w:tcPr>
          <w:p>
            <w:pPr>
              <w:spacing w:after="0"/>
              <w:rPr>
                <w:sz w:val="20"/>
                <w:szCs w:val="20"/>
                <w:color w:val="auto"/>
              </w:rPr>
            </w:pP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Weighted average shares of</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54,006,322</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50,509,692</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34,635,208</w:t>
            </w:r>
          </w:p>
        </w:tc>
        <w:tc>
          <w:tcPr>
            <w:tcW w:w="100" w:type="dxa"/>
            <w:vAlign w:val="bottom"/>
          </w:tcPr>
          <w:p>
            <w:pPr>
              <w:spacing w:after="0"/>
              <w:rPr>
                <w:sz w:val="20"/>
                <w:szCs w:val="20"/>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460" w:right="100" w:hanging="452"/>
        <w:spacing w:after="0" w:line="277"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60" w:right="3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2015 was less than the conversion price for the Convertible Senior Notes outstanding as of December 31,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8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2"/>
                <w:szCs w:val="12"/>
                <w:color w:val="auto"/>
              </w:rPr>
            </w:pPr>
          </w:p>
        </w:tc>
        <w:tc>
          <w:tcPr>
            <w:tcW w:w="214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2015</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2015</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May 7, 2015</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2015</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2015</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September 30, 2015</w:t>
            </w:r>
          </w:p>
        </w:tc>
        <w:tc>
          <w:tcPr>
            <w:tcW w:w="4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1"/>
              </w:rPr>
              <w:t>October 30, 2015</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November 3, 2015</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 2015</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w w:val="91"/>
              </w:rPr>
              <w:t>January 29, 2016</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gridSpan w:val="2"/>
            <w:vMerge w:val="restart"/>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rPr>
              <w:t>December 31, 2014</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8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2"/>
                <w:szCs w:val="12"/>
                <w:color w:val="auto"/>
              </w:rPr>
            </w:pPr>
          </w:p>
        </w:tc>
        <w:tc>
          <w:tcPr>
            <w:tcW w:w="214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2014</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2014</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May 6, 2014</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2014</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2014</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August 4, 2014</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September 30, 2014</w:t>
            </w:r>
          </w:p>
        </w:tc>
        <w:tc>
          <w:tcPr>
            <w:tcW w:w="4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1"/>
              </w:rPr>
              <w:t>October 31, 2014</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November 3, 2014</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 2014</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w w:val="91"/>
              </w:rPr>
              <w:t>January 30, 2015</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2015 and December 31, 2014,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2015, 2014 and 2013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90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5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74,932</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Capital Gains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9,366</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3,909</w:t>
            </w:r>
          </w:p>
        </w:tc>
      </w:tr>
      <w:tr>
        <w:trPr>
          <w:trHeight w:val="27"/>
        </w:trPr>
        <w:tc>
          <w:tcPr>
            <w:tcW w:w="3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81,326</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55,385</w:t>
            </w:r>
          </w:p>
        </w:tc>
      </w:tr>
      <w:tr>
        <w:trPr>
          <w:trHeight w:val="20"/>
        </w:trPr>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7"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years ended December 31, 2015, 2014 and 2013, 83.04%, 78.85% and 91.52% of ordinary income qualified as interest related dividend which is exempt from U.S. withholding tax applicable to non U.S. shareholders.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60"/>
          </w:cols>
          <w:pgMar w:left="240" w:top="459" w:right="2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2015, 2014 and 2013, to taxable income at December 31, 2015,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08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r>
      <w:tr>
        <w:trPr>
          <w:trHeight w:val="182"/>
        </w:trPr>
        <w:tc>
          <w:tcPr>
            <w:tcW w:w="4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63,568</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85,050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28,568</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17,722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(8,386)</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income for tax purposes, not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book</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1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Taxable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 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w:t>
      </w:r>
    </w:p>
    <w:p>
      <w:pPr>
        <w:spacing w:after="0" w:line="19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 There were no deferred tax assets or liabilities as of December 31, 2014 or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2015 and 2014,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2015, 2014,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r>
      <w:tr>
        <w:trPr>
          <w:trHeight w:val="196"/>
        </w:trPr>
        <w:tc>
          <w:tcPr>
            <w:tcW w:w="20" w:type="dxa"/>
            <w:vAlign w:val="bottom"/>
          </w:tcPr>
          <w:p>
            <w:pPr>
              <w:spacing w:after="0"/>
              <w:rPr>
                <w:sz w:val="17"/>
                <w:szCs w:val="17"/>
                <w:color w:val="auto"/>
              </w:rPr>
            </w:pPr>
          </w:p>
        </w:tc>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(5)</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asset value, beginning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15.53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15.19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realized and unrealized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gain (loss)</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from operations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Issuance of common stock, net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of offering costs</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14.98</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r>
              <w:rPr>
                <w:rFonts w:ascii="Arial" w:cs="Arial" w:eastAsia="Arial" w:hAnsi="Arial"/>
                <w:sz w:val="15"/>
                <w:szCs w:val="15"/>
                <w:color w:val="auto"/>
              </w:rPr>
              <w:t>(2)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Dividends declared from</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realized gains</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20"/>
                <w:szCs w:val="20"/>
                <w:color w:val="auto"/>
              </w:rPr>
            </w:pPr>
          </w:p>
        </w:tc>
        <w:tc>
          <w:tcPr>
            <w:tcW w:w="1260" w:type="dxa"/>
            <w:vAlign w:val="bottom"/>
            <w:gridSpan w:val="2"/>
          </w:tcPr>
          <w:p>
            <w:pPr>
              <w:jc w:val="center"/>
              <w:ind w:left="311"/>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increase (decrease)</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 net assets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14.70</w:t>
            </w:r>
          </w:p>
        </w:tc>
      </w:tr>
      <w:tr>
        <w:trPr>
          <w:trHeight w:val="205"/>
        </w:trPr>
        <w:tc>
          <w:tcPr>
            <w:tcW w:w="20" w:type="dxa"/>
            <w:vAlign w:val="bottom"/>
          </w:tcPr>
          <w:p>
            <w:pPr>
              <w:spacing w:after="0"/>
              <w:rPr>
                <w:sz w:val="17"/>
                <w:szCs w:val="17"/>
                <w:color w:val="auto"/>
              </w:rPr>
            </w:pPr>
          </w:p>
        </w:tc>
        <w:tc>
          <w:tcPr>
            <w:tcW w:w="274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Net Asset Value, End of</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520"/>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15.15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15.52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14.71</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share market value at end</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Total return based on market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(3)</w:t>
            </w: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center"/>
              <w:ind w:left="311"/>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return based on net asset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(4)</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91"/>
              </w:rPr>
              <w:t>n.m.</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Shares Outstanding, End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54,163,960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53,797,358</w:t>
            </w:r>
          </w:p>
        </w:tc>
        <w:tc>
          <w:tcPr>
            <w:tcW w:w="1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37,026,023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31,582,954</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11,770,514</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Ratio of net expenses to</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average net assets</w:t>
            </w: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investment income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average net assets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Portfolio turnover</w:t>
            </w: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53.16%</w:t>
            </w: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1260" w:type="dxa"/>
            <w:vAlign w:val="bottom"/>
            <w:gridSpan w:val="2"/>
          </w:tcPr>
          <w:p>
            <w:pPr>
              <w:jc w:val="center"/>
              <w:ind w:left="331"/>
              <w:spacing w:after="0"/>
              <w:rPr>
                <w:sz w:val="20"/>
                <w:szCs w:val="20"/>
                <w:color w:val="auto"/>
              </w:rPr>
            </w:pPr>
            <w:r>
              <w:rPr>
                <w:rFonts w:ascii="Arial" w:cs="Arial" w:eastAsia="Arial" w:hAnsi="Arial"/>
                <w:sz w:val="18"/>
                <w:szCs w:val="18"/>
                <w:color w:val="auto"/>
                <w:w w:val="91"/>
              </w:rPr>
              <w:t>n.m.</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820,741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835,405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574,696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479,803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173,092</w:t>
            </w:r>
          </w:p>
        </w:tc>
      </w:tr>
    </w:tbl>
    <w:p>
      <w:pPr>
        <w:spacing w:after="0" w:line="229"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61"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7" w:lineRule="auto"/>
        <w:tabs>
          <w:tab w:leader="none" w:pos="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$ 43,559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$ 46,774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$45,352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800" w:type="dxa"/>
            <w:vAlign w:val="bottom"/>
            <w:gridSpan w:val="6"/>
          </w:tcPr>
          <w:p>
            <w:pPr>
              <w:spacing w:after="0"/>
              <w:rPr>
                <w:sz w:val="20"/>
                <w:szCs w:val="20"/>
                <w:color w:val="auto"/>
              </w:rPr>
            </w:pPr>
            <w:r>
              <w:rPr>
                <w:rFonts w:ascii="Arial" w:cs="Arial" w:eastAsia="Arial" w:hAnsi="Arial"/>
                <w:sz w:val="18"/>
                <w:szCs w:val="18"/>
                <w:color w:val="auto"/>
              </w:rPr>
              <w:t>$ 19,916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spacing w:after="0"/>
              <w:rPr>
                <w:sz w:val="20"/>
                <w:szCs w:val="20"/>
                <w:color w:val="auto"/>
              </w:rPr>
            </w:pPr>
            <w:r>
              <w:rPr>
                <w:rFonts w:ascii="Arial" w:cs="Arial" w:eastAsia="Arial" w:hAnsi="Arial"/>
                <w:sz w:val="18"/>
                <w:szCs w:val="18"/>
                <w:color w:val="auto"/>
              </w:rPr>
              <w:t>$ 20,926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$20,332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16,943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$ 23,643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$ 25,849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89"/>
              </w:rPr>
              <w:t>$25,020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800" w:type="dxa"/>
            <w:vAlign w:val="bottom"/>
            <w:gridSpan w:val="6"/>
          </w:tcPr>
          <w:p>
            <w:pPr>
              <w:spacing w:after="0"/>
              <w:rPr>
                <w:sz w:val="20"/>
                <w:szCs w:val="20"/>
                <w:color w:val="auto"/>
              </w:rPr>
            </w:pPr>
            <w:r>
              <w:rPr>
                <w:rFonts w:ascii="Arial" w:cs="Arial" w:eastAsia="Arial" w:hAnsi="Arial"/>
                <w:sz w:val="18"/>
                <w:szCs w:val="18"/>
                <w:color w:val="auto"/>
              </w:rPr>
              <w:t>$(27,985)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spacing w:after="0"/>
              <w:rPr>
                <w:sz w:val="20"/>
                <w:szCs w:val="20"/>
                <w:color w:val="auto"/>
              </w:rPr>
            </w:pPr>
            <w:r>
              <w:rPr>
                <w:rFonts w:ascii="Arial" w:cs="Arial" w:eastAsia="Arial" w:hAnsi="Arial"/>
                <w:sz w:val="18"/>
                <w:szCs w:val="18"/>
                <w:color w:val="auto"/>
                <w:w w:val="93"/>
              </w:rPr>
              <w:t>$(16,512)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5"/>
          </w:tcPr>
          <w:p>
            <w:pPr>
              <w:jc w:val="center"/>
              <w:ind w:right="60"/>
              <w:spacing w:after="0"/>
              <w:rPr>
                <w:sz w:val="20"/>
                <w:szCs w:val="20"/>
                <w:color w:val="auto"/>
              </w:rPr>
            </w:pPr>
            <w:r>
              <w:rPr>
                <w:rFonts w:ascii="Arial" w:cs="Arial" w:eastAsia="Arial" w:hAnsi="Arial"/>
                <w:sz w:val="18"/>
                <w:szCs w:val="18"/>
                <w:color w:val="auto"/>
                <w:w w:val="96"/>
              </w:rPr>
              <w:t>$ 9,085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(4,342)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9,337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89"/>
              </w:rPr>
              <w:t>$34,105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24,468</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5"/>
          </w:tcPr>
          <w:p>
            <w:pPr>
              <w:ind w:left="140"/>
              <w:spacing w:after="0"/>
              <w:rPr>
                <w:sz w:val="20"/>
                <w:szCs w:val="20"/>
                <w:color w:val="auto"/>
              </w:rPr>
            </w:pPr>
            <w:r>
              <w:rPr>
                <w:rFonts w:ascii="Arial" w:cs="Arial" w:eastAsia="Arial" w:hAnsi="Arial"/>
                <w:sz w:val="18"/>
                <w:szCs w:val="18"/>
                <w:color w:val="auto"/>
              </w:rPr>
              <w:t>15.15</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15.62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5"/>
          </w:tcPr>
          <w:p>
            <w:pPr>
              <w:jc w:val="center"/>
              <w:ind w:right="60"/>
              <w:spacing w:after="0"/>
              <w:rPr>
                <w:sz w:val="20"/>
                <w:szCs w:val="20"/>
                <w:color w:val="auto"/>
              </w:rPr>
            </w:pPr>
            <w:r>
              <w:rPr>
                <w:rFonts w:ascii="Arial" w:cs="Arial" w:eastAsia="Arial" w:hAnsi="Arial"/>
                <w:sz w:val="18"/>
                <w:szCs w:val="18"/>
                <w:color w:val="auto"/>
                <w:w w:val="96"/>
              </w:rPr>
              <w:t>$ 15.84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377"/>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$45,657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720" w:type="dxa"/>
            <w:vAlign w:val="bottom"/>
            <w:gridSpan w:val="6"/>
          </w:tcPr>
          <w:p>
            <w:pPr>
              <w:ind w:left="20"/>
              <w:spacing w:after="0"/>
              <w:rPr>
                <w:sz w:val="20"/>
                <w:szCs w:val="20"/>
                <w:color w:val="auto"/>
              </w:rPr>
            </w:pPr>
            <w:r>
              <w:rPr>
                <w:rFonts w:ascii="Arial" w:cs="Arial" w:eastAsia="Arial" w:hAnsi="Arial"/>
                <w:sz w:val="18"/>
                <w:szCs w:val="18"/>
                <w:color w:val="auto"/>
                <w:w w:val="96"/>
              </w:rPr>
              <w:t>$ 15,094</w:t>
            </w:r>
          </w:p>
        </w:tc>
        <w:tc>
          <w:tcPr>
            <w:tcW w:w="340" w:type="dxa"/>
            <w:vAlign w:val="bottom"/>
          </w:tcPr>
          <w:p>
            <w:pPr>
              <w:spacing w:after="0"/>
              <w:rPr>
                <w:sz w:val="18"/>
                <w:szCs w:val="18"/>
                <w:color w:val="auto"/>
              </w:rPr>
            </w:pPr>
          </w:p>
        </w:tc>
        <w:tc>
          <w:tcPr>
            <w:tcW w:w="780" w:type="dxa"/>
            <w:vAlign w:val="bottom"/>
            <w:gridSpan w:val="6"/>
          </w:tcPr>
          <w:p>
            <w:pPr>
              <w:jc w:val="right"/>
              <w:ind w:right="40"/>
              <w:spacing w:after="0"/>
              <w:rPr>
                <w:sz w:val="20"/>
                <w:szCs w:val="20"/>
                <w:color w:val="auto"/>
              </w:rPr>
            </w:pPr>
            <w:r>
              <w:rPr>
                <w:rFonts w:ascii="Arial" w:cs="Arial" w:eastAsia="Arial" w:hAnsi="Arial"/>
                <w:sz w:val="18"/>
                <w:szCs w:val="18"/>
                <w:color w:val="auto"/>
              </w:rPr>
              <w:t>$15,288</w:t>
            </w:r>
          </w:p>
        </w:tc>
        <w:tc>
          <w:tcPr>
            <w:tcW w:w="400" w:type="dxa"/>
            <w:vAlign w:val="bottom"/>
          </w:tcPr>
          <w:p>
            <w:pPr>
              <w:spacing w:after="0"/>
              <w:rPr>
                <w:sz w:val="18"/>
                <w:szCs w:val="18"/>
                <w:color w:val="auto"/>
              </w:rPr>
            </w:pP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89"/>
              </w:rPr>
              <w:t>$16,224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7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6"/>
              </w:rPr>
              <w:t>$ 30,684</w:t>
            </w:r>
          </w:p>
        </w:tc>
        <w:tc>
          <w:tcPr>
            <w:tcW w:w="3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$23,116</w:t>
            </w:r>
          </w:p>
        </w:tc>
        <w:tc>
          <w:tcPr>
            <w:tcW w:w="4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w w:val="89"/>
              </w:rPr>
              <w:t>$29,433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20" w:type="dxa"/>
            <w:vAlign w:val="bottom"/>
          </w:tcPr>
          <w:p>
            <w:pPr>
              <w:spacing w:after="0"/>
              <w:rPr>
                <w:sz w:val="18"/>
                <w:szCs w:val="18"/>
                <w:color w:val="auto"/>
              </w:rPr>
            </w:pPr>
          </w:p>
        </w:tc>
        <w:tc>
          <w:tcPr>
            <w:tcW w:w="1060" w:type="dxa"/>
            <w:vAlign w:val="bottom"/>
            <w:gridSpan w:val="7"/>
          </w:tcPr>
          <w:p>
            <w:pPr>
              <w:ind w:left="20"/>
              <w:spacing w:after="0"/>
              <w:rPr>
                <w:sz w:val="20"/>
                <w:szCs w:val="20"/>
                <w:color w:val="auto"/>
              </w:rPr>
            </w:pPr>
            <w:r>
              <w:rPr>
                <w:rFonts w:ascii="Arial" w:cs="Arial" w:eastAsia="Arial" w:hAnsi="Arial"/>
                <w:sz w:val="18"/>
                <w:szCs w:val="18"/>
                <w:color w:val="auto"/>
              </w:rPr>
              <w:t>$(16,879)</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88"/>
              </w:rPr>
              <w:t>$ (4,513)</w:t>
            </w:r>
          </w:p>
        </w:tc>
        <w:tc>
          <w:tcPr>
            <w:tcW w:w="980" w:type="dxa"/>
            <w:vAlign w:val="bottom"/>
            <w:gridSpan w:val="7"/>
          </w:tcPr>
          <w:p>
            <w:pPr>
              <w:ind w:left="100"/>
              <w:spacing w:after="0"/>
              <w:rPr>
                <w:sz w:val="20"/>
                <w:szCs w:val="20"/>
                <w:color w:val="auto"/>
              </w:rPr>
            </w:pPr>
            <w:r>
              <w:rPr>
                <w:rFonts w:ascii="Arial" w:cs="Arial" w:eastAsia="Arial" w:hAnsi="Arial"/>
                <w:sz w:val="18"/>
                <w:szCs w:val="18"/>
                <w:color w:val="auto"/>
              </w:rPr>
              <w:t>$ (2,139)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shd w:val="clear" w:color="auto" w:fill="CCEEFF"/>
          </w:tcPr>
          <w:p>
            <w:pPr>
              <w:spacing w:after="0"/>
              <w:rPr>
                <w:sz w:val="18"/>
                <w:szCs w:val="18"/>
                <w:color w:val="auto"/>
              </w:rPr>
            </w:pPr>
          </w:p>
        </w:tc>
        <w:tc>
          <w:tcPr>
            <w:tcW w:w="7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6"/>
              </w:rPr>
              <w:t>$ 13,805</w:t>
            </w:r>
          </w:p>
        </w:tc>
        <w:tc>
          <w:tcPr>
            <w:tcW w:w="3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$18,603</w:t>
            </w:r>
          </w:p>
        </w:tc>
        <w:tc>
          <w:tcPr>
            <w:tcW w:w="4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w w:val="89"/>
              </w:rPr>
              <w:t>$27,294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480" w:type="dxa"/>
            <w:vAlign w:val="bottom"/>
            <w:gridSpan w:val="3"/>
          </w:tcPr>
          <w:p>
            <w:pPr>
              <w:ind w:left="40"/>
              <w:spacing w:after="0"/>
              <w:rPr>
                <w:sz w:val="20"/>
                <w:szCs w:val="20"/>
                <w:color w:val="auto"/>
              </w:rPr>
            </w:pPr>
            <w:r>
              <w:rPr>
                <w:rFonts w:ascii="Arial" w:cs="Arial" w:eastAsia="Arial" w:hAnsi="Arial"/>
                <w:sz w:val="18"/>
                <w:szCs w:val="18"/>
                <w:color w:val="auto"/>
                <w:w w:val="93"/>
              </w:rPr>
              <w:t>15.53</w:t>
            </w:r>
          </w:p>
        </w:tc>
        <w:tc>
          <w:tcPr>
            <w:tcW w:w="340" w:type="dxa"/>
            <w:vAlign w:val="bottom"/>
          </w:tcPr>
          <w:p>
            <w:pPr>
              <w:spacing w:after="0"/>
              <w:rPr>
                <w:sz w:val="20"/>
                <w:szCs w:val="20"/>
                <w:color w:val="auto"/>
              </w:rPr>
            </w:pP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15.66</w:t>
            </w:r>
          </w:p>
        </w:tc>
        <w:tc>
          <w:tcPr>
            <w:tcW w:w="400" w:type="dxa"/>
            <w:vAlign w:val="bottom"/>
          </w:tcPr>
          <w:p>
            <w:pPr>
              <w:spacing w:after="0"/>
              <w:rPr>
                <w:sz w:val="20"/>
                <w:szCs w:val="20"/>
                <w:color w:val="auto"/>
              </w:rPr>
            </w:pP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$ 15.70</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377"/>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$27,569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2"/>
              </w:rPr>
              <w:t>$23,298</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$20,940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60" w:type="dxa"/>
            <w:vAlign w:val="bottom"/>
            <w:gridSpan w:val="7"/>
          </w:tcPr>
          <w:p>
            <w:pPr>
              <w:ind w:left="120"/>
              <w:spacing w:after="0"/>
              <w:rPr>
                <w:sz w:val="20"/>
                <w:szCs w:val="20"/>
                <w:color w:val="auto"/>
              </w:rPr>
            </w:pPr>
            <w:r>
              <w:rPr>
                <w:rFonts w:ascii="Arial" w:cs="Arial" w:eastAsia="Arial" w:hAnsi="Arial"/>
                <w:sz w:val="18"/>
                <w:szCs w:val="18"/>
                <w:color w:val="auto"/>
              </w:rPr>
              <w:t>$10,576</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99"/>
              </w:rPr>
              <w:t>$ 8,713</w:t>
            </w: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$ 8,123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7,696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$16,993</w:t>
            </w:r>
          </w:p>
        </w:tc>
        <w:tc>
          <w:tcPr>
            <w:tcW w:w="11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92"/>
              </w:rPr>
              <w:t>$14,585</w:t>
            </w:r>
          </w:p>
        </w:tc>
        <w:tc>
          <w:tcPr>
            <w:tcW w:w="98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$12,817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2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4,063</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99"/>
              </w:rPr>
              <w:t>$ 1,674</w:t>
            </w: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$ 1,391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$21,056</w:t>
            </w:r>
          </w:p>
        </w:tc>
        <w:tc>
          <w:tcPr>
            <w:tcW w:w="11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92"/>
              </w:rPr>
              <w:t>$16,259</w:t>
            </w:r>
          </w:p>
        </w:tc>
        <w:tc>
          <w:tcPr>
            <w:tcW w:w="98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$14,208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15,461</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(2)</w:t>
            </w:r>
          </w:p>
        </w:tc>
        <w:tc>
          <w:tcPr>
            <w:tcW w:w="120" w:type="dxa"/>
            <w:vAlign w:val="bottom"/>
          </w:tcPr>
          <w:p>
            <w:pPr>
              <w:spacing w:after="0"/>
              <w:rPr>
                <w:sz w:val="20"/>
                <w:szCs w:val="20"/>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15.52</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99"/>
              </w:rPr>
              <w:t>$ 15.35</w:t>
            </w: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$ 15.29</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bl>
    <w:p>
      <w:pPr>
        <w:spacing w:after="0" w:line="214"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Net expenses include income taxes, including excise taxes.</w:t>
      </w:r>
    </w:p>
    <w:p>
      <w:pPr>
        <w:spacing w:after="0" w:line="23"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December 31,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$1,521,669 and $1,443,017,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1,501,060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$90,124 and $86,659,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62,604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$1,611,793 and $1,529,676,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1,563,664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1,485,709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1,584,252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 (net of deferred financing costs of $9,790 and $10,365,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626,063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22,045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689,581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59,314,768 and 54,166,959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59,225,688 and 54,163,960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892,675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26,712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(34,005)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894,671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1,584,252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1,506,568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98"/>
              </w:rPr>
              <w:t>March 31, 2016</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2015</w:t>
            </w: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39,170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32,879</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r>
      <w:tr>
        <w:trPr>
          <w:trHeight w:val="223"/>
        </w:trPr>
        <w:tc>
          <w:tcPr>
            <w:tcW w:w="7580" w:type="dxa"/>
            <w:vAlign w:val="bottom"/>
          </w:tcPr>
          <w:p>
            <w:pPr>
              <w:ind w:left="72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40,367</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36,256</w:t>
            </w: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Interest from investments</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2,333</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30"/>
        </w:trPr>
        <w:tc>
          <w:tcPr>
            <w:tcW w:w="7580" w:type="dxa"/>
            <w:vAlign w:val="bottom"/>
          </w:tcPr>
          <w:p>
            <w:pPr>
              <w:ind w:left="720"/>
              <w:spacing w:after="0"/>
              <w:rPr>
                <w:sz w:val="20"/>
                <w:szCs w:val="20"/>
                <w:color w:val="auto"/>
              </w:rPr>
            </w:pPr>
            <w:r>
              <w:rPr>
                <w:rFonts w:ascii="Arial" w:cs="Arial" w:eastAsia="Arial" w:hAnsi="Arial"/>
                <w:sz w:val="18"/>
                <w:szCs w:val="18"/>
                <w:color w:val="auto"/>
              </w:rPr>
              <w:t>Total investment income from controlled, affiliated investments</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r>
      <w:tr>
        <w:trPr>
          <w:trHeight w:val="216"/>
        </w:trPr>
        <w:tc>
          <w:tcPr>
            <w:tcW w:w="75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42,751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37,730</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5,298</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Management fees</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5,748</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4,950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4,902</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1,923</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19,222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16,638</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Management and incentive fees waived (Note 3)</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75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19,124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16,638</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Controlled, affiliated investments</w:t>
            </w:r>
          </w:p>
        </w:tc>
        <w:tc>
          <w:tcPr>
            <w:tcW w:w="120" w:type="dxa"/>
            <w:vAlign w:val="bottom"/>
          </w:tcPr>
          <w:p>
            <w:pPr>
              <w:spacing w:after="0"/>
              <w:rPr>
                <w:sz w:val="18"/>
                <w:szCs w:val="18"/>
                <w:color w:val="auto"/>
              </w:rPr>
            </w:pPr>
          </w:p>
        </w:tc>
        <w:tc>
          <w:tcPr>
            <w:tcW w:w="2300" w:type="dxa"/>
            <w:vAlign w:val="bottom"/>
            <w:gridSpan w:val="3"/>
          </w:tcPr>
          <w:p>
            <w:pPr>
              <w:jc w:val="right"/>
              <w:ind w:right="1060"/>
              <w:spacing w:after="0"/>
              <w:rPr>
                <w:sz w:val="20"/>
                <w:szCs w:val="20"/>
                <w:color w:val="auto"/>
              </w:rPr>
            </w:pPr>
            <w:r>
              <w:rPr>
                <w:rFonts w:ascii="Arial" w:cs="Arial" w:eastAsia="Arial" w:hAnsi="Arial"/>
                <w:sz w:val="18"/>
                <w:szCs w:val="18"/>
                <w:color w:val="auto"/>
              </w:rPr>
              <w:t>(4,359)</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of assets and liabilities in foreign currencies</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(2,703)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7"/>
        </w:trPr>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net change in unrealized gains (losses)</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Realized gains:</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18"/>
                <w:szCs w:val="18"/>
                <w:color w:val="auto"/>
              </w:rPr>
            </w:pPr>
          </w:p>
        </w:tc>
        <w:tc>
          <w:tcPr>
            <w:tcW w:w="2300" w:type="dxa"/>
            <w:vAlign w:val="bottom"/>
            <w:gridSpan w:val="3"/>
          </w:tcPr>
          <w:p>
            <w:pPr>
              <w:jc w:val="right"/>
              <w:ind w:righ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7580" w:type="dxa"/>
            <w:vAlign w:val="bottom"/>
          </w:tcPr>
          <w:p>
            <w:pPr>
              <w:ind w:left="1080"/>
              <w:spacing w:after="0"/>
              <w:rPr>
                <w:sz w:val="20"/>
                <w:szCs w:val="20"/>
                <w:color w:val="auto"/>
              </w:rPr>
            </w:pPr>
            <w:r>
              <w:rPr>
                <w:rFonts w:ascii="Arial" w:cs="Arial" w:eastAsia="Arial" w:hAnsi="Arial"/>
                <w:sz w:val="18"/>
                <w:szCs w:val="18"/>
                <w:color w:val="auto"/>
              </w:rPr>
              <w:t>Total realized gains</w:t>
            </w:r>
          </w:p>
        </w:tc>
        <w:tc>
          <w:tcPr>
            <w:tcW w:w="1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0"/>
                <w:szCs w:val="20"/>
                <w:color w:val="auto"/>
              </w:rPr>
            </w:pPr>
          </w:p>
        </w:tc>
      </w:tr>
      <w:tr>
        <w:trPr>
          <w:trHeight w:val="216"/>
        </w:trPr>
        <w:tc>
          <w:tcPr>
            <w:tcW w:w="758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Total Unrealized and Realized Gains (Losses)</w:t>
            </w:r>
          </w:p>
        </w:tc>
        <w:tc>
          <w:tcPr>
            <w:tcW w:w="1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(5,421)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w:t>
            </w:r>
          </w:p>
        </w:tc>
      </w:tr>
      <w:tr>
        <w:trPr>
          <w:trHeight w:val="223"/>
        </w:trPr>
        <w:tc>
          <w:tcPr>
            <w:tcW w:w="7580" w:type="dxa"/>
            <w:vAlign w:val="bottom"/>
          </w:tcPr>
          <w:p>
            <w:pPr>
              <w:ind w:left="1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17,771</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30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55,802,270</w:t>
            </w:r>
          </w:p>
        </w:tc>
        <w:tc>
          <w:tcPr>
            <w:tcW w:w="2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53,902,074</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Schedule of Investments as of March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280" w:type="dxa"/>
            <w:vAlign w:val="bottom"/>
            <w:gridSpan w:val="2"/>
            <w:vMerge w:val="restart"/>
          </w:tcPr>
          <w:p>
            <w:pPr>
              <w:ind w:left="7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300" w:type="dxa"/>
            <w:vAlign w:val="bottom"/>
            <w:gridSpan w:val="2"/>
            <w:vMerge w:val="continue"/>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10"/>
                <w:szCs w:val="10"/>
                <w:b w:val="1"/>
                <w:bCs w:val="1"/>
                <w:color w:val="auto"/>
                <w:w w:val="94"/>
              </w:rPr>
              <w:t>(2)(8)</w:t>
            </w: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 Automotive</w:t>
            </w:r>
          </w:p>
        </w:tc>
        <w:tc>
          <w:tcPr>
            <w:tcW w:w="2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($30,887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6/2017)</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8/28/2012</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$ 30,642</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3"/>
              </w:rPr>
              <w:t>$ 30,269</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($1,472 par, due 6/2017)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8/28/2012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32,075</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31,630</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Beverage, food and tobacco</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22"/>
                <w:szCs w:val="22"/>
                <w:color w:val="auto"/>
                <w:vertAlign w:val="superscript"/>
              </w:rPr>
              <w:t>(3)(5)</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($62,852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3/2020)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3/3/2014</w:t>
            </w:r>
          </w:p>
        </w:tc>
        <w:tc>
          <w:tcPr>
            <w:tcW w:w="620" w:type="dxa"/>
            <w:vAlign w:val="bottom"/>
          </w:tcPr>
          <w:p>
            <w:pPr>
              <w:jc w:val="right"/>
              <w:spacing w:after="0"/>
              <w:rPr>
                <w:sz w:val="20"/>
                <w:szCs w:val="20"/>
                <w:color w:val="auto"/>
              </w:rPr>
            </w:pPr>
            <w:r>
              <w:rPr>
                <w:rFonts w:ascii="Arial" w:cs="Arial" w:eastAsia="Arial" w:hAnsi="Arial"/>
                <w:sz w:val="16"/>
                <w:szCs w:val="16"/>
                <w:color w:val="auto"/>
              </w:rPr>
              <w:t>61,831</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62,066</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6"/>
        </w:trPr>
        <w:tc>
          <w:tcPr>
            <w:tcW w:w="43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(3)(5)</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($57,982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4/2018)</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4/11/2013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56,991</w:t>
            </w:r>
          </w:p>
        </w:tc>
        <w:tc>
          <w:tcPr>
            <w:tcW w:w="3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60,591</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Bullhorn, Inc.</w:t>
            </w:r>
            <w:r>
              <w:rPr>
                <w:rFonts w:ascii="Arial" w:cs="Arial" w:eastAsia="Arial" w:hAnsi="Arial"/>
                <w:sz w:val="23"/>
                <w:szCs w:val="23"/>
                <w:color w:val="auto"/>
                <w:vertAlign w:val="superscript"/>
              </w:rPr>
              <w:t>(3)(5)</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11/2020)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11/12/2015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43,987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Clarabridge, Inc.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($22,331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4/2019)</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8.63%</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5/20/2015</w:t>
            </w:r>
          </w:p>
        </w:tc>
        <w:tc>
          <w:tcPr>
            <w:tcW w:w="620" w:type="dxa"/>
            <w:vAlign w:val="bottom"/>
          </w:tcPr>
          <w:p>
            <w:pPr>
              <w:jc w:val="right"/>
              <w:spacing w:after="0"/>
              <w:rPr>
                <w:sz w:val="20"/>
                <w:szCs w:val="20"/>
                <w:color w:val="auto"/>
              </w:rPr>
            </w:pPr>
            <w:r>
              <w:rPr>
                <w:rFonts w:ascii="Arial" w:cs="Arial" w:eastAsia="Arial" w:hAnsi="Arial"/>
                <w:sz w:val="16"/>
                <w:szCs w:val="16"/>
                <w:color w:val="auto"/>
              </w:rPr>
              <w:t>21,936</w:t>
            </w:r>
          </w:p>
        </w:tc>
        <w:tc>
          <w:tcPr>
            <w:tcW w:w="3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21,400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Idera, Inc.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($62,344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4/2021)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10/9/2015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55,798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22"/>
                <w:szCs w:val="22"/>
                <w:color w:val="auto"/>
                <w:vertAlign w:val="superscript"/>
              </w:rPr>
              <w:t>(3)(4)</w:t>
            </w:r>
          </w:p>
        </w:tc>
        <w:tc>
          <w:tcPr>
            <w:tcW w:w="2280" w:type="dxa"/>
            <w:vAlign w:val="bottom"/>
            <w:gridSpan w:val="2"/>
          </w:tcPr>
          <w:p>
            <w:pPr>
              <w:spacing w:after="0"/>
              <w:rPr>
                <w:sz w:val="20"/>
                <w:szCs w:val="20"/>
                <w:color w:val="auto"/>
              </w:rPr>
            </w:pPr>
            <w:r>
              <w:rPr>
                <w:rFonts w:ascii="Arial" w:cs="Arial" w:eastAsia="Arial" w:hAnsi="Arial"/>
                <w:sz w:val="16"/>
                <w:szCs w:val="16"/>
                <w:color w:val="auto"/>
                <w:w w:val="99"/>
              </w:rPr>
              <w:t>First-lien loan ($28,196 par, due</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6/2019)</w:t>
            </w:r>
          </w:p>
        </w:tc>
        <w:tc>
          <w:tcPr>
            <w:tcW w:w="12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6/30/2014</w:t>
            </w:r>
          </w:p>
        </w:tc>
        <w:tc>
          <w:tcPr>
            <w:tcW w:w="620" w:type="dxa"/>
            <w:vAlign w:val="bottom"/>
          </w:tcPr>
          <w:p>
            <w:pPr>
              <w:jc w:val="right"/>
              <w:spacing w:after="0"/>
              <w:rPr>
                <w:sz w:val="20"/>
                <w:szCs w:val="20"/>
                <w:color w:val="auto"/>
              </w:rPr>
            </w:pPr>
            <w:r>
              <w:rPr>
                <w:rFonts w:ascii="Arial" w:cs="Arial" w:eastAsia="Arial" w:hAnsi="Arial"/>
                <w:sz w:val="16"/>
                <w:szCs w:val="16"/>
                <w:color w:val="auto"/>
              </w:rPr>
              <w:t>27,752</w:t>
            </w:r>
          </w:p>
        </w:tc>
        <w:tc>
          <w:tcPr>
            <w:tcW w:w="3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27,668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($25,782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9/2018)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9/12/2013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25,849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($19,714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12/2019)</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12/30/2014</w:t>
            </w:r>
          </w:p>
        </w:tc>
        <w:tc>
          <w:tcPr>
            <w:tcW w:w="620" w:type="dxa"/>
            <w:vAlign w:val="bottom"/>
          </w:tcPr>
          <w:p>
            <w:pPr>
              <w:jc w:val="right"/>
              <w:spacing w:after="0"/>
              <w:rPr>
                <w:sz w:val="20"/>
                <w:szCs w:val="20"/>
                <w:color w:val="auto"/>
              </w:rPr>
            </w:pPr>
            <w:r>
              <w:rPr>
                <w:rFonts w:ascii="Arial" w:cs="Arial" w:eastAsia="Arial" w:hAnsi="Arial"/>
                <w:sz w:val="16"/>
                <w:szCs w:val="16"/>
                <w:color w:val="auto"/>
              </w:rPr>
              <w:t>19,381</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19,546</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252,058</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254,839</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4"/>
        </w:trPr>
        <w:tc>
          <w:tcPr>
            <w:tcW w:w="4300" w:type="dxa"/>
            <w:vAlign w:val="bottom"/>
            <w:gridSpan w:val="2"/>
          </w:tcPr>
          <w:p>
            <w:pPr>
              <w:ind w:left="340"/>
              <w:spacing w:after="0"/>
              <w:rPr>
                <w:sz w:val="20"/>
                <w:szCs w:val="20"/>
                <w:color w:val="auto"/>
              </w:rPr>
            </w:pPr>
            <w:r>
              <w:rPr>
                <w:rFonts w:ascii="Arial" w:cs="Arial" w:eastAsia="Arial" w:hAnsi="Arial"/>
                <w:sz w:val="16"/>
                <w:szCs w:val="16"/>
                <w:b w:val="1"/>
                <w:bCs w:val="1"/>
                <w:color w:val="auto"/>
              </w:rPr>
              <w:t>Chemicals</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23"/>
                <w:szCs w:val="23"/>
                <w:color w:val="auto"/>
                <w:vertAlign w:val="superscript"/>
              </w:rPr>
              <w:t>(3)(10)</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($11,980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10/2019)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10/31/2014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7,008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3"/>
        </w:trPr>
        <w:tc>
          <w:tcPr>
            <w:tcW w:w="4300" w:type="dxa"/>
            <w:vAlign w:val="bottom"/>
            <w:gridSpan w:val="2"/>
          </w:tcPr>
          <w:p>
            <w:pPr>
              <w:ind w:left="340"/>
              <w:spacing w:after="0"/>
              <w:rPr>
                <w:sz w:val="20"/>
                <w:szCs w:val="20"/>
                <w:color w:val="auto"/>
              </w:rPr>
            </w:pPr>
            <w:r>
              <w:rPr>
                <w:rFonts w:ascii="Arial" w:cs="Arial" w:eastAsia="Arial" w:hAnsi="Arial"/>
                <w:sz w:val="16"/>
                <w:szCs w:val="16"/>
                <w:b w:val="1"/>
                <w:bCs w:val="1"/>
                <w:color w:val="auto"/>
              </w:rPr>
              <w:t>Education</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22"/>
                <w:szCs w:val="22"/>
                <w:color w:val="auto"/>
                <w:vertAlign w:val="superscript"/>
              </w:rPr>
              <w:t>(3)(5)</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($26,277 par,</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9/2018)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26,409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4300" w:type="dxa"/>
            <w:vAlign w:val="bottom"/>
            <w:gridSpan w:val="2"/>
          </w:tcPr>
          <w:p>
            <w:pPr>
              <w:ind w:left="340"/>
              <w:spacing w:after="0"/>
              <w:rPr>
                <w:sz w:val="20"/>
                <w:szCs w:val="20"/>
                <w:color w:val="auto"/>
              </w:rPr>
            </w:pPr>
            <w:r>
              <w:rPr>
                <w:rFonts w:ascii="Arial" w:cs="Arial" w:eastAsia="Arial" w:hAnsi="Arial"/>
                <w:sz w:val="16"/>
                <w:szCs w:val="16"/>
                <w:b w:val="1"/>
                <w:bCs w:val="1"/>
                <w:color w:val="auto"/>
              </w:rPr>
              <w:t>Electronics</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MyAlarm Center, LLC</w:t>
            </w:r>
            <w:r>
              <w:rPr>
                <w:rFonts w:ascii="Arial" w:cs="Arial" w:eastAsia="Arial" w:hAnsi="Arial"/>
                <w:sz w:val="22"/>
                <w:szCs w:val="22"/>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($62,803 par,</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1/2019)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62,244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62,158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rPr>
                <w:sz w:val="20"/>
                <w:szCs w:val="20"/>
                <w:color w:val="auto"/>
              </w:rPr>
            </w:pPr>
            <w:r>
              <w:rPr>
                <w:rFonts w:ascii="Arial" w:cs="Arial" w:eastAsia="Arial" w:hAnsi="Arial"/>
                <w:sz w:val="16"/>
                <w:szCs w:val="16"/>
                <w:color w:val="auto"/>
              </w:rPr>
              <w:t>APX Group Inc.</w:t>
            </w:r>
          </w:p>
        </w:tc>
        <w:tc>
          <w:tcPr>
            <w:tcW w:w="2280" w:type="dxa"/>
            <w:vAlign w:val="bottom"/>
            <w:gridSpan w:val="2"/>
          </w:tcPr>
          <w:p>
            <w:pPr>
              <w:spacing w:after="0"/>
              <w:rPr>
                <w:sz w:val="20"/>
                <w:szCs w:val="20"/>
                <w:color w:val="auto"/>
              </w:rPr>
            </w:pPr>
            <w:r>
              <w:rPr>
                <w:rFonts w:ascii="Arial" w:cs="Arial" w:eastAsia="Arial" w:hAnsi="Arial"/>
                <w:sz w:val="16"/>
                <w:szCs w:val="16"/>
                <w:color w:val="auto"/>
              </w:rPr>
              <w:t>Senior notes 8.75% ($26,961</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par, due 12/2020)</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12/11/2014</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23,563</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23,254</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85,807</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85,412</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4"/>
        </w:trPr>
        <w:tc>
          <w:tcPr>
            <w:tcW w:w="4300" w:type="dxa"/>
            <w:vAlign w:val="bottom"/>
            <w:gridSpan w:val="2"/>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AppStar Financial, LLC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First-lien loan ($23,100 par, due</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8/2020)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8/18/2015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22,473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AvidXchange, Inc.</w:t>
            </w:r>
            <w:r>
              <w:rPr>
                <w:rFonts w:ascii="Arial" w:cs="Arial" w:eastAsia="Arial" w:hAnsi="Arial"/>
                <w:sz w:val="22"/>
                <w:szCs w:val="22"/>
                <w:color w:val="auto"/>
                <w:vertAlign w:val="superscript"/>
              </w:rPr>
              <w:t>(3)</w:t>
            </w:r>
          </w:p>
        </w:tc>
        <w:tc>
          <w:tcPr>
            <w:tcW w:w="2280" w:type="dxa"/>
            <w:vAlign w:val="bottom"/>
            <w:gridSpan w:val="2"/>
          </w:tcPr>
          <w:p>
            <w:pPr>
              <w:spacing w:after="0"/>
              <w:rPr>
                <w:sz w:val="20"/>
                <w:szCs w:val="20"/>
                <w:color w:val="auto"/>
              </w:rPr>
            </w:pPr>
            <w:r>
              <w:rPr>
                <w:rFonts w:ascii="Arial" w:cs="Arial" w:eastAsia="Arial" w:hAnsi="Arial"/>
                <w:sz w:val="16"/>
                <w:szCs w:val="16"/>
                <w:color w:val="auto"/>
              </w:rPr>
              <w:t>Second-lien loan ($32,770 par,</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10.50%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8/2020)</w:t>
            </w:r>
          </w:p>
        </w:tc>
        <w:tc>
          <w:tcPr>
            <w:tcW w:w="1080" w:type="dxa"/>
            <w:vAlign w:val="bottom"/>
            <w:gridSpan w:val="2"/>
          </w:tcPr>
          <w:p>
            <w:pPr>
              <w:ind w:left="44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8/7/2015</w:t>
            </w:r>
          </w:p>
        </w:tc>
        <w:tc>
          <w:tcPr>
            <w:tcW w:w="620" w:type="dxa"/>
            <w:vAlign w:val="bottom"/>
          </w:tcPr>
          <w:p>
            <w:pPr>
              <w:jc w:val="right"/>
              <w:spacing w:after="0"/>
              <w:rPr>
                <w:sz w:val="20"/>
                <w:szCs w:val="20"/>
                <w:color w:val="auto"/>
              </w:rPr>
            </w:pPr>
            <w:r>
              <w:rPr>
                <w:rFonts w:ascii="Arial" w:cs="Arial" w:eastAsia="Arial" w:hAnsi="Arial"/>
                <w:sz w:val="16"/>
                <w:szCs w:val="16"/>
                <w:color w:val="auto"/>
              </w:rPr>
              <w:t>32,281</w:t>
            </w:r>
          </w:p>
        </w:tc>
        <w:tc>
          <w:tcPr>
            <w:tcW w:w="3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31,884</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PayLease, LLC</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($33,851 par,</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3/2020)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5"/>
              </w:rPr>
              <w:t>(incl. 2.50%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3/6/2015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33,225</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33,172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line="192" w:lineRule="exact"/>
              <w:rPr>
                <w:sz w:val="20"/>
                <w:szCs w:val="20"/>
                <w:color w:val="auto"/>
              </w:rPr>
            </w:pPr>
            <w:r>
              <w:rPr>
                <w:rFonts w:ascii="Arial" w:cs="Arial" w:eastAsia="Arial" w:hAnsi="Arial"/>
                <w:sz w:val="14"/>
                <w:szCs w:val="14"/>
                <w:color w:val="auto"/>
              </w:rPr>
              <w:t>Smarsh, Inc.</w:t>
            </w:r>
            <w:r>
              <w:rPr>
                <w:rFonts w:ascii="Arial" w:cs="Arial" w:eastAsia="Arial" w:hAnsi="Arial"/>
                <w:sz w:val="22"/>
                <w:szCs w:val="22"/>
                <w:color w:val="auto"/>
                <w:vertAlign w:val="superscript"/>
              </w:rPr>
              <w:t>(3)(5)</w:t>
            </w:r>
          </w:p>
        </w:tc>
        <w:tc>
          <w:tcPr>
            <w:tcW w:w="2280" w:type="dxa"/>
            <w:vAlign w:val="bottom"/>
            <w:gridSpan w:val="2"/>
          </w:tcPr>
          <w:p>
            <w:pPr>
              <w:spacing w:after="0"/>
              <w:rPr>
                <w:sz w:val="20"/>
                <w:szCs w:val="20"/>
                <w:color w:val="auto"/>
              </w:rPr>
            </w:pPr>
            <w:r>
              <w:rPr>
                <w:rFonts w:ascii="Arial" w:cs="Arial" w:eastAsia="Arial" w:hAnsi="Arial"/>
                <w:sz w:val="16"/>
                <w:szCs w:val="16"/>
                <w:color w:val="auto"/>
              </w:rPr>
              <w:t>First-lien loan ($30,000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6"/>
                <w:szCs w:val="16"/>
                <w:color w:val="auto"/>
              </w:rPr>
              <w:t>due 1/2021)</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1/7/2016</w:t>
            </w:r>
          </w:p>
        </w:tc>
        <w:tc>
          <w:tcPr>
            <w:tcW w:w="620" w:type="dxa"/>
            <w:vAlign w:val="bottom"/>
          </w:tcPr>
          <w:p>
            <w:pPr>
              <w:jc w:val="right"/>
              <w:spacing w:after="0"/>
              <w:rPr>
                <w:sz w:val="20"/>
                <w:szCs w:val="20"/>
                <w:color w:val="auto"/>
              </w:rPr>
            </w:pPr>
            <w:r>
              <w:rPr>
                <w:rFonts w:ascii="Arial" w:cs="Arial" w:eastAsia="Arial" w:hAnsi="Arial"/>
                <w:sz w:val="16"/>
                <w:szCs w:val="16"/>
                <w:color w:val="auto"/>
              </w:rPr>
              <w:t>29,252</w:t>
            </w:r>
          </w:p>
        </w:tc>
        <w:tc>
          <w:tcPr>
            <w:tcW w:w="30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29,400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9"/>
        </w:trPr>
        <w:tc>
          <w:tcPr>
            <w:tcW w:w="4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Tibco Software</w:t>
            </w:r>
            <w:r>
              <w:rPr>
                <w:rFonts w:ascii="Arial" w:cs="Arial" w:eastAsia="Arial" w:hAnsi="Arial"/>
                <w:sz w:val="23"/>
                <w:szCs w:val="23"/>
                <w:color w:val="auto"/>
                <w:vertAlign w:val="superscript"/>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($249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12/2020)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1/26/2016</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117,566</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117,153</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Initial</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520" w:type="dxa"/>
            <w:vAlign w:val="bottom"/>
          </w:tcPr>
          <w:p>
            <w:pPr>
              <w:spacing w:after="0"/>
              <w:rPr>
                <w:sz w:val="11"/>
                <w:szCs w:val="11"/>
                <w:color w:val="auto"/>
              </w:rPr>
            </w:pPr>
          </w:p>
        </w:tc>
        <w:tc>
          <w:tcPr>
            <w:tcW w:w="2460" w:type="dxa"/>
            <w:vAlign w:val="bottom"/>
            <w:gridSpan w:val="2"/>
            <w:vMerge w:val="restart"/>
          </w:tcPr>
          <w:p>
            <w:pPr>
              <w:ind w:left="8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Amortized</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2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Interest</w:t>
            </w: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Date</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4"/>
              </w:rPr>
              <w:t xml:space="preserve">Cost </w:t>
            </w:r>
            <w:r>
              <w:rPr>
                <w:rFonts w:ascii="Arial" w:cs="Arial" w:eastAsia="Arial" w:hAnsi="Arial"/>
                <w:sz w:val="10"/>
                <w:szCs w:val="10"/>
                <w:b w:val="1"/>
                <w:bCs w:val="1"/>
                <w:color w:val="auto"/>
                <w:w w:val="94"/>
              </w:rPr>
              <w:t>(2)(8)</w:t>
            </w:r>
          </w:p>
        </w:tc>
        <w:tc>
          <w:tcPr>
            <w:tcW w:w="300" w:type="dxa"/>
            <w:vAlign w:val="bottom"/>
          </w:tcPr>
          <w:p>
            <w:pPr>
              <w:spacing w:after="0"/>
              <w:rPr>
                <w:sz w:val="13"/>
                <w:szCs w:val="13"/>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Fair 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gridSpan w:val="2"/>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Healthcare</w:t>
            </w:r>
          </w:p>
        </w:tc>
        <w:tc>
          <w:tcPr>
            <w:tcW w:w="5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Helix Health, Ltd.</w:t>
            </w:r>
            <w:r>
              <w:rPr>
                <w:rFonts w:ascii="Arial" w:cs="Arial" w:eastAsia="Arial" w:hAnsi="Arial"/>
                <w:sz w:val="22"/>
                <w:szCs w:val="22"/>
                <w:color w:val="auto"/>
                <w:vertAlign w:val="superscript"/>
              </w:rPr>
              <w:t>(3)(4)</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(EUR 35,686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42,394</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9/2019)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11.50%</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9/30/2014</w:t>
            </w:r>
          </w:p>
        </w:tc>
        <w:tc>
          <w:tcPr>
            <w:tcW w:w="580" w:type="dxa"/>
            <w:vAlign w:val="bottom"/>
          </w:tcPr>
          <w:p>
            <w:pPr>
              <w:jc w:val="right"/>
              <w:spacing w:after="0"/>
              <w:rPr>
                <w:sz w:val="20"/>
                <w:szCs w:val="20"/>
                <w:color w:val="auto"/>
              </w:rPr>
            </w:pPr>
            <w:r>
              <w:rPr>
                <w:rFonts w:ascii="Arial" w:cs="Arial" w:eastAsia="Arial" w:hAnsi="Arial"/>
                <w:sz w:val="16"/>
                <w:szCs w:val="16"/>
                <w:color w:val="auto"/>
              </w:rPr>
              <w:t>42,204</w:t>
            </w: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(EUR 37,202)</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(EUR 300 par, due 9/2019)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11.50%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9/30/2014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406)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MatrixCare, Inc.</w:t>
            </w:r>
            <w:r>
              <w:rPr>
                <w:rFonts w:ascii="Arial" w:cs="Arial" w:eastAsia="Arial" w:hAnsi="Arial"/>
                <w:sz w:val="22"/>
                <w:szCs w:val="22"/>
                <w:color w:val="auto"/>
                <w:vertAlign w:val="superscript"/>
              </w:rPr>
              <w:t>(3)(5)</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($45,000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12/2021)</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6.25%</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12/17/2015</w:t>
            </w:r>
          </w:p>
        </w:tc>
        <w:tc>
          <w:tcPr>
            <w:tcW w:w="580" w:type="dxa"/>
            <w:vAlign w:val="bottom"/>
          </w:tcPr>
          <w:p>
            <w:pPr>
              <w:jc w:val="right"/>
              <w:spacing w:after="0"/>
              <w:rPr>
                <w:sz w:val="20"/>
                <w:szCs w:val="20"/>
                <w:color w:val="auto"/>
              </w:rPr>
            </w:pPr>
            <w:r>
              <w:rPr>
                <w:rFonts w:ascii="Arial" w:cs="Arial" w:eastAsia="Arial" w:hAnsi="Arial"/>
                <w:sz w:val="16"/>
                <w:szCs w:val="16"/>
                <w:color w:val="auto"/>
              </w:rPr>
              <w:t>44,210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44,212</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9"/>
        </w:trPr>
        <w:tc>
          <w:tcPr>
            <w:tcW w:w="32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MedeAnalytics, Inc.</w:t>
            </w:r>
            <w:r>
              <w:rPr>
                <w:rFonts w:ascii="Arial" w:cs="Arial" w:eastAsia="Arial" w:hAnsi="Arial"/>
                <w:sz w:val="23"/>
                <w:szCs w:val="23"/>
                <w:color w:val="auto"/>
                <w:vertAlign w:val="superscript"/>
              </w:rPr>
              <w:t>(3)(5)</w:t>
            </w: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loan ($45,820 par, due</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9.13%</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9/2020)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(incl. 2.50%</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PIK)</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9/30/2015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44,330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22"/>
                <w:szCs w:val="22"/>
                <w:color w:val="auto"/>
                <w:vertAlign w:val="superscript"/>
              </w:rPr>
              <w:t>(3)(5)</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($67,117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5/2018)</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7.00%</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11/9/2012</w:t>
            </w:r>
          </w:p>
        </w:tc>
        <w:tc>
          <w:tcPr>
            <w:tcW w:w="580" w:type="dxa"/>
            <w:vAlign w:val="bottom"/>
          </w:tcPr>
          <w:p>
            <w:pPr>
              <w:jc w:val="right"/>
              <w:spacing w:after="0"/>
              <w:rPr>
                <w:sz w:val="20"/>
                <w:szCs w:val="20"/>
                <w:color w:val="auto"/>
              </w:rPr>
            </w:pPr>
            <w:r>
              <w:rPr>
                <w:rFonts w:ascii="Arial" w:cs="Arial" w:eastAsia="Arial" w:hAnsi="Arial"/>
                <w:sz w:val="16"/>
                <w:szCs w:val="16"/>
                <w:color w:val="auto"/>
              </w:rPr>
              <w:t>66,353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67,788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9"/>
        </w:trPr>
        <w:tc>
          <w:tcPr>
            <w:tcW w:w="32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Quantros, Inc.</w:t>
            </w:r>
            <w:r>
              <w:rPr>
                <w:rFonts w:ascii="Arial" w:cs="Arial" w:eastAsia="Arial" w:hAnsi="Arial"/>
                <w:sz w:val="23"/>
                <w:szCs w:val="23"/>
                <w:color w:val="auto"/>
                <w:vertAlign w:val="superscript"/>
              </w:rPr>
              <w:t>(3)(5)</w:t>
            </w: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loan ($30,000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due 2/2021)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2/29/2016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29,100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SRS Software, LLC</w:t>
            </w:r>
            <w:r>
              <w:rPr>
                <w:rFonts w:ascii="Arial" w:cs="Arial" w:eastAsia="Arial" w:hAnsi="Arial"/>
                <w:sz w:val="22"/>
                <w:szCs w:val="22"/>
                <w:color w:val="auto"/>
                <w:vertAlign w:val="superscript"/>
              </w:rPr>
              <w:t>(3)</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($31,406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12/2017)</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8.75%</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12/28/2012</w:t>
            </w:r>
          </w:p>
        </w:tc>
        <w:tc>
          <w:tcPr>
            <w:tcW w:w="580" w:type="dxa"/>
            <w:vAlign w:val="bottom"/>
          </w:tcPr>
          <w:p>
            <w:pPr>
              <w:jc w:val="right"/>
              <w:spacing w:after="0"/>
              <w:rPr>
                <w:sz w:val="20"/>
                <w:szCs w:val="20"/>
                <w:color w:val="auto"/>
              </w:rPr>
            </w:pPr>
            <w:r>
              <w:rPr>
                <w:rFonts w:ascii="Arial" w:cs="Arial" w:eastAsia="Arial" w:hAnsi="Arial"/>
                <w:sz w:val="16"/>
                <w:szCs w:val="16"/>
                <w:color w:val="auto"/>
              </w:rPr>
              <w:t>31,086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31,092</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($2,000 par, due 12/2017)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8.75%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4"/>
              </w:rPr>
              <w:t>12/28/2012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259,568</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261,359</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Hotel, gaming, and leisure</w:t>
            </w:r>
          </w:p>
        </w:tc>
        <w:tc>
          <w:tcPr>
            <w:tcW w:w="5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CrunchTime Information Systems, Inc.</w:t>
            </w:r>
            <w:r>
              <w:rPr>
                <w:rFonts w:ascii="Arial" w:cs="Arial" w:eastAsia="Arial" w:hAnsi="Arial"/>
                <w:sz w:val="22"/>
                <w:szCs w:val="22"/>
                <w:color w:val="auto"/>
                <w:vertAlign w:val="superscript"/>
              </w:rPr>
              <w:t>(3)</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($25,613 par, due</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9.13%</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80" w:type="dxa"/>
            <w:vAlign w:val="bottom"/>
            <w:gridSpan w:val="2"/>
          </w:tcPr>
          <w:p>
            <w:pPr>
              <w:ind w:left="520"/>
              <w:spacing w:after="0"/>
              <w:rPr>
                <w:sz w:val="20"/>
                <w:szCs w:val="20"/>
                <w:color w:val="auto"/>
              </w:rPr>
            </w:pPr>
            <w:r>
              <w:rPr>
                <w:rFonts w:ascii="Arial" w:cs="Arial" w:eastAsia="Arial" w:hAnsi="Arial"/>
                <w:sz w:val="16"/>
                <w:szCs w:val="16"/>
                <w:color w:val="auto"/>
              </w:rPr>
              <w:t>4/2020)</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PIK)</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4/16/2015</w:t>
            </w:r>
          </w:p>
        </w:tc>
        <w:tc>
          <w:tcPr>
            <w:tcW w:w="580" w:type="dxa"/>
            <w:vAlign w:val="bottom"/>
          </w:tcPr>
          <w:p>
            <w:pPr>
              <w:jc w:val="right"/>
              <w:spacing w:after="0"/>
              <w:rPr>
                <w:sz w:val="20"/>
                <w:szCs w:val="20"/>
                <w:color w:val="auto"/>
              </w:rPr>
            </w:pPr>
            <w:r>
              <w:rPr>
                <w:rFonts w:ascii="Arial" w:cs="Arial" w:eastAsia="Arial" w:hAnsi="Arial"/>
                <w:sz w:val="16"/>
                <w:szCs w:val="16"/>
                <w:color w:val="auto"/>
              </w:rPr>
              <w:t>25,062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24,554</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32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(3)(7)</w:t>
            </w: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loan ($20,517 par, due</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10.13%</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9/2019)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8"/>
              </w:rPr>
              <w:t>(incl. 5.00%</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PIK)</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9/29/2015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19,850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w w:val="98"/>
              </w:rPr>
              <w:t>First-lien revolver loan ($8,819 par,</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10.13%</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9/2019)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(incl. 5.00%</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PIK)</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9/29/2015</w:t>
            </w:r>
          </w:p>
        </w:tc>
        <w:tc>
          <w:tcPr>
            <w:tcW w:w="580" w:type="dxa"/>
            <w:vAlign w:val="bottom"/>
          </w:tcPr>
          <w:p>
            <w:pPr>
              <w:jc w:val="right"/>
              <w:spacing w:after="0"/>
              <w:rPr>
                <w:sz w:val="20"/>
                <w:szCs w:val="20"/>
                <w:color w:val="auto"/>
              </w:rPr>
            </w:pPr>
            <w:r>
              <w:rPr>
                <w:rFonts w:ascii="Arial" w:cs="Arial" w:eastAsia="Arial" w:hAnsi="Arial"/>
                <w:sz w:val="16"/>
                <w:szCs w:val="16"/>
                <w:color w:val="auto"/>
              </w:rPr>
              <w:t>8,819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8,532</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9"/>
        </w:trPr>
        <w:tc>
          <w:tcPr>
            <w:tcW w:w="32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Soho House</w:t>
            </w:r>
            <w:r>
              <w:rPr>
                <w:rFonts w:ascii="Arial" w:cs="Arial" w:eastAsia="Arial" w:hAnsi="Arial"/>
                <w:sz w:val="23"/>
                <w:szCs w:val="23"/>
                <w:color w:val="auto"/>
                <w:vertAlign w:val="superscript"/>
              </w:rPr>
              <w:t>(4)</w:t>
            </w: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w w:val="96"/>
              </w:rPr>
              <w:t>Second-lien bond (GBP 20,375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29,468</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due 10/2018)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9.13%</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9/20/2013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(GBP 20,502)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87,389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82,404</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Human Resource Support Services</w:t>
            </w:r>
          </w:p>
        </w:tc>
        <w:tc>
          <w:tcPr>
            <w:tcW w:w="5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Saba Software, Inc.</w:t>
            </w:r>
            <w:r>
              <w:rPr>
                <w:rFonts w:ascii="Arial" w:cs="Arial" w:eastAsia="Arial" w:hAnsi="Arial"/>
                <w:sz w:val="22"/>
                <w:szCs w:val="22"/>
                <w:color w:val="auto"/>
                <w:vertAlign w:val="superscript"/>
              </w:rPr>
              <w:t>(3)(5)</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($54,588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3/2021)</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9.75%</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3/30/2015</w:t>
            </w:r>
          </w:p>
        </w:tc>
        <w:tc>
          <w:tcPr>
            <w:tcW w:w="580" w:type="dxa"/>
            <w:vAlign w:val="bottom"/>
          </w:tcPr>
          <w:p>
            <w:pPr>
              <w:jc w:val="right"/>
              <w:spacing w:after="0"/>
              <w:rPr>
                <w:sz w:val="20"/>
                <w:szCs w:val="20"/>
                <w:color w:val="auto"/>
              </w:rPr>
            </w:pPr>
            <w:r>
              <w:rPr>
                <w:rFonts w:ascii="Arial" w:cs="Arial" w:eastAsia="Arial" w:hAnsi="Arial"/>
                <w:sz w:val="16"/>
                <w:szCs w:val="16"/>
                <w:color w:val="auto"/>
              </w:rPr>
              <w:t>54,025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53,905</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9"/>
        </w:trPr>
        <w:tc>
          <w:tcPr>
            <w:tcW w:w="32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Skillsoft</w:t>
            </w:r>
            <w:r>
              <w:rPr>
                <w:rFonts w:ascii="Arial" w:cs="Arial" w:eastAsia="Arial" w:hAnsi="Arial"/>
                <w:sz w:val="23"/>
                <w:szCs w:val="23"/>
                <w:color w:val="auto"/>
                <w:vertAlign w:val="superscript"/>
              </w:rPr>
              <w:t>(3)</w:t>
            </w: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loan ($21,804 par,</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due 4/2021)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5.75%</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71,296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71,294</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Insurance</w:t>
            </w:r>
          </w:p>
        </w:tc>
        <w:tc>
          <w:tcPr>
            <w:tcW w:w="5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Insurity, Inc.</w:t>
            </w:r>
            <w:r>
              <w:rPr>
                <w:rFonts w:ascii="Arial" w:cs="Arial" w:eastAsia="Arial" w:hAnsi="Arial"/>
                <w:sz w:val="22"/>
                <w:szCs w:val="22"/>
                <w:color w:val="auto"/>
                <w:vertAlign w:val="superscript"/>
              </w:rPr>
              <w:t>(3)(5)</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($65,452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10/2020)</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7.75%</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w w:val="94"/>
              </w:rPr>
              <w:t>10/31/2014</w:t>
            </w:r>
          </w:p>
        </w:tc>
        <w:tc>
          <w:tcPr>
            <w:tcW w:w="580" w:type="dxa"/>
            <w:vAlign w:val="bottom"/>
          </w:tcPr>
          <w:p>
            <w:pPr>
              <w:jc w:val="right"/>
              <w:spacing w:after="0"/>
              <w:rPr>
                <w:sz w:val="20"/>
                <w:szCs w:val="20"/>
                <w:color w:val="auto"/>
              </w:rPr>
            </w:pPr>
            <w:r>
              <w:rPr>
                <w:rFonts w:ascii="Arial" w:cs="Arial" w:eastAsia="Arial" w:hAnsi="Arial"/>
                <w:sz w:val="16"/>
                <w:szCs w:val="16"/>
                <w:color w:val="auto"/>
              </w:rPr>
              <w:t>64,809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64,143</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Internet Services</w:t>
            </w:r>
          </w:p>
        </w:tc>
        <w:tc>
          <w:tcPr>
            <w:tcW w:w="5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22"/>
                <w:szCs w:val="22"/>
                <w:color w:val="auto"/>
                <w:vertAlign w:val="superscript"/>
              </w:rPr>
              <w:t>(3)</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($50,503 par, due</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80" w:type="dxa"/>
            <w:vAlign w:val="bottom"/>
            <w:gridSpan w:val="2"/>
          </w:tcPr>
          <w:p>
            <w:pPr>
              <w:ind w:left="520"/>
              <w:spacing w:after="0"/>
              <w:rPr>
                <w:sz w:val="20"/>
                <w:szCs w:val="20"/>
                <w:color w:val="auto"/>
              </w:rPr>
            </w:pPr>
            <w:r>
              <w:rPr>
                <w:rFonts w:ascii="Arial" w:cs="Arial" w:eastAsia="Arial" w:hAnsi="Arial"/>
                <w:sz w:val="16"/>
                <w:szCs w:val="16"/>
                <w:color w:val="auto"/>
              </w:rPr>
              <w:t>7/2018)</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9.00%</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3/7/2014</w:t>
            </w:r>
          </w:p>
        </w:tc>
        <w:tc>
          <w:tcPr>
            <w:tcW w:w="580" w:type="dxa"/>
            <w:vAlign w:val="bottom"/>
          </w:tcPr>
          <w:p>
            <w:pPr>
              <w:jc w:val="right"/>
              <w:spacing w:after="0"/>
              <w:rPr>
                <w:sz w:val="20"/>
                <w:szCs w:val="20"/>
                <w:color w:val="auto"/>
              </w:rPr>
            </w:pPr>
            <w:r>
              <w:rPr>
                <w:rFonts w:ascii="Arial" w:cs="Arial" w:eastAsia="Arial" w:hAnsi="Arial"/>
                <w:sz w:val="16"/>
                <w:szCs w:val="16"/>
                <w:color w:val="auto"/>
              </w:rPr>
              <w:t>50,039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49,872</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First-lien revolving loan ($2,600</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98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par, due 7/2018)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9.00%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52,616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52,435</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Manufacturing</w:t>
            </w:r>
          </w:p>
        </w:tc>
        <w:tc>
          <w:tcPr>
            <w:tcW w:w="5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22"/>
                <w:szCs w:val="22"/>
                <w:color w:val="auto"/>
                <w:vertAlign w:val="superscript"/>
              </w:rPr>
              <w:t>(3)(4)(5)</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(SEK 189,931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23,956</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3/2019)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8.75%</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6/5/2013</w:t>
            </w:r>
          </w:p>
        </w:tc>
        <w:tc>
          <w:tcPr>
            <w:tcW w:w="580" w:type="dxa"/>
            <w:vAlign w:val="bottom"/>
          </w:tcPr>
          <w:p>
            <w:pPr>
              <w:jc w:val="right"/>
              <w:spacing w:after="0"/>
              <w:rPr>
                <w:sz w:val="20"/>
                <w:szCs w:val="20"/>
                <w:color w:val="auto"/>
              </w:rPr>
            </w:pPr>
            <w:r>
              <w:rPr>
                <w:rFonts w:ascii="Arial" w:cs="Arial" w:eastAsia="Arial" w:hAnsi="Arial"/>
                <w:sz w:val="16"/>
                <w:szCs w:val="16"/>
                <w:color w:val="auto"/>
              </w:rPr>
              <w:t>28,888</w:t>
            </w: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(SEK 194,205)</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5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line="192"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22"/>
                <w:szCs w:val="22"/>
                <w:color w:val="auto"/>
                <w:vertAlign w:val="superscript"/>
              </w:rPr>
              <w:t>(3)</w:t>
            </w: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First-lien loan ($36,811 par,</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980" w:type="dxa"/>
            <w:vAlign w:val="bottom"/>
            <w:gridSpan w:val="3"/>
          </w:tcPr>
          <w:p>
            <w:pPr>
              <w:ind w:left="520"/>
              <w:spacing w:after="0"/>
              <w:rPr>
                <w:sz w:val="20"/>
                <w:szCs w:val="20"/>
                <w:color w:val="auto"/>
              </w:rPr>
            </w:pPr>
            <w:r>
              <w:rPr>
                <w:rFonts w:ascii="Arial" w:cs="Arial" w:eastAsia="Arial" w:hAnsi="Arial"/>
                <w:sz w:val="16"/>
                <w:szCs w:val="16"/>
                <w:color w:val="auto"/>
              </w:rPr>
              <w:t>due 3/2019)</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7.25%</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3/11/2014</w:t>
            </w:r>
          </w:p>
        </w:tc>
        <w:tc>
          <w:tcPr>
            <w:tcW w:w="580" w:type="dxa"/>
            <w:vAlign w:val="bottom"/>
          </w:tcPr>
          <w:p>
            <w:pPr>
              <w:jc w:val="right"/>
              <w:spacing w:after="0"/>
              <w:rPr>
                <w:sz w:val="20"/>
                <w:szCs w:val="20"/>
                <w:color w:val="auto"/>
              </w:rPr>
            </w:pPr>
            <w:r>
              <w:rPr>
                <w:rFonts w:ascii="Arial" w:cs="Arial" w:eastAsia="Arial" w:hAnsi="Arial"/>
                <w:sz w:val="16"/>
                <w:szCs w:val="16"/>
                <w:color w:val="auto"/>
              </w:rPr>
              <w:t>36,596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36,516</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460" w:type="dxa"/>
            <w:vAlign w:val="bottom"/>
            <w:gridSpan w:val="2"/>
            <w:vMerge w:val="restart"/>
          </w:tcPr>
          <w:p>
            <w:pPr>
              <w:ind w:left="880"/>
              <w:spacing w:after="0"/>
              <w:rPr>
                <w:sz w:val="20"/>
                <w:szCs w:val="20"/>
                <w:color w:val="auto"/>
              </w:rPr>
            </w:pPr>
            <w:r>
              <w:rPr>
                <w:rFonts w:ascii="Arial" w:cs="Arial" w:eastAsia="Arial" w:hAnsi="Arial"/>
                <w:sz w:val="13"/>
                <w:szCs w:val="13"/>
                <w:b w:val="1"/>
                <w:bCs w:val="1"/>
                <w:color w:val="auto"/>
              </w:rPr>
              <w:t>Investment</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820" w:type="dxa"/>
            <w:vAlign w:val="bottom"/>
            <w:gridSpan w:val="2"/>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Fair 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183"/>
        </w:trPr>
        <w:tc>
          <w:tcPr>
            <w:tcW w:w="660" w:type="dxa"/>
            <w:vAlign w:val="bottom"/>
            <w:tcBorders>
              <w:top w:val="single" w:sz="8" w:color="auto"/>
            </w:tcBorders>
            <w:shd w:val="clear" w:color="auto" w:fill="CCEEFF"/>
          </w:tcPr>
          <w:p>
            <w:pPr>
              <w:ind w:left="340"/>
              <w:spacing w:after="0" w:line="183" w:lineRule="exact"/>
              <w:rPr>
                <w:sz w:val="20"/>
                <w:szCs w:val="20"/>
                <w:color w:val="auto"/>
              </w:rPr>
            </w:pPr>
            <w:r>
              <w:rPr>
                <w:rFonts w:ascii="Arial" w:cs="Arial" w:eastAsia="Arial" w:hAnsi="Arial"/>
                <w:sz w:val="16"/>
                <w:szCs w:val="16"/>
                <w:b w:val="1"/>
                <w:bCs w:val="1"/>
                <w:color w:val="auto"/>
              </w:rPr>
              <w:t>Oil,</w:t>
            </w:r>
          </w:p>
        </w:tc>
        <w:tc>
          <w:tcPr>
            <w:tcW w:w="31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gas and consumable fuels</w:t>
            </w:r>
          </w:p>
        </w:tc>
        <w:tc>
          <w:tcPr>
            <w:tcW w:w="2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Key Energy Services</w:t>
            </w:r>
            <w:r>
              <w:rPr>
                <w:rFonts w:ascii="Arial" w:cs="Arial" w:eastAsia="Arial" w:hAnsi="Arial"/>
                <w:sz w:val="22"/>
                <w:szCs w:val="22"/>
                <w:color w:val="auto"/>
                <w:vertAlign w:val="superscript"/>
              </w:rPr>
              <w:t>(3)</w:t>
            </w:r>
          </w:p>
        </w:tc>
        <w:tc>
          <w:tcPr>
            <w:tcW w:w="2460" w:type="dxa"/>
            <w:vAlign w:val="bottom"/>
            <w:gridSpan w:val="2"/>
          </w:tcPr>
          <w:p>
            <w:pPr>
              <w:spacing w:after="0"/>
              <w:rPr>
                <w:sz w:val="20"/>
                <w:szCs w:val="20"/>
                <w:color w:val="auto"/>
              </w:rPr>
            </w:pPr>
            <w:r>
              <w:rPr>
                <w:rFonts w:ascii="Arial" w:cs="Arial" w:eastAsia="Arial" w:hAnsi="Arial"/>
                <w:sz w:val="16"/>
                <w:szCs w:val="16"/>
                <w:color w:val="auto"/>
              </w:rPr>
              <w:t>First-lien loan ($13,470 par,</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due 6/2020)</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10.25%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5/27/2015</w:t>
            </w:r>
          </w:p>
        </w:tc>
        <w:tc>
          <w:tcPr>
            <w:tcW w:w="660" w:type="dxa"/>
            <w:vAlign w:val="bottom"/>
          </w:tcPr>
          <w:p>
            <w:pPr>
              <w:jc w:val="right"/>
              <w:spacing w:after="0"/>
              <w:rPr>
                <w:sz w:val="20"/>
                <w:szCs w:val="20"/>
                <w:color w:val="auto"/>
              </w:rPr>
            </w:pPr>
            <w:r>
              <w:rPr>
                <w:rFonts w:ascii="Arial" w:cs="Arial" w:eastAsia="Arial" w:hAnsi="Arial"/>
                <w:sz w:val="16"/>
                <w:szCs w:val="16"/>
                <w:color w:val="auto"/>
              </w:rPr>
              <w:t>13,029</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10,416</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23"/>
                <w:szCs w:val="23"/>
                <w:color w:val="auto"/>
                <w:vertAlign w:val="superscript"/>
              </w:rPr>
              <w:t>(3)(7)</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($48,505 par,</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(incl. 1.50%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6/2018)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6/4/2014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47,918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34,075</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60,947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44,491</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Pharmaceuticals</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Nektar Therapeutics</w:t>
            </w:r>
            <w:r>
              <w:rPr>
                <w:rFonts w:ascii="Arial" w:cs="Arial" w:eastAsia="Arial" w:hAnsi="Arial"/>
                <w:sz w:val="22"/>
                <w:szCs w:val="22"/>
                <w:color w:val="auto"/>
                <w:vertAlign w:val="superscript"/>
              </w:rPr>
              <w:t>(4)(5)(9)</w:t>
            </w:r>
          </w:p>
        </w:tc>
        <w:tc>
          <w:tcPr>
            <w:tcW w:w="2460" w:type="dxa"/>
            <w:vAlign w:val="bottom"/>
            <w:gridSpan w:val="2"/>
          </w:tcPr>
          <w:p>
            <w:pPr>
              <w:spacing w:after="0"/>
              <w:rPr>
                <w:sz w:val="20"/>
                <w:szCs w:val="20"/>
                <w:color w:val="auto"/>
              </w:rPr>
            </w:pPr>
            <w:r>
              <w:rPr>
                <w:rFonts w:ascii="Arial" w:cs="Arial" w:eastAsia="Arial" w:hAnsi="Arial"/>
                <w:sz w:val="16"/>
                <w:szCs w:val="16"/>
                <w:color w:val="auto"/>
              </w:rPr>
              <w:t>Secured note ($74,950 par, due</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10/2020)</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10/5/2015</w:t>
            </w:r>
          </w:p>
        </w:tc>
        <w:tc>
          <w:tcPr>
            <w:tcW w:w="660" w:type="dxa"/>
            <w:vAlign w:val="bottom"/>
          </w:tcPr>
          <w:p>
            <w:pPr>
              <w:jc w:val="right"/>
              <w:spacing w:after="0"/>
              <w:rPr>
                <w:sz w:val="20"/>
                <w:szCs w:val="20"/>
                <w:color w:val="auto"/>
              </w:rPr>
            </w:pPr>
            <w:r>
              <w:rPr>
                <w:rFonts w:ascii="Arial" w:cs="Arial" w:eastAsia="Arial" w:hAnsi="Arial"/>
                <w:sz w:val="16"/>
                <w:szCs w:val="16"/>
                <w:color w:val="auto"/>
              </w:rPr>
              <w:t>74,046</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73,451</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Retail and consumer products</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American Achievement Corporation</w:t>
            </w:r>
            <w:r>
              <w:rPr>
                <w:rFonts w:ascii="Arial" w:cs="Arial" w:eastAsia="Arial" w:hAnsi="Arial"/>
                <w:sz w:val="22"/>
                <w:szCs w:val="22"/>
                <w:color w:val="auto"/>
                <w:vertAlign w:val="superscript"/>
              </w:rPr>
              <w:t>(3)(5)</w:t>
            </w:r>
          </w:p>
        </w:tc>
        <w:tc>
          <w:tcPr>
            <w:tcW w:w="2460" w:type="dxa"/>
            <w:vAlign w:val="bottom"/>
            <w:gridSpan w:val="2"/>
          </w:tcPr>
          <w:p>
            <w:pPr>
              <w:spacing w:after="0"/>
              <w:rPr>
                <w:sz w:val="20"/>
                <w:szCs w:val="20"/>
                <w:color w:val="auto"/>
              </w:rPr>
            </w:pPr>
            <w:r>
              <w:rPr>
                <w:rFonts w:ascii="Arial" w:cs="Arial" w:eastAsia="Arial" w:hAnsi="Arial"/>
                <w:sz w:val="16"/>
                <w:szCs w:val="16"/>
                <w:color w:val="auto"/>
              </w:rPr>
              <w:t>First-lien loan ($24,811 par, due</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Arial" w:cs="Arial" w:eastAsia="Arial" w:hAnsi="Arial"/>
                <w:sz w:val="16"/>
                <w:szCs w:val="16"/>
                <w:color w:val="auto"/>
              </w:rPr>
              <w:t>9/2020)</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9/30/2015</w:t>
            </w:r>
          </w:p>
        </w:tc>
        <w:tc>
          <w:tcPr>
            <w:tcW w:w="660" w:type="dxa"/>
            <w:vAlign w:val="bottom"/>
          </w:tcPr>
          <w:p>
            <w:pPr>
              <w:jc w:val="right"/>
              <w:spacing w:after="0"/>
              <w:rPr>
                <w:sz w:val="20"/>
                <w:szCs w:val="20"/>
                <w:color w:val="auto"/>
              </w:rPr>
            </w:pPr>
            <w:r>
              <w:rPr>
                <w:rFonts w:ascii="Arial" w:cs="Arial" w:eastAsia="Arial" w:hAnsi="Arial"/>
                <w:sz w:val="16"/>
                <w:szCs w:val="16"/>
                <w:color w:val="auto"/>
              </w:rPr>
              <w:t>24,483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24,500</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Destination Maternity Corporation</w:t>
            </w:r>
            <w:r>
              <w:rPr>
                <w:rFonts w:ascii="Arial" w:cs="Arial" w:eastAsia="Arial" w:hAnsi="Arial"/>
                <w:sz w:val="23"/>
                <w:szCs w:val="23"/>
                <w:color w:val="auto"/>
                <w:vertAlign w:val="superscript"/>
              </w:rPr>
              <w:t>(3)(5)</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ABL FILO term loan</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($18,286 par, due 3/2021)</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3/25/2016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rPr>
                <w:sz w:val="20"/>
                <w:szCs w:val="20"/>
                <w:color w:val="auto"/>
              </w:rPr>
            </w:pPr>
            <w:r>
              <w:rPr>
                <w:rFonts w:ascii="Arial" w:cs="Arial" w:eastAsia="Arial" w:hAnsi="Arial"/>
                <w:sz w:val="16"/>
                <w:szCs w:val="16"/>
                <w:color w:val="auto"/>
              </w:rPr>
              <w:t>Quiksilver - Boardriders SA</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6,023</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w w:val="95"/>
              </w:rPr>
              <w:t>Bond (EUR 5,699 par, due 12/2020)</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9.50%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5/26/2015</w:t>
            </w:r>
          </w:p>
        </w:tc>
        <w:tc>
          <w:tcPr>
            <w:tcW w:w="660" w:type="dxa"/>
            <w:vAlign w:val="bottom"/>
          </w:tcPr>
          <w:p>
            <w:pPr>
              <w:jc w:val="right"/>
              <w:spacing w:after="0"/>
              <w:rPr>
                <w:sz w:val="20"/>
                <w:szCs w:val="20"/>
                <w:color w:val="auto"/>
              </w:rPr>
            </w:pPr>
            <w:r>
              <w:rPr>
                <w:rFonts w:ascii="Arial" w:cs="Arial" w:eastAsia="Arial" w:hAnsi="Arial"/>
                <w:sz w:val="16"/>
                <w:szCs w:val="16"/>
                <w:color w:val="auto"/>
              </w:rPr>
              <w:t>6,004</w:t>
            </w:r>
          </w:p>
        </w:tc>
        <w:tc>
          <w:tcPr>
            <w:tcW w:w="3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w w:val="96"/>
              </w:rPr>
              <w:t>(EUR 5,286)</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Sears</w:t>
            </w:r>
            <w:r>
              <w:rPr>
                <w:rFonts w:ascii="Arial" w:cs="Arial" w:eastAsia="Arial" w:hAnsi="Arial"/>
                <w:sz w:val="13"/>
                <w:szCs w:val="13"/>
                <w:color w:val="auto"/>
              </w:rPr>
              <w:t>(3)(4)(6)</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loan ($3,670 par,</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6/2018)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1/28/2016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First-lien ABL loan ($22,727 par,</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due 7/2020)</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8.50%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3/18/2016</w:t>
            </w:r>
          </w:p>
        </w:tc>
        <w:tc>
          <w:tcPr>
            <w:tcW w:w="660" w:type="dxa"/>
            <w:vAlign w:val="bottom"/>
          </w:tcPr>
          <w:p>
            <w:pPr>
              <w:jc w:val="right"/>
              <w:spacing w:after="0"/>
              <w:rPr>
                <w:sz w:val="20"/>
                <w:szCs w:val="20"/>
                <w:color w:val="auto"/>
              </w:rPr>
            </w:pPr>
            <w:r>
              <w:rPr>
                <w:rFonts w:ascii="Arial" w:cs="Arial" w:eastAsia="Arial" w:hAnsi="Arial"/>
                <w:sz w:val="16"/>
                <w:szCs w:val="16"/>
                <w:color w:val="auto"/>
              </w:rPr>
              <w:t>22,045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22,386</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First-lien ABL revolving loan</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($6,012 par, due 4/2016)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2.94%</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4/15/2015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Sports Authority</w:t>
            </w:r>
            <w:r>
              <w:rPr>
                <w:rFonts w:ascii="Arial" w:cs="Arial" w:eastAsia="Arial" w:hAnsi="Arial"/>
                <w:sz w:val="22"/>
                <w:szCs w:val="22"/>
                <w:color w:val="auto"/>
                <w:vertAlign w:val="superscript"/>
              </w:rPr>
              <w:t>(3)(5)</w:t>
            </w:r>
          </w:p>
        </w:tc>
        <w:tc>
          <w:tcPr>
            <w:tcW w:w="2460" w:type="dxa"/>
            <w:vAlign w:val="bottom"/>
            <w:gridSpan w:val="2"/>
          </w:tcPr>
          <w:p>
            <w:pPr>
              <w:spacing w:after="0"/>
              <w:rPr>
                <w:sz w:val="20"/>
                <w:szCs w:val="20"/>
                <w:color w:val="auto"/>
              </w:rPr>
            </w:pPr>
            <w:r>
              <w:rPr>
                <w:rFonts w:ascii="Arial" w:cs="Arial" w:eastAsia="Arial" w:hAnsi="Arial"/>
                <w:sz w:val="16"/>
                <w:szCs w:val="16"/>
                <w:color w:val="auto"/>
              </w:rPr>
              <w:t>ABL FILO term loan ($45,135 par,</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due 6/2016)</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9.40%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11/3/2015</w:t>
            </w:r>
          </w:p>
        </w:tc>
        <w:tc>
          <w:tcPr>
            <w:tcW w:w="660" w:type="dxa"/>
            <w:vAlign w:val="bottom"/>
          </w:tcPr>
          <w:p>
            <w:pPr>
              <w:jc w:val="right"/>
              <w:spacing w:after="0"/>
              <w:rPr>
                <w:sz w:val="20"/>
                <w:szCs w:val="20"/>
                <w:color w:val="auto"/>
              </w:rPr>
            </w:pPr>
            <w:r>
              <w:rPr>
                <w:rFonts w:ascii="Arial" w:cs="Arial" w:eastAsia="Arial" w:hAnsi="Arial"/>
                <w:sz w:val="16"/>
                <w:szCs w:val="16"/>
                <w:color w:val="auto"/>
              </w:rPr>
              <w:t>44,198</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44,684</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Toys ‘R’ Us-Delaware, Inc.</w:t>
            </w:r>
            <w:r>
              <w:rPr>
                <w:rFonts w:ascii="Arial" w:cs="Arial" w:eastAsia="Arial" w:hAnsi="Arial"/>
                <w:sz w:val="23"/>
                <w:szCs w:val="23"/>
                <w:color w:val="auto"/>
                <w:vertAlign w:val="superscript"/>
              </w:rPr>
              <w:t>(3)</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ABL FILO term loan</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($51,000 par, due 10/2019)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10/9/2014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50,352</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174,334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174,709</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Transportation</w:t>
            </w: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Carrix, Inc.</w:t>
            </w:r>
            <w:r>
              <w:rPr>
                <w:rFonts w:ascii="Arial" w:cs="Arial" w:eastAsia="Arial" w:hAnsi="Arial"/>
                <w:sz w:val="22"/>
                <w:szCs w:val="22"/>
                <w:color w:val="auto"/>
                <w:vertAlign w:val="superscript"/>
              </w:rPr>
              <w:t>(3)</w:t>
            </w:r>
          </w:p>
        </w:tc>
        <w:tc>
          <w:tcPr>
            <w:tcW w:w="2460" w:type="dxa"/>
            <w:vAlign w:val="bottom"/>
            <w:gridSpan w:val="2"/>
          </w:tcPr>
          <w:p>
            <w:pPr>
              <w:spacing w:after="0"/>
              <w:rPr>
                <w:sz w:val="20"/>
                <w:szCs w:val="20"/>
                <w:color w:val="auto"/>
              </w:rPr>
            </w:pPr>
            <w:r>
              <w:rPr>
                <w:rFonts w:ascii="Arial" w:cs="Arial" w:eastAsia="Arial" w:hAnsi="Arial"/>
                <w:sz w:val="16"/>
                <w:szCs w:val="16"/>
                <w:color w:val="auto"/>
              </w:rPr>
              <w:t>First-lien loan ($13,441 par,</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due 1/2019)</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4.50%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3/17/2015</w:t>
            </w:r>
          </w:p>
        </w:tc>
        <w:tc>
          <w:tcPr>
            <w:tcW w:w="660" w:type="dxa"/>
            <w:vAlign w:val="bottom"/>
          </w:tcPr>
          <w:p>
            <w:pPr>
              <w:jc w:val="right"/>
              <w:spacing w:after="0"/>
              <w:rPr>
                <w:sz w:val="20"/>
                <w:szCs w:val="20"/>
                <w:color w:val="auto"/>
              </w:rPr>
            </w:pPr>
            <w:r>
              <w:rPr>
                <w:rFonts w:ascii="Arial" w:cs="Arial" w:eastAsia="Arial" w:hAnsi="Arial"/>
                <w:sz w:val="16"/>
                <w:szCs w:val="16"/>
                <w:color w:val="auto"/>
              </w:rPr>
              <w:t>12,692</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12,534</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Kewill, Ltd.</w:t>
            </w:r>
            <w:r>
              <w:rPr>
                <w:rFonts w:ascii="Arial" w:cs="Arial" w:eastAsia="Arial" w:hAnsi="Arial"/>
                <w:sz w:val="23"/>
                <w:szCs w:val="23"/>
                <w:color w:val="auto"/>
                <w:vertAlign w:val="superscript"/>
              </w:rPr>
              <w:t>(3)(4)</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Second-lien loan ($62,500 par,</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10/2019)</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10/2/2013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59,531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74,355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72,065</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8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Debt Investments</w:t>
            </w: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1,570,970</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1,541,340</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172.6%</w:t>
            </w:r>
          </w:p>
        </w:tc>
        <w:tc>
          <w:tcPr>
            <w:tcW w:w="0" w:type="dxa"/>
            <w:vAlign w:val="bottom"/>
          </w:tcPr>
          <w:p>
            <w:pPr>
              <w:spacing w:after="0"/>
              <w:rPr>
                <w:sz w:val="1"/>
                <w:szCs w:val="1"/>
                <w:color w:val="auto"/>
              </w:rPr>
            </w:pPr>
          </w:p>
        </w:tc>
      </w:tr>
      <w:tr>
        <w:trPr>
          <w:trHeight w:val="169"/>
        </w:trPr>
        <w:tc>
          <w:tcPr>
            <w:tcW w:w="38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Equity and Other Investments Business services</w:t>
            </w: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Network Merchants, Inc.</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Non-Voting Preferred Units</w:t>
            </w: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(774,099 units)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3820" w:type="dxa"/>
            <w:vAlign w:val="bottom"/>
            <w:gridSpan w:val="2"/>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AvidXchange, Inc.</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Series E Preferred Equity (214,132</w:t>
            </w: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8/7/2015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2" w:lineRule="exact"/>
              <w:rPr>
                <w:sz w:val="20"/>
                <w:szCs w:val="20"/>
                <w:color w:val="auto"/>
              </w:rPr>
            </w:pPr>
            <w:r>
              <w:rPr>
                <w:rFonts w:ascii="Arial" w:cs="Arial" w:eastAsia="Arial" w:hAnsi="Arial"/>
                <w:sz w:val="14"/>
                <w:szCs w:val="14"/>
                <w:color w:val="auto"/>
              </w:rPr>
              <w:t>TICC Capital Corp.</w:t>
            </w:r>
            <w:r>
              <w:rPr>
                <w:rFonts w:ascii="Arial" w:cs="Arial" w:eastAsia="Arial" w:hAnsi="Arial"/>
                <w:sz w:val="23"/>
                <w:szCs w:val="23"/>
                <w:color w:val="auto"/>
                <w:vertAlign w:val="superscript"/>
              </w:rPr>
              <w:t>(4)</w:t>
            </w:r>
          </w:p>
        </w:tc>
        <w:tc>
          <w:tcPr>
            <w:tcW w:w="2460" w:type="dxa"/>
            <w:vAlign w:val="bottom"/>
            <w:gridSpan w:val="2"/>
          </w:tcPr>
          <w:p>
            <w:pPr>
              <w:spacing w:after="0"/>
              <w:rPr>
                <w:sz w:val="20"/>
                <w:szCs w:val="20"/>
                <w:color w:val="auto"/>
              </w:rPr>
            </w:pPr>
            <w:r>
              <w:rPr>
                <w:rFonts w:ascii="Arial" w:cs="Arial" w:eastAsia="Arial" w:hAnsi="Arial"/>
                <w:sz w:val="16"/>
                <w:szCs w:val="16"/>
                <w:color w:val="auto"/>
                <w:w w:val="94"/>
              </w:rPr>
              <w:t>Common Shares (1,633,660 shares)</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8/5/2015</w:t>
            </w:r>
          </w:p>
        </w:tc>
        <w:tc>
          <w:tcPr>
            <w:tcW w:w="660" w:type="dxa"/>
            <w:vAlign w:val="bottom"/>
          </w:tcPr>
          <w:p>
            <w:pPr>
              <w:jc w:val="right"/>
              <w:spacing w:after="0"/>
              <w:rPr>
                <w:sz w:val="20"/>
                <w:szCs w:val="20"/>
                <w:color w:val="auto"/>
              </w:rPr>
            </w:pPr>
            <w:r>
              <w:rPr>
                <w:rFonts w:ascii="Arial" w:cs="Arial" w:eastAsia="Arial" w:hAnsi="Arial"/>
                <w:sz w:val="16"/>
                <w:szCs w:val="16"/>
                <w:color w:val="auto"/>
              </w:rPr>
              <w:t>10,943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7,842</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6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14,789</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11,688</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4"/>
        </w:trPr>
        <w:tc>
          <w:tcPr>
            <w:tcW w:w="3820" w:type="dxa"/>
            <w:vAlign w:val="bottom"/>
            <w:gridSpan w:val="2"/>
          </w:tcPr>
          <w:p>
            <w:pPr>
              <w:ind w:left="340"/>
              <w:spacing w:after="0"/>
              <w:rPr>
                <w:sz w:val="20"/>
                <w:szCs w:val="20"/>
                <w:color w:val="auto"/>
              </w:rPr>
            </w:pPr>
            <w:r>
              <w:rPr>
                <w:rFonts w:ascii="Arial" w:cs="Arial" w:eastAsia="Arial" w:hAnsi="Arial"/>
                <w:sz w:val="16"/>
                <w:szCs w:val="16"/>
                <w:b w:val="1"/>
                <w:bCs w:val="1"/>
                <w:color w:val="auto"/>
              </w:rPr>
              <w:t>Healthcare</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Global Healthcare Exchange, LLC</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Class A (598</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3/11/2014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Common Shares Class B (196</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shares)</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3/11/2014</w:t>
            </w:r>
          </w:p>
        </w:tc>
        <w:tc>
          <w:tcPr>
            <w:tcW w:w="660" w:type="dxa"/>
            <w:vAlign w:val="bottom"/>
          </w:tcPr>
          <w:p>
            <w:pPr>
              <w:jc w:val="right"/>
              <w:spacing w:after="0"/>
              <w:rPr>
                <w:sz w:val="20"/>
                <w:szCs w:val="20"/>
                <w:color w:val="auto"/>
              </w:rPr>
            </w:pPr>
            <w:r>
              <w:rPr>
                <w:rFonts w:ascii="Arial" w:cs="Arial" w:eastAsia="Arial" w:hAnsi="Arial"/>
                <w:sz w:val="16"/>
                <w:szCs w:val="16"/>
                <w:color w:val="auto"/>
              </w:rPr>
              <w:t>137</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9"/>
        </w:trPr>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Helix Health, Ltd.</w:t>
            </w:r>
            <w:r>
              <w:rPr>
                <w:rFonts w:ascii="Arial" w:cs="Arial" w:eastAsia="Arial" w:hAnsi="Arial"/>
                <w:sz w:val="23"/>
                <w:szCs w:val="23"/>
                <w:color w:val="auto"/>
                <w:vertAlign w:val="superscript"/>
              </w:rPr>
              <w:t>(4)</w:t>
            </w: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Warrants</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888)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382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2460" w:type="dxa"/>
            <w:vAlign w:val="bottom"/>
            <w:gridSpan w:val="2"/>
          </w:tcPr>
          <w:p>
            <w:pPr>
              <w:spacing w:after="0"/>
              <w:rPr>
                <w:sz w:val="20"/>
                <w:szCs w:val="20"/>
                <w:color w:val="auto"/>
              </w:rPr>
            </w:pPr>
            <w:r>
              <w:rPr>
                <w:rFonts w:ascii="Arial" w:cs="Arial" w:eastAsia="Arial" w:hAnsi="Arial"/>
                <w:sz w:val="16"/>
                <w:szCs w:val="16"/>
                <w:color w:val="auto"/>
              </w:rPr>
              <w:t>Common Shares Class A</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(1,980 shares)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1,980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916</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Common Shares Class B (2,953,020</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3,481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2,880</w:t>
            </w:r>
          </w:p>
        </w:tc>
        <w:tc>
          <w:tcPr>
            <w:tcW w:w="3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9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170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100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Amortized</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900" w:type="dxa"/>
            <w:vAlign w:val="bottom"/>
            <w:gridSpan w:val="2"/>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Interest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10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1"/>
              </w:rPr>
              <w:t xml:space="preserve">Cost </w:t>
            </w:r>
            <w:r>
              <w:rPr>
                <w:rFonts w:ascii="Arial" w:cs="Arial" w:eastAsia="Arial" w:hAnsi="Arial"/>
                <w:sz w:val="10"/>
                <w:szCs w:val="10"/>
                <w:b w:val="1"/>
                <w:bCs w:val="1"/>
                <w:color w:val="auto"/>
                <w:w w:val="91"/>
              </w:rPr>
              <w:t>(2)(8)</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Fair Value</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83"/>
        </w:trPr>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5"/>
                <w:szCs w:val="15"/>
                <w:b w:val="1"/>
                <w:bCs w:val="1"/>
                <w:color w:val="auto"/>
                <w:w w:val="71"/>
              </w:rPr>
              <w:t>Hotel,</w:t>
            </w:r>
          </w:p>
        </w:tc>
        <w:tc>
          <w:tcPr>
            <w:tcW w:w="4240" w:type="dxa"/>
            <w:vAlign w:val="bottom"/>
            <w:tcBorders>
              <w:top w:val="single" w:sz="8" w:color="CCEEFF"/>
            </w:tcBorders>
            <w:shd w:val="clear" w:color="auto" w:fill="CCEEFF"/>
          </w:tcPr>
          <w:p>
            <w:pPr>
              <w:ind w:left="140"/>
              <w:spacing w:after="0" w:line="183" w:lineRule="exact"/>
              <w:rPr>
                <w:sz w:val="20"/>
                <w:szCs w:val="20"/>
                <w:color w:val="auto"/>
              </w:rPr>
            </w:pPr>
            <w:r>
              <w:rPr>
                <w:rFonts w:ascii="Arial" w:cs="Arial" w:eastAsia="Arial" w:hAnsi="Arial"/>
                <w:sz w:val="16"/>
                <w:szCs w:val="16"/>
                <w:b w:val="1"/>
                <w:bCs w:val="1"/>
                <w:color w:val="auto"/>
              </w:rPr>
              <w:t>gaming, and leisure</w:t>
            </w: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00" w:type="dxa"/>
            <w:vAlign w:val="bottom"/>
            <w:gridSpan w:val="2"/>
          </w:tcPr>
          <w:p>
            <w:pPr>
              <w:spacing w:after="0" w:line="192" w:lineRule="exact"/>
              <w:rPr>
                <w:sz w:val="20"/>
                <w:szCs w:val="20"/>
                <w:color w:val="auto"/>
              </w:rPr>
            </w:pPr>
            <w:r>
              <w:rPr>
                <w:rFonts w:ascii="Arial" w:cs="Arial" w:eastAsia="Arial" w:hAnsi="Arial"/>
                <w:sz w:val="14"/>
                <w:szCs w:val="14"/>
                <w:color w:val="auto"/>
              </w:rPr>
              <w:t>IRGSE Holding Corp.</w:t>
            </w:r>
            <w:r>
              <w:rPr>
                <w:rFonts w:ascii="Arial" w:cs="Arial" w:eastAsia="Arial" w:hAnsi="Arial"/>
                <w:sz w:val="22"/>
                <w:szCs w:val="22"/>
                <w:color w:val="auto"/>
                <w:vertAlign w:val="superscript"/>
              </w:rPr>
              <w:t>(7)</w:t>
            </w:r>
          </w:p>
        </w:tc>
        <w:tc>
          <w:tcPr>
            <w:tcW w:w="1700" w:type="dxa"/>
            <w:vAlign w:val="bottom"/>
            <w:gridSpan w:val="2"/>
          </w:tcPr>
          <w:p>
            <w:pPr>
              <w:spacing w:after="0"/>
              <w:rPr>
                <w:sz w:val="20"/>
                <w:szCs w:val="20"/>
                <w:color w:val="auto"/>
              </w:rPr>
            </w:pPr>
            <w:r>
              <w:rPr>
                <w:rFonts w:ascii="Arial" w:cs="Arial" w:eastAsia="Arial" w:hAnsi="Arial"/>
                <w:sz w:val="16"/>
                <w:szCs w:val="16"/>
                <w:color w:val="auto"/>
              </w:rPr>
              <w:t>Class A Units</w:t>
            </w: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color w:val="auto"/>
              </w:rPr>
              <w:t>(5,000,000 units)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9/29/2015</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3,897</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C-1 Units</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(8,800,000 units)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9/29/2015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147</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Oil, gas and consumable fuels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
        </w:trPr>
        <w:tc>
          <w:tcPr>
            <w:tcW w:w="49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17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w:t>
            </w: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00" w:type="dxa"/>
            <w:vAlign w:val="bottom"/>
            <w:gridSpan w:val="2"/>
          </w:tcPr>
          <w:p>
            <w:pPr>
              <w:ind w:left="1740"/>
              <w:spacing w:after="0"/>
              <w:rPr>
                <w:sz w:val="20"/>
                <w:szCs w:val="20"/>
                <w:color w:val="auto"/>
              </w:rPr>
            </w:pPr>
            <w:r>
              <w:rPr>
                <w:rFonts w:ascii="Arial" w:cs="Arial" w:eastAsia="Arial" w:hAnsi="Arial"/>
                <w:sz w:val="13"/>
                <w:szCs w:val="13"/>
                <w:color w:val="auto"/>
              </w:rPr>
              <w:t>(7)</w:t>
            </w:r>
          </w:p>
        </w:tc>
        <w:tc>
          <w:tcPr>
            <w:tcW w:w="1700" w:type="dxa"/>
            <w:vAlign w:val="bottom"/>
            <w:gridSpan w:val="2"/>
            <w:vMerge w:val="restart"/>
          </w:tcPr>
          <w:p>
            <w:pPr>
              <w:spacing w:after="0"/>
              <w:rPr>
                <w:sz w:val="20"/>
                <w:szCs w:val="20"/>
                <w:color w:val="auto"/>
              </w:rPr>
            </w:pPr>
            <w:r>
              <w:rPr>
                <w:rFonts w:ascii="Arial" w:cs="Arial" w:eastAsia="Arial" w:hAnsi="Arial"/>
                <w:sz w:val="15"/>
                <w:szCs w:val="15"/>
                <w:color w:val="auto"/>
              </w:rPr>
              <w:t>(933 units)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6/4/2014</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8,874</w:t>
            </w:r>
          </w:p>
        </w:tc>
        <w:tc>
          <w:tcPr>
            <w:tcW w:w="260" w:type="dxa"/>
            <w:vAlign w:val="bottom"/>
          </w:tcPr>
          <w:p>
            <w:pPr>
              <w:spacing w:after="0"/>
              <w:rPr>
                <w:sz w:val="14"/>
                <w:szCs w:val="14"/>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4"/>
                <w:szCs w:val="14"/>
                <w:color w:val="auto"/>
              </w:rPr>
              <w:t>Oak Hill Credit Partners</w:t>
            </w:r>
            <w:r>
              <w:rPr>
                <w:rFonts w:ascii="Arial" w:cs="Arial" w:eastAsia="Arial" w:hAnsi="Arial"/>
                <w:sz w:val="23"/>
                <w:szCs w:val="23"/>
                <w:color w:val="auto"/>
                <w:vertAlign w:val="superscript"/>
              </w:rPr>
              <w:t>(4)(6)</w:t>
            </w:r>
          </w:p>
        </w:tc>
        <w:tc>
          <w:tcPr>
            <w:tcW w:w="1700" w:type="dxa"/>
            <w:vAlign w:val="bottom"/>
            <w:gridSpan w:val="2"/>
          </w:tcPr>
          <w:p>
            <w:pPr>
              <w:spacing w:after="0"/>
              <w:rPr>
                <w:sz w:val="20"/>
                <w:szCs w:val="20"/>
                <w:color w:val="auto"/>
              </w:rPr>
            </w:pPr>
            <w:r>
              <w:rPr>
                <w:rFonts w:ascii="Arial" w:cs="Arial" w:eastAsia="Arial" w:hAnsi="Arial"/>
                <w:sz w:val="16"/>
                <w:szCs w:val="16"/>
                <w:color w:val="auto"/>
              </w:rPr>
              <w:t>Structured Product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6.12%</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8/21/2015</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3,306</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2,267</w:t>
            </w:r>
          </w:p>
        </w:tc>
        <w:tc>
          <w:tcPr>
            <w:tcW w:w="3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Symphony</w:t>
            </w:r>
            <w:r>
              <w:rPr>
                <w:rFonts w:ascii="Arial" w:cs="Arial" w:eastAsia="Arial" w:hAnsi="Arial"/>
                <w:sz w:val="23"/>
                <w:szCs w:val="23"/>
                <w:color w:val="auto"/>
                <w:vertAlign w:val="superscript"/>
              </w:rPr>
              <w:t>(4)(6)</w:t>
            </w:r>
          </w:p>
        </w:tc>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Structured Product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11/17/2014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8,902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300"/>
              <w:spacing w:after="0" w:line="169" w:lineRule="exact"/>
              <w:rPr>
                <w:sz w:val="20"/>
                <w:szCs w:val="20"/>
                <w:color w:val="auto"/>
              </w:rPr>
            </w:pPr>
            <w:r>
              <w:rPr>
                <w:rFonts w:ascii="Arial" w:cs="Arial" w:eastAsia="Arial" w:hAnsi="Arial"/>
                <w:sz w:val="15"/>
                <w:szCs w:val="15"/>
                <w:color w:val="auto"/>
              </w:rPr>
              <w:t>6,490</w:t>
            </w:r>
          </w:p>
        </w:tc>
        <w:tc>
          <w:tcPr>
            <w:tcW w:w="9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9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40,823</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22,324</w:t>
            </w:r>
          </w:p>
        </w:tc>
        <w:tc>
          <w:tcPr>
            <w:tcW w:w="9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00" w:type="dxa"/>
            <w:vAlign w:val="bottom"/>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88"/>
              </w:rPr>
              <w:t>$ 1,611,793</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88"/>
              </w:rPr>
              <w:t>$ 1,563,664</w:t>
            </w:r>
          </w:p>
        </w:tc>
        <w:tc>
          <w:tcPr>
            <w:tcW w:w="300" w:type="dxa"/>
            <w:vAlign w:val="bottom"/>
          </w:tcPr>
          <w:p>
            <w:pPr>
              <w:spacing w:after="0"/>
              <w:rPr>
                <w:sz w:val="14"/>
                <w:szCs w:val="14"/>
                <w:color w:val="auto"/>
              </w:rPr>
            </w:pPr>
          </w:p>
        </w:tc>
        <w:tc>
          <w:tcPr>
            <w:tcW w:w="920" w:type="dxa"/>
            <w:vAlign w:val="bottom"/>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175.1%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40" w:hanging="332"/>
        <w:spacing w:after="0" w:line="225" w:lineRule="auto"/>
        <w:tabs>
          <w:tab w:leader="none" w:pos="3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ind w:left="340" w:right="360" w:hanging="332"/>
        <w:spacing w:after="0" w:line="225" w:lineRule="auto"/>
        <w:tabs>
          <w:tab w:leader="none" w:pos="3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5" w:lineRule="auto"/>
        <w:tabs>
          <w:tab w:leader="none" w:pos="3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2016 in which the issuer was an Affiliated Person of and was deemed to Control a portfolio company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100" w:type="dxa"/>
            <w:vAlign w:val="bottom"/>
          </w:tcPr>
          <w:p>
            <w:pPr>
              <w:spacing w:after="0"/>
              <w:rPr>
                <w:sz w:val="12"/>
                <w:szCs w:val="12"/>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79"/>
              </w:rPr>
              <w:t>Gross</w:t>
            </w:r>
          </w:p>
        </w:tc>
        <w:tc>
          <w:tcPr>
            <w:tcW w:w="100" w:type="dxa"/>
            <w:vAlign w:val="bottom"/>
          </w:tcPr>
          <w:p>
            <w:pPr>
              <w:spacing w:after="0"/>
              <w:rPr>
                <w:sz w:val="12"/>
                <w:szCs w:val="12"/>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Gross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7"/>
              </w:rPr>
              <w:t>Fair 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100" w:type="dxa"/>
            <w:vAlign w:val="bottom"/>
            <w:gridSpan w:val="3"/>
          </w:tcPr>
          <w:p>
            <w:pPr>
              <w:jc w:val="right"/>
              <w:ind w:right="380"/>
              <w:spacing w:after="0" w:line="135" w:lineRule="exact"/>
              <w:rPr>
                <w:sz w:val="20"/>
                <w:szCs w:val="20"/>
                <w:color w:val="auto"/>
              </w:rPr>
            </w:pPr>
            <w:r>
              <w:rPr>
                <w:rFonts w:ascii="Arial" w:cs="Arial" w:eastAsia="Arial" w:hAnsi="Arial"/>
                <w:sz w:val="13"/>
                <w:szCs w:val="13"/>
                <w:b w:val="1"/>
                <w:bCs w:val="1"/>
                <w:color w:val="auto"/>
                <w:w w:val="82"/>
              </w:rPr>
              <w:t>December 31,</w:t>
            </w:r>
          </w:p>
        </w:tc>
        <w:tc>
          <w:tcPr>
            <w:tcW w:w="900" w:type="dxa"/>
            <w:vAlign w:val="bottom"/>
            <w:gridSpan w:val="3"/>
          </w:tcPr>
          <w:p>
            <w:pPr>
              <w:jc w:val="right"/>
              <w:ind w:right="380"/>
              <w:spacing w:after="0" w:line="135" w:lineRule="exact"/>
              <w:rPr>
                <w:sz w:val="20"/>
                <w:szCs w:val="20"/>
                <w:color w:val="auto"/>
              </w:rPr>
            </w:pPr>
            <w:r>
              <w:rPr>
                <w:rFonts w:ascii="Arial" w:cs="Arial" w:eastAsia="Arial" w:hAnsi="Arial"/>
                <w:sz w:val="13"/>
                <w:szCs w:val="13"/>
                <w:b w:val="1"/>
                <w:bCs w:val="1"/>
                <w:color w:val="auto"/>
                <w:w w:val="83"/>
              </w:rPr>
              <w:t>Additions</w:t>
            </w: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60" w:type="dxa"/>
            <w:vAlign w:val="bottom"/>
          </w:tcPr>
          <w:p>
            <w:pPr>
              <w:spacing w:after="0"/>
              <w:rPr>
                <w:sz w:val="11"/>
                <w:szCs w:val="11"/>
                <w:color w:val="auto"/>
              </w:rPr>
            </w:pP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1"/>
                <w:szCs w:val="11"/>
                <w:color w:val="auto"/>
              </w:rPr>
            </w:pPr>
          </w:p>
        </w:tc>
        <w:tc>
          <w:tcPr>
            <w:tcW w:w="780" w:type="dxa"/>
            <w:vAlign w:val="bottom"/>
            <w:gridSpan w:val="3"/>
          </w:tcPr>
          <w:p>
            <w:pPr>
              <w:jc w:val="right"/>
              <w:ind w:right="420"/>
              <w:spacing w:after="0" w:line="135" w:lineRule="exact"/>
              <w:rPr>
                <w:sz w:val="20"/>
                <w:szCs w:val="20"/>
                <w:color w:val="auto"/>
              </w:rPr>
            </w:pPr>
            <w:r>
              <w:rPr>
                <w:rFonts w:ascii="Arial" w:cs="Arial" w:eastAsia="Arial" w:hAnsi="Arial"/>
                <w:sz w:val="13"/>
                <w:szCs w:val="13"/>
                <w:b w:val="1"/>
                <w:bCs w:val="1"/>
                <w:color w:val="auto"/>
                <w:w w:val="97"/>
              </w:rPr>
              <w:t>Other</w:t>
            </w:r>
          </w:p>
        </w:tc>
        <w:tc>
          <w:tcPr>
            <w:tcW w:w="5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3"/>
        </w:trPr>
        <w:tc>
          <w:tcPr>
            <w:tcW w:w="39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7"/>
              <w:spacing w:after="0"/>
              <w:rPr>
                <w:sz w:val="20"/>
                <w:szCs w:val="20"/>
                <w:color w:val="auto"/>
              </w:rPr>
            </w:pPr>
            <w:r>
              <w:rPr>
                <w:rFonts w:ascii="Arial" w:cs="Arial" w:eastAsia="Arial" w:hAnsi="Arial"/>
                <w:sz w:val="13"/>
                <w:szCs w:val="13"/>
                <w:b w:val="1"/>
                <w:bCs w:val="1"/>
                <w:color w:val="auto"/>
              </w:rPr>
              <w:t>2015</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(a)</w:t>
            </w:r>
          </w:p>
        </w:tc>
        <w:tc>
          <w:tcPr>
            <w:tcW w:w="100" w:type="dxa"/>
            <w:vAlign w:val="bottom"/>
          </w:tcPr>
          <w:p>
            <w:pPr>
              <w:spacing w:after="0"/>
              <w:rPr>
                <w:sz w:val="13"/>
                <w:szCs w:val="13"/>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Gain/(Losses)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9"/>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w w:val="83"/>
              </w:rPr>
              <w:t>Income</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342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1,958</w:t>
            </w:r>
          </w:p>
        </w:tc>
        <w:tc>
          <w:tcPr>
            <w:tcW w:w="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(121)</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(4,444)</w:t>
            </w: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34,075</w:t>
            </w: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50</w:t>
            </w:r>
          </w:p>
        </w:tc>
        <w:tc>
          <w:tcPr>
            <w:tcW w:w="3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$1,610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26,816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1,628</w:t>
            </w:r>
          </w:p>
        </w:tc>
        <w:tc>
          <w:tcPr>
            <w:tcW w:w="100" w:type="dxa"/>
            <w:vAlign w:val="bottom"/>
          </w:tcPr>
          <w:p>
            <w:pPr>
              <w:spacing w:after="0"/>
              <w:rPr>
                <w:sz w:val="14"/>
                <w:szCs w:val="14"/>
                <w:color w:val="auto"/>
              </w:rPr>
            </w:pPr>
          </w:p>
        </w:tc>
        <w:tc>
          <w:tcPr>
            <w:tcW w:w="72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85</w:t>
            </w:r>
          </w:p>
        </w:tc>
        <w:tc>
          <w:tcPr>
            <w:tcW w:w="120" w:type="dxa"/>
            <w:vAlign w:val="bottom"/>
          </w:tcPr>
          <w:p>
            <w:pPr>
              <w:spacing w:after="0"/>
              <w:rPr>
                <w:sz w:val="14"/>
                <w:szCs w:val="14"/>
                <w:color w:val="auto"/>
              </w:rPr>
            </w:pPr>
          </w:p>
        </w:tc>
        <w:tc>
          <w:tcPr>
            <w:tcW w:w="64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28,529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380"/>
              <w:spacing w:after="0" w:line="162" w:lineRule="exact"/>
              <w:rPr>
                <w:sz w:val="20"/>
                <w:szCs w:val="20"/>
                <w:color w:val="auto"/>
              </w:rPr>
            </w:pPr>
            <w:r>
              <w:rPr>
                <w:rFonts w:ascii="Arial" w:cs="Arial" w:eastAsia="Arial" w:hAnsi="Arial"/>
                <w:sz w:val="15"/>
                <w:szCs w:val="15"/>
                <w:color w:val="auto"/>
              </w:rPr>
              <w:t>1</w:t>
            </w:r>
          </w:p>
        </w:tc>
        <w:tc>
          <w:tcPr>
            <w:tcW w:w="5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63,498</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3,586</w:t>
            </w:r>
          </w:p>
        </w:tc>
        <w:tc>
          <w:tcPr>
            <w:tcW w:w="1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5"/>
              </w:rPr>
              <w:t>$</w:t>
            </w:r>
          </w:p>
        </w:tc>
        <w:tc>
          <w:tcPr>
            <w:tcW w:w="7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(121)</w:t>
            </w:r>
          </w:p>
        </w:tc>
        <w:tc>
          <w:tcPr>
            <w:tcW w:w="30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b w:val="1"/>
                <w:bCs w:val="1"/>
                <w:color w:val="auto"/>
              </w:rPr>
              <w:t>$</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(4,359)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4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62,604</w:t>
            </w:r>
          </w:p>
        </w:tc>
        <w:tc>
          <w:tcPr>
            <w:tcW w:w="34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51</w:t>
            </w:r>
          </w:p>
        </w:tc>
        <w:tc>
          <w:tcPr>
            <w:tcW w:w="3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2,333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800" w:right="180" w:hanging="454"/>
        <w:spacing w:after="0" w:line="233" w:lineRule="auto"/>
        <w:tabs>
          <w:tab w:leader="none" w:pos="80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discounts on debt investments, as applicable.</w:t>
      </w:r>
    </w:p>
    <w:p>
      <w:pPr>
        <w:ind w:left="340" w:hanging="332"/>
        <w:spacing w:after="0" w:line="225" w:lineRule="auto"/>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As of March 31, 2016, the tax cost of the Company’s investments approximates their amortized cost.</w:t>
      </w:r>
    </w:p>
    <w:p>
      <w:pPr>
        <w:ind w:left="340" w:right="400" w:hanging="332"/>
        <w:spacing w:after="0" w:line="225" w:lineRule="auto"/>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ind w:left="340" w:hanging="332"/>
        <w:spacing w:after="0"/>
        <w:tabs>
          <w:tab w:leader="none" w:pos="3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Investment on non-accrual as of March 31,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9"/>
              </w:rPr>
              <w:t>Initial</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6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1"/>
              </w:rPr>
              <w:t>Amortized</w:t>
            </w:r>
          </w:p>
        </w:tc>
        <w:tc>
          <w:tcPr>
            <w:tcW w:w="620" w:type="dxa"/>
            <w:vAlign w:val="bottom"/>
          </w:tcPr>
          <w:p>
            <w:pPr>
              <w:jc w:val="right"/>
              <w:ind w:right="121"/>
              <w:spacing w:after="0" w:line="135"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3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980" w:type="dxa"/>
            <w:vAlign w:val="bottom"/>
            <w:gridSpan w:val="2"/>
          </w:tcPr>
          <w:p>
            <w:pPr>
              <w:ind w:left="500"/>
              <w:spacing w:after="0"/>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Interest</w:t>
            </w: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620" w:type="dxa"/>
            <w:vAlign w:val="bottom"/>
          </w:tcPr>
          <w:p>
            <w:pPr>
              <w:jc w:val="right"/>
              <w:ind w:right="81"/>
              <w:spacing w:after="0"/>
              <w:rPr>
                <w:sz w:val="20"/>
                <w:szCs w:val="20"/>
                <w:color w:val="auto"/>
              </w:rPr>
            </w:pPr>
            <w:r>
              <w:rPr>
                <w:rFonts w:ascii="Arial" w:cs="Arial" w:eastAsia="Arial" w:hAnsi="Arial"/>
                <w:sz w:val="13"/>
                <w:szCs w:val="13"/>
                <w:b w:val="1"/>
                <w:bCs w:val="1"/>
                <w:color w:val="auto"/>
              </w:rPr>
              <w:t>Value</w:t>
            </w:r>
          </w:p>
        </w:tc>
        <w:tc>
          <w:tcPr>
            <w:tcW w:w="4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 Automotive</w:t>
            </w:r>
          </w:p>
        </w:tc>
        <w:tc>
          <w:tcPr>
            <w:tcW w:w="6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First-lien loan ($31,271</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par, due 6/2017)</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9.75%</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8/28/2012</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$ 30,977</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$ 30,176</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($2,722 par, due 6/2017)</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10.75%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8/28/2012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33,652</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32,704</w:t>
            </w:r>
          </w:p>
        </w:tc>
        <w:tc>
          <w:tcPr>
            <w:tcW w:w="4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Beverage, food and tobacco</w:t>
            </w:r>
          </w:p>
        </w:tc>
        <w:tc>
          <w:tcPr>
            <w:tcW w:w="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22"/>
                <w:szCs w:val="22"/>
                <w:color w:val="auto"/>
                <w:vertAlign w:val="superscript"/>
              </w:rPr>
              <w:t>(3)(5)</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First-lien loan ($63,660</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par, due 3/2020)</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8.75%</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3/3/2014</w:t>
            </w:r>
          </w:p>
        </w:tc>
        <w:tc>
          <w:tcPr>
            <w:tcW w:w="600" w:type="dxa"/>
            <w:vAlign w:val="bottom"/>
          </w:tcPr>
          <w:p>
            <w:pPr>
              <w:jc w:val="right"/>
              <w:spacing w:after="0"/>
              <w:rPr>
                <w:sz w:val="20"/>
                <w:szCs w:val="20"/>
                <w:color w:val="auto"/>
              </w:rPr>
            </w:pPr>
            <w:r>
              <w:rPr>
                <w:rFonts w:ascii="Arial" w:cs="Arial" w:eastAsia="Arial" w:hAnsi="Arial"/>
                <w:sz w:val="16"/>
                <w:szCs w:val="16"/>
                <w:color w:val="auto"/>
              </w:rPr>
              <w:t>62,575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62,705</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33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(3)(5)</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First-lien loan ($59,915</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par, due 4/2018)</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4/11/2013</w:t>
            </w:r>
          </w:p>
        </w:tc>
        <w:tc>
          <w:tcPr>
            <w:tcW w:w="4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58,781</w:t>
            </w:r>
          </w:p>
        </w:tc>
        <w:tc>
          <w:tcPr>
            <w:tcW w:w="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62,462</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Bullhorn, Inc.</w:t>
            </w:r>
            <w:r>
              <w:rPr>
                <w:rFonts w:ascii="Arial" w:cs="Arial" w:eastAsia="Arial" w:hAnsi="Arial"/>
                <w:sz w:val="23"/>
                <w:szCs w:val="23"/>
                <w:color w:val="auto"/>
                <w:vertAlign w:val="superscript"/>
              </w:rPr>
              <w:t>(3)(5)</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($45,000</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11/2020)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8.50%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4"/>
              </w:rPr>
              <w:t>11/12/2015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43,763</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Clarabridge, Inc.</w:t>
            </w:r>
            <w:r>
              <w:rPr>
                <w:rFonts w:ascii="Arial" w:cs="Arial" w:eastAsia="Arial" w:hAnsi="Arial"/>
                <w:sz w:val="22"/>
                <w:szCs w:val="22"/>
                <w:color w:val="auto"/>
                <w:vertAlign w:val="superscript"/>
              </w:rPr>
              <w:t>(3)</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First-lien loan ($22,388</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par, due 4/2019)</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8.50%</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5/20/2015</w:t>
            </w:r>
          </w:p>
        </w:tc>
        <w:tc>
          <w:tcPr>
            <w:tcW w:w="600" w:type="dxa"/>
            <w:vAlign w:val="bottom"/>
          </w:tcPr>
          <w:p>
            <w:pPr>
              <w:jc w:val="right"/>
              <w:spacing w:after="0"/>
              <w:rPr>
                <w:sz w:val="20"/>
                <w:szCs w:val="20"/>
                <w:color w:val="auto"/>
              </w:rPr>
            </w:pPr>
            <w:r>
              <w:rPr>
                <w:rFonts w:ascii="Arial" w:cs="Arial" w:eastAsia="Arial" w:hAnsi="Arial"/>
                <w:sz w:val="16"/>
                <w:szCs w:val="16"/>
                <w:color w:val="auto"/>
              </w:rPr>
              <w:t>21,963</w:t>
            </w:r>
          </w:p>
        </w:tc>
        <w:tc>
          <w:tcPr>
            <w:tcW w:w="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21,641</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Idera, Inc.</w:t>
            </w:r>
            <w:r>
              <w:rPr>
                <w:rFonts w:ascii="Arial" w:cs="Arial" w:eastAsia="Arial" w:hAnsi="Arial"/>
                <w:sz w:val="23"/>
                <w:szCs w:val="23"/>
                <w:color w:val="auto"/>
                <w:vertAlign w:val="superscript"/>
              </w:rPr>
              <w:t>(3)</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($62,500</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4/2021)</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6.50%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10/9/2015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55,937</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22"/>
                <w:szCs w:val="22"/>
                <w:color w:val="auto"/>
                <w:vertAlign w:val="superscript"/>
              </w:rPr>
              <w:t>(3)(4)</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First-lien loan ($28,565</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par, due 6/2019)</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7.50%</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6/30/2014</w:t>
            </w:r>
          </w:p>
        </w:tc>
        <w:tc>
          <w:tcPr>
            <w:tcW w:w="600" w:type="dxa"/>
            <w:vAlign w:val="bottom"/>
          </w:tcPr>
          <w:p>
            <w:pPr>
              <w:jc w:val="right"/>
              <w:spacing w:after="0"/>
              <w:rPr>
                <w:sz w:val="20"/>
                <w:szCs w:val="20"/>
                <w:color w:val="auto"/>
              </w:rPr>
            </w:pPr>
            <w:r>
              <w:rPr>
                <w:rFonts w:ascii="Arial" w:cs="Arial" w:eastAsia="Arial" w:hAnsi="Arial"/>
                <w:sz w:val="16"/>
                <w:szCs w:val="16"/>
                <w:color w:val="auto"/>
              </w:rPr>
              <w:t>28,085</w:t>
            </w:r>
          </w:p>
        </w:tc>
        <w:tc>
          <w:tcPr>
            <w:tcW w:w="4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27,877</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23"/>
                <w:szCs w:val="23"/>
                <w:color w:val="auto"/>
                <w:vertAlign w:val="superscript"/>
              </w:rPr>
              <w:t>(3)</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($25,782</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9/2018)</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7.75%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9/12/2013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25,481</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22"/>
                <w:szCs w:val="22"/>
                <w:color w:val="auto"/>
                <w:vertAlign w:val="superscript"/>
              </w:rPr>
              <w:t>(3)</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First-lien loan ($18,857</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par, due 12/2019)</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7.50%</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w w:val="94"/>
              </w:rPr>
              <w:t>12/30/2014</w:t>
            </w:r>
          </w:p>
        </w:tc>
        <w:tc>
          <w:tcPr>
            <w:tcW w:w="600" w:type="dxa"/>
            <w:vAlign w:val="bottom"/>
          </w:tcPr>
          <w:p>
            <w:pPr>
              <w:jc w:val="right"/>
              <w:spacing w:after="0"/>
              <w:rPr>
                <w:sz w:val="20"/>
                <w:szCs w:val="20"/>
                <w:color w:val="auto"/>
              </w:rPr>
            </w:pPr>
            <w:r>
              <w:rPr>
                <w:rFonts w:ascii="Arial" w:cs="Arial" w:eastAsia="Arial" w:hAnsi="Arial"/>
                <w:sz w:val="16"/>
                <w:szCs w:val="16"/>
                <w:color w:val="auto"/>
              </w:rPr>
              <w:t>18,505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18,463</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0"/>
        </w:trPr>
        <w:tc>
          <w:tcPr>
            <w:tcW w:w="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253,177</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256,124</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4"/>
        </w:trPr>
        <w:tc>
          <w:tcPr>
            <w:tcW w:w="3300" w:type="dxa"/>
            <w:vAlign w:val="bottom"/>
            <w:gridSpan w:val="2"/>
          </w:tcPr>
          <w:p>
            <w:pPr>
              <w:ind w:left="340"/>
              <w:spacing w:after="0"/>
              <w:rPr>
                <w:sz w:val="20"/>
                <w:szCs w:val="20"/>
                <w:color w:val="auto"/>
              </w:rPr>
            </w:pPr>
            <w:r>
              <w:rPr>
                <w:rFonts w:ascii="Arial" w:cs="Arial" w:eastAsia="Arial" w:hAnsi="Arial"/>
                <w:sz w:val="16"/>
                <w:szCs w:val="16"/>
                <w:b w:val="1"/>
                <w:bCs w:val="1"/>
                <w:color w:val="auto"/>
              </w:rPr>
              <w:t>Chemicals</w:t>
            </w: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23"/>
                <w:szCs w:val="23"/>
                <w:color w:val="auto"/>
                <w:vertAlign w:val="superscript"/>
              </w:rPr>
              <w:t>(3)</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($10,839</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10/2019)</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10.50%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94"/>
              </w:rPr>
              <w:t>10/31/2014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40"/>
              <w:spacing w:after="0"/>
              <w:rPr>
                <w:sz w:val="20"/>
                <w:szCs w:val="20"/>
                <w:color w:val="auto"/>
              </w:rPr>
            </w:pPr>
            <w:r>
              <w:rPr>
                <w:rFonts w:ascii="Arial" w:cs="Arial" w:eastAsia="Arial" w:hAnsi="Arial"/>
                <w:sz w:val="16"/>
                <w:szCs w:val="16"/>
                <w:b w:val="1"/>
                <w:bCs w:val="1"/>
                <w:color w:val="auto"/>
              </w:rPr>
              <w:t>Education</w:t>
            </w: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22"/>
                <w:szCs w:val="22"/>
                <w:color w:val="auto"/>
                <w:vertAlign w:val="superscript"/>
              </w:rPr>
              <w:t>(3)(5)</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($26,277</w:t>
            </w: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9/2018)</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8.75%</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9/30/2013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25,879</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26,277</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3300" w:type="dxa"/>
            <w:vAlign w:val="bottom"/>
            <w:gridSpan w:val="2"/>
          </w:tcPr>
          <w:p>
            <w:pPr>
              <w:ind w:left="340"/>
              <w:spacing w:after="0"/>
              <w:rPr>
                <w:sz w:val="20"/>
                <w:szCs w:val="20"/>
                <w:color w:val="auto"/>
              </w:rPr>
            </w:pPr>
            <w:r>
              <w:rPr>
                <w:rFonts w:ascii="Arial" w:cs="Arial" w:eastAsia="Arial" w:hAnsi="Arial"/>
                <w:sz w:val="16"/>
                <w:szCs w:val="16"/>
                <w:b w:val="1"/>
                <w:bCs w:val="1"/>
                <w:color w:val="auto"/>
              </w:rPr>
              <w:t>Electronics</w:t>
            </w: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MyAlarm Center, LLC</w:t>
            </w:r>
            <w:r>
              <w:rPr>
                <w:rFonts w:ascii="Arial" w:cs="Arial" w:eastAsia="Arial" w:hAnsi="Arial"/>
                <w:sz w:val="22"/>
                <w:szCs w:val="22"/>
                <w:color w:val="auto"/>
                <w:vertAlign w:val="superscript"/>
              </w:rPr>
              <w:t>(3)</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($62,371</w:t>
            </w:r>
          </w:p>
        </w:tc>
        <w:tc>
          <w:tcPr>
            <w:tcW w:w="7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1/2019)</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1/9/2014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61,887</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Arial" w:cs="Arial" w:eastAsia="Arial" w:hAnsi="Arial"/>
                <w:sz w:val="16"/>
                <w:szCs w:val="16"/>
                <w:color w:val="auto"/>
              </w:rPr>
              <w:t>APX Group Inc.</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Senior notes 8.75%</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($24,818 par,</w:t>
            </w: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due 12/2020)</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12/11/2014</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20,165</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
        </w:trPr>
        <w:tc>
          <w:tcPr>
            <w:tcW w:w="6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83,455</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82,052</w:t>
            </w:r>
          </w:p>
        </w:tc>
        <w:tc>
          <w:tcPr>
            <w:tcW w:w="4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3300" w:type="dxa"/>
            <w:vAlign w:val="bottom"/>
            <w:gridSpan w:val="2"/>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AppStar Financial, LLC</w:t>
            </w:r>
            <w:r>
              <w:rPr>
                <w:rFonts w:ascii="Arial" w:cs="Arial" w:eastAsia="Arial" w:hAnsi="Arial"/>
                <w:sz w:val="23"/>
                <w:szCs w:val="23"/>
                <w:color w:val="auto"/>
                <w:vertAlign w:val="superscript"/>
              </w:rPr>
              <w:t>(3)</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($23,400</w:t>
            </w: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8/2020)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9.00%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8/18/2015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line="192" w:lineRule="exact"/>
              <w:rPr>
                <w:sz w:val="20"/>
                <w:szCs w:val="20"/>
                <w:color w:val="auto"/>
              </w:rPr>
            </w:pPr>
            <w:r>
              <w:rPr>
                <w:rFonts w:ascii="Arial" w:cs="Arial" w:eastAsia="Arial" w:hAnsi="Arial"/>
                <w:sz w:val="14"/>
                <w:szCs w:val="14"/>
                <w:color w:val="auto"/>
              </w:rPr>
              <w:t>AvidXchange, Inc.</w:t>
            </w:r>
            <w:r>
              <w:rPr>
                <w:rFonts w:ascii="Arial" w:cs="Arial" w:eastAsia="Arial" w:hAnsi="Arial"/>
                <w:sz w:val="22"/>
                <w:szCs w:val="22"/>
                <w:color w:val="auto"/>
                <w:vertAlign w:val="superscript"/>
              </w:rPr>
              <w:t>(3)</w:t>
            </w: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Second-lien loan</w:t>
            </w: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6"/>
                <w:szCs w:val="16"/>
                <w:color w:val="auto"/>
              </w:rPr>
              <w:t>10.50%</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($31,897 par,</w:t>
            </w:r>
          </w:p>
        </w:tc>
        <w:tc>
          <w:tcPr>
            <w:tcW w:w="124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640" w:type="dxa"/>
            <w:vAlign w:val="bottom"/>
            <w:gridSpan w:val="3"/>
          </w:tcPr>
          <w:p>
            <w:pPr>
              <w:ind w:left="660"/>
              <w:spacing w:after="0"/>
              <w:rPr>
                <w:sz w:val="20"/>
                <w:szCs w:val="20"/>
                <w:color w:val="auto"/>
              </w:rPr>
            </w:pPr>
            <w:r>
              <w:rPr>
                <w:rFonts w:ascii="Arial" w:cs="Arial" w:eastAsia="Arial" w:hAnsi="Arial"/>
                <w:sz w:val="16"/>
                <w:szCs w:val="16"/>
                <w:color w:val="auto"/>
              </w:rPr>
              <w:t>due 8/2020)</w:t>
            </w:r>
          </w:p>
        </w:tc>
        <w:tc>
          <w:tcPr>
            <w:tcW w:w="1240" w:type="dxa"/>
            <w:vAlign w:val="bottom"/>
            <w:gridSpan w:val="2"/>
          </w:tcPr>
          <w:p>
            <w:pPr>
              <w:ind w:left="440"/>
              <w:spacing w:after="0"/>
              <w:rPr>
                <w:sz w:val="20"/>
                <w:szCs w:val="20"/>
                <w:color w:val="auto"/>
              </w:rPr>
            </w:pPr>
            <w:r>
              <w:rPr>
                <w:rFonts w:ascii="Arial" w:cs="Arial" w:eastAsia="Arial" w:hAnsi="Arial"/>
                <w:sz w:val="16"/>
                <w:szCs w:val="16"/>
                <w:color w:val="auto"/>
              </w:rPr>
              <w:t>PIK</w:t>
            </w:r>
          </w:p>
        </w:tc>
        <w:tc>
          <w:tcPr>
            <w:tcW w:w="1240" w:type="dxa"/>
            <w:vAlign w:val="bottom"/>
            <w:gridSpan w:val="2"/>
          </w:tcPr>
          <w:p>
            <w:pPr>
              <w:jc w:val="right"/>
              <w:ind w:right="460"/>
              <w:spacing w:after="0"/>
              <w:rPr>
                <w:sz w:val="20"/>
                <w:szCs w:val="20"/>
                <w:color w:val="auto"/>
              </w:rPr>
            </w:pPr>
            <w:r>
              <w:rPr>
                <w:rFonts w:ascii="Arial" w:cs="Arial" w:eastAsia="Arial" w:hAnsi="Arial"/>
                <w:sz w:val="16"/>
                <w:szCs w:val="16"/>
                <w:color w:val="auto"/>
              </w:rPr>
              <w:t>8/7/2015</w:t>
            </w:r>
          </w:p>
        </w:tc>
        <w:tc>
          <w:tcPr>
            <w:tcW w:w="600" w:type="dxa"/>
            <w:vAlign w:val="bottom"/>
          </w:tcPr>
          <w:p>
            <w:pPr>
              <w:jc w:val="right"/>
              <w:spacing w:after="0"/>
              <w:rPr>
                <w:sz w:val="20"/>
                <w:szCs w:val="20"/>
                <w:color w:val="auto"/>
              </w:rPr>
            </w:pPr>
            <w:r>
              <w:rPr>
                <w:rFonts w:ascii="Arial" w:cs="Arial" w:eastAsia="Arial" w:hAnsi="Arial"/>
                <w:sz w:val="16"/>
                <w:szCs w:val="16"/>
                <w:color w:val="auto"/>
              </w:rPr>
              <w:t>31,380</w:t>
            </w: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30,910</w:t>
            </w:r>
          </w:p>
        </w:tc>
        <w:tc>
          <w:tcPr>
            <w:tcW w:w="1320" w:type="dxa"/>
            <w:vAlign w:val="bottom"/>
            <w:gridSpan w:val="3"/>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9"/>
        </w:trPr>
        <w:tc>
          <w:tcPr>
            <w:tcW w:w="330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PayLease, LLC</w:t>
            </w:r>
            <w:r>
              <w:rPr>
                <w:rFonts w:ascii="Arial" w:cs="Arial" w:eastAsia="Arial" w:hAnsi="Arial"/>
                <w:sz w:val="23"/>
                <w:szCs w:val="23"/>
                <w:color w:val="auto"/>
                <w:vertAlign w:val="superscript"/>
              </w:rPr>
              <w:t>(3)</w:t>
            </w: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First-lien loan ($33,639</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264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par, due 3/2020)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(incl. 2.50%</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PIK)</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3/6/2015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32,980</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32,769</w:t>
            </w:r>
          </w:p>
        </w:tc>
        <w:tc>
          <w:tcPr>
            <w:tcW w:w="4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87,222</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86,444</w:t>
            </w:r>
          </w:p>
        </w:tc>
        <w:tc>
          <w:tcPr>
            <w:tcW w:w="4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18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8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000" w:type="dxa"/>
            <w:vAlign w:val="bottom"/>
            <w:gridSpan w:val="3"/>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2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18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5"/>
                <w:szCs w:val="15"/>
                <w:b w:val="1"/>
                <w:bCs w:val="1"/>
                <w:color w:val="auto"/>
              </w:rPr>
              <w:t>Healthcare</w:t>
            </w:r>
          </w:p>
        </w:tc>
        <w:tc>
          <w:tcPr>
            <w:tcW w:w="218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Aesynt Incorporated</w:t>
            </w:r>
            <w:r>
              <w:rPr>
                <w:rFonts w:ascii="Arial" w:cs="Arial" w:eastAsia="Arial" w:hAnsi="Arial"/>
                <w:sz w:val="22"/>
                <w:szCs w:val="22"/>
                <w:color w:val="auto"/>
                <w:vertAlign w:val="superscript"/>
              </w:rPr>
              <w:t>(3)(5)</w:t>
            </w:r>
          </w:p>
        </w:tc>
        <w:tc>
          <w:tcPr>
            <w:tcW w:w="2180" w:type="dxa"/>
            <w:vAlign w:val="bottom"/>
          </w:tcPr>
          <w:p>
            <w:pPr>
              <w:spacing w:after="0"/>
              <w:rPr>
                <w:sz w:val="20"/>
                <w:szCs w:val="20"/>
                <w:color w:val="auto"/>
              </w:rPr>
            </w:pPr>
            <w:r>
              <w:rPr>
                <w:rFonts w:ascii="Arial" w:cs="Arial" w:eastAsia="Arial" w:hAnsi="Arial"/>
                <w:sz w:val="16"/>
                <w:szCs w:val="16"/>
                <w:color w:val="auto"/>
              </w:rPr>
              <w:t>First-lien loan ($33,250</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par, due 5/2019)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5/8/2014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32,598</w:t>
            </w:r>
          </w:p>
        </w:tc>
        <w:tc>
          <w:tcPr>
            <w:tcW w:w="960" w:type="dxa"/>
            <w:vAlign w:val="bottom"/>
          </w:tcPr>
          <w:p>
            <w:pPr>
              <w:jc w:val="right"/>
              <w:spacing w:after="0"/>
              <w:rPr>
                <w:sz w:val="20"/>
                <w:szCs w:val="20"/>
                <w:color w:val="auto"/>
              </w:rPr>
            </w:pPr>
            <w:r>
              <w:rPr>
                <w:rFonts w:ascii="Arial" w:cs="Arial" w:eastAsia="Arial" w:hAnsi="Arial"/>
                <w:sz w:val="16"/>
                <w:szCs w:val="16"/>
                <w:color w:val="auto"/>
              </w:rPr>
              <w:t>33,918</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Helix Health, Ltd.</w:t>
            </w:r>
            <w:r>
              <w:rPr>
                <w:rFonts w:ascii="Arial" w:cs="Arial" w:eastAsia="Arial" w:hAnsi="Arial"/>
                <w:sz w:val="23"/>
                <w:szCs w:val="23"/>
                <w:color w:val="auto"/>
                <w:vertAlign w:val="superscript"/>
              </w:rPr>
              <w:t>(3)(4)</w:t>
            </w: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(EUR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40,572</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35,912 par, due 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42,402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37,349)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First-lien revolving loan (EUR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300 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11.50%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261</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(EUR 400)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MatrixCare, Inc.</w:t>
            </w:r>
            <w:r>
              <w:rPr>
                <w:rFonts w:ascii="Arial" w:cs="Arial" w:eastAsia="Arial" w:hAnsi="Arial"/>
                <w:sz w:val="23"/>
                <w:szCs w:val="23"/>
                <w:color w:val="auto"/>
                <w:vertAlign w:val="superscript"/>
              </w:rPr>
              <w:t>(3)(5)</w:t>
            </w: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12/2021)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12/17/2015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44,184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MedeAnalytics, Inc.</w:t>
            </w:r>
            <w:r>
              <w:rPr>
                <w:rFonts w:ascii="Arial" w:cs="Arial" w:eastAsia="Arial" w:hAnsi="Arial"/>
                <w:sz w:val="22"/>
                <w:szCs w:val="22"/>
                <w:color w:val="auto"/>
                <w:vertAlign w:val="superscript"/>
              </w:rPr>
              <w:t>(3)(5)</w:t>
            </w:r>
          </w:p>
        </w:tc>
        <w:tc>
          <w:tcPr>
            <w:tcW w:w="21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w w:val="94"/>
              </w:rPr>
              <w:t>First-lien loan ($45,411 par, due</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9/2020)</w:t>
            </w: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44,022</w:t>
            </w:r>
          </w:p>
        </w:tc>
        <w:tc>
          <w:tcPr>
            <w:tcW w:w="960" w:type="dxa"/>
            <w:vAlign w:val="bottom"/>
          </w:tcPr>
          <w:p>
            <w:pPr>
              <w:jc w:val="right"/>
              <w:spacing w:after="0"/>
              <w:rPr>
                <w:sz w:val="20"/>
                <w:szCs w:val="20"/>
                <w:color w:val="auto"/>
              </w:rPr>
            </w:pPr>
            <w:r>
              <w:rPr>
                <w:rFonts w:ascii="Arial" w:cs="Arial" w:eastAsia="Arial" w:hAnsi="Arial"/>
                <w:sz w:val="16"/>
                <w:szCs w:val="16"/>
                <w:color w:val="auto"/>
              </w:rPr>
              <w:t>43,708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Mediware Information Systems, Inc.</w:t>
            </w:r>
            <w:r>
              <w:rPr>
                <w:rFonts w:ascii="Arial" w:cs="Arial" w:eastAsia="Arial" w:hAnsi="Arial"/>
                <w:sz w:val="23"/>
                <w:szCs w:val="23"/>
                <w:color w:val="auto"/>
                <w:vertAlign w:val="superscript"/>
              </w:rPr>
              <w:t>(3)(5)</w:t>
            </w: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($67,574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5/2018)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11/9/2012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66,725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SRS Software, LLC</w:t>
            </w:r>
            <w:r>
              <w:rPr>
                <w:rFonts w:ascii="Arial" w:cs="Arial" w:eastAsia="Arial" w:hAnsi="Arial"/>
                <w:sz w:val="22"/>
                <w:szCs w:val="22"/>
                <w:color w:val="auto"/>
                <w:vertAlign w:val="superscript"/>
              </w:rPr>
              <w:t>(3)</w:t>
            </w:r>
          </w:p>
        </w:tc>
        <w:tc>
          <w:tcPr>
            <w:tcW w:w="2180" w:type="dxa"/>
            <w:vAlign w:val="bottom"/>
          </w:tcPr>
          <w:p>
            <w:pPr>
              <w:spacing w:after="0"/>
              <w:rPr>
                <w:sz w:val="20"/>
                <w:szCs w:val="20"/>
                <w:color w:val="auto"/>
              </w:rPr>
            </w:pPr>
            <w:r>
              <w:rPr>
                <w:rFonts w:ascii="Arial" w:cs="Arial" w:eastAsia="Arial" w:hAnsi="Arial"/>
                <w:sz w:val="16"/>
                <w:szCs w:val="16"/>
                <w:color w:val="auto"/>
              </w:rPr>
              <w:t>First-lien loan ($31,875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due 12/2017)</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12/28/2012</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31,508</w:t>
            </w:r>
          </w:p>
        </w:tc>
        <w:tc>
          <w:tcPr>
            <w:tcW w:w="960" w:type="dxa"/>
            <w:vAlign w:val="bottom"/>
          </w:tcPr>
          <w:p>
            <w:pPr>
              <w:jc w:val="right"/>
              <w:spacing w:after="0"/>
              <w:rPr>
                <w:sz w:val="20"/>
                <w:szCs w:val="20"/>
                <w:color w:val="auto"/>
              </w:rPr>
            </w:pPr>
            <w:r>
              <w:rPr>
                <w:rFonts w:ascii="Arial" w:cs="Arial" w:eastAsia="Arial" w:hAnsi="Arial"/>
                <w:sz w:val="16"/>
                <w:szCs w:val="16"/>
                <w:color w:val="auto"/>
              </w:rPr>
              <w:t>31,477</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revolving loan ($2,000</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par, due 12/2017)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12/28/2012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263,655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264,398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Hotel, gaming, and leisure</w:t>
            </w:r>
          </w:p>
        </w:tc>
        <w:tc>
          <w:tcPr>
            <w:tcW w:w="2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CrunchTime Information Systems, Inc.</w:t>
            </w:r>
            <w:r>
              <w:rPr>
                <w:rFonts w:ascii="Arial" w:cs="Arial" w:eastAsia="Arial" w:hAnsi="Arial"/>
                <w:sz w:val="22"/>
                <w:szCs w:val="22"/>
                <w:color w:val="auto"/>
                <w:vertAlign w:val="superscript"/>
              </w:rPr>
              <w:t>(3)</w:t>
            </w:r>
          </w:p>
        </w:tc>
        <w:tc>
          <w:tcPr>
            <w:tcW w:w="2180" w:type="dxa"/>
            <w:vAlign w:val="bottom"/>
          </w:tcPr>
          <w:p>
            <w:pPr>
              <w:spacing w:after="0"/>
              <w:rPr>
                <w:sz w:val="20"/>
                <w:szCs w:val="20"/>
                <w:color w:val="auto"/>
              </w:rPr>
            </w:pPr>
            <w:r>
              <w:rPr>
                <w:rFonts w:ascii="Arial" w:cs="Arial" w:eastAsia="Arial" w:hAnsi="Arial"/>
                <w:sz w:val="16"/>
                <w:szCs w:val="16"/>
                <w:color w:val="auto"/>
                <w:w w:val="94"/>
              </w:rPr>
              <w:t>First-lien loan ($25,452 par, due</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4/2020)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4/16/2015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24,873</w:t>
            </w:r>
          </w:p>
        </w:tc>
        <w:tc>
          <w:tcPr>
            <w:tcW w:w="960" w:type="dxa"/>
            <w:vAlign w:val="bottom"/>
          </w:tcPr>
          <w:p>
            <w:pPr>
              <w:jc w:val="right"/>
              <w:spacing w:after="0"/>
              <w:rPr>
                <w:sz w:val="20"/>
                <w:szCs w:val="20"/>
                <w:color w:val="auto"/>
              </w:rPr>
            </w:pPr>
            <w:r>
              <w:rPr>
                <w:rFonts w:ascii="Arial" w:cs="Arial" w:eastAsia="Arial" w:hAnsi="Arial"/>
                <w:sz w:val="16"/>
                <w:szCs w:val="16"/>
                <w:color w:val="auto"/>
              </w:rPr>
              <w:t>24,200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(3)(7)</w:t>
            </w: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First-lien loan ($20,260 par, due</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10.10%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(incl. 5.00%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180" w:type="dxa"/>
            <w:vAlign w:val="bottom"/>
            <w:tcBorders>
              <w:righ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9/29/2015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20,260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auto"/>
                <w:w w:val="99"/>
              </w:rPr>
              <w:t>First-lien revolver loan ($7,448</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5.00%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9/29/2015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7,448</w:t>
            </w:r>
          </w:p>
        </w:tc>
        <w:tc>
          <w:tcPr>
            <w:tcW w:w="960" w:type="dxa"/>
            <w:vAlign w:val="bottom"/>
          </w:tcPr>
          <w:p>
            <w:pPr>
              <w:jc w:val="right"/>
              <w:spacing w:after="0"/>
              <w:rPr>
                <w:sz w:val="20"/>
                <w:szCs w:val="20"/>
                <w:color w:val="auto"/>
              </w:rPr>
            </w:pPr>
            <w:r>
              <w:rPr>
                <w:rFonts w:ascii="Arial" w:cs="Arial" w:eastAsia="Arial" w:hAnsi="Arial"/>
                <w:sz w:val="16"/>
                <w:szCs w:val="16"/>
                <w:color w:val="auto"/>
              </w:rPr>
              <w:t>7,169</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Soho House</w:t>
            </w:r>
            <w:r>
              <w:rPr>
                <w:rFonts w:ascii="Arial" w:cs="Arial" w:eastAsia="Arial" w:hAnsi="Arial"/>
                <w:sz w:val="23"/>
                <w:szCs w:val="23"/>
                <w:color w:val="auto"/>
                <w:vertAlign w:val="superscript"/>
              </w:rPr>
              <w:t>(4)</w:t>
            </w: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Second-lien bond (GBP 20,375</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30,781</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par, due 10/2018)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9/20/2013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33,055</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(GBP 20,884)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85,636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81,650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Human Resource Support</w:t>
            </w:r>
          </w:p>
        </w:tc>
        <w:tc>
          <w:tcPr>
            <w:tcW w:w="218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Services</w:t>
            </w:r>
          </w:p>
        </w:tc>
        <w:tc>
          <w:tcPr>
            <w:tcW w:w="218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Saba Software, Inc.</w:t>
            </w:r>
            <w:r>
              <w:rPr>
                <w:rFonts w:ascii="Arial" w:cs="Arial" w:eastAsia="Arial" w:hAnsi="Arial"/>
                <w:sz w:val="22"/>
                <w:szCs w:val="22"/>
                <w:color w:val="auto"/>
                <w:vertAlign w:val="superscript"/>
              </w:rPr>
              <w:t>(3)(5)</w:t>
            </w:r>
          </w:p>
        </w:tc>
        <w:tc>
          <w:tcPr>
            <w:tcW w:w="2180" w:type="dxa"/>
            <w:vAlign w:val="bottom"/>
          </w:tcPr>
          <w:p>
            <w:pPr>
              <w:spacing w:after="0"/>
              <w:rPr>
                <w:sz w:val="20"/>
                <w:szCs w:val="20"/>
                <w:color w:val="auto"/>
              </w:rPr>
            </w:pPr>
            <w:r>
              <w:rPr>
                <w:rFonts w:ascii="Arial" w:cs="Arial" w:eastAsia="Arial" w:hAnsi="Arial"/>
                <w:sz w:val="16"/>
                <w:szCs w:val="16"/>
                <w:color w:val="auto"/>
              </w:rPr>
              <w:t>First-lien loan ($54,725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due 3/2021)</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3/30/2015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54,141</w:t>
            </w:r>
          </w:p>
        </w:tc>
        <w:tc>
          <w:tcPr>
            <w:tcW w:w="960" w:type="dxa"/>
            <w:vAlign w:val="bottom"/>
          </w:tcPr>
          <w:p>
            <w:pPr>
              <w:jc w:val="right"/>
              <w:spacing w:after="0"/>
              <w:rPr>
                <w:sz w:val="20"/>
                <w:szCs w:val="20"/>
                <w:color w:val="auto"/>
              </w:rPr>
            </w:pPr>
            <w:r>
              <w:rPr>
                <w:rFonts w:ascii="Arial" w:cs="Arial" w:eastAsia="Arial" w:hAnsi="Arial"/>
                <w:sz w:val="16"/>
                <w:szCs w:val="16"/>
                <w:color w:val="auto"/>
              </w:rPr>
              <w:t>53,767</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Skillsoft</w:t>
            </w:r>
            <w:r>
              <w:rPr>
                <w:rFonts w:ascii="Arial" w:cs="Arial" w:eastAsia="Arial" w:hAnsi="Arial"/>
                <w:sz w:val="23"/>
                <w:szCs w:val="23"/>
                <w:color w:val="auto"/>
                <w:vertAlign w:val="superscript"/>
              </w:rPr>
              <w:t>(3)</w:t>
            </w: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($500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4/2021)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54,579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54,152</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Insurance</w:t>
            </w:r>
          </w:p>
        </w:tc>
        <w:tc>
          <w:tcPr>
            <w:tcW w:w="2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Insurity, Inc.</w:t>
            </w:r>
            <w:r>
              <w:rPr>
                <w:rFonts w:ascii="Arial" w:cs="Arial" w:eastAsia="Arial" w:hAnsi="Arial"/>
                <w:sz w:val="22"/>
                <w:szCs w:val="22"/>
                <w:color w:val="auto"/>
                <w:vertAlign w:val="superscript"/>
              </w:rPr>
              <w:t>(3)(5)</w:t>
            </w:r>
          </w:p>
        </w:tc>
        <w:tc>
          <w:tcPr>
            <w:tcW w:w="2180" w:type="dxa"/>
            <w:vAlign w:val="bottom"/>
          </w:tcPr>
          <w:p>
            <w:pPr>
              <w:spacing w:after="0"/>
              <w:rPr>
                <w:sz w:val="20"/>
                <w:szCs w:val="20"/>
                <w:color w:val="auto"/>
              </w:rPr>
            </w:pPr>
            <w:r>
              <w:rPr>
                <w:rFonts w:ascii="Arial" w:cs="Arial" w:eastAsia="Arial" w:hAnsi="Arial"/>
                <w:sz w:val="16"/>
                <w:szCs w:val="16"/>
                <w:color w:val="auto"/>
              </w:rPr>
              <w:t>First-lien loan ($65,452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due 10/2020)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10/31/2014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64,782</w:t>
            </w:r>
          </w:p>
        </w:tc>
        <w:tc>
          <w:tcPr>
            <w:tcW w:w="960" w:type="dxa"/>
            <w:vAlign w:val="bottom"/>
          </w:tcPr>
          <w:p>
            <w:pPr>
              <w:jc w:val="right"/>
              <w:spacing w:after="0"/>
              <w:rPr>
                <w:sz w:val="20"/>
                <w:szCs w:val="20"/>
                <w:color w:val="auto"/>
              </w:rPr>
            </w:pPr>
            <w:r>
              <w:rPr>
                <w:rFonts w:ascii="Arial" w:cs="Arial" w:eastAsia="Arial" w:hAnsi="Arial"/>
                <w:sz w:val="16"/>
                <w:szCs w:val="16"/>
                <w:color w:val="auto"/>
              </w:rPr>
              <w:t>63,980</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8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Internet Services</w:t>
            </w:r>
          </w:p>
        </w:tc>
        <w:tc>
          <w:tcPr>
            <w:tcW w:w="2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22"/>
                <w:szCs w:val="22"/>
                <w:color w:val="auto"/>
                <w:vertAlign w:val="superscript"/>
              </w:rPr>
              <w:t>(3)</w:t>
            </w:r>
          </w:p>
        </w:tc>
        <w:tc>
          <w:tcPr>
            <w:tcW w:w="2180" w:type="dxa"/>
            <w:vAlign w:val="bottom"/>
          </w:tcPr>
          <w:p>
            <w:pPr>
              <w:spacing w:after="0"/>
              <w:rPr>
                <w:sz w:val="20"/>
                <w:szCs w:val="20"/>
                <w:color w:val="auto"/>
              </w:rPr>
            </w:pPr>
            <w:r>
              <w:rPr>
                <w:rFonts w:ascii="Arial" w:cs="Arial" w:eastAsia="Arial" w:hAnsi="Arial"/>
                <w:sz w:val="16"/>
                <w:szCs w:val="16"/>
                <w:color w:val="auto"/>
                <w:w w:val="94"/>
              </w:rPr>
              <w:t>First-lien loan ($50,987 par, due</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7/2018)</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3/7/2014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50,474</w:t>
            </w:r>
          </w:p>
        </w:tc>
        <w:tc>
          <w:tcPr>
            <w:tcW w:w="960" w:type="dxa"/>
            <w:vAlign w:val="bottom"/>
          </w:tcPr>
          <w:p>
            <w:pPr>
              <w:jc w:val="right"/>
              <w:spacing w:after="0"/>
              <w:rPr>
                <w:sz w:val="20"/>
                <w:szCs w:val="20"/>
                <w:color w:val="auto"/>
              </w:rPr>
            </w:pPr>
            <w:r>
              <w:rPr>
                <w:rFonts w:ascii="Arial" w:cs="Arial" w:eastAsia="Arial" w:hAnsi="Arial"/>
                <w:sz w:val="16"/>
                <w:szCs w:val="16"/>
                <w:color w:val="auto"/>
              </w:rPr>
              <w:t>50,095</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First-lien revolving loan ($2,800</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par, due 7/2018)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53,249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52,843</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Manufacturing</w:t>
            </w:r>
          </w:p>
        </w:tc>
        <w:tc>
          <w:tcPr>
            <w:tcW w:w="218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80" w:type="dxa"/>
            <w:vAlign w:val="bottom"/>
            <w:gridSpan w:val="2"/>
          </w:tcPr>
          <w:p>
            <w:pPr>
              <w:spacing w:after="0" w:line="192"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22"/>
                <w:szCs w:val="22"/>
                <w:color w:val="auto"/>
                <w:vertAlign w:val="superscript"/>
              </w:rPr>
              <w:t>(3)(4)(5)</w:t>
            </w:r>
          </w:p>
        </w:tc>
        <w:tc>
          <w:tcPr>
            <w:tcW w:w="2180" w:type="dxa"/>
            <w:vAlign w:val="bottom"/>
          </w:tcPr>
          <w:p>
            <w:pPr>
              <w:spacing w:after="0"/>
              <w:rPr>
                <w:sz w:val="20"/>
                <w:szCs w:val="20"/>
                <w:color w:val="auto"/>
              </w:rPr>
            </w:pPr>
            <w:r>
              <w:rPr>
                <w:rFonts w:ascii="Arial" w:cs="Arial" w:eastAsia="Arial" w:hAnsi="Arial"/>
                <w:sz w:val="16"/>
                <w:szCs w:val="16"/>
                <w:color w:val="auto"/>
              </w:rPr>
              <w:t>First-lien loan (SEK</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23,470</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192,573 par, due 3/2019)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6/5/2013</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29,289</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(SEK 197,869)</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0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1140" w:type="dxa"/>
            <w:vAlign w:val="bottom"/>
            <w:gridSpan w:val="2"/>
          </w:tcPr>
          <w:p>
            <w:pPr>
              <w:jc w:val="right"/>
              <w:ind w:right="62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840" w:type="dxa"/>
            <w:vAlign w:val="bottom"/>
            <w:gridSpan w:val="3"/>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40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gridSpan w:val="2"/>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Office products</w:t>
            </w:r>
          </w:p>
        </w:tc>
        <w:tc>
          <w:tcPr>
            <w:tcW w:w="240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($36,811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3/11/2014</w:t>
            </w:r>
          </w:p>
        </w:tc>
        <w:tc>
          <w:tcPr>
            <w:tcW w:w="660" w:type="dxa"/>
            <w:vAlign w:val="bottom"/>
          </w:tcPr>
          <w:p>
            <w:pPr>
              <w:jc w:val="right"/>
              <w:spacing w:after="0"/>
              <w:rPr>
                <w:sz w:val="20"/>
                <w:szCs w:val="20"/>
                <w:color w:val="auto"/>
              </w:rPr>
            </w:pPr>
            <w:r>
              <w:rPr>
                <w:rFonts w:ascii="Arial" w:cs="Arial" w:eastAsia="Arial" w:hAnsi="Arial"/>
                <w:sz w:val="16"/>
                <w:szCs w:val="16"/>
                <w:color w:val="auto"/>
              </w:rPr>
              <w:t>36,579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36,370</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Oil, gas and consumable fuels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Key Energy Services</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($13,504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6/2020)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10.25%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5/27/2015</w:t>
            </w:r>
          </w:p>
        </w:tc>
        <w:tc>
          <w:tcPr>
            <w:tcW w:w="660" w:type="dxa"/>
            <w:vAlign w:val="bottom"/>
          </w:tcPr>
          <w:p>
            <w:pPr>
              <w:jc w:val="right"/>
              <w:spacing w:after="0"/>
              <w:rPr>
                <w:sz w:val="20"/>
                <w:szCs w:val="20"/>
                <w:color w:val="auto"/>
              </w:rPr>
            </w:pPr>
            <w:r>
              <w:rPr>
                <w:rFonts w:ascii="Arial" w:cs="Arial" w:eastAsia="Arial" w:hAnsi="Arial"/>
                <w:sz w:val="16"/>
                <w:szCs w:val="16"/>
                <w:color w:val="auto"/>
              </w:rPr>
              <w:t>13,043</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10,533</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23"/>
                <w:szCs w:val="23"/>
                <w:color w:val="auto"/>
                <w:vertAlign w:val="superscript"/>
              </w:rPr>
              <w:t>(3)(7)</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($46,679 par,</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13.00%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6/2018)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(incl. 1.50%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6/4/2014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36,682</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59,124</w:t>
            </w:r>
          </w:p>
        </w:tc>
        <w:tc>
          <w:tcPr>
            <w:tcW w:w="3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47,215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tcPr>
          <w:p>
            <w:pPr>
              <w:spacing w:after="0" w:line="192" w:lineRule="exact"/>
              <w:rPr>
                <w:sz w:val="20"/>
                <w:szCs w:val="20"/>
                <w:color w:val="auto"/>
              </w:rPr>
            </w:pPr>
            <w:r>
              <w:rPr>
                <w:rFonts w:ascii="Arial" w:cs="Arial" w:eastAsia="Arial" w:hAnsi="Arial"/>
                <w:sz w:val="14"/>
                <w:szCs w:val="14"/>
                <w:color w:val="auto"/>
              </w:rPr>
              <w:t>Nektar Therapeutics</w:t>
            </w:r>
            <w:r>
              <w:rPr>
                <w:rFonts w:ascii="Arial" w:cs="Arial" w:eastAsia="Arial" w:hAnsi="Arial"/>
                <w:sz w:val="22"/>
                <w:szCs w:val="22"/>
                <w:color w:val="auto"/>
                <w:vertAlign w:val="superscript"/>
              </w:rPr>
              <w:t>(4)(5)(9)</w:t>
            </w:r>
          </w:p>
        </w:tc>
        <w:tc>
          <w:tcPr>
            <w:tcW w:w="2400" w:type="dxa"/>
            <w:vAlign w:val="bottom"/>
          </w:tcPr>
          <w:p>
            <w:pPr>
              <w:spacing w:after="0"/>
              <w:rPr>
                <w:sz w:val="20"/>
                <w:szCs w:val="20"/>
                <w:color w:val="auto"/>
              </w:rPr>
            </w:pPr>
            <w:r>
              <w:rPr>
                <w:rFonts w:ascii="Arial" w:cs="Arial" w:eastAsia="Arial" w:hAnsi="Arial"/>
                <w:sz w:val="16"/>
                <w:szCs w:val="16"/>
                <w:color w:val="auto"/>
              </w:rPr>
              <w:t>Secured note ($74,950 par, due</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10/2020)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10/5/2015</w:t>
            </w:r>
          </w:p>
        </w:tc>
        <w:tc>
          <w:tcPr>
            <w:tcW w:w="660" w:type="dxa"/>
            <w:vAlign w:val="bottom"/>
          </w:tcPr>
          <w:p>
            <w:pPr>
              <w:jc w:val="right"/>
              <w:spacing w:after="0"/>
              <w:rPr>
                <w:sz w:val="20"/>
                <w:szCs w:val="20"/>
                <w:color w:val="auto"/>
              </w:rPr>
            </w:pPr>
            <w:r>
              <w:rPr>
                <w:rFonts w:ascii="Arial" w:cs="Arial" w:eastAsia="Arial" w:hAnsi="Arial"/>
                <w:sz w:val="16"/>
                <w:szCs w:val="16"/>
                <w:color w:val="auto"/>
              </w:rPr>
              <w:t>74,005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73,076</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20" w:type="dxa"/>
            <w:vAlign w:val="bottom"/>
            <w:gridSpan w:val="2"/>
            <w:shd w:val="clear" w:color="auto" w:fill="CCEEFF"/>
          </w:tcPr>
          <w:p>
            <w:pPr>
              <w:ind w:left="300"/>
              <w:spacing w:after="0" w:line="165" w:lineRule="exact"/>
              <w:rPr>
                <w:sz w:val="20"/>
                <w:szCs w:val="20"/>
                <w:color w:val="auto"/>
              </w:rPr>
            </w:pPr>
            <w:r>
              <w:rPr>
                <w:rFonts w:ascii="Arial" w:cs="Arial" w:eastAsia="Arial" w:hAnsi="Arial"/>
                <w:sz w:val="15"/>
                <w:szCs w:val="15"/>
                <w:b w:val="1"/>
                <w:bCs w:val="1"/>
                <w:color w:val="auto"/>
              </w:rPr>
              <w:t>Real Estate</w:t>
            </w: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8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JL Secured Promissory Note</w:t>
            </w:r>
          </w:p>
        </w:tc>
        <w:tc>
          <w:tcPr>
            <w:tcW w:w="2400" w:type="dxa"/>
            <w:vAlign w:val="bottom"/>
            <w:tcBorders>
              <w:right w:val="single" w:sz="8" w:color="CCEEFF"/>
            </w:tcBorders>
            <w:shd w:val="clear" w:color="auto" w:fill="CCEEFF"/>
          </w:tcPr>
          <w:p>
            <w:pPr>
              <w:spacing w:after="0" w:line="6" w:lineRule="exact"/>
              <w:rPr>
                <w:sz w:val="20"/>
                <w:szCs w:val="20"/>
                <w:color w:val="auto"/>
              </w:rPr>
            </w:pPr>
            <w:r>
              <w:rPr>
                <w:rFonts w:ascii="Arial" w:cs="Arial" w:eastAsia="Arial" w:hAnsi="Arial"/>
                <w:sz w:val="1"/>
                <w:szCs w:val="1"/>
                <w:color w:val="auto"/>
              </w:rPr>
              <w:t>Secured note ($10,224 par, due</w:t>
            </w:r>
          </w:p>
        </w:tc>
        <w:tc>
          <w:tcPr>
            <w:tcW w:w="114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7.00%</w:t>
            </w:r>
          </w:p>
        </w:tc>
        <w:tc>
          <w:tcPr>
            <w:tcW w:w="7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gridSpan w:val="3"/>
          </w:tcPr>
          <w:p>
            <w:pPr>
              <w:jc w:val="right"/>
              <w:ind w:right="1920"/>
              <w:spacing w:after="0"/>
              <w:rPr>
                <w:sz w:val="20"/>
                <w:szCs w:val="20"/>
                <w:color w:val="auto"/>
              </w:rPr>
            </w:pPr>
            <w:r>
              <w:rPr>
                <w:rFonts w:ascii="Arial" w:cs="Arial" w:eastAsia="Arial" w:hAnsi="Arial"/>
                <w:sz w:val="13"/>
                <w:szCs w:val="13"/>
                <w:color w:val="auto"/>
              </w:rPr>
              <w:t>(4)</w:t>
            </w:r>
          </w:p>
        </w:tc>
        <w:tc>
          <w:tcPr>
            <w:tcW w:w="2400" w:type="dxa"/>
            <w:vAlign w:val="bottom"/>
            <w:vMerge w:val="restart"/>
          </w:tcPr>
          <w:p>
            <w:pPr>
              <w:spacing w:after="0"/>
              <w:rPr>
                <w:sz w:val="20"/>
                <w:szCs w:val="20"/>
                <w:color w:val="auto"/>
              </w:rPr>
            </w:pPr>
            <w:r>
              <w:rPr>
                <w:rFonts w:ascii="Arial" w:cs="Arial" w:eastAsia="Arial" w:hAnsi="Arial"/>
                <w:sz w:val="15"/>
                <w:szCs w:val="15"/>
                <w:color w:val="auto"/>
              </w:rPr>
              <w:t>9/2017)</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5"/>
                <w:szCs w:val="15"/>
                <w:color w:val="auto"/>
              </w:rPr>
              <w:t>PIK</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9/29/2015</w:t>
            </w:r>
          </w:p>
        </w:tc>
        <w:tc>
          <w:tcPr>
            <w:tcW w:w="660" w:type="dxa"/>
            <w:vAlign w:val="bottom"/>
          </w:tcPr>
          <w:p>
            <w:pPr>
              <w:jc w:val="right"/>
              <w:spacing w:after="0"/>
              <w:rPr>
                <w:sz w:val="20"/>
                <w:szCs w:val="20"/>
                <w:color w:val="auto"/>
              </w:rPr>
            </w:pPr>
            <w:r>
              <w:rPr>
                <w:rFonts w:ascii="Arial" w:cs="Arial" w:eastAsia="Arial" w:hAnsi="Arial"/>
                <w:sz w:val="15"/>
                <w:szCs w:val="15"/>
                <w:color w:val="auto"/>
              </w:rPr>
              <w:t>10,224</w:t>
            </w:r>
          </w:p>
        </w:tc>
        <w:tc>
          <w:tcPr>
            <w:tcW w:w="3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10,224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2400" w:type="dxa"/>
            <w:vAlign w:val="bottom"/>
          </w:tcPr>
          <w:p>
            <w:pPr>
              <w:spacing w:after="0" w:line="149" w:lineRule="exact"/>
              <w:rPr>
                <w:sz w:val="20"/>
                <w:szCs w:val="20"/>
                <w:color w:val="auto"/>
              </w:rPr>
            </w:pPr>
            <w:r>
              <w:rPr>
                <w:rFonts w:ascii="Arial" w:cs="Arial" w:eastAsia="Arial" w:hAnsi="Arial"/>
                <w:sz w:val="15"/>
                <w:szCs w:val="15"/>
                <w:color w:val="auto"/>
              </w:rPr>
              <w:t>First-lien loan ($25,000 par, due</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9/2020)</w:t>
            </w:r>
          </w:p>
        </w:tc>
        <w:tc>
          <w:tcPr>
            <w:tcW w:w="1140" w:type="dxa"/>
            <w:vAlign w:val="bottom"/>
            <w:gridSpan w:val="2"/>
          </w:tcPr>
          <w:p>
            <w:pPr>
              <w:jc w:val="right"/>
              <w:ind w:right="300"/>
              <w:spacing w:after="0"/>
              <w:rPr>
                <w:sz w:val="20"/>
                <w:szCs w:val="20"/>
                <w:color w:val="auto"/>
              </w:rPr>
            </w:pPr>
            <w:r>
              <w:rPr>
                <w:rFonts w:ascii="Arial" w:cs="Arial" w:eastAsia="Arial" w:hAnsi="Arial"/>
                <w:sz w:val="15"/>
                <w:szCs w:val="15"/>
                <w:color w:val="auto"/>
              </w:rPr>
              <w:t>8.25%</w:t>
            </w: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9/30/2015</w:t>
            </w:r>
          </w:p>
        </w:tc>
        <w:tc>
          <w:tcPr>
            <w:tcW w:w="660" w:type="dxa"/>
            <w:vAlign w:val="bottom"/>
          </w:tcPr>
          <w:p>
            <w:pPr>
              <w:jc w:val="right"/>
              <w:spacing w:after="0"/>
              <w:rPr>
                <w:sz w:val="20"/>
                <w:szCs w:val="20"/>
                <w:color w:val="auto"/>
              </w:rPr>
            </w:pPr>
            <w:r>
              <w:rPr>
                <w:rFonts w:ascii="Arial" w:cs="Arial" w:eastAsia="Arial" w:hAnsi="Arial"/>
                <w:sz w:val="15"/>
                <w:szCs w:val="15"/>
                <w:color w:val="auto"/>
              </w:rPr>
              <w:t>24,664</w:t>
            </w:r>
          </w:p>
        </w:tc>
        <w:tc>
          <w:tcPr>
            <w:tcW w:w="3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24,563</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Quiksilver - Boardriders SA</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Bond (EUR 7,599 par, due 12/2017)</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8.88%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5/26/2015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8,062</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(EUR 7,181)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Sears</w:t>
            </w:r>
            <w:r>
              <w:rPr>
                <w:rFonts w:ascii="Arial" w:cs="Arial" w:eastAsia="Arial" w:hAnsi="Arial"/>
                <w:sz w:val="13"/>
                <w:szCs w:val="13"/>
                <w:color w:val="auto"/>
              </w:rPr>
              <w:t>(4)(6)</w:t>
            </w:r>
          </w:p>
        </w:tc>
        <w:tc>
          <w:tcPr>
            <w:tcW w:w="2400" w:type="dxa"/>
            <w:vAlign w:val="bottom"/>
          </w:tcPr>
          <w:p>
            <w:pPr>
              <w:spacing w:after="0"/>
              <w:rPr>
                <w:sz w:val="20"/>
                <w:szCs w:val="20"/>
                <w:color w:val="auto"/>
              </w:rPr>
            </w:pPr>
            <w:r>
              <w:rPr>
                <w:rFonts w:ascii="Arial" w:cs="Arial" w:eastAsia="Arial" w:hAnsi="Arial"/>
                <w:sz w:val="16"/>
                <w:szCs w:val="16"/>
                <w:color w:val="auto"/>
                <w:w w:val="96"/>
              </w:rPr>
              <w:t>First-lien ABL revolving loan ($303</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par, due 4/2016)</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2.84%</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4/15/2015</w:t>
            </w:r>
          </w:p>
        </w:tc>
        <w:tc>
          <w:tcPr>
            <w:tcW w:w="660" w:type="dxa"/>
            <w:vAlign w:val="bottom"/>
          </w:tcPr>
          <w:p>
            <w:pPr>
              <w:jc w:val="right"/>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257</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Sports Authority</w:t>
            </w:r>
            <w:r>
              <w:rPr>
                <w:rFonts w:ascii="Arial" w:cs="Arial" w:eastAsia="Arial" w:hAnsi="Arial"/>
                <w:sz w:val="23"/>
                <w:szCs w:val="23"/>
                <w:color w:val="auto"/>
                <w:vertAlign w:val="superscript"/>
              </w:rPr>
              <w:t>(3)(5)</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ABL FILO term loan ($45,000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6/2017)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7.40%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11/3/2015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44,249</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2400" w:type="dxa"/>
            <w:vAlign w:val="bottom"/>
          </w:tcPr>
          <w:p>
            <w:pPr>
              <w:spacing w:after="0" w:line="149" w:lineRule="exact"/>
              <w:rPr>
                <w:sz w:val="20"/>
                <w:szCs w:val="20"/>
                <w:color w:val="auto"/>
              </w:rPr>
            </w:pPr>
            <w:r>
              <w:rPr>
                <w:rFonts w:ascii="Arial" w:cs="Arial" w:eastAsia="Arial" w:hAnsi="Arial"/>
                <w:sz w:val="15"/>
                <w:szCs w:val="15"/>
                <w:color w:val="auto"/>
              </w:rPr>
              <w:t>ABL FILO term loan ($51,000 par,</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due 10/2019)</w:t>
            </w:r>
          </w:p>
        </w:tc>
        <w:tc>
          <w:tcPr>
            <w:tcW w:w="1140" w:type="dxa"/>
            <w:vAlign w:val="bottom"/>
            <w:gridSpan w:val="2"/>
          </w:tcPr>
          <w:p>
            <w:pPr>
              <w:jc w:val="right"/>
              <w:ind w:right="300"/>
              <w:spacing w:after="0"/>
              <w:rPr>
                <w:sz w:val="20"/>
                <w:szCs w:val="20"/>
                <w:color w:val="auto"/>
              </w:rPr>
            </w:pPr>
            <w:r>
              <w:rPr>
                <w:rFonts w:ascii="Arial" w:cs="Arial" w:eastAsia="Arial" w:hAnsi="Arial"/>
                <w:sz w:val="15"/>
                <w:szCs w:val="15"/>
                <w:color w:val="auto"/>
              </w:rPr>
              <w:t>8.25%</w:t>
            </w: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10/9/2014</w:t>
            </w:r>
          </w:p>
        </w:tc>
        <w:tc>
          <w:tcPr>
            <w:tcW w:w="660" w:type="dxa"/>
            <w:vAlign w:val="bottom"/>
          </w:tcPr>
          <w:p>
            <w:pPr>
              <w:jc w:val="right"/>
              <w:spacing w:after="0"/>
              <w:rPr>
                <w:sz w:val="20"/>
                <w:szCs w:val="20"/>
                <w:color w:val="auto"/>
              </w:rPr>
            </w:pPr>
            <w:r>
              <w:rPr>
                <w:rFonts w:ascii="Arial" w:cs="Arial" w:eastAsia="Arial" w:hAnsi="Arial"/>
                <w:sz w:val="15"/>
                <w:szCs w:val="15"/>
                <w:color w:val="auto"/>
              </w:rPr>
              <w:t>50,313</w:t>
            </w:r>
          </w:p>
        </w:tc>
        <w:tc>
          <w:tcPr>
            <w:tcW w:w="3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5"/>
                <w:szCs w:val="15"/>
                <w:color w:val="auto"/>
              </w:rPr>
              <w:t>49,470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127,404</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125,853</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Carrix, Inc.</w:t>
            </w:r>
            <w:r>
              <w:rPr>
                <w:rFonts w:ascii="Arial" w:cs="Arial" w:eastAsia="Arial" w:hAnsi="Arial"/>
                <w:sz w:val="22"/>
                <w:szCs w:val="22"/>
                <w:color w:val="auto"/>
                <w:vertAlign w:val="superscript"/>
              </w:rPr>
              <w:t>(3)</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($13,441 par,</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3/17/2015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12,631</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2"/>
        </w:trPr>
        <w:tc>
          <w:tcPr>
            <w:tcW w:w="20" w:type="dxa"/>
            <w:vAlign w:val="bottom"/>
          </w:tcPr>
          <w:p>
            <w:pPr>
              <w:spacing w:after="0" w:line="20" w:lineRule="exact"/>
              <w:rPr>
                <w:sz w:val="1"/>
                <w:szCs w:val="1"/>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Kewill, Ltd.</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
                <w:szCs w:val="1"/>
                <w:color w:val="auto"/>
              </w:rPr>
              <w:t>Second-lien loan ($62,500 par,</w:t>
            </w:r>
          </w:p>
        </w:tc>
        <w:tc>
          <w:tcPr>
            <w:tcW w:w="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gridSpan w:val="3"/>
          </w:tcPr>
          <w:p>
            <w:pPr>
              <w:jc w:val="right"/>
              <w:ind w:right="2780"/>
              <w:spacing w:after="0"/>
              <w:rPr>
                <w:sz w:val="20"/>
                <w:szCs w:val="20"/>
                <w:color w:val="auto"/>
              </w:rPr>
            </w:pPr>
            <w:r>
              <w:rPr>
                <w:rFonts w:ascii="Arial" w:cs="Arial" w:eastAsia="Arial" w:hAnsi="Arial"/>
                <w:sz w:val="13"/>
                <w:szCs w:val="13"/>
                <w:color w:val="auto"/>
              </w:rPr>
              <w:t>(3)(4)</w:t>
            </w:r>
          </w:p>
        </w:tc>
        <w:tc>
          <w:tcPr>
            <w:tcW w:w="2400" w:type="dxa"/>
            <w:vAlign w:val="bottom"/>
            <w:vMerge w:val="restart"/>
          </w:tcPr>
          <w:p>
            <w:pPr>
              <w:spacing w:after="0"/>
              <w:rPr>
                <w:sz w:val="20"/>
                <w:szCs w:val="20"/>
                <w:color w:val="auto"/>
              </w:rPr>
            </w:pPr>
            <w:r>
              <w:rPr>
                <w:rFonts w:ascii="Arial" w:cs="Arial" w:eastAsia="Arial" w:hAnsi="Arial"/>
                <w:sz w:val="15"/>
                <w:szCs w:val="15"/>
                <w:color w:val="auto"/>
              </w:rPr>
              <w:t>due 10/2019)</w:t>
            </w: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9.50%</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10/2/2013</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61,614</w:t>
            </w:r>
          </w:p>
        </w:tc>
        <w:tc>
          <w:tcPr>
            <w:tcW w:w="300" w:type="dxa"/>
            <w:vAlign w:val="bottom"/>
          </w:tcPr>
          <w:p>
            <w:pPr>
              <w:spacing w:after="0"/>
              <w:rPr>
                <w:sz w:val="14"/>
                <w:szCs w:val="14"/>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59,531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74,245</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72,031</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1,488,879</w:t>
            </w:r>
          </w:p>
        </w:tc>
        <w:tc>
          <w:tcPr>
            <w:tcW w:w="30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1,459,372</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Business services</w:t>
            </w: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Network Merchants, Inc.</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Non-Voting Preferred Units</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(774,099 units)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9/12/2013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AvidXchange, Inc.</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Series E Preferred Equity (214,132</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shares)</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8/7/2015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3,846</w:t>
            </w: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2"/>
        </w:trPr>
        <w:tc>
          <w:tcPr>
            <w:tcW w:w="20" w:type="dxa"/>
            <w:vAlign w:val="bottom"/>
          </w:tcPr>
          <w:p>
            <w:pPr>
              <w:spacing w:after="0" w:line="20" w:lineRule="exact"/>
              <w:rPr>
                <w:sz w:val="1"/>
                <w:szCs w:val="1"/>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TICC Capital Corp.</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
                <w:szCs w:val="1"/>
                <w:color w:val="auto"/>
              </w:rPr>
              <w:t>Common Shares (1,633,660 shares)</w:t>
            </w:r>
          </w:p>
        </w:tc>
        <w:tc>
          <w:tcPr>
            <w:tcW w:w="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
                <w:szCs w:val="1"/>
                <w:color w:val="auto"/>
              </w:rPr>
              <w:t>8/5/2015</w:t>
            </w:r>
          </w:p>
        </w:tc>
        <w:tc>
          <w:tcPr>
            <w:tcW w:w="660" w:type="dxa"/>
            <w:vAlign w:val="bottom"/>
            <w:shd w:val="clear" w:color="auto" w:fill="CCEEFF"/>
          </w:tcPr>
          <w:p>
            <w:pPr>
              <w:jc w:val="right"/>
              <w:spacing w:after="0"/>
              <w:rPr>
                <w:sz w:val="20"/>
                <w:szCs w:val="20"/>
                <w:color w:val="auto"/>
              </w:rPr>
            </w:pPr>
            <w:r>
              <w:rPr>
                <w:rFonts w:ascii="Arial" w:cs="Arial" w:eastAsia="Arial" w:hAnsi="Arial"/>
                <w:sz w:val="1"/>
                <w:szCs w:val="1"/>
                <w:color w:val="auto"/>
              </w:rPr>
              <w:t>10,943</w:t>
            </w: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
                <w:szCs w:val="1"/>
                <w:color w:val="auto"/>
              </w:rPr>
              <w:t>9,933</w:t>
            </w:r>
          </w:p>
        </w:tc>
        <w:tc>
          <w:tcPr>
            <w:tcW w:w="3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
                <w:szCs w:val="1"/>
                <w:color w:val="auto"/>
              </w:rPr>
              <w:t>1.2%</w:t>
            </w:r>
          </w:p>
        </w:tc>
        <w:tc>
          <w:tcPr>
            <w:tcW w:w="0" w:type="dxa"/>
            <w:vAlign w:val="bottom"/>
          </w:tcPr>
          <w:p>
            <w:pPr>
              <w:spacing w:after="0" w:line="20" w:lineRule="exact"/>
              <w:rPr>
                <w:sz w:val="1"/>
                <w:szCs w:val="1"/>
                <w:color w:val="auto"/>
              </w:rPr>
            </w:pPr>
          </w:p>
        </w:tc>
      </w:tr>
      <w:tr>
        <w:trPr>
          <w:trHeight w:val="163"/>
        </w:trPr>
        <w:tc>
          <w:tcPr>
            <w:tcW w:w="3840" w:type="dxa"/>
            <w:vAlign w:val="bottom"/>
            <w:gridSpan w:val="3"/>
          </w:tcPr>
          <w:p>
            <w:pPr>
              <w:jc w:val="right"/>
              <w:ind w:right="2460"/>
              <w:spacing w:after="0"/>
              <w:rPr>
                <w:sz w:val="20"/>
                <w:szCs w:val="20"/>
                <w:color w:val="auto"/>
              </w:rPr>
            </w:pPr>
            <w:r>
              <w:rPr>
                <w:rFonts w:ascii="Arial" w:cs="Arial" w:eastAsia="Arial" w:hAnsi="Arial"/>
                <w:sz w:val="13"/>
                <w:szCs w:val="13"/>
                <w:color w:val="auto"/>
              </w:rPr>
              <w:t>(4)</w:t>
            </w: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240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14,789</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13,779</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2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Healthcare</w:t>
            </w: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Global Healthcare Exchange, LLC</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Shares Class A (598</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shares)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3/11/2014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w w:val="91"/>
              </w:rPr>
              <w:t>Common Shares Class B (196 shares)</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3/11/2014</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137</w:t>
            </w:r>
          </w:p>
        </w:tc>
        <w:tc>
          <w:tcPr>
            <w:tcW w:w="300" w:type="dxa"/>
            <w:vAlign w:val="bottom"/>
          </w:tcPr>
          <w:p>
            <w:pPr>
              <w:spacing w:after="0"/>
              <w:rPr>
                <w:sz w:val="14"/>
                <w:szCs w:val="14"/>
                <w:color w:val="auto"/>
              </w:rPr>
            </w:pPr>
          </w:p>
        </w:tc>
        <w:tc>
          <w:tcPr>
            <w:tcW w:w="114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214</w:t>
            </w:r>
          </w:p>
        </w:tc>
        <w:tc>
          <w:tcPr>
            <w:tcW w:w="86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Helix Health, Ltd.</w:t>
            </w:r>
            <w:r>
              <w:rPr>
                <w:rFonts w:ascii="Arial" w:cs="Arial" w:eastAsia="Arial" w:hAnsi="Arial"/>
                <w:sz w:val="22"/>
                <w:szCs w:val="22"/>
                <w:color w:val="auto"/>
                <w:vertAlign w:val="superscript"/>
              </w:rPr>
              <w:t>(4)</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Warrants</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888)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SRS Parent Corp.</w:t>
            </w:r>
          </w:p>
        </w:tc>
        <w:tc>
          <w:tcPr>
            <w:tcW w:w="2400" w:type="dxa"/>
            <w:vAlign w:val="bottom"/>
          </w:tcPr>
          <w:p>
            <w:pPr>
              <w:spacing w:after="0"/>
              <w:rPr>
                <w:sz w:val="20"/>
                <w:szCs w:val="20"/>
                <w:color w:val="auto"/>
              </w:rPr>
            </w:pPr>
            <w:r>
              <w:rPr>
                <w:rFonts w:ascii="Arial" w:cs="Arial" w:eastAsia="Arial" w:hAnsi="Arial"/>
                <w:sz w:val="16"/>
                <w:szCs w:val="16"/>
                <w:color w:val="auto"/>
              </w:rPr>
              <w:t>Common Shares Class A</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(1,980 shares)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12/28/2012</w:t>
            </w:r>
          </w:p>
        </w:tc>
        <w:tc>
          <w:tcPr>
            <w:tcW w:w="660" w:type="dxa"/>
            <w:vAlign w:val="bottom"/>
          </w:tcPr>
          <w:p>
            <w:pPr>
              <w:jc w:val="right"/>
              <w:spacing w:after="0"/>
              <w:rPr>
                <w:sz w:val="20"/>
                <w:szCs w:val="20"/>
                <w:color w:val="auto"/>
              </w:rPr>
            </w:pPr>
            <w:r>
              <w:rPr>
                <w:rFonts w:ascii="Arial" w:cs="Arial" w:eastAsia="Arial" w:hAnsi="Arial"/>
                <w:sz w:val="16"/>
                <w:szCs w:val="16"/>
                <w:color w:val="auto"/>
              </w:rPr>
              <w:t>1,980</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1,173</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2400" w:type="dxa"/>
            <w:vAlign w:val="bottom"/>
            <w:tcBorders>
              <w:right w:val="single" w:sz="8" w:color="CCEEFF"/>
            </w:tcBorders>
            <w:shd w:val="clear" w:color="auto" w:fill="CCEEFF"/>
          </w:tcPr>
          <w:p>
            <w:pPr>
              <w:spacing w:after="0" w:line="152" w:lineRule="exact"/>
              <w:rPr>
                <w:sz w:val="20"/>
                <w:szCs w:val="20"/>
                <w:color w:val="auto"/>
              </w:rPr>
            </w:pPr>
            <w:r>
              <w:rPr>
                <w:rFonts w:ascii="Arial" w:cs="Arial" w:eastAsia="Arial" w:hAnsi="Arial"/>
                <w:sz w:val="15"/>
                <w:szCs w:val="15"/>
                <w:color w:val="auto"/>
                <w:w w:val="96"/>
              </w:rPr>
              <w:t>Common Shares Class B (2,953,020</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shares)</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30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3,093</w:t>
            </w:r>
          </w:p>
        </w:tc>
        <w:tc>
          <w:tcPr>
            <w:tcW w:w="32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40" w:type="dxa"/>
            <w:vAlign w:val="bottom"/>
            <w:gridSpan w:val="2"/>
            <w:vMerge w:val="restart"/>
          </w:tcPr>
          <w:p>
            <w:pPr>
              <w:ind w:left="90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20" w:type="dxa"/>
            <w:vAlign w:val="bottom"/>
          </w:tcPr>
          <w:p>
            <w:pPr>
              <w:spacing w:after="0"/>
              <w:rPr>
                <w:sz w:val="11"/>
                <w:szCs w:val="11"/>
                <w:color w:val="auto"/>
              </w:rPr>
            </w:pPr>
          </w:p>
        </w:tc>
        <w:tc>
          <w:tcPr>
            <w:tcW w:w="7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Amortized</w:t>
            </w:r>
          </w:p>
        </w:tc>
        <w:tc>
          <w:tcPr>
            <w:tcW w:w="2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200" w:type="dxa"/>
            <w:vAlign w:val="bottom"/>
            <w:gridSpan w:val="2"/>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85"/>
              </w:rPr>
              <w:t>Interest</w:t>
            </w: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Cost</w:t>
            </w:r>
            <w:r>
              <w:rPr>
                <w:rFonts w:ascii="Arial" w:cs="Arial" w:eastAsia="Arial" w:hAnsi="Arial"/>
                <w:sz w:val="10"/>
                <w:szCs w:val="10"/>
                <w:b w:val="1"/>
                <w:bCs w:val="1"/>
                <w:color w:val="auto"/>
                <w:w w:val="89"/>
              </w:rPr>
              <w:t>(2)(8)</w:t>
            </w:r>
          </w:p>
        </w:tc>
        <w:tc>
          <w:tcPr>
            <w:tcW w:w="26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Value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w w:val="71"/>
              </w:rPr>
              <w:t>Hotel,</w:t>
            </w:r>
          </w:p>
        </w:tc>
        <w:tc>
          <w:tcPr>
            <w:tcW w:w="358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5"/>
                <w:szCs w:val="15"/>
                <w:b w:val="1"/>
                <w:bCs w:val="1"/>
                <w:color w:val="auto"/>
              </w:rPr>
              <w:t>gaming, and leisure</w:t>
            </w:r>
          </w:p>
        </w:tc>
        <w:tc>
          <w:tcPr>
            <w:tcW w:w="2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2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4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9/29/2015</w:t>
            </w:r>
          </w:p>
        </w:tc>
        <w:tc>
          <w:tcPr>
            <w:tcW w:w="74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1260" w:type="dxa"/>
            <w:vAlign w:val="bottom"/>
            <w:gridSpan w:val="3"/>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97</w:t>
            </w: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20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147</w:t>
            </w:r>
          </w:p>
        </w:tc>
        <w:tc>
          <w:tcPr>
            <w:tcW w:w="280" w:type="dxa"/>
            <w:vAlign w:val="bottom"/>
          </w:tcPr>
          <w:p>
            <w:pPr>
              <w:spacing w:after="0"/>
              <w:rPr>
                <w:sz w:val="15"/>
                <w:szCs w:val="15"/>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2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4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 (933 units)</w:t>
            </w:r>
          </w:p>
        </w:tc>
        <w:tc>
          <w:tcPr>
            <w:tcW w:w="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6/4/2014</w:t>
            </w:r>
          </w:p>
        </w:tc>
        <w:tc>
          <w:tcPr>
            <w:tcW w:w="74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8,874</w:t>
            </w:r>
          </w:p>
        </w:tc>
        <w:tc>
          <w:tcPr>
            <w:tcW w:w="26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ind w:left="480"/>
              <w:spacing w:after="0" w:line="6" w:lineRule="exact"/>
              <w:rPr>
                <w:sz w:val="20"/>
                <w:szCs w:val="20"/>
                <w:color w:val="auto"/>
              </w:rPr>
            </w:pPr>
            <w:r>
              <w:rPr>
                <w:rFonts w:ascii="Arial" w:cs="Arial" w:eastAsia="Arial" w:hAnsi="Arial"/>
                <w:sz w:val="1"/>
                <w:szCs w:val="1"/>
                <w:color w:val="auto"/>
              </w:rPr>
              <w:t>—</w:t>
            </w: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200" w:type="dxa"/>
            <w:vAlign w:val="bottom"/>
            <w:gridSpan w:val="2"/>
          </w:tcPr>
          <w:p>
            <w:pPr>
              <w:ind w:left="1740"/>
              <w:spacing w:after="0"/>
              <w:rPr>
                <w:sz w:val="20"/>
                <w:szCs w:val="20"/>
                <w:color w:val="auto"/>
              </w:rPr>
            </w:pPr>
            <w:r>
              <w:rPr>
                <w:rFonts w:ascii="Arial" w:cs="Arial" w:eastAsia="Arial" w:hAnsi="Arial"/>
                <w:sz w:val="13"/>
                <w:szCs w:val="13"/>
                <w:color w:val="auto"/>
              </w:rPr>
              <w:t>(7)</w:t>
            </w: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line="162" w:lineRule="exact"/>
              <w:rPr>
                <w:sz w:val="20"/>
                <w:szCs w:val="20"/>
                <w:color w:val="auto"/>
              </w:rPr>
            </w:pPr>
            <w:r>
              <w:rPr>
                <w:rFonts w:ascii="Arial" w:cs="Arial" w:eastAsia="Arial" w:hAnsi="Arial"/>
                <w:sz w:val="15"/>
                <w:szCs w:val="15"/>
                <w:color w:val="auto"/>
              </w:rPr>
              <w:t>Oak Hill Credit Partners</w:t>
            </w:r>
            <w:r>
              <w:rPr>
                <w:rFonts w:ascii="Arial" w:cs="Arial" w:eastAsia="Arial" w:hAnsi="Arial"/>
                <w:sz w:val="13"/>
                <w:szCs w:val="13"/>
                <w:color w:val="auto"/>
              </w:rPr>
              <w:t>(4)(6)</w:t>
            </w:r>
          </w:p>
        </w:tc>
        <w:tc>
          <w:tcPr>
            <w:tcW w:w="244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4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5.82%</w:t>
            </w:r>
          </w:p>
        </w:tc>
        <w:tc>
          <w:tcPr>
            <w:tcW w:w="10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8/21/2015</w:t>
            </w:r>
          </w:p>
        </w:tc>
        <w:tc>
          <w:tcPr>
            <w:tcW w:w="74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3,293</w:t>
            </w:r>
          </w:p>
        </w:tc>
        <w:tc>
          <w:tcPr>
            <w:tcW w:w="126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3,099</w:t>
            </w: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6"/>
        </w:trPr>
        <w:tc>
          <w:tcPr>
            <w:tcW w:w="420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4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4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6.07%</w:t>
            </w:r>
          </w:p>
        </w:tc>
        <w:tc>
          <w:tcPr>
            <w:tcW w:w="104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11/17/2014</w:t>
            </w:r>
          </w:p>
        </w:tc>
        <w:tc>
          <w:tcPr>
            <w:tcW w:w="74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5,583</w:t>
            </w:r>
          </w:p>
        </w:tc>
        <w:tc>
          <w:tcPr>
            <w:tcW w:w="1260" w:type="dxa"/>
            <w:vAlign w:val="bottom"/>
            <w:gridSpan w:val="3"/>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5,100</w:t>
            </w: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0.6%</w:t>
            </w:r>
          </w:p>
        </w:tc>
        <w:tc>
          <w:tcPr>
            <w:tcW w:w="0" w:type="dxa"/>
            <w:vAlign w:val="bottom"/>
          </w:tcPr>
          <w:p>
            <w:pPr>
              <w:spacing w:after="0" w:line="20" w:lineRule="exact"/>
              <w:rPr>
                <w:sz w:val="1"/>
                <w:szCs w:val="1"/>
                <w:color w:val="auto"/>
              </w:rPr>
            </w:pPr>
          </w:p>
        </w:tc>
      </w:tr>
      <w:tr>
        <w:trPr>
          <w:trHeight w:val="156"/>
        </w:trPr>
        <w:tc>
          <w:tcPr>
            <w:tcW w:w="42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(4)(6)</w:t>
            </w:r>
          </w:p>
        </w:tc>
        <w:tc>
          <w:tcPr>
            <w:tcW w:w="2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8,876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8,199</w:t>
            </w:r>
          </w:p>
        </w:tc>
        <w:tc>
          <w:tcPr>
            <w:tcW w:w="280" w:type="dxa"/>
            <w:vAlign w:val="bottom"/>
          </w:tcPr>
          <w:p>
            <w:pPr>
              <w:spacing w:after="0"/>
              <w:rPr>
                <w:sz w:val="14"/>
                <w:szCs w:val="14"/>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0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40,797</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26,337</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00" w:type="dxa"/>
            <w:vAlign w:val="bottom"/>
            <w:gridSpan w:val="2"/>
            <w:vMerge w:val="continue"/>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1,529,676</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1,485,709</w:t>
            </w:r>
          </w:p>
        </w:tc>
        <w:tc>
          <w:tcPr>
            <w:tcW w:w="280" w:type="dxa"/>
            <w:vAlign w:val="bottom"/>
            <w:vMerge w:val="continue"/>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180.8%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20" w:hanging="332"/>
        <w:spacing w:after="0" w:line="225" w:lineRule="auto"/>
        <w:tabs>
          <w:tab w:leader="none" w:pos="3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340" w:right="360" w:hanging="332"/>
        <w:spacing w:after="0" w:line="225" w:lineRule="auto"/>
        <w:tabs>
          <w:tab w:leader="none" w:pos="3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5" w:lineRule="auto"/>
        <w:tabs>
          <w:tab w:leader="none" w:pos="3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0"/>
              </w:rPr>
              <w:t>Fair Value at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060" w:type="dxa"/>
            <w:vAlign w:val="bottom"/>
          </w:tcPr>
          <w:p>
            <w:pPr>
              <w:spacing w:after="0"/>
              <w:rPr>
                <w:sz w:val="11"/>
                <w:szCs w:val="11"/>
                <w:color w:val="auto"/>
              </w:rPr>
            </w:pPr>
          </w:p>
        </w:tc>
        <w:tc>
          <w:tcPr>
            <w:tcW w:w="1120" w:type="dxa"/>
            <w:vAlign w:val="bottom"/>
            <w:gridSpan w:val="3"/>
          </w:tcPr>
          <w:p>
            <w:pPr>
              <w:jc w:val="right"/>
              <w:ind w:right="400"/>
              <w:spacing w:after="0" w:line="135" w:lineRule="exact"/>
              <w:rPr>
                <w:sz w:val="20"/>
                <w:szCs w:val="20"/>
                <w:color w:val="auto"/>
              </w:rPr>
            </w:pPr>
            <w:r>
              <w:rPr>
                <w:rFonts w:ascii="Arial" w:cs="Arial" w:eastAsia="Arial" w:hAnsi="Arial"/>
                <w:sz w:val="13"/>
                <w:szCs w:val="13"/>
                <w:b w:val="1"/>
                <w:bCs w:val="1"/>
                <w:color w:val="auto"/>
                <w:w w:val="82"/>
              </w:rPr>
              <w:t>December 31,</w:t>
            </w: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2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80" w:type="dxa"/>
            <w:vAlign w:val="bottom"/>
          </w:tcPr>
          <w:p>
            <w:pPr>
              <w:spacing w:after="0"/>
              <w:rPr>
                <w:sz w:val="11"/>
                <w:szCs w:val="11"/>
                <w:color w:val="auto"/>
              </w:rPr>
            </w:pPr>
          </w:p>
        </w:tc>
        <w:tc>
          <w:tcPr>
            <w:tcW w:w="940" w:type="dxa"/>
            <w:vAlign w:val="bottom"/>
            <w:gridSpan w:val="3"/>
          </w:tcPr>
          <w:p>
            <w:pPr>
              <w:jc w:val="right"/>
              <w:ind w:right="20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5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3"/>
        </w:trPr>
        <w:tc>
          <w:tcPr>
            <w:tcW w:w="278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7"/>
              <w:spacing w:after="0"/>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(b)</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22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7,833</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(459)</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5"/>
              </w:rPr>
              <w:t>(12,328)</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219</w:t>
            </w:r>
          </w:p>
        </w:tc>
        <w:tc>
          <w:tcPr>
            <w:tcW w:w="3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$6,003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1"/>
              </w:rPr>
              <w:t>31,704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8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(4,888)</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26,816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380" w:type="dxa"/>
            <w:vAlign w:val="bottom"/>
          </w:tcPr>
          <w:p>
            <w:pPr>
              <w:spacing w:after="0"/>
              <w:rPr>
                <w:sz w:val="14"/>
                <w:szCs w:val="14"/>
                <w:color w:val="auto"/>
              </w:rPr>
            </w:pPr>
          </w:p>
        </w:tc>
        <w:tc>
          <w:tcPr>
            <w:tcW w:w="5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220" w:type="dxa"/>
            <w:vAlign w:val="bottom"/>
            <w:gridSpan w:val="2"/>
            <w:shd w:val="clear" w:color="auto" w:fill="CCEEFF"/>
          </w:tcPr>
          <w:p>
            <w:pPr>
              <w:jc w:val="right"/>
              <w:ind w:right="42"/>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41,636</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w w:val="91"/>
              </w:rPr>
              <w:t>39,537</w:t>
            </w:r>
          </w:p>
        </w:tc>
        <w:tc>
          <w:tcPr>
            <w:tcW w:w="30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b w:val="1"/>
                <w:bCs w:val="1"/>
                <w:color w:val="auto"/>
                <w:w w:val="95"/>
              </w:rPr>
              <w:t>$</w:t>
            </w:r>
          </w:p>
        </w:tc>
        <w:tc>
          <w:tcPr>
            <w:tcW w:w="9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b w:val="1"/>
                <w:bCs w:val="1"/>
                <w:color w:val="auto"/>
                <w:w w:val="96"/>
              </w:rPr>
              <w:t>(17,216)</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4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63,498</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240</w:t>
            </w:r>
          </w:p>
        </w:tc>
        <w:tc>
          <w:tcPr>
            <w:tcW w:w="5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800" w:right="180" w:hanging="454"/>
        <w:spacing w:after="0" w:line="233" w:lineRule="auto"/>
        <w:tabs>
          <w:tab w:leader="none" w:pos="80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discounts on debt investments, as applicable.</w:t>
      </w:r>
    </w:p>
    <w:p>
      <w:pPr>
        <w:ind w:left="340" w:hanging="332"/>
        <w:spacing w:after="0" w:line="225" w:lineRule="auto"/>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As of December 31, 2015, the tax cost of the Company’s investments approximates their amortized cost.</w:t>
      </w:r>
    </w:p>
    <w:p>
      <w:pPr>
        <w:ind w:left="340" w:right="400" w:hanging="332"/>
        <w:spacing w:after="0" w:line="239" w:lineRule="auto"/>
        <w:tabs>
          <w:tab w:leader="none" w:pos="3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8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8"/>
              </w:rPr>
              <w:t>March 31, 2016</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2015</w:t>
            </w: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23,192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20,787</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realized gains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2,121</w:t>
            </w: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17,771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24,468</w:t>
            </w:r>
          </w:p>
        </w:tc>
      </w:tr>
      <w:tr>
        <w:trPr>
          <w:trHeight w:val="223"/>
        </w:trPr>
        <w:tc>
          <w:tcPr>
            <w:tcW w:w="7080" w:type="dxa"/>
            <w:vAlign w:val="bottom"/>
          </w:tcPr>
          <w:p>
            <w:pPr>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78,275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80"/>
              <w:spacing w:after="0"/>
              <w:rPr>
                <w:sz w:val="20"/>
                <w:szCs w:val="20"/>
                <w:color w:val="auto"/>
              </w:rPr>
            </w:pPr>
            <w:r>
              <w:rPr>
                <w:rFonts w:ascii="Arial" w:cs="Arial" w:eastAsia="Arial" w:hAnsi="Arial"/>
                <w:sz w:val="18"/>
                <w:szCs w:val="18"/>
                <w:color w:val="auto"/>
              </w:rPr>
              <w:t>2,311</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2,701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(1,329)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(23,098)</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(21,044)</w:t>
            </w:r>
          </w:p>
        </w:tc>
      </w:tr>
      <w:tr>
        <w:trPr>
          <w:trHeight w:val="27"/>
        </w:trPr>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(Decrease) in Net Assets Resulting from Capital Share Transactions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56,159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(18,343)</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b w:val="1"/>
                <w:bCs w:val="1"/>
                <w:color w:val="auto"/>
              </w:rPr>
              <w:t>Total Increase in Net Assets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73,930</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6,125</w:t>
            </w:r>
          </w:p>
        </w:tc>
        <w:tc>
          <w:tcPr>
            <w:tcW w:w="1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assets, beginning of period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820,741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r>
      <w:tr>
        <w:trPr>
          <w:trHeight w:val="223"/>
        </w:trPr>
        <w:tc>
          <w:tcPr>
            <w:tcW w:w="7080" w:type="dxa"/>
            <w:vAlign w:val="bottom"/>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894,671</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841,530</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Undistributed Net Investment Income Included in Net Assets at the End of the Period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26,712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8"/>
              </w:rPr>
              <w:t>March 31, 2016</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2015</w:t>
            </w:r>
          </w:p>
        </w:tc>
      </w:tr>
      <w:tr>
        <w:trPr>
          <w:trHeight w:val="183"/>
        </w:trPr>
        <w:tc>
          <w:tcPr>
            <w:tcW w:w="7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17,771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24,468</w:t>
            </w:r>
          </w:p>
        </w:tc>
      </w:tr>
      <w:tr>
        <w:trPr>
          <w:trHeight w:val="185"/>
        </w:trPr>
        <w:tc>
          <w:tcPr>
            <w:tcW w:w="75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 cash used in</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7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change in unrealized losses on investments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4,162</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5,302</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unrealized (gains) losses on foreign currency transactions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2,703</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(7,215)</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interest rate swaps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(1,240)</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353</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realized (gains) losses on foreign currency transactions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(1,852)</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(3,078)</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(1,754)</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575</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742</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Accretion of discount on Convertible Senior Notes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145</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138</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of investments, net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(137,352)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(139,319)</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40" w:type="dxa"/>
            <w:vAlign w:val="bottom"/>
          </w:tcPr>
          <w:p>
            <w:pPr>
              <w:spacing w:after="0"/>
              <w:rPr>
                <w:sz w:val="17"/>
                <w:szCs w:val="17"/>
                <w:color w:val="auto"/>
              </w:rPr>
            </w:pPr>
          </w:p>
        </w:tc>
        <w:tc>
          <w:tcPr>
            <w:tcW w:w="2320" w:type="dxa"/>
            <w:vAlign w:val="bottom"/>
            <w:gridSpan w:val="2"/>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5,000</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61,470</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64,394</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(3,173)</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(935)</w:t>
            </w:r>
          </w:p>
        </w:tc>
      </w:tr>
      <w:tr>
        <w:trPr>
          <w:trHeight w:val="203"/>
        </w:trPr>
        <w:tc>
          <w:tcPr>
            <w:tcW w:w="75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(1,760)</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(1,090)</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4,792</w:t>
            </w: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382</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204</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(948)</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266</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(1,357)</w:t>
            </w: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17,766</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(23,277)</w:t>
            </w:r>
          </w:p>
        </w:tc>
      </w:tr>
      <w:tr>
        <w:trPr>
          <w:trHeight w:val="27"/>
        </w:trPr>
        <w:tc>
          <w:tcPr>
            <w:tcW w:w="7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(37,022)</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(77,254)</w:t>
            </w:r>
          </w:p>
        </w:tc>
      </w:tr>
      <w:tr>
        <w:trPr>
          <w:trHeight w:val="206"/>
        </w:trPr>
        <w:tc>
          <w:tcPr>
            <w:tcW w:w="75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95,500</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244,387</w:t>
            </w: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Payments on debt</w:t>
            </w:r>
          </w:p>
        </w:tc>
        <w:tc>
          <w:tcPr>
            <w:tcW w:w="140" w:type="dxa"/>
            <w:vAlign w:val="bottom"/>
          </w:tcPr>
          <w:p>
            <w:pPr>
              <w:spacing w:after="0"/>
              <w:rPr>
                <w:sz w:val="17"/>
                <w:szCs w:val="17"/>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(115,012)</w:t>
            </w:r>
          </w:p>
        </w:tc>
        <w:tc>
          <w:tcPr>
            <w:tcW w:w="14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(147,826)</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w:t>
            </w:r>
          </w:p>
        </w:tc>
      </w:tr>
      <w:tr>
        <w:trPr>
          <w:trHeight w:val="203"/>
        </w:trPr>
        <w:tc>
          <w:tcPr>
            <w:tcW w:w="7540" w:type="dxa"/>
            <w:vAlign w:val="bottom"/>
          </w:tcPr>
          <w:p>
            <w:pPr>
              <w:spacing w:after="0"/>
              <w:rPr>
                <w:sz w:val="20"/>
                <w:szCs w:val="20"/>
                <w:color w:val="auto"/>
              </w:rPr>
            </w:pPr>
            <w:r>
              <w:rPr>
                <w:rFonts w:ascii="Arial" w:cs="Arial" w:eastAsia="Arial" w:hAnsi="Arial"/>
                <w:sz w:val="17"/>
                <w:szCs w:val="17"/>
                <w:color w:val="auto"/>
              </w:rPr>
              <w:t>Proceeds from issuance of common stock, net of offering and underwriting costs</w:t>
            </w:r>
          </w:p>
        </w:tc>
        <w:tc>
          <w:tcPr>
            <w:tcW w:w="140" w:type="dxa"/>
            <w:vAlign w:val="bottom"/>
          </w:tcPr>
          <w:p>
            <w:pPr>
              <w:spacing w:after="0"/>
              <w:rPr>
                <w:sz w:val="17"/>
                <w:szCs w:val="17"/>
                <w:color w:val="auto"/>
              </w:rPr>
            </w:pP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78,275</w:t>
            </w:r>
          </w:p>
        </w:tc>
        <w:tc>
          <w:tcPr>
            <w:tcW w:w="14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Purchases of treasury stock</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(1,329)</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10"/>
        </w:trPr>
        <w:tc>
          <w:tcPr>
            <w:tcW w:w="7540" w:type="dxa"/>
            <w:vAlign w:val="bottom"/>
          </w:tcPr>
          <w:p>
            <w:pPr>
              <w:spacing w:after="0"/>
              <w:rPr>
                <w:sz w:val="20"/>
                <w:szCs w:val="20"/>
                <w:color w:val="auto"/>
              </w:rPr>
            </w:pPr>
            <w:r>
              <w:rPr>
                <w:rFonts w:ascii="Arial" w:cs="Arial" w:eastAsia="Arial" w:hAnsi="Arial"/>
                <w:sz w:val="17"/>
                <w:szCs w:val="17"/>
                <w:color w:val="auto"/>
              </w:rPr>
              <w:t>Dividends paid to stockholders</w:t>
            </w:r>
          </w:p>
        </w:tc>
        <w:tc>
          <w:tcPr>
            <w:tcW w:w="140" w:type="dxa"/>
            <w:vAlign w:val="bottom"/>
          </w:tcPr>
          <w:p>
            <w:pPr>
              <w:spacing w:after="0"/>
              <w:rPr>
                <w:sz w:val="18"/>
                <w:szCs w:val="18"/>
                <w:color w:val="auto"/>
              </w:rPr>
            </w:pPr>
          </w:p>
        </w:tc>
        <w:tc>
          <w:tcPr>
            <w:tcW w:w="2320" w:type="dxa"/>
            <w:vAlign w:val="bottom"/>
            <w:gridSpan w:val="2"/>
          </w:tcPr>
          <w:p>
            <w:pPr>
              <w:jc w:val="right"/>
              <w:ind w:right="1080"/>
              <w:spacing w:after="0"/>
              <w:rPr>
                <w:sz w:val="20"/>
                <w:szCs w:val="20"/>
                <w:color w:val="auto"/>
              </w:rPr>
            </w:pPr>
            <w:r>
              <w:rPr>
                <w:rFonts w:ascii="Arial" w:cs="Arial" w:eastAsia="Arial" w:hAnsi="Arial"/>
                <w:sz w:val="17"/>
                <w:szCs w:val="17"/>
                <w:color w:val="auto"/>
              </w:rPr>
              <w:t>(18,814)</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(18,282)</w:t>
            </w:r>
          </w:p>
        </w:tc>
      </w:tr>
      <w:tr>
        <w:trPr>
          <w:trHeight w:val="203"/>
        </w:trPr>
        <w:tc>
          <w:tcPr>
            <w:tcW w:w="754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38,620</w:t>
            </w:r>
          </w:p>
        </w:tc>
        <w:tc>
          <w:tcPr>
            <w:tcW w:w="11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78,170</w:t>
            </w:r>
          </w:p>
        </w:tc>
        <w:tc>
          <w:tcPr>
            <w:tcW w:w="100" w:type="dxa"/>
            <w:vAlign w:val="bottom"/>
            <w:shd w:val="clear" w:color="auto" w:fill="CCEEFF"/>
          </w:tcPr>
          <w:p>
            <w:pPr>
              <w:spacing w:after="0"/>
              <w:rPr>
                <w:sz w:val="17"/>
                <w:szCs w:val="17"/>
                <w:color w:val="auto"/>
              </w:rPr>
            </w:pPr>
          </w:p>
        </w:tc>
      </w:tr>
      <w:tr>
        <w:trPr>
          <w:trHeight w:val="210"/>
        </w:trPr>
        <w:tc>
          <w:tcPr>
            <w:tcW w:w="7540" w:type="dxa"/>
            <w:vAlign w:val="bottom"/>
          </w:tcPr>
          <w:p>
            <w:pPr>
              <w:ind w:left="700"/>
              <w:spacing w:after="0"/>
              <w:rPr>
                <w:sz w:val="20"/>
                <w:szCs w:val="20"/>
                <w:color w:val="auto"/>
              </w:rPr>
            </w:pPr>
            <w:r>
              <w:rPr>
                <w:rFonts w:ascii="Arial" w:cs="Arial" w:eastAsia="Arial" w:hAnsi="Arial"/>
                <w:sz w:val="17"/>
                <w:szCs w:val="17"/>
                <w:b w:val="1"/>
                <w:bCs w:val="1"/>
                <w:color w:val="auto"/>
              </w:rPr>
              <w:t>Net Increase in Cash and Cash Equivalents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1,598</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8"/>
                <w:szCs w:val="18"/>
                <w:color w:val="auto"/>
              </w:rPr>
            </w:pPr>
          </w:p>
        </w:tc>
      </w:tr>
      <w:tr>
        <w:trPr>
          <w:trHeight w:val="203"/>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7"/>
                <w:szCs w:val="17"/>
                <w:color w:val="auto"/>
              </w:rPr>
              <w:t>2,431</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2,413</w:t>
            </w:r>
          </w:p>
        </w:tc>
      </w:tr>
      <w:tr>
        <w:trPr>
          <w:trHeight w:val="210"/>
        </w:trPr>
        <w:tc>
          <w:tcPr>
            <w:tcW w:w="7540" w:type="dxa"/>
            <w:vAlign w:val="bottom"/>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4,029</w:t>
            </w:r>
          </w:p>
        </w:tc>
        <w:tc>
          <w:tcPr>
            <w:tcW w:w="1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3,329</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Supplemental Information:</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540" w:type="dxa"/>
            <w:vAlign w:val="bottom"/>
          </w:tcPr>
          <w:p>
            <w:pPr>
              <w:ind w:left="700"/>
              <w:spacing w:after="0"/>
              <w:rPr>
                <w:sz w:val="20"/>
                <w:szCs w:val="20"/>
                <w:color w:val="auto"/>
              </w:rPr>
            </w:pPr>
            <w:r>
              <w:rPr>
                <w:rFonts w:ascii="Arial" w:cs="Arial" w:eastAsia="Arial" w:hAnsi="Arial"/>
                <w:sz w:val="17"/>
                <w:szCs w:val="17"/>
                <w:color w:val="auto"/>
              </w:rPr>
              <w:t>Interest paid during the period</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7"/>
                <w:szCs w:val="17"/>
                <w:color w:val="auto"/>
              </w:rPr>
              <w:t>3,986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2,673</w:t>
            </w:r>
          </w:p>
        </w:tc>
      </w:tr>
      <w:tr>
        <w:trPr>
          <w:trHeight w:val="216"/>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Excise taxes paid during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7540" w:type="dxa"/>
            <w:vAlign w:val="bottom"/>
          </w:tcPr>
          <w:p>
            <w:pPr>
              <w:ind w:left="720"/>
              <w:spacing w:after="0"/>
              <w:rPr>
                <w:sz w:val="20"/>
                <w:szCs w:val="20"/>
                <w:color w:val="auto"/>
              </w:rPr>
            </w:pPr>
            <w:r>
              <w:rPr>
                <w:rFonts w:ascii="Arial" w:cs="Arial" w:eastAsia="Arial" w:hAnsi="Arial"/>
                <w:sz w:val="18"/>
                <w:szCs w:val="18"/>
                <w:color w:val="auto"/>
              </w:rPr>
              <w:t>Dividends declared during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23,098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21,044</w:t>
            </w:r>
          </w:p>
        </w:tc>
      </w:tr>
      <w:tr>
        <w:trPr>
          <w:trHeight w:val="216"/>
        </w:trPr>
        <w:tc>
          <w:tcPr>
            <w:tcW w:w="7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Reinvestment of dividends during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2015, which was filed with the Securities and Exchange Commission (“SEC”), on February 24, 2016.</w:t>
      </w:r>
    </w:p>
    <w:p>
      <w:pPr>
        <w:spacing w:after="0" w:line="15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The Company is an investment company and, therefore, applies the specialized accounting and reporting guidance in Accounting Standards Codification (“ASC”) Topic 946, 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assets and liabilities at the date of the consolidated financial statements. Such amounts could differ from those estimates and such differences could be 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80"/>
          </w:cols>
          <w:pgMar w:left="240" w:top="459" w:right="2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500"/>
        <w:spacing w:after="0" w:line="277" w:lineRule="auto"/>
        <w:rPr>
          <w:sz w:val="20"/>
          <w:szCs w:val="20"/>
          <w:color w:val="auto"/>
        </w:rPr>
      </w:pPr>
      <w:r>
        <w:rPr>
          <w:rFonts w:ascii="Arial" w:cs="Arial" w:eastAsia="Arial" w:hAnsi="Arial"/>
          <w:sz w:val="18"/>
          <w:szCs w:val="18"/>
          <w:color w:val="auto"/>
        </w:rPr>
        <w:t>among other things, the input of the Adviser, Audit Committee and, where applicable, other third parties including independent third-party valuation firms engaged at the direction of the Board.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2016,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54"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2016</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April 2015, the Financial Accounting Standards Board issued Accounting Standards Update No. 2015-03 (“ASU 2015-03”), “</w:t>
      </w:r>
      <w:r>
        <w:rPr>
          <w:rFonts w:ascii="Arial" w:cs="Arial" w:eastAsia="Arial" w:hAnsi="Arial"/>
          <w:sz w:val="16"/>
          <w:szCs w:val="16"/>
          <w:i w:val="1"/>
          <w:iCs w:val="1"/>
          <w:color w:val="auto"/>
        </w:rPr>
        <w:t>Interest – Imputation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Interest (Subtopic 835-30): Simplifying the Presentation of Debt Issuance Costs</w:t>
      </w:r>
      <w:r>
        <w:rPr>
          <w:rFonts w:ascii="Arial" w:cs="Arial" w:eastAsia="Arial" w:hAnsi="Arial"/>
          <w:sz w:val="16"/>
          <w:szCs w:val="16"/>
          <w:color w:val="auto"/>
        </w:rPr>
        <w:t>.” ASU 2015-03 requires that debt issuance costs be presented as a direct</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 from the carrying amount of the related debt liability, consistent with the presentation of debt discounts. Prior to the issuance of ASU 2015-03, debt issuance costs were required to be presented as deferred assets, separate from the related debt liability. ASU 2015-03 does not change the recognition and measurement requirements for debt issuance costs. ASU 2015-03 is effective for financial statements issued for fiscal years beginning after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80"/>
          </w:cols>
          <w:pgMar w:left="240" w:top="459" w:right="2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December 15, 2015, and interim periods within those fiscal years, with early adoption permitted. The Company adopted this guidance during the quarter ended March 31, 2016 and adjusted prior period balance sheets to reflect the change. The adoption of this guidance did not have an impact on the Company’s results of operations or cash flows. See Note 7, “Debt” for additional disclosures required under this guidance.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Going Concern (Subtopic 205 – 40): Disclosure of Uncertainties About an Entity’s Ability to Continue as a Going Concern</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7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May 2014, the Financial Accounting Standards Board issued Accounting Standards Update 2014-09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The guidance in this ASU supersedes the revenue recognition requirements in Topic 605, Revenue Recognition.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 three months ended March 31, 2016 and 2015, the Company incurred expenses of $0.9 million and $0.9 million, respectively, for administrative services payable to the Adviser under the terms of the Administration Agreement.</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2016, and may be extended subject to required approvals. The Administration Agreement may be terminated by either party without penalty on 60 days’ written notice to the other party.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2016 and 2015, Management Fees were $5.7 million and $5.0 million, respectively.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Adviser has voluntarily waived the Management Fee on the Company’s ownership of shares of common stock in TICC Capital Corp. (the “TICC Shares”) for any period in which TICC Capital Corp. remains a portfolio company of the Company.</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For the three months ended March 31, 2016, Management Fees of $14,623 were waived, consisting solely of Management Fees attributable to the Company’s ownership of the TICC Shares. For the three months ended March 31, 2015, which was prior to the Company’s ownership of TICC shares, no Management Fees were waived.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6"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2" w:lineRule="exact"/>
        <w:rPr>
          <w:sz w:val="20"/>
          <w:szCs w:val="20"/>
          <w:color w:val="auto"/>
        </w:rPr>
      </w:pPr>
    </w:p>
    <w:p>
      <w:pPr>
        <w:ind w:left="900" w:right="20" w:hanging="446"/>
        <w:spacing w:after="0" w:line="289"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the three months ended March 31, 2016 and 2015, Incentive Fees were $4.9 million and $5.0 million, respectively, of which $4.8 million and $4.5 million, respectively, were realized and payable to the Adviser.</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For the three months ended March 31, 2016, Incentive Fees of $0.1 million were waived, consisting solely of Incentive Fees attributable to the Company’s ownership of the TICC Shares. For the three months ended March 31, 2015, which was prior to the Company’s ownership of TICC shares, no Incentive Fees were waived. Any waived Incentive Fees are not subject to recoupment by the Adviser.</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March 31, 2016 and December 31, 2015:</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2016</w:t>
            </w: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20" w:type="dxa"/>
            <w:vAlign w:val="bottom"/>
          </w:tcPr>
          <w:p>
            <w:pPr>
              <w:spacing w:after="0"/>
              <w:rPr>
                <w:sz w:val="10"/>
                <w:szCs w:val="10"/>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1,414,469</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$1,391,179</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126,935</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120,884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29,567</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29,277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40,822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22,324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(18,498)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1,611,793</w:t>
            </w: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1,563,664</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(48,129)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20" w:type="dxa"/>
            <w:vAlign w:val="bottom"/>
          </w:tcPr>
          <w:p>
            <w:pPr>
              <w:spacing w:after="0"/>
              <w:rPr>
                <w:sz w:val="10"/>
                <w:szCs w:val="10"/>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1,333,080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126,049</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121,222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29,751</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27,966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40,796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26,338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1,529,676</w:t>
            </w:r>
          </w:p>
        </w:tc>
        <w:tc>
          <w:tcPr>
            <w:tcW w:w="2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1,485,709</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300" w:hanging="452"/>
        <w:spacing w:after="0" w:line="277"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60"/>
          </w:cols>
          <w:pgMar w:left="240" w:top="460" w:right="2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March 31, 2016 and December 31,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4"/>
              </w:rPr>
              <w:t>March 31, 2016</w:t>
            </w:r>
          </w:p>
        </w:tc>
        <w:tc>
          <w:tcPr>
            <w:tcW w:w="660" w:type="dxa"/>
            <w:vAlign w:val="bottom"/>
          </w:tcPr>
          <w:p>
            <w:pPr>
              <w:spacing w:after="0"/>
              <w:rPr>
                <w:sz w:val="14"/>
                <w:szCs w:val="14"/>
                <w:color w:val="auto"/>
              </w:rPr>
            </w:pP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3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4.0%</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Chemicals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Electronics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5.5%</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Healthcare</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16.9%</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4.6%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Internet services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3.4%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Office products</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2.3%</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3"/>
          </w:tcPr>
          <w:p>
            <w:pPr>
              <w:jc w:val="right"/>
              <w:ind w:right="520"/>
              <w:spacing w:after="0"/>
              <w:rPr>
                <w:sz w:val="20"/>
                <w:szCs w:val="20"/>
                <w:color w:val="auto"/>
              </w:rPr>
            </w:pPr>
            <w:r>
              <w:rPr>
                <w:rFonts w:ascii="Arial" w:cs="Arial" w:eastAsia="Arial" w:hAnsi="Arial"/>
                <w:sz w:val="18"/>
                <w:szCs w:val="18"/>
                <w:color w:val="auto"/>
              </w:rPr>
              <w:t>0.4%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Real Estate</w:t>
            </w:r>
          </w:p>
        </w:tc>
        <w:tc>
          <w:tcPr>
            <w:tcW w:w="13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Retail and consumer products</w:t>
            </w:r>
          </w:p>
        </w:tc>
        <w:tc>
          <w:tcPr>
            <w:tcW w:w="3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11.2%</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Transportation</w:t>
            </w:r>
          </w:p>
        </w:tc>
        <w:tc>
          <w:tcPr>
            <w:tcW w:w="138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March 31, 2016 and December 31, 2015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3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March 31, 2016</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0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Midwest</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11.4%</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20.7%</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3100" w:type="dxa"/>
            <w:vAlign w:val="bottom"/>
          </w:tcPr>
          <w:p>
            <w:pPr>
              <w:ind w:left="360"/>
              <w:spacing w:after="0"/>
              <w:rPr>
                <w:sz w:val="20"/>
                <w:szCs w:val="20"/>
                <w:color w:val="auto"/>
              </w:rPr>
            </w:pPr>
            <w:r>
              <w:rPr>
                <w:rFonts w:ascii="Arial" w:cs="Arial" w:eastAsia="Arial" w:hAnsi="Arial"/>
                <w:sz w:val="18"/>
                <w:szCs w:val="18"/>
                <w:color w:val="auto"/>
              </w:rPr>
              <w:t>South</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24.1%</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6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Canada</w:t>
            </w:r>
          </w:p>
        </w:tc>
        <w:tc>
          <w:tcPr>
            <w:tcW w:w="3680" w:type="dxa"/>
            <w:vAlign w:val="bottom"/>
            <w:gridSpan w:val="3"/>
          </w:tcPr>
          <w:p>
            <w:pPr>
              <w:jc w:val="right"/>
              <w:ind w:right="520"/>
              <w:spacing w:after="0"/>
              <w:rPr>
                <w:sz w:val="20"/>
                <w:szCs w:val="20"/>
                <w:color w:val="auto"/>
              </w:rPr>
            </w:pPr>
            <w:r>
              <w:rPr>
                <w:rFonts w:ascii="Arial" w:cs="Arial" w:eastAsia="Arial" w:hAnsi="Arial"/>
                <w:sz w:val="18"/>
                <w:szCs w:val="18"/>
                <w:color w:val="auto"/>
              </w:rPr>
              <w:t>1.8%</w:t>
            </w: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0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0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40"/>
          </w:cols>
          <w:pgMar w:left="240" w:top="459" w:right="3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7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the three months ended March 31, 2015, the Company entered into foreign currency forward contracts related to its non-USD denominated investments. The Company did not enter into foreign currency forward contracts related to its non-USD denominated investments during the three months ended March 31, 2016.</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June 2014, in connection with the issuance of Convertible Senior Notes,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81" w:lineRule="exact"/>
        <w:rPr>
          <w:sz w:val="20"/>
          <w:szCs w:val="20"/>
          <w:color w:val="auto"/>
        </w:rPr>
      </w:pPr>
    </w:p>
    <w:p>
      <w:pPr>
        <w:jc w:val="both"/>
        <w:ind w:right="48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November 2015, in connection with a fixed rate investment, the Company entered into two interest rate swap transactions, each with a $46.3 million notional amount. The Company receives three-month LIBOR and pays fixed rate interest at 1.16%.</w:t>
      </w:r>
    </w:p>
    <w:p>
      <w:pPr>
        <w:spacing w:after="0" w:line="17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Net Amount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20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the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Amount of</w:t>
            </w:r>
          </w:p>
        </w:tc>
        <w:tc>
          <w:tcPr>
            <w:tcW w:w="340" w:type="dxa"/>
            <w:vAlign w:val="bottom"/>
          </w:tcPr>
          <w:p>
            <w:pPr>
              <w:spacing w:after="0"/>
              <w:rPr>
                <w:sz w:val="12"/>
                <w:szCs w:val="12"/>
                <w:color w:val="auto"/>
              </w:rPr>
            </w:pPr>
          </w:p>
        </w:tc>
        <w:tc>
          <w:tcPr>
            <w:tcW w:w="11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Offset in the</w:t>
            </w:r>
          </w:p>
        </w:tc>
        <w:tc>
          <w:tcPr>
            <w:tcW w:w="20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Maturity Date</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34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Balance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20"/>
                <w:szCs w:val="20"/>
                <w:color w:val="auto"/>
              </w:rPr>
            </w:pPr>
            <w:r>
              <w:rPr>
                <w:rFonts w:ascii="Arial" w:cs="Arial" w:eastAsia="Arial" w:hAnsi="Arial"/>
                <w:sz w:val="14"/>
                <w:szCs w:val="14"/>
                <w:color w:val="auto"/>
              </w:rPr>
              <w:t>($ in thousands)</w:t>
            </w:r>
          </w:p>
        </w:tc>
        <w:tc>
          <w:tcPr>
            <w:tcW w:w="1340" w:type="dxa"/>
            <w:vAlign w:val="bottom"/>
            <w:gridSpan w:val="2"/>
            <w:vMerge w:val="continue"/>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Sheets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Sheets</w:t>
            </w:r>
          </w:p>
        </w:tc>
        <w:tc>
          <w:tcPr>
            <w:tcW w:w="0" w:type="dxa"/>
            <w:vAlign w:val="bottom"/>
          </w:tcPr>
          <w:p>
            <w:pPr>
              <w:spacing w:after="0"/>
              <w:rPr>
                <w:sz w:val="1"/>
                <w:szCs w:val="1"/>
                <w:color w:val="auto"/>
              </w:rPr>
            </w:pPr>
          </w:p>
        </w:tc>
      </w:tr>
      <w:tr>
        <w:trPr>
          <w:trHeight w:val="195"/>
        </w:trPr>
        <w:tc>
          <w:tcPr>
            <w:tcW w:w="37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44"/>
        </w:trPr>
        <w:tc>
          <w:tcPr>
            <w:tcW w:w="37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12/15/2019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$ 115,000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2,379</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10/5/2018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92,500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(737)</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interest rate swaps</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1,642</w:t>
            </w: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 of March 31, 2016, $0.8 million of cash is pledged as collateral under the Company’s derivative instruments and is included in restricted cash as a component of Prepaid Expenses and Other Assets in the Company’s consolidated balance sheets.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Net Amount</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50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52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ofAssets in</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the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Amount of</w:t>
            </w:r>
          </w:p>
        </w:tc>
        <w:tc>
          <w:tcPr>
            <w:tcW w:w="5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520" w:type="dxa"/>
            <w:vAlign w:val="bottom"/>
          </w:tcPr>
          <w:p>
            <w:pPr>
              <w:spacing w:after="0"/>
              <w:rPr>
                <w:sz w:val="12"/>
                <w:szCs w:val="12"/>
                <w:color w:val="auto"/>
              </w:rPr>
            </w:pP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220" w:type="dxa"/>
            <w:vAlign w:val="bottom"/>
            <w:gridSpan w:val="2"/>
            <w:vMerge w:val="continue"/>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5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Balance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4"/>
                <w:szCs w:val="14"/>
                <w:color w:val="auto"/>
              </w:rPr>
              <w:t>($ in thousands)</w:t>
            </w:r>
          </w:p>
        </w:tc>
        <w:tc>
          <w:tcPr>
            <w:tcW w:w="1420" w:type="dxa"/>
            <w:vAlign w:val="bottom"/>
            <w:gridSpan w:val="2"/>
            <w:vMerge w:val="continue"/>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5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Balance Sheets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4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44"/>
        </w:trPr>
        <w:tc>
          <w:tcPr>
            <w:tcW w:w="34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12/15/2019</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$ 115,000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swaps</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51"/>
        </w:trPr>
        <w:tc>
          <w:tcPr>
            <w:tcW w:w="3420" w:type="dxa"/>
            <w:vAlign w:val="bottom"/>
          </w:tcPr>
          <w:p>
            <w:pPr>
              <w:spacing w:after="0"/>
              <w:rPr>
                <w:sz w:val="21"/>
                <w:szCs w:val="21"/>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10/5/2018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interest rate swaps</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 of December 31, 2015, $0.9 million of cash is pledged as collateral under the Company’s derivative instruments and is included in restricted cash as a component of Prepaid Expenses and Other Assets in the Company’s consolidated balance sheets.</w:t>
      </w:r>
    </w:p>
    <w:p>
      <w:pPr>
        <w:spacing w:after="0" w:line="18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the three months ended March 31, 2016 and 2015, the Company received $1.3 million and $1.3 million, respectively, and paid $1.0 million and $0.9 million, respectively, related to the quarterly settlements of its $115 million notional amount interest rate swap. These net amounts are reductions to interest expense in the Company’s consolidated statements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2016, the Company received $0.1 million and paid $0.3 million related to the quarterly settlement of its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$92.5 million notional amount interest rate swap. This net amount is a reduction to interest income in the Company’s consolidated statements of operations.</w:t>
      </w:r>
    </w:p>
    <w:p>
      <w:pPr>
        <w:spacing w:after="0" w:line="23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March 31, 2016 and 2015, the Company recognized $1.2 million of unrealized appreciation and $0.4 million of unrealized depreciation, respectively, on derivatives in the consolidated statement of operations related to the swap transactions. As of March 31, 2016 and December 31, 2015, the swap transactions had a fair value of $1.6 million and $0.4 million, respectively, which is included in receivable for interest rate swaps on the Company’s consolidated balance sheet.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March 31, 2016, $0.8 million of cash is pledged as collateral under the Company’s derivative instruments and is included in restricted cash as a component of other assets on the Company’s consolidated balance sheet. The Company also had $0.9 million of cash collateral posted as of December 31, 2015, which is also included in restricted cash as a component of other assets on the Company’s consolidated balance sheet.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March 31, 2016 and December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Fair Value Hierarchy at March 31, 2016</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$123,187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$1,267,992</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$1,391,179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29,468</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91,416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120,884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23,254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29,277</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7,842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7,992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22,324</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$7,842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$182,399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$1,373,423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$1,563,664</w:t>
            </w:r>
          </w:p>
        </w:tc>
        <w:tc>
          <w:tcPr>
            <w:tcW w:w="10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8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7,842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184,041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1,373,423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1,565,306</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6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Fair Value Hierarchy at December 31, 2015</w:t>
            </w: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040" w:type="dxa"/>
            <w:vAlign w:val="bottom"/>
          </w:tcPr>
          <w:p>
            <w:pPr>
              <w:spacing w:after="0"/>
              <w:rPr>
                <w:sz w:val="12"/>
                <w:szCs w:val="12"/>
                <w:color w:val="auto"/>
              </w:rPr>
            </w:pPr>
          </w:p>
        </w:tc>
        <w:tc>
          <w:tcPr>
            <w:tcW w:w="6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2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$ 80,692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$1,229,491</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30,781</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90,441</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121,222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20,165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26,338</w:t>
            </w: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$9,933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$139,838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$1,335,938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$1,485,709</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8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9,933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140,240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1,335,938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$ 1,486,111</w:t>
            </w: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months ended March 31, 2016 and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0"/>
          </w:tcPr>
          <w:p>
            <w:pPr>
              <w:jc w:val="center"/>
              <w:ind w:right="480"/>
              <w:spacing w:after="0"/>
              <w:rPr>
                <w:sz w:val="20"/>
                <w:szCs w:val="20"/>
                <w:color w:val="auto"/>
              </w:rPr>
            </w:pPr>
            <w:r>
              <w:rPr>
                <w:rFonts w:ascii="Arial" w:cs="Arial" w:eastAsia="Arial" w:hAnsi="Arial"/>
                <w:sz w:val="14"/>
                <w:szCs w:val="14"/>
                <w:b w:val="1"/>
                <w:bCs w:val="1"/>
                <w:color w:val="auto"/>
                <w:w w:val="93"/>
              </w:rPr>
              <w:t>As of and for the Three Months Ended March 31, 2016</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320" w:type="dxa"/>
            <w:vAlign w:val="bottom"/>
            <w:gridSpan w:val="2"/>
          </w:tcPr>
          <w:p>
            <w:pPr>
              <w:jc w:val="center"/>
              <w:ind w:right="390"/>
              <w:spacing w:after="0" w:line="119" w:lineRule="exact"/>
              <w:rPr>
                <w:sz w:val="20"/>
                <w:szCs w:val="20"/>
                <w:color w:val="auto"/>
              </w:rPr>
            </w:pPr>
            <w:r>
              <w:rPr>
                <w:rFonts w:ascii="Arial" w:cs="Arial" w:eastAsia="Arial" w:hAnsi="Arial"/>
                <w:sz w:val="13"/>
                <w:szCs w:val="13"/>
                <w:b w:val="1"/>
                <w:bCs w:val="1"/>
                <w:color w:val="auto"/>
              </w:rPr>
              <w:t>First-lien</w:t>
            </w:r>
          </w:p>
        </w:tc>
        <w:tc>
          <w:tcPr>
            <w:tcW w:w="100" w:type="dxa"/>
            <w:vAlign w:val="bottom"/>
          </w:tcPr>
          <w:p>
            <w:pPr>
              <w:spacing w:after="0"/>
              <w:rPr>
                <w:sz w:val="10"/>
                <w:szCs w:val="10"/>
                <w:color w:val="auto"/>
              </w:rPr>
            </w:pPr>
          </w:p>
        </w:tc>
        <w:tc>
          <w:tcPr>
            <w:tcW w:w="10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Second-lien</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Mezzanine</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32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debt</w:t>
            </w:r>
          </w:p>
        </w:tc>
        <w:tc>
          <w:tcPr>
            <w:tcW w:w="260" w:type="dxa"/>
            <w:vAlign w:val="bottom"/>
          </w:tcPr>
          <w:p>
            <w:pPr>
              <w:spacing w:after="0"/>
              <w:rPr>
                <w:sz w:val="12"/>
                <w:szCs w:val="12"/>
                <w:color w:val="auto"/>
              </w:rPr>
            </w:pPr>
          </w:p>
        </w:tc>
        <w:tc>
          <w:tcPr>
            <w:tcW w:w="15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and unsecured debt</w:t>
            </w:r>
          </w:p>
        </w:tc>
        <w:tc>
          <w:tcPr>
            <w:tcW w:w="26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2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$1,229,491</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90,442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$1,335,939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color w:val="auto"/>
              </w:rPr>
              <w:t>92,438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92,433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(59,198)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(61,363)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3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3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3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1,267,992</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91,416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6,023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7,992</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1,373,423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F-69</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8"/>
          </w:tcPr>
          <w:p>
            <w:pPr>
              <w:jc w:val="center"/>
              <w:ind w:right="460"/>
              <w:spacing w:after="0"/>
              <w:rPr>
                <w:sz w:val="20"/>
                <w:szCs w:val="20"/>
                <w:color w:val="auto"/>
              </w:rPr>
            </w:pPr>
            <w:r>
              <w:rPr>
                <w:rFonts w:ascii="Arial" w:cs="Arial" w:eastAsia="Arial" w:hAnsi="Arial"/>
                <w:sz w:val="14"/>
                <w:szCs w:val="14"/>
                <w:b w:val="1"/>
                <w:bCs w:val="1"/>
                <w:color w:val="auto"/>
                <w:w w:val="94"/>
              </w:rPr>
              <w:t>As of and for the Three Months Ended March 31, 2015</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First-lien</w:t>
            </w:r>
          </w:p>
        </w:tc>
        <w:tc>
          <w:tcPr>
            <w:tcW w:w="260" w:type="dxa"/>
            <w:vAlign w:val="bottom"/>
          </w:tcPr>
          <w:p>
            <w:pPr>
              <w:spacing w:after="0"/>
              <w:rPr>
                <w:sz w:val="10"/>
                <w:szCs w:val="10"/>
                <w:color w:val="auto"/>
              </w:rPr>
            </w:pPr>
          </w:p>
        </w:tc>
        <w:tc>
          <w:tcPr>
            <w:tcW w:w="128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Second-lien</w:t>
            </w:r>
          </w:p>
        </w:tc>
        <w:tc>
          <w:tcPr>
            <w:tcW w:w="180" w:type="dxa"/>
            <w:vAlign w:val="bottom"/>
          </w:tcPr>
          <w:p>
            <w:pPr>
              <w:spacing w:after="0"/>
              <w:rPr>
                <w:sz w:val="10"/>
                <w:szCs w:val="10"/>
                <w:color w:val="auto"/>
              </w:rPr>
            </w:pPr>
          </w:p>
        </w:tc>
        <w:tc>
          <w:tcPr>
            <w:tcW w:w="16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92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Equity</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debt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debt</w:t>
            </w:r>
          </w:p>
        </w:tc>
        <w:tc>
          <w:tcPr>
            <w:tcW w:w="18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and unsecured debt</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4"/>
                <w:szCs w:val="1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investments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$1,059,336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Purchases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121,413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(47,344)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Paid-in-kind interest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935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realized losses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Transfers into (out of) Level 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1,132,567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1,207,749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2016 and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60" w:type="dxa"/>
            <w:vAlign w:val="bottom"/>
            <w:gridSpan w:val="3"/>
          </w:tcPr>
          <w:p>
            <w:pPr>
              <w:jc w:val="center"/>
              <w:ind w:right="156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60" w:type="dxa"/>
            <w:vAlign w:val="bottom"/>
            <w:gridSpan w:val="3"/>
          </w:tcPr>
          <w:p>
            <w:pPr>
              <w:jc w:val="center"/>
              <w:ind w:right="1560"/>
              <w:spacing w:after="0" w:line="149" w:lineRule="exact"/>
              <w:rPr>
                <w:sz w:val="20"/>
                <w:szCs w:val="20"/>
                <w:color w:val="auto"/>
              </w:rPr>
            </w:pPr>
            <w:r>
              <w:rPr>
                <w:rFonts w:ascii="Arial" w:cs="Arial" w:eastAsia="Arial" w:hAnsi="Arial"/>
                <w:sz w:val="14"/>
                <w:szCs w:val="14"/>
                <w:b w:val="1"/>
                <w:bCs w:val="1"/>
                <w:color w:val="auto"/>
                <w:w w:val="93"/>
              </w:rPr>
              <w:t>for the Three Months Ended</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 the Three Months Ended</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4"/>
              </w:rPr>
              <w:t>March 31, 2016 on</w:t>
            </w:r>
          </w:p>
        </w:tc>
        <w:tc>
          <w:tcPr>
            <w:tcW w:w="140" w:type="dxa"/>
            <w:vAlign w:val="bottom"/>
          </w:tcPr>
          <w:p>
            <w:pPr>
              <w:spacing w:after="0"/>
              <w:rPr>
                <w:sz w:val="12"/>
                <w:szCs w:val="12"/>
                <w:color w:val="auto"/>
              </w:rPr>
            </w:pPr>
          </w:p>
        </w:tc>
        <w:tc>
          <w:tcPr>
            <w:tcW w:w="1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March 31, 2015 on</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4"/>
              </w:rPr>
              <w:t>March 31, 2016</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2015</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2"/>
          </w:tcPr>
          <w:p>
            <w:pPr>
              <w:jc w:val="right"/>
              <w:ind w:right="156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Mezzanine and unsecured debt</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2"/>
          </w:tcPr>
          <w:p>
            <w:pPr>
              <w:jc w:val="right"/>
              <w:ind w:right="150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7"/>
        </w:trPr>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4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1,089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w:t>
            </w:r>
          </w:p>
        </w:tc>
      </w:tr>
      <w:tr>
        <w:trPr>
          <w:trHeight w:val="20"/>
        </w:trPr>
        <w:tc>
          <w:tcPr>
            <w:tcW w:w="3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following tables summarize the significant unobservable inputs the Company used to value the majority of its investments categorized within Level 3 as of March 31, 2016 and December 31, 2015. The tables are not intended to be all-inclusive, but instead capture the significant unobservable inputs relevant to the Company’s determination of fair values.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2016</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Unobservable</w:t>
            </w:r>
          </w:p>
        </w:tc>
        <w:tc>
          <w:tcPr>
            <w:tcW w:w="4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Input</w:t>
            </w:r>
          </w:p>
        </w:tc>
        <w:tc>
          <w:tcPr>
            <w:tcW w:w="4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1,267,992</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0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3.5% —15.3% (10.6%)</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91,416</w:t>
            </w: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tcPr>
          <w:p>
            <w:pPr>
              <w:ind w:left="100"/>
              <w:spacing w:after="0"/>
              <w:rPr>
                <w:sz w:val="20"/>
                <w:szCs w:val="20"/>
                <w:color w:val="auto"/>
              </w:rPr>
            </w:pPr>
            <w:r>
              <w:rPr>
                <w:rFonts w:ascii="Arial" w:cs="Arial" w:eastAsia="Arial" w:hAnsi="Arial"/>
                <w:sz w:val="16"/>
                <w:szCs w:val="16"/>
                <w:color w:val="auto"/>
              </w:rPr>
              <w:t>Market yield</w:t>
            </w:r>
          </w:p>
        </w:tc>
        <w:tc>
          <w:tcPr>
            <w:tcW w:w="42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12.0% —13.8% (13.2%)</w:t>
            </w:r>
          </w:p>
        </w:tc>
        <w:tc>
          <w:tcPr>
            <w:tcW w:w="10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Mezzanine and unsecured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6,023</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Market yield</w:t>
            </w:r>
          </w:p>
        </w:tc>
        <w:tc>
          <w:tcPr>
            <w:tcW w:w="4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15.7% —15.7% (15.7%)</w:t>
            </w:r>
          </w:p>
        </w:tc>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6"/>
                <w:szCs w:val="16"/>
                <w:color w:val="auto"/>
              </w:rPr>
              <w:t>Comparable</w:t>
            </w: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Market Multiple or</w:t>
            </w:r>
          </w:p>
        </w:tc>
        <w:tc>
          <w:tcPr>
            <w:tcW w:w="1460" w:type="dxa"/>
            <w:vAlign w:val="bottom"/>
            <w:gridSpan w:val="3"/>
          </w:tcPr>
          <w:p>
            <w:pPr>
              <w:ind w:left="100"/>
              <w:spacing w:after="0"/>
              <w:rPr>
                <w:sz w:val="20"/>
                <w:szCs w:val="20"/>
                <w:color w:val="auto"/>
              </w:rPr>
            </w:pPr>
            <w:r>
              <w:rPr>
                <w:rFonts w:ascii="Arial" w:cs="Arial" w:eastAsia="Arial" w:hAnsi="Arial"/>
                <w:sz w:val="16"/>
                <w:szCs w:val="16"/>
                <w:color w:val="auto"/>
              </w:rPr>
              <w:t>multiple or</w:t>
            </w: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6"/>
                <w:szCs w:val="16"/>
                <w:color w:val="auto"/>
              </w:rPr>
              <w:t>Increase or</w:t>
            </w:r>
          </w:p>
        </w:tc>
        <w:tc>
          <w:tcPr>
            <w:tcW w:w="0" w:type="dxa"/>
            <w:vAlign w:val="bottom"/>
          </w:tcPr>
          <w:p>
            <w:pPr>
              <w:spacing w:after="0"/>
              <w:rPr>
                <w:sz w:val="1"/>
                <w:szCs w:val="1"/>
                <w:color w:val="auto"/>
              </w:rPr>
            </w:pPr>
          </w:p>
        </w:tc>
      </w:tr>
      <w:tr>
        <w:trPr>
          <w:trHeight w:val="359"/>
        </w:trPr>
        <w:tc>
          <w:tcPr>
            <w:tcW w:w="2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7,992</w:t>
            </w:r>
          </w:p>
        </w:tc>
        <w:tc>
          <w:tcPr>
            <w:tcW w:w="1700" w:type="dxa"/>
            <w:vAlign w:val="bottom"/>
          </w:tcPr>
          <w:p>
            <w:pPr>
              <w:spacing w:after="0"/>
              <w:rPr>
                <w:sz w:val="20"/>
                <w:szCs w:val="20"/>
                <w:color w:val="auto"/>
              </w:rPr>
            </w:pPr>
            <w:r>
              <w:rPr>
                <w:rFonts w:ascii="Arial" w:cs="Arial" w:eastAsia="Arial" w:hAnsi="Arial"/>
                <w:sz w:val="16"/>
                <w:szCs w:val="16"/>
                <w:color w:val="auto"/>
                <w:w w:val="92"/>
              </w:rPr>
              <w:t>Discounted Cash Flow</w:t>
            </w:r>
            <w:r>
              <w:rPr>
                <w:rFonts w:ascii="Arial" w:cs="Arial" w:eastAsia="Arial" w:hAnsi="Arial"/>
                <w:sz w:val="27"/>
                <w:szCs w:val="27"/>
                <w:color w:val="auto"/>
                <w:w w:val="92"/>
                <w:vertAlign w:val="superscript"/>
              </w:rPr>
              <w:t>(2)</w:t>
            </w:r>
          </w:p>
        </w:tc>
        <w:tc>
          <w:tcPr>
            <w:tcW w:w="1460" w:type="dxa"/>
            <w:vAlign w:val="bottom"/>
            <w:gridSpan w:val="3"/>
          </w:tcPr>
          <w:p>
            <w:pPr>
              <w:ind w:left="100"/>
              <w:spacing w:after="0"/>
              <w:rPr>
                <w:sz w:val="20"/>
                <w:szCs w:val="20"/>
                <w:color w:val="auto"/>
              </w:rPr>
            </w:pPr>
            <w:r>
              <w:rPr>
                <w:rFonts w:ascii="Arial" w:cs="Arial" w:eastAsia="Arial" w:hAnsi="Arial"/>
                <w:sz w:val="16"/>
                <w:szCs w:val="16"/>
                <w:color w:val="auto"/>
              </w:rPr>
              <w:t>discount rate</w:t>
            </w:r>
          </w:p>
        </w:tc>
        <w:tc>
          <w:tcPr>
            <w:tcW w:w="42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8.5x —14.2x (11.3x) or 12.0%</w:t>
            </w:r>
          </w:p>
        </w:tc>
        <w:tc>
          <w:tcPr>
            <w:tcW w:w="10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60" w:right="40" w:hanging="452"/>
        <w:spacing w:after="0" w:line="258" w:lineRule="auto"/>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Includes $47.0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Includes $3.8 million of equity investments which were valued using the cost of the investments.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Impact to</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4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Range (Weighted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Increase to</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170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Pr>
          <w:p>
            <w:pPr>
              <w:spacing w:after="0"/>
              <w:rPr>
                <w:sz w:val="16"/>
                <w:szCs w:val="16"/>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Input</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1,229,491</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0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3.9% —15.3% (10.8%)</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w w:val="96"/>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90,441</w:t>
            </w:r>
          </w:p>
        </w:tc>
        <w:tc>
          <w:tcPr>
            <w:tcW w:w="1700" w:type="dxa"/>
            <w:vAlign w:val="bottom"/>
          </w:tcPr>
          <w:p>
            <w:pPr>
              <w:spacing w:after="0"/>
              <w:rPr>
                <w:sz w:val="20"/>
                <w:szCs w:val="20"/>
                <w:color w:val="auto"/>
              </w:rPr>
            </w:pPr>
            <w:r>
              <w:rPr>
                <w:rFonts w:ascii="Arial" w:cs="Arial" w:eastAsia="Arial" w:hAnsi="Arial"/>
                <w:sz w:val="16"/>
                <w:szCs w:val="16"/>
                <w:color w:val="auto"/>
              </w:rPr>
              <w:t>Income approach</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Market yield</w:t>
            </w:r>
          </w:p>
        </w:tc>
        <w:tc>
          <w:tcPr>
            <w:tcW w:w="100" w:type="dxa"/>
            <w:vAlign w:val="bottom"/>
          </w:tcPr>
          <w:p>
            <w:pPr>
              <w:spacing w:after="0"/>
              <w:rPr>
                <w:sz w:val="17"/>
                <w:szCs w:val="17"/>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12.1% —13.8% (13.2%)</w:t>
            </w:r>
          </w:p>
        </w:tc>
        <w:tc>
          <w:tcPr>
            <w:tcW w:w="10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Mezzanine and unsecured</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7,801</w:t>
            </w:r>
          </w:p>
        </w:tc>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Market yield</w:t>
            </w:r>
          </w:p>
        </w:tc>
        <w:tc>
          <w:tcPr>
            <w:tcW w:w="1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12.6% —12.6% (12.6%)</w:t>
            </w:r>
          </w:p>
        </w:tc>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20"/>
                <w:szCs w:val="20"/>
                <w:color w:val="auto"/>
              </w:rPr>
            </w:pPr>
            <w:r>
              <w:rPr>
                <w:rFonts w:ascii="Arial" w:cs="Arial" w:eastAsia="Arial" w:hAnsi="Arial"/>
                <w:sz w:val="16"/>
                <w:szCs w:val="16"/>
                <w:color w:val="auto"/>
                <w:w w:val="97"/>
              </w:rPr>
              <w:t>Equity and other investments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Comparable</w:t>
            </w:r>
          </w:p>
        </w:tc>
        <w:tc>
          <w:tcPr>
            <w:tcW w:w="1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Market Multiple or</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multiple or</w:t>
            </w: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6"/>
                <w:szCs w:val="16"/>
                <w:color w:val="auto"/>
              </w:rPr>
              <w:t>Increase or</w:t>
            </w:r>
          </w:p>
        </w:tc>
        <w:tc>
          <w:tcPr>
            <w:tcW w:w="0" w:type="dxa"/>
            <w:vAlign w:val="bottom"/>
          </w:tcPr>
          <w:p>
            <w:pPr>
              <w:spacing w:after="0"/>
              <w:rPr>
                <w:sz w:val="1"/>
                <w:szCs w:val="1"/>
                <w:color w:val="auto"/>
              </w:rPr>
            </w:pPr>
          </w:p>
        </w:tc>
      </w:tr>
      <w:tr>
        <w:trPr>
          <w:trHeight w:val="359"/>
        </w:trPr>
        <w:tc>
          <w:tcPr>
            <w:tcW w:w="20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8,205</w:t>
            </w:r>
          </w:p>
        </w:tc>
        <w:tc>
          <w:tcPr>
            <w:tcW w:w="1700" w:type="dxa"/>
            <w:vAlign w:val="bottom"/>
          </w:tcPr>
          <w:p>
            <w:pPr>
              <w:spacing w:after="0"/>
              <w:rPr>
                <w:sz w:val="20"/>
                <w:szCs w:val="20"/>
                <w:color w:val="auto"/>
              </w:rPr>
            </w:pPr>
            <w:r>
              <w:rPr>
                <w:rFonts w:ascii="Arial" w:cs="Arial" w:eastAsia="Arial" w:hAnsi="Arial"/>
                <w:sz w:val="16"/>
                <w:szCs w:val="16"/>
                <w:color w:val="auto"/>
                <w:w w:val="92"/>
              </w:rPr>
              <w:t>Discounted Cash Flow</w:t>
            </w:r>
            <w:r>
              <w:rPr>
                <w:rFonts w:ascii="Arial" w:cs="Arial" w:eastAsia="Arial" w:hAnsi="Arial"/>
                <w:sz w:val="27"/>
                <w:szCs w:val="27"/>
                <w:color w:val="auto"/>
                <w:w w:val="92"/>
                <w:vertAlign w:val="superscript"/>
              </w:rPr>
              <w:t>(2)</w:t>
            </w:r>
          </w:p>
        </w:tc>
        <w:tc>
          <w:tcPr>
            <w:tcW w:w="1360" w:type="dxa"/>
            <w:vAlign w:val="bottom"/>
            <w:gridSpan w:val="2"/>
          </w:tcPr>
          <w:p>
            <w:pPr>
              <w:ind w:left="100"/>
              <w:spacing w:after="0"/>
              <w:rPr>
                <w:sz w:val="20"/>
                <w:szCs w:val="20"/>
                <w:color w:val="auto"/>
              </w:rPr>
            </w:pPr>
            <w:r>
              <w:rPr>
                <w:rFonts w:ascii="Arial" w:cs="Arial" w:eastAsia="Arial" w:hAnsi="Arial"/>
                <w:sz w:val="16"/>
                <w:szCs w:val="16"/>
                <w:color w:val="auto"/>
              </w:rPr>
              <w:t>discount rate</w:t>
            </w:r>
          </w:p>
        </w:tc>
        <w:tc>
          <w:tcPr>
            <w:tcW w:w="100" w:type="dxa"/>
            <w:vAlign w:val="bottom"/>
          </w:tcPr>
          <w:p>
            <w:pPr>
              <w:spacing w:after="0"/>
              <w:rPr>
                <w:sz w:val="24"/>
                <w:szCs w:val="24"/>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8.4x —13.5x (11.8x) or 12.0%</w:t>
            </w:r>
          </w:p>
        </w:tc>
        <w:tc>
          <w:tcPr>
            <w:tcW w:w="10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60" w:right="40" w:hanging="452"/>
        <w:spacing w:after="0" w:line="258"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cost of the investments.</w:t>
      </w:r>
    </w:p>
    <w:p>
      <w:pPr>
        <w:spacing w:after="0" w:line="18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March 31, 2016, approximates its carrying value as the outstanding balance is callable at carrying value. The fair value of the Company’s Convertible Senior Notes, which is categorized as Level 2 within the fair value hierarchy, as of March 31, 2016, was $112.2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March 31, 2016 and December 31, 2015, the Company’s asset coverage was 240.7% and 225.7%,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March 31, 2016 and December 31,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March 31, 2016</w:t>
            </w: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8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152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10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Amount Committed</w:t>
            </w: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523,225</w:t>
            </w:r>
          </w:p>
        </w:tc>
        <w:tc>
          <w:tcPr>
            <w:tcW w:w="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$ 298,025</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$516,298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115,000</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109,765</w:t>
            </w:r>
          </w:p>
        </w:tc>
      </w:tr>
      <w:tr>
        <w:trPr>
          <w:trHeight w:val="27"/>
        </w:trPr>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638,225</w:t>
            </w: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$ 298,025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626,063</w:t>
            </w:r>
          </w:p>
        </w:tc>
      </w:tr>
      <w:tr>
        <w:trPr>
          <w:trHeight w:val="20"/>
        </w:trPr>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$6.9 million and $2.9 million, respectively.</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8"/>
              </w:rPr>
              <w:t>December 31, 2015</w:t>
            </w: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8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152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10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3"/>
              </w:rPr>
              <w:t>Amount Committed</w:t>
            </w: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(2)</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540,305</w:t>
            </w:r>
          </w:p>
        </w:tc>
        <w:tc>
          <w:tcPr>
            <w:tcW w:w="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$532,996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115,000</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109,427</w:t>
            </w:r>
          </w:p>
        </w:tc>
      </w:tr>
      <w:tr>
        <w:trPr>
          <w:trHeight w:val="27"/>
        </w:trPr>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936,250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655,305</w:t>
            </w:r>
          </w:p>
        </w:tc>
        <w:tc>
          <w:tcPr>
            <w:tcW w:w="10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$ 280,945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642,423</w:t>
            </w:r>
          </w:p>
        </w:tc>
      </w:tr>
      <w:tr>
        <w:trPr>
          <w:trHeight w:val="20"/>
        </w:trPr>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Senior Notes are presented net of deferred financing costs of $7.3 million and $3.1 million, respectively.</w:t>
      </w:r>
    </w:p>
    <w:p>
      <w:pPr>
        <w:spacing w:after="0" w:line="18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months ended March 31, 2016 and 2015,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8"/>
              </w:rPr>
              <w:t>March 31, 2016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2015</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Commitment fees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260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145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r>
      <w:tr>
        <w:trPr>
          <w:trHeight w:val="223"/>
        </w:trPr>
        <w:tc>
          <w:tcPr>
            <w:tcW w:w="406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0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 (in millions)</w:t>
            </w:r>
          </w:p>
        </w:tc>
        <w:tc>
          <w:tcPr>
            <w:tcW w:w="14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666.0</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2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340"/>
          </w:cols>
          <w:pgMar w:left="240" w:top="459" w:right="3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2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80"/>
          </w:cols>
          <w:pgMar w:left="240" w:top="460" w:right="2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March 31, 2016, the Company had outstanding debt denominated in Swedish Krona (SEK) of 192.6 million, Euro (EUR) of 41.9 million and Pound Sterling (GBP) of 21.0 million on its Revolving Credit Facility, included in the Outstanding Principal amount in the table above.</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380"/>
          </w:cols>
          <w:pgMar w:left="240" w:top="460" w:right="2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8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plus 225 basis points to LIBOR plus 235 basis points and the facility was scheduled to mature on January 21, 2021.</w:t>
      </w:r>
    </w:p>
    <w:p>
      <w:pPr>
        <w:spacing w:after="0" w:line="18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20,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2016 and 2015, the components of interest expense related to the Convertible Senior Notes were as follows: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3"/>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March 31, 2016</w:t>
            </w:r>
          </w:p>
        </w:tc>
        <w:tc>
          <w:tcPr>
            <w:tcW w:w="2120" w:type="dxa"/>
            <w:vAlign w:val="bottom"/>
            <w:gridSpan w:val="4"/>
          </w:tcPr>
          <w:p>
            <w:pPr>
              <w:ind w:left="1060"/>
              <w:spacing w:after="0"/>
              <w:rPr>
                <w:sz w:val="20"/>
                <w:szCs w:val="20"/>
                <w:color w:val="auto"/>
              </w:rPr>
            </w:pPr>
            <w:r>
              <w:rPr>
                <w:rFonts w:ascii="Arial" w:cs="Arial" w:eastAsia="Arial" w:hAnsi="Arial"/>
                <w:sz w:val="14"/>
                <w:szCs w:val="14"/>
                <w:b w:val="1"/>
                <w:bCs w:val="1"/>
                <w:color w:val="auto"/>
              </w:rPr>
              <w:t>March 31, 2015</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06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three months ended March 31, 2016 and 2015, the Company received $1.3 million and $1.3 million, respectively, and paid $1.0 million and $0.9 million, respectively, related to the quarterly settlements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March 31, 2016,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the components of the carrying value of the Convertible Senior Notes and the stated interest rate were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480" w:type="dxa"/>
            <w:vAlign w:val="bottom"/>
            <w:gridSpan w:val="4"/>
          </w:tcPr>
          <w:p>
            <w:pPr>
              <w:ind w:left="3320"/>
              <w:spacing w:after="0"/>
              <w:rPr>
                <w:sz w:val="20"/>
                <w:szCs w:val="20"/>
                <w:color w:val="auto"/>
              </w:rPr>
            </w:pPr>
            <w:r>
              <w:rPr>
                <w:rFonts w:ascii="Arial" w:cs="Arial" w:eastAsia="Arial" w:hAnsi="Arial"/>
                <w:sz w:val="14"/>
                <w:szCs w:val="14"/>
                <w:b w:val="1"/>
                <w:bCs w:val="1"/>
                <w:color w:val="auto"/>
              </w:rPr>
              <w:t>December 2019</w:t>
            </w:r>
          </w:p>
        </w:tc>
      </w:tr>
      <w:tr>
        <w:trPr>
          <w:trHeight w:val="149"/>
        </w:trPr>
        <w:tc>
          <w:tcPr>
            <w:tcW w:w="3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Convertible</w:t>
            </w:r>
          </w:p>
        </w:tc>
      </w:tr>
      <w:tr>
        <w:trPr>
          <w:trHeight w:val="171"/>
        </w:trPr>
        <w:tc>
          <w:tcPr>
            <w:tcW w:w="3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Senior Notes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3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(2,372)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(2,863)</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Carrying value of debt</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109,765</w:t>
            </w:r>
          </w:p>
        </w:tc>
        <w:tc>
          <w:tcPr>
            <w:tcW w:w="2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Stated interest rate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r>
      <w:tr>
        <w:trPr>
          <w:trHeight w:val="365"/>
        </w:trPr>
        <w:tc>
          <w:tcPr>
            <w:tcW w:w="3280" w:type="dxa"/>
            <w:vAlign w:val="bottom"/>
          </w:tcPr>
          <w:p>
            <w:pPr>
              <w:spacing w:after="0"/>
              <w:rPr>
                <w:sz w:val="24"/>
                <w:szCs w:val="24"/>
                <w:color w:val="auto"/>
              </w:rPr>
            </w:pPr>
          </w:p>
        </w:tc>
        <w:tc>
          <w:tcPr>
            <w:tcW w:w="3420" w:type="dxa"/>
            <w:vAlign w:val="bottom"/>
            <w:gridSpan w:val="2"/>
          </w:tcPr>
          <w:p>
            <w:pPr>
              <w:ind w:left="420"/>
              <w:spacing w:after="0"/>
              <w:rPr>
                <w:sz w:val="20"/>
                <w:szCs w:val="20"/>
                <w:color w:val="auto"/>
              </w:rPr>
            </w:pPr>
            <w:r>
              <w:rPr>
                <w:rFonts w:ascii="Arial" w:cs="Arial" w:eastAsia="Arial" w:hAnsi="Arial"/>
                <w:sz w:val="18"/>
                <w:szCs w:val="18"/>
                <w:color w:val="auto"/>
              </w:rPr>
              <w:t>F-76</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swaps. The Company’s swap-adjusted interest rate is three month LIBOR plus 286 basis points. Please see Note 5 for further information about the Company’s interest rate swaps.</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March 31, 2016, the Company was in compliance with the terms of the Convertible Senior Notes Indenture.</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and December 31, 2015,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2016 and December 31, 2015, the Company had the following commitments to fund investments: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AppStar Financial, LLC - Revolver</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AvidXchange, Inc. - Delayed Draw Term Loan</w:t>
            </w:r>
          </w:p>
        </w:tc>
        <w:tc>
          <w:tcPr>
            <w:tcW w:w="28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Arial" w:cs="Arial" w:eastAsia="Arial" w:hAnsi="Arial"/>
                <w:sz w:val="18"/>
                <w:szCs w:val="18"/>
                <w:color w:val="auto"/>
              </w:rPr>
              <w:t>15,385</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15,385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Clarabridge, Inc. - Revolver</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2,500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CrunchTime Information Systems, Inc. - Delayed Draw Term Loan</w:t>
            </w:r>
          </w:p>
        </w:tc>
        <w:tc>
          <w:tcPr>
            <w:tcW w:w="280" w:type="dxa"/>
            <w:vAlign w:val="bottom"/>
          </w:tcPr>
          <w:p>
            <w:pPr>
              <w:spacing w:after="0"/>
              <w:rPr>
                <w:sz w:val="18"/>
                <w:szCs w:val="18"/>
                <w:color w:val="auto"/>
              </w:rPr>
            </w:pPr>
          </w:p>
        </w:tc>
        <w:tc>
          <w:tcPr>
            <w:tcW w:w="1880" w:type="dxa"/>
            <w:vAlign w:val="bottom"/>
            <w:gridSpan w:val="2"/>
          </w:tcPr>
          <w:p>
            <w:pPr>
              <w:jc w:val="right"/>
              <w:ind w:right="1200"/>
              <w:spacing w:after="0"/>
              <w:rPr>
                <w:sz w:val="20"/>
                <w:szCs w:val="20"/>
                <w:color w:val="auto"/>
              </w:rPr>
            </w:pPr>
            <w:r>
              <w:rPr>
                <w:rFonts w:ascii="Arial" w:cs="Arial" w:eastAsia="Arial" w:hAnsi="Arial"/>
                <w:sz w:val="18"/>
                <w:szCs w:val="18"/>
                <w:color w:val="auto"/>
              </w:rPr>
              <w:t>12,000</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 - Revolver</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2,000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Ecommerce Industries, Inc. - Delayed Draw Term Loan</w:t>
            </w:r>
          </w:p>
        </w:tc>
        <w:tc>
          <w:tcPr>
            <w:tcW w:w="280" w:type="dxa"/>
            <w:vAlign w:val="bottom"/>
          </w:tcPr>
          <w:p>
            <w:pPr>
              <w:spacing w:after="0"/>
              <w:rPr>
                <w:sz w:val="18"/>
                <w:szCs w:val="18"/>
                <w:color w:val="auto"/>
              </w:rPr>
            </w:pPr>
          </w:p>
        </w:tc>
        <w:tc>
          <w:tcPr>
            <w:tcW w:w="1880" w:type="dxa"/>
            <w:vAlign w:val="bottom"/>
            <w:gridSpan w:val="2"/>
          </w:tcPr>
          <w:p>
            <w:pPr>
              <w:jc w:val="right"/>
              <w:ind w:right="1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4,800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 Revolver</w:t>
            </w:r>
          </w:p>
        </w:tc>
        <w:tc>
          <w:tcPr>
            <w:tcW w:w="2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2,486</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Heartland Automotive Holdings, LLC - Revolver</w:t>
            </w:r>
          </w:p>
        </w:tc>
        <w:tc>
          <w:tcPr>
            <w:tcW w:w="280" w:type="dxa"/>
            <w:vAlign w:val="bottom"/>
          </w:tcPr>
          <w:p>
            <w:pPr>
              <w:spacing w:after="0"/>
              <w:rPr>
                <w:sz w:val="20"/>
                <w:szCs w:val="20"/>
                <w:color w:val="auto"/>
              </w:rPr>
            </w:pPr>
          </w:p>
        </w:tc>
        <w:tc>
          <w:tcPr>
            <w:tcW w:w="1880" w:type="dxa"/>
            <w:vAlign w:val="bottom"/>
            <w:gridSpan w:val="2"/>
          </w:tcPr>
          <w:p>
            <w:pPr>
              <w:jc w:val="right"/>
              <w:ind w:right="1200"/>
              <w:spacing w:after="0"/>
              <w:rPr>
                <w:sz w:val="20"/>
                <w:szCs w:val="20"/>
                <w:color w:val="auto"/>
              </w:rPr>
            </w:pPr>
            <w:r>
              <w:rPr>
                <w:rFonts w:ascii="Arial" w:cs="Arial" w:eastAsia="Arial" w:hAnsi="Arial"/>
                <w:sz w:val="18"/>
                <w:szCs w:val="18"/>
                <w:color w:val="auto"/>
              </w:rPr>
              <w:t>4,083</w:t>
            </w:r>
          </w:p>
        </w:tc>
        <w:tc>
          <w:tcPr>
            <w:tcW w:w="3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2,833</w:t>
            </w:r>
          </w:p>
        </w:tc>
      </w:tr>
      <w:tr>
        <w:trPr>
          <w:trHeight w:val="350"/>
        </w:trPr>
        <w:tc>
          <w:tcPr>
            <w:tcW w:w="6160" w:type="dxa"/>
            <w:vAlign w:val="bottom"/>
          </w:tcPr>
          <w:p>
            <w:pPr>
              <w:ind w:left="4620"/>
              <w:spacing w:after="0"/>
              <w:rPr>
                <w:sz w:val="20"/>
                <w:szCs w:val="20"/>
                <w:color w:val="auto"/>
              </w:rPr>
            </w:pPr>
            <w:r>
              <w:rPr>
                <w:rFonts w:ascii="Arial" w:cs="Arial" w:eastAsia="Arial" w:hAnsi="Arial"/>
                <w:sz w:val="18"/>
                <w:szCs w:val="18"/>
                <w:color w:val="auto"/>
              </w:rPr>
              <w:t>F-77</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56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Helix Health Ltd. - Revolver</w:t>
            </w: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Highwinds Capital, Inc. - Revolver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IRGSE Holding Corp. - Revolver</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181</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Leaf US Holdings, Inc. - Revolver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My Alarm Center, LLC - Delayed Draw</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1,731</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Network Merchants, Inc. - Revolver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780</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PayLease, LLC - Revolver</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ScentAir Technologies, Inc. - Multi Draw Term Loan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643</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ScentAir Technologies, Inc. - Revolver</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2,143</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Sears - ABL Revolver</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12,203</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17,913</w:t>
            </w:r>
          </w:p>
        </w:tc>
      </w:tr>
      <w:tr>
        <w:trPr>
          <w:trHeight w:val="27"/>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68,043</w:t>
            </w:r>
          </w:p>
        </w:tc>
        <w:tc>
          <w:tcPr>
            <w:tcW w:w="9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78,646</w:t>
            </w:r>
          </w:p>
        </w:tc>
      </w:tr>
      <w:tr>
        <w:trPr>
          <w:trHeight w:val="20"/>
        </w:trPr>
        <w:tc>
          <w:tcPr>
            <w:tcW w:w="5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March 31, 2016,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7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three months ended March 31, 2016 and 2015. All shares issued to stockholders in the tables below are newly issued shares.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rPr>
                <w:sz w:val="14"/>
                <w:szCs w:val="14"/>
                <w:color w:val="auto"/>
              </w:rPr>
            </w:pPr>
          </w:p>
        </w:tc>
        <w:tc>
          <w:tcPr>
            <w:tcW w:w="4280" w:type="dxa"/>
            <w:vAlign w:val="bottom"/>
            <w:tcBorders>
              <w:bottom w:val="single" w:sz="8" w:color="auto"/>
            </w:tcBorders>
            <w:gridSpan w:val="4"/>
          </w:tcPr>
          <w:p>
            <w:pPr>
              <w:ind w:left="1480"/>
              <w:spacing w:after="0"/>
              <w:rPr>
                <w:sz w:val="20"/>
                <w:szCs w:val="20"/>
                <w:color w:val="auto"/>
              </w:rPr>
            </w:pPr>
            <w:r>
              <w:rPr>
                <w:rFonts w:ascii="Arial" w:cs="Arial" w:eastAsia="Arial" w:hAnsi="Arial"/>
                <w:sz w:val="14"/>
                <w:szCs w:val="14"/>
                <w:b w:val="1"/>
                <w:bCs w:val="1"/>
                <w:color w:val="auto"/>
              </w:rPr>
              <w:t>Three Months Ended March 31, 2016</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32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Shares Issued</w:t>
            </w:r>
          </w:p>
        </w:tc>
        <w:tc>
          <w:tcPr>
            <w:tcW w:w="5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 Issued</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2015</w:t>
            </w:r>
          </w:p>
        </w:tc>
        <w:tc>
          <w:tcPr>
            <w:tcW w:w="1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December 31, 2015</w:t>
            </w: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February 1, 2016</w:t>
            </w:r>
          </w:p>
        </w:tc>
        <w:tc>
          <w:tcPr>
            <w:tcW w:w="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320" w:type="dxa"/>
            <w:vAlign w:val="bottom"/>
            <w:vMerge w:val="restart"/>
          </w:tcPr>
          <w:p>
            <w:pPr>
              <w:spacing w:after="0" w:line="20" w:lineRule="exact"/>
              <w:rPr>
                <w:sz w:val="1"/>
                <w:szCs w:val="1"/>
                <w:color w:val="auto"/>
              </w:rPr>
            </w:pPr>
          </w:p>
        </w:tc>
        <w:tc>
          <w:tcPr>
            <w:tcW w:w="4280" w:type="dxa"/>
            <w:vAlign w:val="bottom"/>
            <w:gridSpan w:val="4"/>
            <w:vMerge w:val="restart"/>
          </w:tcPr>
          <w:p>
            <w:pPr>
              <w:ind w:left="1480"/>
              <w:spacing w:after="0"/>
              <w:rPr>
                <w:sz w:val="20"/>
                <w:szCs w:val="20"/>
                <w:color w:val="auto"/>
              </w:rPr>
            </w:pPr>
            <w:r>
              <w:rPr>
                <w:rFonts w:ascii="Arial" w:cs="Arial" w:eastAsia="Arial" w:hAnsi="Arial"/>
                <w:sz w:val="14"/>
                <w:szCs w:val="14"/>
                <w:b w:val="1"/>
                <w:bCs w:val="1"/>
                <w:color w:val="auto"/>
              </w:rPr>
              <w:t>Three Months Ended March 31, 2015</w:t>
            </w: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vMerge w:val="continue"/>
          </w:tcPr>
          <w:p>
            <w:pPr>
              <w:spacing w:after="0"/>
              <w:rPr>
                <w:sz w:val="24"/>
                <w:szCs w:val="24"/>
                <w:color w:val="auto"/>
              </w:rPr>
            </w:pPr>
          </w:p>
        </w:tc>
        <w:tc>
          <w:tcPr>
            <w:tcW w:w="3320" w:type="dxa"/>
            <w:vAlign w:val="bottom"/>
            <w:vMerge w:val="continue"/>
          </w:tcPr>
          <w:p>
            <w:pPr>
              <w:spacing w:after="0"/>
              <w:rPr>
                <w:sz w:val="24"/>
                <w:szCs w:val="24"/>
                <w:color w:val="auto"/>
              </w:rPr>
            </w:pPr>
          </w:p>
        </w:tc>
        <w:tc>
          <w:tcPr>
            <w:tcW w:w="4280" w:type="dxa"/>
            <w:vAlign w:val="bottom"/>
            <w:tcBorders>
              <w:bottom w:val="single" w:sz="8" w:color="auto"/>
            </w:tcBorders>
            <w:gridSpan w:val="4"/>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32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Record Date</w:t>
            </w:r>
          </w:p>
        </w:tc>
        <w:tc>
          <w:tcPr>
            <w:tcW w:w="58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Shares Issued</w:t>
            </w:r>
          </w:p>
        </w:tc>
        <w:tc>
          <w:tcPr>
            <w:tcW w:w="5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 Issued</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December 31, 2014</w:t>
            </w:r>
          </w:p>
        </w:tc>
        <w:tc>
          <w:tcPr>
            <w:tcW w:w="580" w:type="dxa"/>
            <w:vAlign w:val="bottom"/>
            <w:shd w:val="clear" w:color="auto" w:fill="CCEEFF"/>
          </w:tcPr>
          <w:p>
            <w:pPr>
              <w:spacing w:after="0"/>
              <w:rPr>
                <w:sz w:val="18"/>
                <w:szCs w:val="18"/>
                <w:color w:val="auto"/>
              </w:rPr>
            </w:pPr>
          </w:p>
        </w:tc>
        <w:tc>
          <w:tcPr>
            <w:tcW w:w="1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February 2, 2015</w:t>
            </w:r>
          </w:p>
        </w:tc>
        <w:tc>
          <w:tcPr>
            <w:tcW w:w="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40" w:type="dxa"/>
            <w:vAlign w:val="bottom"/>
            <w:gridSpan w:val="2"/>
            <w:vMerge w:val="restart"/>
          </w:tcPr>
          <w:p>
            <w:pPr>
              <w:ind w:left="420"/>
              <w:spacing w:after="0"/>
              <w:rPr>
                <w:sz w:val="20"/>
                <w:szCs w:val="20"/>
                <w:color w:val="auto"/>
              </w:rPr>
            </w:pPr>
            <w:r>
              <w:rPr>
                <w:rFonts w:ascii="Arial" w:cs="Arial" w:eastAsia="Arial" w:hAnsi="Arial"/>
                <w:sz w:val="18"/>
                <w:szCs w:val="18"/>
                <w:color w:val="auto"/>
              </w:rPr>
              <w:t>F-78</w:t>
            </w: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February 24, 2016, the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the three months ended March 31, 2016, the Company repurchased 86,081 shares under the Company 10b5-1 Plan at a weighted average price per share of $15.44, inclusive of commissions, for a total cost of $1.3 million. No shares were repurchased under the Company 10b5-1 Plan during three months ended March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31, 2016</w:t>
            </w:r>
          </w:p>
        </w:tc>
        <w:tc>
          <w:tcPr>
            <w:tcW w:w="1960" w:type="dxa"/>
            <w:vAlign w:val="bottom"/>
            <w:tcBorders>
              <w:top w:val="single" w:sz="8" w:color="auto"/>
            </w:tcBorders>
            <w:gridSpan w:val="3"/>
          </w:tcPr>
          <w:p>
            <w:pPr>
              <w:ind w:left="1000"/>
              <w:spacing w:after="0" w:line="142" w:lineRule="exact"/>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12"/>
                <w:szCs w:val="12"/>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1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540" w:type="dxa"/>
            <w:vAlign w:val="bottom"/>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4540" w:type="dxa"/>
            <w:vAlign w:val="bottom"/>
          </w:tcPr>
          <w:p>
            <w:pPr>
              <w:spacing w:after="0"/>
              <w:rPr>
                <w:sz w:val="20"/>
                <w:szCs w:val="20"/>
                <w:color w:val="auto"/>
              </w:rPr>
            </w:pPr>
            <w:r>
              <w:rPr>
                <w:rFonts w:ascii="Arial" w:cs="Arial" w:eastAsia="Arial" w:hAnsi="Arial"/>
                <w:sz w:val="18"/>
                <w:szCs w:val="18"/>
                <w:color w:val="auto"/>
              </w:rPr>
              <w:t>outstanding—basic and diluted</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55,802,270</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53,902,074</w:t>
            </w:r>
          </w:p>
        </w:tc>
        <w:tc>
          <w:tcPr>
            <w:tcW w:w="100" w:type="dxa"/>
            <w:vAlign w:val="bottom"/>
          </w:tcPr>
          <w:p>
            <w:pPr>
              <w:spacing w:after="0"/>
              <w:rPr>
                <w:sz w:val="21"/>
                <w:szCs w:val="2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2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1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March 31, 2016 was less than the conversion price for the Convertible Senior Notes outstanding as of March 31, 2016. Therefore, for all periods presented in the financial statements, the underlying shares for the intrinsic value of the embedded options in the Convertible Senior Notes have no impact on the computation of diluted earnings per common share.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360"/>
          </w:cols>
          <w:pgMar w:left="240" w:top="460" w:right="2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three months ended March 31, 2016 and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Date Declared</w:t>
            </w:r>
          </w:p>
        </w:tc>
        <w:tc>
          <w:tcPr>
            <w:tcW w:w="1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6"/>
              </w:rPr>
              <w:t>March 31, 2016</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00" w:type="dxa"/>
            <w:vAlign w:val="bottom"/>
          </w:tcPr>
          <w:p>
            <w:pPr>
              <w:spacing w:after="0"/>
              <w:rPr>
                <w:sz w:val="12"/>
                <w:szCs w:val="12"/>
                <w:color w:val="auto"/>
              </w:rPr>
            </w:pPr>
          </w:p>
        </w:tc>
        <w:tc>
          <w:tcPr>
            <w:tcW w:w="1920" w:type="dxa"/>
            <w:vAlign w:val="bottom"/>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2016</w:t>
            </w: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March 31, 2016</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April 29, 2016</w:t>
            </w: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Dividends Declared</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Date Declared</w:t>
            </w:r>
          </w:p>
        </w:tc>
        <w:tc>
          <w:tcPr>
            <w:tcW w:w="1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b w:val="1"/>
                <w:bCs w:val="1"/>
                <w:color w:val="auto"/>
                <w:w w:val="96"/>
              </w:rPr>
              <w:t>March 31, 2015</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2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Record Date</w:t>
            </w:r>
          </w:p>
        </w:tc>
        <w:tc>
          <w:tcPr>
            <w:tcW w:w="800" w:type="dxa"/>
            <w:vAlign w:val="bottom"/>
          </w:tcPr>
          <w:p>
            <w:pPr>
              <w:spacing w:after="0"/>
              <w:rPr>
                <w:sz w:val="12"/>
                <w:szCs w:val="12"/>
                <w:color w:val="auto"/>
              </w:rPr>
            </w:pPr>
          </w:p>
        </w:tc>
        <w:tc>
          <w:tcPr>
            <w:tcW w:w="1920" w:type="dxa"/>
            <w:vAlign w:val="bottom"/>
            <w:gridSpan w:val="2"/>
          </w:tcPr>
          <w:p>
            <w:pPr>
              <w:jc w:val="center"/>
              <w:ind w:right="82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2015</w:t>
            </w: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March 31, 2015</w:t>
            </w:r>
          </w:p>
        </w:tc>
        <w:tc>
          <w:tcPr>
            <w:tcW w:w="8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April 30, 2015</w:t>
            </w: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Dividends Declared</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dividends declared during the three months ended March 31, 2016 and 2015 were derived from net investment income, determined on a tax basis.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three months ended March 31, 2016 and 2015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40" w:type="dxa"/>
            <w:vAlign w:val="bottom"/>
            <w:gridSpan w:val="3"/>
          </w:tcPr>
          <w:p>
            <w:pPr>
              <w:ind w:left="1620"/>
              <w:spacing w:after="0"/>
              <w:rPr>
                <w:sz w:val="20"/>
                <w:szCs w:val="20"/>
                <w:color w:val="auto"/>
              </w:rPr>
            </w:pPr>
            <w:r>
              <w:rPr>
                <w:rFonts w:ascii="Arial" w:cs="Arial" w:eastAsia="Arial" w:hAnsi="Arial"/>
                <w:sz w:val="14"/>
                <w:szCs w:val="14"/>
                <w:b w:val="1"/>
                <w:bCs w:val="1"/>
                <w:color w:val="auto"/>
                <w:w w:val="93"/>
              </w:rPr>
              <w:t>Three Months Ended</w:t>
            </w:r>
          </w:p>
        </w:tc>
        <w:tc>
          <w:tcPr>
            <w:tcW w:w="27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March 31, 2016</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2015</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Capital Gains</w:t>
            </w:r>
          </w:p>
        </w:tc>
        <w:tc>
          <w:tcPr>
            <w:tcW w:w="1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For the three months ended March 31, 2016 and 2015, 81.8% and 75.9% of ordinary income qualified as interest related dividend which is exempt from U.S. withholding tax applicable to non U.S.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reconciles increase in net assets resulting from operations for the three months ended March 31, 2016 and 2015 to taxable income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w w:val="98"/>
              </w:rPr>
              <w:t>March 31, 2016</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2015</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17,771</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(1,560)</w:t>
            </w: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Other income (loss) for tax purposes, not book</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right"/>
              <w:ind w:right="1180"/>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Other expenses not currently deductible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jc w:val="right"/>
              <w:ind w:right="124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r>
      <w:tr>
        <w:trPr>
          <w:trHeight w:val="223"/>
        </w:trPr>
        <w:tc>
          <w:tcPr>
            <w:tcW w:w="4180" w:type="dxa"/>
            <w:vAlign w:val="bottom"/>
          </w:tcPr>
          <w:p>
            <w:pPr>
              <w:spacing w:after="0"/>
              <w:rPr>
                <w:sz w:val="20"/>
                <w:szCs w:val="20"/>
                <w:color w:val="auto"/>
              </w:rPr>
            </w:pPr>
            <w:r>
              <w:rPr>
                <w:rFonts w:ascii="Arial" w:cs="Arial" w:eastAsia="Arial" w:hAnsi="Arial"/>
                <w:sz w:val="18"/>
                <w:szCs w:val="18"/>
                <w:b w:val="1"/>
                <w:bCs w:val="1"/>
                <w:color w:val="auto"/>
              </w:rPr>
              <w:t>Taxable Income</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24,276</w:t>
            </w: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color w:val="auto"/>
              </w:rPr>
              <w:t>F-80</w:t>
            </w: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During the three months ended March 31, 2016, permanent differences were principally related to $1.6 million of recharacterization of prepayment penalties for tax purposes between ordinary income and capital gains, $0.4 million attributable to accrued U.S. federal excise taxes, and $0.2 million attributable to foreign currency reclassifications. During the three months ended March 31, 2015, permanent differences were principally related to $1.7 million of recharacterization of prepayment penalties for tax purposes between ordinary income and capital gains, $1.9 million attributable to derivative reclassifications, and $0.3 million attributable to accrued U.S. federal excise taxes.</w:t>
      </w:r>
    </w:p>
    <w:p>
      <w:pPr>
        <w:spacing w:after="0" w:line="18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The Company does not have any uncertain tax positions that met the recognition or measurement criteria of ASC 740-10-25, </w:t>
      </w:r>
      <w:r>
        <w:rPr>
          <w:rFonts w:ascii="Arial" w:cs="Arial" w:eastAsia="Arial" w:hAnsi="Arial"/>
          <w:sz w:val="18"/>
          <w:szCs w:val="18"/>
          <w:i w:val="1"/>
          <w:iCs w:val="1"/>
          <w:color w:val="auto"/>
        </w:rPr>
        <w:t>Income Taxes</w:t>
      </w:r>
      <w:r>
        <w:rPr>
          <w:rFonts w:ascii="Arial" w:cs="Arial" w:eastAsia="Arial" w:hAnsi="Arial"/>
          <w:sz w:val="18"/>
          <w:szCs w:val="18"/>
          <w:color w:val="auto"/>
        </w:rPr>
        <w:t>, and the Company does not have any unrecognized tax benefits as of the periods presented herein. Although the Company files federal and state tax returns, the Company’s major tax jurisdiction is federal. The Company’s inception-to-date federal tax year remains subject to examination by the Internal Revenue Service.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March 31, 2016 and December 31, 2015, approximates their amortized cost.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three months ended March 31, 2016 and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w w:val="96"/>
              </w:rPr>
              <w:t>March 31, 2016</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2015</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5"/>
                <w:szCs w:val="15"/>
                <w:b w:val="1"/>
                <w:bCs w:val="1"/>
                <w:color w:val="auto"/>
              </w:rPr>
              <w:t>(7)</w:t>
            </w:r>
          </w:p>
        </w:tc>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5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340"/>
              <w:spacing w:after="0"/>
              <w:rPr>
                <w:sz w:val="20"/>
                <w:szCs w:val="20"/>
                <w:color w:val="auto"/>
              </w:rPr>
            </w:pPr>
            <w:r>
              <w:rPr>
                <w:rFonts w:ascii="Arial" w:cs="Arial" w:eastAsia="Arial" w:hAnsi="Arial"/>
                <w:sz w:val="18"/>
                <w:szCs w:val="18"/>
                <w:color w:val="auto"/>
              </w:rPr>
              <w:t>15.15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2"/>
          </w:tcPr>
          <w:p>
            <w:pPr>
              <w:jc w:val="right"/>
              <w:ind w:right="128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7"/>
        </w:trPr>
        <w:tc>
          <w:tcPr>
            <w:tcW w:w="4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from operations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rPr>
              <w:t>Issuance of common stock, net of offering</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costs</w:t>
            </w:r>
            <w:r>
              <w:rPr>
                <w:rFonts w:ascii="Arial" w:cs="Arial" w:eastAsia="Arial" w:hAnsi="Arial"/>
                <w:sz w:val="15"/>
                <w:szCs w:val="15"/>
                <w:color w:val="auto"/>
              </w:rPr>
              <w:t>(2)</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2"/>
          </w:tcPr>
          <w:p>
            <w:pPr>
              <w:jc w:val="right"/>
              <w:ind w:right="134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r>
              <w:rPr>
                <w:rFonts w:ascii="Arial" w:cs="Arial" w:eastAsia="Arial" w:hAnsi="Arial"/>
                <w:sz w:val="15"/>
                <w:szCs w:val="15"/>
                <w:color w:val="auto"/>
              </w:rPr>
              <w:t>(2)</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Total increase (decrease) in net assets</w:t>
            </w:r>
          </w:p>
        </w:tc>
        <w:tc>
          <w:tcPr>
            <w:tcW w:w="1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 Value, End of Period</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15.11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372"/>
        </w:trPr>
        <w:tc>
          <w:tcPr>
            <w:tcW w:w="4140" w:type="dxa"/>
            <w:vAlign w:val="bottom"/>
          </w:tcPr>
          <w:p>
            <w:pPr>
              <w:spacing w:after="0"/>
              <w:rPr>
                <w:sz w:val="24"/>
                <w:szCs w:val="24"/>
                <w:color w:val="auto"/>
              </w:rPr>
            </w:pPr>
          </w:p>
        </w:tc>
        <w:tc>
          <w:tcPr>
            <w:tcW w:w="1380" w:type="dxa"/>
            <w:vAlign w:val="bottom"/>
          </w:tcPr>
          <w:p>
            <w:pPr>
              <w:ind w:left="480"/>
              <w:spacing w:after="0"/>
              <w:rPr>
                <w:sz w:val="20"/>
                <w:szCs w:val="20"/>
                <w:color w:val="auto"/>
              </w:rPr>
            </w:pPr>
            <w:r>
              <w:rPr>
                <w:rFonts w:ascii="Arial" w:cs="Arial" w:eastAsia="Arial" w:hAnsi="Arial"/>
                <w:sz w:val="18"/>
                <w:szCs w:val="18"/>
                <w:color w:val="auto"/>
              </w:rPr>
              <w:t>F-81</w:t>
            </w: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8"/>
              </w:rPr>
              <w:t>March 31, 2016</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2015</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return based on market value</w:t>
            </w:r>
            <w:r>
              <w:rPr>
                <w:rFonts w:ascii="Arial" w:cs="Arial" w:eastAsia="Arial" w:hAnsi="Arial"/>
                <w:sz w:val="15"/>
                <w:szCs w:val="15"/>
                <w:color w:val="auto"/>
              </w:rPr>
              <w:t>(3)</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1.85%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59,225,688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53,959,848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r>
              <w:rPr>
                <w:rFonts w:ascii="Arial" w:cs="Arial" w:eastAsia="Arial" w:hAnsi="Arial"/>
                <w:sz w:val="15"/>
                <w:szCs w:val="15"/>
                <w:b w:val="1"/>
                <w:bCs w:val="1"/>
                <w:color w:val="auto"/>
              </w:rPr>
              <w:t>(5)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Ratio of net expenses to average net assets</w:t>
            </w:r>
            <w:r>
              <w:rPr>
                <w:rFonts w:ascii="Arial" w:cs="Arial" w:eastAsia="Arial" w:hAnsi="Arial"/>
                <w:sz w:val="15"/>
                <w:szCs w:val="15"/>
                <w:color w:val="auto"/>
              </w:rPr>
              <w:t>(6)</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9.12%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Portfolio turnover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16.13%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19.86%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894,671</w:t>
            </w:r>
          </w:p>
        </w:tc>
        <w:tc>
          <w:tcPr>
            <w:tcW w:w="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841,530</w:t>
            </w:r>
          </w:p>
        </w:tc>
        <w:tc>
          <w:tcPr>
            <w:tcW w:w="2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 On an annualized basis, the total return based on market value for the three months ended March 31, 2016 and 2015 is 7.40% and 11.77%, respectively.</w:t>
      </w:r>
    </w:p>
    <w:p>
      <w:pPr>
        <w:spacing w:after="0" w:line="1"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 On an annualized basis, the total return based on net asset value for the three months ended March 31, 2016 and 2015 is 9.28% and 18.55%,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460" w:right="140" w:hanging="452"/>
        <w:spacing w:after="0" w:line="265" w:lineRule="auto"/>
        <w:tabs>
          <w:tab w:leader="none" w:pos="4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ratio of net expenses to average net assets in the table above reflects the Adviser’s waivers of its right to receive a portion of the Management Fee and Incentive Fees with respect to our ownership of shares of common stock of TICC Capital Corp. Excluding the effects of waivers, the ratio of net expenses to average net assets would have been 9.17% for the three months ended March 31, 2016. No Management Fees or Incentive Fees were waived for the three months ended March 31, 2015, which was prior to our ownership of TICC Shares.</w:t>
      </w: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months ended March 31,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220" w:type="dxa"/>
            <w:vAlign w:val="bottom"/>
          </w:tcPr>
          <w:p>
            <w:pPr>
              <w:jc w:val="center"/>
              <w:ind w:left="310"/>
              <w:spacing w:after="0"/>
              <w:rPr>
                <w:sz w:val="20"/>
                <w:szCs w:val="20"/>
                <w:color w:val="auto"/>
              </w:rPr>
            </w:pPr>
            <w:r>
              <w:rPr>
                <w:rFonts w:ascii="Arial" w:cs="Arial" w:eastAsia="Arial" w:hAnsi="Arial"/>
                <w:sz w:val="18"/>
                <w:szCs w:val="18"/>
                <w:b w:val="1"/>
                <w:bCs w:val="1"/>
                <w:color w:val="auto"/>
              </w:rPr>
              <w:t>TPG SPECIALTY LENDING, INC.</w:t>
            </w: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9220" w:type="dxa"/>
            <w:vAlign w:val="bottom"/>
          </w:tcPr>
          <w:p>
            <w:pPr>
              <w:jc w:val="center"/>
              <w:ind w:left="330"/>
              <w:spacing w:after="0"/>
              <w:rPr>
                <w:sz w:val="20"/>
                <w:szCs w:val="20"/>
                <w:color w:val="auto"/>
              </w:rPr>
            </w:pPr>
            <w:r>
              <w:rPr>
                <w:rFonts w:ascii="Arial" w:cs="Arial" w:eastAsia="Arial" w:hAnsi="Arial"/>
                <w:sz w:val="18"/>
                <w:szCs w:val="18"/>
                <w:b w:val="1"/>
                <w:bCs w:val="1"/>
                <w:color w:val="auto"/>
                <w:w w:val="95"/>
              </w:rPr>
              <w:t>PART C</w:t>
            </w:r>
          </w:p>
        </w:tc>
        <w:tc>
          <w:tcPr>
            <w:tcW w:w="130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9220" w:type="dxa"/>
            <w:vAlign w:val="bottom"/>
          </w:tcPr>
          <w:p>
            <w:pPr>
              <w:jc w:val="center"/>
              <w:ind w:left="330"/>
              <w:spacing w:after="0"/>
              <w:rPr>
                <w:sz w:val="20"/>
                <w:szCs w:val="20"/>
                <w:color w:val="auto"/>
              </w:rPr>
            </w:pPr>
            <w:r>
              <w:rPr>
                <w:rFonts w:ascii="Arial" w:cs="Arial" w:eastAsia="Arial" w:hAnsi="Arial"/>
                <w:sz w:val="18"/>
                <w:szCs w:val="18"/>
                <w:b w:val="1"/>
                <w:bCs w:val="1"/>
                <w:color w:val="auto"/>
                <w:w w:val="94"/>
              </w:rPr>
              <w:t>Other Information</w:t>
            </w:r>
          </w:p>
        </w:tc>
        <w:tc>
          <w:tcPr>
            <w:tcW w:w="1300" w:type="dxa"/>
            <w:vAlign w:val="bottom"/>
          </w:tcPr>
          <w:p>
            <w:pPr>
              <w:spacing w:after="0"/>
              <w:rPr>
                <w:sz w:val="20"/>
                <w:szCs w:val="20"/>
                <w:color w:val="auto"/>
              </w:rPr>
            </w:pPr>
          </w:p>
        </w:tc>
      </w:tr>
      <w:tr>
        <w:trPr>
          <w:trHeight w:val="581"/>
        </w:trPr>
        <w:tc>
          <w:tcPr>
            <w:tcW w:w="90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c>
          <w:tcPr>
            <w:tcW w:w="1300" w:type="dxa"/>
            <w:vAlign w:val="bottom"/>
          </w:tcPr>
          <w:p>
            <w:pPr>
              <w:spacing w:after="0"/>
              <w:rPr>
                <w:sz w:val="24"/>
                <w:szCs w:val="24"/>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(1) Financial Statements</w:t>
            </w:r>
          </w:p>
        </w:tc>
        <w:tc>
          <w:tcPr>
            <w:tcW w:w="1300" w:type="dxa"/>
            <w:vAlign w:val="bottom"/>
          </w:tcPr>
          <w:p>
            <w:pPr>
              <w:spacing w:after="0"/>
              <w:rPr>
                <w:sz w:val="24"/>
                <w:szCs w:val="24"/>
                <w:color w:val="auto"/>
              </w:rPr>
            </w:pPr>
          </w:p>
        </w:tc>
      </w:tr>
      <w:tr>
        <w:trPr>
          <w:trHeight w:val="324"/>
        </w:trPr>
        <w:tc>
          <w:tcPr>
            <w:tcW w:w="10120" w:type="dxa"/>
            <w:vAlign w:val="bottom"/>
            <w:gridSpan w:val="2"/>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00" w:type="dxa"/>
            <w:vAlign w:val="bottom"/>
          </w:tcPr>
          <w:p>
            <w:pPr>
              <w:spacing w:after="0"/>
              <w:rPr>
                <w:sz w:val="24"/>
                <w:szCs w:val="24"/>
                <w:color w:val="auto"/>
              </w:rPr>
            </w:pPr>
          </w:p>
        </w:tc>
      </w:tr>
      <w:tr>
        <w:trPr>
          <w:trHeight w:val="445"/>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00" w:type="dxa"/>
            <w:vAlign w:val="bottom"/>
          </w:tcPr>
          <w:p>
            <w:pPr>
              <w:spacing w:after="0"/>
              <w:rPr>
                <w:sz w:val="24"/>
                <w:szCs w:val="24"/>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2015 and 2014</w:t>
            </w:r>
          </w:p>
        </w:tc>
        <w:tc>
          <w:tcPr>
            <w:tcW w:w="13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13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December 31, 2015 and 2014</w:t>
            </w:r>
          </w:p>
        </w:tc>
        <w:tc>
          <w:tcPr>
            <w:tcW w:w="13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2015, 2014 and 2013</w:t>
            </w:r>
          </w:p>
        </w:tc>
        <w:tc>
          <w:tcPr>
            <w:tcW w:w="130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30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10"/>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300" w:type="dxa"/>
            <w:vAlign w:val="bottom"/>
          </w:tcPr>
          <w:p>
            <w:pPr>
              <w:spacing w:after="0"/>
              <w:rPr>
                <w:sz w:val="24"/>
                <w:szCs w:val="24"/>
                <w:color w:val="auto"/>
              </w:rPr>
            </w:pP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Balance Sheets as of March 31, 2016 and December 31, 2015</w:t>
            </w:r>
          </w:p>
        </w:tc>
        <w:tc>
          <w:tcPr>
            <w:tcW w:w="1300" w:type="dxa"/>
            <w:vAlign w:val="bottom"/>
          </w:tcPr>
          <w:p>
            <w:pPr>
              <w:jc w:val="right"/>
              <w:spacing w:after="0"/>
              <w:rPr>
                <w:sz w:val="20"/>
                <w:szCs w:val="20"/>
                <w:color w:val="auto"/>
              </w:rPr>
            </w:pPr>
            <w:r>
              <w:rPr>
                <w:rFonts w:ascii="Arial" w:cs="Arial" w:eastAsia="Arial" w:hAnsi="Arial"/>
                <w:sz w:val="18"/>
                <w:szCs w:val="18"/>
                <w:color w:val="auto"/>
              </w:rPr>
              <w:t>F-44</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Three Months Ended March 31, 2016 and 2015</w:t>
            </w:r>
          </w:p>
        </w:tc>
        <w:tc>
          <w:tcPr>
            <w:tcW w:w="1300" w:type="dxa"/>
            <w:vAlign w:val="bottom"/>
          </w:tcPr>
          <w:p>
            <w:pPr>
              <w:jc w:val="right"/>
              <w:spacing w:after="0"/>
              <w:rPr>
                <w:sz w:val="20"/>
                <w:szCs w:val="20"/>
                <w:color w:val="auto"/>
              </w:rPr>
            </w:pPr>
            <w:r>
              <w:rPr>
                <w:rFonts w:ascii="Arial" w:cs="Arial" w:eastAsia="Arial" w:hAnsi="Arial"/>
                <w:sz w:val="18"/>
                <w:szCs w:val="18"/>
                <w:color w:val="auto"/>
              </w:rPr>
              <w:t>F-45</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March 31, 2016 and December 31, 2015</w:t>
            </w:r>
          </w:p>
        </w:tc>
        <w:tc>
          <w:tcPr>
            <w:tcW w:w="130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2016 and 2015</w:t>
            </w:r>
          </w:p>
        </w:tc>
        <w:tc>
          <w:tcPr>
            <w:tcW w:w="130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Three Months Ended March 31, 2016 and 2015</w:t>
            </w:r>
          </w:p>
        </w:tc>
        <w:tc>
          <w:tcPr>
            <w:tcW w:w="130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F-56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364" w:lineRule="exact"/>
        <w:rPr>
          <w:sz w:val="20"/>
          <w:szCs w:val="20"/>
          <w:color w:val="auto"/>
        </w:rPr>
      </w:pPr>
    </w:p>
    <w:p>
      <w:pPr>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80" w:hanging="872"/>
        <w:spacing w:after="0" w:line="277" w:lineRule="auto"/>
        <w:tabs>
          <w:tab w:leader="none" w:pos="8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880" w:right="40" w:hanging="879"/>
        <w:spacing w:after="0" w:line="277"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360" w:hanging="872"/>
        <w:spacing w:after="0" w:line="308" w:lineRule="auto"/>
        <w:tabs>
          <w:tab w:leader="none" w:pos="8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(1)</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(1)</w:t>
      </w:r>
    </w:p>
    <w:p>
      <w:pPr>
        <w:spacing w:after="0" w:line="117" w:lineRule="exact"/>
        <w:rPr>
          <w:sz w:val="20"/>
          <w:szCs w:val="20"/>
          <w:color w:val="auto"/>
        </w:rPr>
      </w:pPr>
    </w:p>
    <w:p>
      <w:pPr>
        <w:ind w:left="880" w:hanging="872"/>
        <w:spacing w:after="0"/>
        <w:tabs>
          <w:tab w:leader="none" w:pos="8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880" w:hanging="879"/>
        <w:spacing w:after="0" w:line="286" w:lineRule="auto"/>
        <w:tabs>
          <w:tab w:leader="none" w:pos="860" w:val="left"/>
        </w:tabs>
        <w:rPr>
          <w:sz w:val="20"/>
          <w:szCs w:val="20"/>
          <w:color w:val="auto"/>
        </w:rPr>
      </w:pPr>
      <w:r>
        <w:rPr>
          <w:rFonts w:ascii="Arial" w:cs="Arial" w:eastAsia="Arial" w:hAnsi="Arial"/>
          <w:sz w:val="17"/>
          <w:szCs w:val="17"/>
          <w:color w:val="auto"/>
        </w:rPr>
        <w:t>(k)(5)</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880" w:right="20" w:hanging="879"/>
        <w:spacing w:after="0" w:line="312" w:lineRule="auto"/>
        <w:tabs>
          <w:tab w:leader="none" w:pos="860" w:val="left"/>
        </w:tabs>
        <w:rPr>
          <w:sz w:val="20"/>
          <w:szCs w:val="20"/>
          <w:color w:val="auto"/>
        </w:rPr>
      </w:pPr>
      <w:r>
        <w:rPr>
          <w:rFonts w:ascii="Arial" w:cs="Arial" w:eastAsia="Arial" w:hAnsi="Arial"/>
          <w:sz w:val="16"/>
          <w:szCs w:val="16"/>
          <w:color w:val="auto"/>
        </w:rPr>
        <w:t>(k)(6)</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(k)(8)</w:t>
            </w: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Second Amendment to the Second Amended and Restated Senior Secured Revolving Credit Agreement, dated June 27, 2014, among TPG</w:t>
            </w:r>
          </w:p>
        </w:tc>
      </w:tr>
      <w:tr>
        <w:trPr>
          <w:trHeight w:val="216"/>
        </w:trPr>
        <w:tc>
          <w:tcPr>
            <w:tcW w:w="78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Specialty Lending, Inc., as Borrower, Morgan Stanley Bank, N.A., as a Lender, and SunTrust Bank, as Administrative Agent (incorporated by</w:t>
            </w:r>
          </w:p>
        </w:tc>
      </w:tr>
      <w:tr>
        <w:trPr>
          <w:trHeight w:val="230"/>
        </w:trPr>
        <w:tc>
          <w:tcPr>
            <w:tcW w:w="7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reference to Exhibit 10.5 to the Company’s Quarterly Report on Form 10-Q filed on August 4,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(k)(9)</w:t>
            </w:r>
          </w:p>
        </w:tc>
        <w:tc>
          <w:tcPr>
            <w:tcW w:w="10500" w:type="dxa"/>
            <w:vAlign w:val="bottom"/>
          </w:tcPr>
          <w:p>
            <w:pPr>
              <w:ind w:left="280"/>
              <w:spacing w:after="0"/>
              <w:rPr>
                <w:sz w:val="20"/>
                <w:szCs w:val="20"/>
                <w:color w:val="auto"/>
              </w:rPr>
            </w:pPr>
            <w:r>
              <w:rPr>
                <w:rFonts w:ascii="Arial" w:cs="Arial" w:eastAsia="Arial" w:hAnsi="Arial"/>
                <w:sz w:val="18"/>
                <w:szCs w:val="18"/>
                <w:color w:val="auto"/>
                <w:w w:val="91"/>
              </w:rPr>
              <w:t>Third Amendment to the Second Amended and Restated Senior Secured Revolving Credit Agreement, dated October 17, 2014, among TPG</w:t>
            </w:r>
          </w:p>
        </w:tc>
      </w:tr>
      <w:tr>
        <w:trPr>
          <w:trHeight w:val="216"/>
        </w:trPr>
        <w:tc>
          <w:tcPr>
            <w:tcW w:w="78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2014)</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(k)(10)</w:t>
            </w: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Fourth Amendment to Second Amended and Restated Senior Secured Revolving Credit Agreement, dated October 2, 2015, among TPG</w:t>
            </w:r>
          </w:p>
        </w:tc>
      </w:tr>
      <w:tr>
        <w:trPr>
          <w:trHeight w:val="216"/>
        </w:trPr>
        <w:tc>
          <w:tcPr>
            <w:tcW w:w="780" w:type="dxa"/>
            <w:vAlign w:val="bottom"/>
          </w:tcPr>
          <w:p>
            <w:pPr>
              <w:spacing w:after="0"/>
              <w:rPr>
                <w:sz w:val="18"/>
                <w:szCs w:val="18"/>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w w:val="93"/>
              </w:rPr>
              <w:t>Specialty Lending, Inc., as Borrower, the Lenders party thereto and Suntrust Bank, as Administrative Agent (incorporated by reference to</w:t>
            </w:r>
          </w:p>
        </w:tc>
      </w:tr>
      <w:tr>
        <w:trPr>
          <w:trHeight w:val="230"/>
        </w:trPr>
        <w:tc>
          <w:tcPr>
            <w:tcW w:w="780" w:type="dxa"/>
            <w:vAlign w:val="bottom"/>
          </w:tcPr>
          <w:p>
            <w:pPr>
              <w:spacing w:after="0"/>
              <w:rPr>
                <w:sz w:val="20"/>
                <w:szCs w:val="20"/>
                <w:color w:val="auto"/>
              </w:rPr>
            </w:pPr>
          </w:p>
        </w:tc>
        <w:tc>
          <w:tcPr>
            <w:tcW w:w="10500" w:type="dxa"/>
            <w:vAlign w:val="bottom"/>
          </w:tcPr>
          <w:p>
            <w:pPr>
              <w:ind w:left="280"/>
              <w:spacing w:after="0"/>
              <w:rPr>
                <w:sz w:val="20"/>
                <w:szCs w:val="20"/>
                <w:color w:val="auto"/>
              </w:rPr>
            </w:pPr>
            <w:r>
              <w:rPr>
                <w:rFonts w:ascii="Arial" w:cs="Arial" w:eastAsia="Arial" w:hAnsi="Arial"/>
                <w:sz w:val="18"/>
                <w:szCs w:val="18"/>
                <w:color w:val="auto"/>
              </w:rPr>
              <w:t>Exhibit 10.1 to the Company’s Quarterly Report on Form 10-Q filed on November 3, 2015)</w:t>
            </w:r>
          </w:p>
        </w:tc>
      </w:tr>
    </w:tbl>
    <w:p>
      <w:pPr>
        <w:spacing w:after="0" w:line="94" w:lineRule="exact"/>
        <w:rPr>
          <w:sz w:val="20"/>
          <w:szCs w:val="20"/>
          <w:color w:val="auto"/>
        </w:rPr>
      </w:pPr>
    </w:p>
    <w:p>
      <w:pPr>
        <w:ind w:left="1060" w:hanging="1052"/>
        <w:spacing w:after="0"/>
        <w:tabs>
          <w:tab w:leader="none" w:pos="10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Cleary Gottlieb Steen &amp; Hamilton LLP (included in exhibit (l))</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KPMG LLP, dated May 12, 2016</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10620" w:type="dxa"/>
            <w:vAlign w:val="bottom"/>
          </w:tcPr>
          <w:p>
            <w:pPr>
              <w:ind w:left="320"/>
              <w:spacing w:after="0"/>
              <w:rPr>
                <w:sz w:val="20"/>
                <w:szCs w:val="20"/>
                <w:color w:val="auto"/>
              </w:rPr>
            </w:pPr>
            <w:r>
              <w:rPr>
                <w:rFonts w:ascii="Arial" w:cs="Arial" w:eastAsia="Arial" w:hAnsi="Arial"/>
                <w:sz w:val="18"/>
                <w:szCs w:val="18"/>
                <w:color w:val="auto"/>
                <w:w w:val="91"/>
              </w:rPr>
              <w:t>Report of KPMG LLP, dated March 2, 2016 (incorporated by reference to Exhibit (n)(5) to Post-Effective Amendment No. 2 to the Company’s</w:t>
            </w:r>
          </w:p>
        </w:tc>
      </w:tr>
      <w:tr>
        <w:trPr>
          <w:trHeight w:val="230"/>
        </w:trPr>
        <w:tc>
          <w:tcPr>
            <w:tcW w:w="74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Registration Statement on Form N-2 filed on March 2, 2016)</w:t>
            </w:r>
          </w:p>
        </w:tc>
      </w:tr>
    </w:tbl>
    <w:p>
      <w:pPr>
        <w:spacing w:after="0" w:line="94" w:lineRule="exact"/>
        <w:rPr>
          <w:sz w:val="20"/>
          <w:szCs w:val="20"/>
          <w:color w:val="auto"/>
        </w:rPr>
      </w:pPr>
    </w:p>
    <w:p>
      <w:pPr>
        <w:ind w:left="1060" w:hanging="1052"/>
        <w:spacing w:after="0"/>
        <w:tabs>
          <w:tab w:leader="none" w:pos="10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400" w:type="dxa"/>
            <w:vAlign w:val="bottom"/>
          </w:tcPr>
          <w:p>
            <w:pPr>
              <w:ind w:left="340"/>
              <w:spacing w:after="0"/>
              <w:rPr>
                <w:sz w:val="20"/>
                <w:szCs w:val="20"/>
                <w:color w:val="auto"/>
              </w:rPr>
            </w:pPr>
            <w:r>
              <w:rPr>
                <w:rFonts w:ascii="Arial" w:cs="Arial" w:eastAsia="Arial" w:hAnsi="Arial"/>
                <w:sz w:val="18"/>
                <w:szCs w:val="18"/>
                <w:color w:val="auto"/>
                <w:w w:val="97"/>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Preferred Stock Offerings (incorporated by reference to Exhibit 99.2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Debt Securities Offerings (incorporated by reference to Exhibit 99.3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Form of Preliminary Prospectus Supplement For Rights Offerings (incorporated by reference to Exhibit 99.4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Previously filed as an exhibit to this registration statement.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59" w:right="2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18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Expenses of Issuance and Distribution</w:t>
            </w: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40" w:type="dxa"/>
            <w:vAlign w:val="bottom"/>
            <w:vMerge w:val="restart"/>
          </w:tcPr>
          <w:p>
            <w:pPr>
              <w:spacing w:after="0"/>
              <w:rPr>
                <w:sz w:val="10"/>
                <w:szCs w:val="10"/>
                <w:color w:val="auto"/>
              </w:rPr>
            </w:pPr>
          </w:p>
        </w:tc>
        <w:tc>
          <w:tcPr>
            <w:tcW w:w="5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$ 75,525.00*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FINRA filing fee</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113,000.00**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Printing expenses</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50,000.00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40,000.00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36,475.00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180" w:type="dxa"/>
            <w:vAlign w:val="bottom"/>
            <w:gridSpan w:val="2"/>
          </w:tcPr>
          <w:p>
            <w:pPr>
              <w:ind w:left="9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715,000.00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52" w:lineRule="exact"/>
        <w:rPr>
          <w:sz w:val="20"/>
          <w:szCs w:val="20"/>
          <w:color w:val="auto"/>
        </w:rPr>
      </w:pPr>
    </w:p>
    <w:p>
      <w:pPr>
        <w:jc w:val="both"/>
        <w:ind w:right="800" w:firstLine="8"/>
        <w:spacing w:after="0" w:line="500" w:lineRule="auto"/>
        <w:tabs>
          <w:tab w:leader="none" w:pos="44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$64,400 of this amount has been offset against filing fees associated with unsold securities registered under a previous registration statement. ** $75,000 of this amount has been offset against filing fees associated with unsold securities registered under a previous registration statement.</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11, 2016.</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000" w:type="dxa"/>
            <w:vAlign w:val="bottom"/>
          </w:tcPr>
          <w:p>
            <w:pPr>
              <w:ind w:left="1600"/>
              <w:spacing w:after="0"/>
              <w:rPr>
                <w:sz w:val="20"/>
                <w:szCs w:val="20"/>
                <w:color w:val="auto"/>
              </w:rPr>
            </w:pPr>
            <w:r>
              <w:rPr>
                <w:rFonts w:ascii="Arial" w:cs="Arial" w:eastAsia="Arial" w:hAnsi="Arial"/>
                <w:sz w:val="14"/>
                <w:szCs w:val="14"/>
                <w:b w:val="1"/>
                <w:bCs w:val="1"/>
                <w:color w:val="auto"/>
              </w:rPr>
              <w:t>Title of Class</w:t>
            </w:r>
          </w:p>
        </w:tc>
        <w:tc>
          <w:tcPr>
            <w:tcW w:w="3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6"/>
          <w:szCs w:val="16"/>
          <w:b w:val="1"/>
          <w:bCs w:val="1"/>
          <w:color w:val="auto"/>
        </w:rPr>
        <w:t>Business and Other Connections of Investment Advisor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right="80" w:hanging="452"/>
        <w:spacing w:after="0" w:line="264"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 w:lineRule="exact"/>
        <w:rPr>
          <w:rFonts w:ascii="Arial" w:cs="Arial" w:eastAsia="Arial" w:hAnsi="Arial"/>
          <w:sz w:val="18"/>
          <w:szCs w:val="18"/>
          <w:color w:val="auto"/>
        </w:rPr>
      </w:pPr>
    </w:p>
    <w:p>
      <w:pPr>
        <w:ind w:left="1480" w:right="440" w:hanging="567"/>
        <w:spacing w:after="0" w:line="255" w:lineRule="auto"/>
        <w:tabs>
          <w:tab w:leader="none" w:pos="148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95" w:lineRule="exact"/>
        <w:rPr>
          <w:rFonts w:ascii="Arial" w:cs="Arial" w:eastAsia="Arial" w:hAnsi="Arial"/>
          <w:sz w:val="18"/>
          <w:szCs w:val="18"/>
          <w:color w:val="auto"/>
        </w:rPr>
      </w:pPr>
    </w:p>
    <w:p>
      <w:pPr>
        <w:ind w:left="1480" w:right="200" w:hanging="567"/>
        <w:spacing w:after="0" w:line="277" w:lineRule="auto"/>
        <w:tabs>
          <w:tab w:leader="none" w:pos="148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900" w:right="320" w:hanging="446"/>
        <w:spacing w:after="0" w:line="264"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460" w:right="2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900" w:right="20" w:hanging="446"/>
        <w:spacing w:after="0" w:line="271" w:lineRule="auto"/>
        <w:tabs>
          <w:tab w:leader="none" w:pos="9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900" w:right="60" w:hanging="446"/>
        <w:spacing w:after="0" w:line="259" w:lineRule="auto"/>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92" w:lineRule="exact"/>
        <w:rPr>
          <w:rFonts w:ascii="Arial" w:cs="Arial" w:eastAsia="Arial" w:hAnsi="Arial"/>
          <w:sz w:val="18"/>
          <w:szCs w:val="18"/>
          <w:color w:val="auto"/>
        </w:rPr>
      </w:pPr>
    </w:p>
    <w:p>
      <w:pPr>
        <w:ind w:left="1480" w:right="320" w:hanging="567"/>
        <w:spacing w:after="0" w:line="277" w:lineRule="auto"/>
        <w:tabs>
          <w:tab w:leader="none" w:pos="148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900" w:right="120" w:hanging="446"/>
        <w:spacing w:after="0" w:line="286" w:lineRule="auto"/>
        <w:tabs>
          <w:tab w:leader="none" w:pos="90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0" w:lineRule="exact"/>
        <w:rPr>
          <w:rFonts w:ascii="Arial" w:cs="Arial" w:eastAsia="Arial" w:hAnsi="Arial"/>
          <w:sz w:val="17"/>
          <w:szCs w:val="17"/>
          <w:color w:val="auto"/>
        </w:rPr>
      </w:pPr>
    </w:p>
    <w:p>
      <w:pPr>
        <w:ind w:left="900" w:right="20" w:hanging="446"/>
        <w:spacing w:after="0" w:line="264" w:lineRule="auto"/>
        <w:tabs>
          <w:tab w:leader="none" w:pos="9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below net asset value as of the date of the commencement of such offering, other than pursuant to a rights offering conducted in accordance with Section 23 under the 1940 Act.</w:t>
      </w:r>
    </w:p>
    <w:p>
      <w:pPr>
        <w:spacing w:after="0" w:line="86" w:lineRule="exact"/>
        <w:rPr>
          <w:rFonts w:ascii="Arial" w:cs="Arial" w:eastAsia="Arial" w:hAnsi="Arial"/>
          <w:sz w:val="18"/>
          <w:szCs w:val="18"/>
          <w:color w:val="auto"/>
        </w:rPr>
      </w:pPr>
    </w:p>
    <w:p>
      <w:pPr>
        <w:ind w:left="460" w:right="440" w:hanging="452"/>
        <w:spacing w:after="0" w:line="342" w:lineRule="auto"/>
        <w:tabs>
          <w:tab w:leader="none" w:pos="4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Pre-Effective Amendment No. 1 to the Registration Statement on Form N-2 to be signed on its behalf by the undersigned, thereunto duly authorized, in the City of New York, and the State of New York on the 12th day of May,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Pre-Effective Amendment No. 1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60" w:type="dxa"/>
            <w:vAlign w:val="bottom"/>
          </w:tcPr>
          <w:p>
            <w:pPr>
              <w:spacing w:after="0"/>
              <w:rPr>
                <w:sz w:val="16"/>
                <w:szCs w:val="16"/>
                <w:color w:val="auto"/>
              </w:rPr>
            </w:pPr>
          </w:p>
        </w:tc>
      </w:tr>
      <w:tr>
        <w:trPr>
          <w:trHeight w:val="412"/>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Michael Fishman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and Director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Michael Fishman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Director and Chairman of the</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8"/>
              </w:rPr>
              <w:t>Joshua Easterly</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Board of Directors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Ian Simmonds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Vice President and Principal Accounting Officer (Principal</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6"/>
              </w:rPr>
              <w:t>Michael Graf</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Audit Committee</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7"/>
              </w:rPr>
              <w:t>John A. Ross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Richard A. Higginbotham</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680" w:type="dxa"/>
            <w:vAlign w:val="bottom"/>
            <w:tcBorders>
              <w:bottom w:val="single" w:sz="8" w:color="auto"/>
            </w:tcBorders>
            <w:gridSpan w:val="2"/>
          </w:tcPr>
          <w:p>
            <w:pPr>
              <w:jc w:val="center"/>
              <w:ind w:left="197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spacing w:after="0"/>
              <w:rPr>
                <w:sz w:val="24"/>
                <w:szCs w:val="24"/>
                <w:color w:val="auto"/>
              </w:rPr>
            </w:pP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390"/>
              <w:spacing w:after="0"/>
              <w:rPr>
                <w:sz w:val="20"/>
                <w:szCs w:val="20"/>
                <w:color w:val="auto"/>
              </w:rPr>
            </w:pPr>
            <w:r>
              <w:rPr>
                <w:rFonts w:ascii="Arial" w:cs="Arial" w:eastAsia="Arial" w:hAnsi="Arial"/>
                <w:sz w:val="18"/>
                <w:szCs w:val="18"/>
                <w:color w:val="auto"/>
                <w:w w:val="93"/>
              </w:rPr>
              <w:t>May 12,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Ronald K. Tanemura</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6"/>
          <w:szCs w:val="16"/>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220"/>
          </w:cols>
          <w:pgMar w:left="240" w:top="460" w:right="4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17145</wp:posOffset>
            </wp:positionV>
            <wp:extent cx="6003290" cy="22898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032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acted as counsel to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a registration statement on Form N-2 (No. 333-210524)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relating to the offering by the Company from time to time, together or separately and in one or more series (if applicable), of up to an aggregate offering price of $750,000,000 of (a) shares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(b) shares of the Company’s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(c) debt securities of the Company (the “</w:t>
      </w:r>
      <w:r>
        <w:rPr>
          <w:rFonts w:ascii="Arial" w:cs="Arial" w:eastAsia="Arial" w:hAnsi="Arial"/>
          <w:sz w:val="16"/>
          <w:szCs w:val="16"/>
          <w:u w:val="single" w:color="auto"/>
          <w:color w:val="auto"/>
        </w:rPr>
        <w:t>Debt Securities</w:t>
      </w:r>
      <w:r>
        <w:rPr>
          <w:rFonts w:ascii="Arial" w:cs="Arial" w:eastAsia="Arial" w:hAnsi="Arial"/>
          <w:sz w:val="16"/>
          <w:szCs w:val="16"/>
          <w:color w:val="auto"/>
        </w:rPr>
        <w:t>”); (d) subscription rights to purchase shares of the Company’s common stock (the “</w:t>
      </w:r>
      <w:r>
        <w:rPr>
          <w:rFonts w:ascii="Arial" w:cs="Arial" w:eastAsia="Arial" w:hAnsi="Arial"/>
          <w:sz w:val="16"/>
          <w:szCs w:val="16"/>
          <w:u w:val="single" w:color="auto"/>
          <w:color w:val="auto"/>
        </w:rPr>
        <w:t>Rights</w:t>
      </w:r>
      <w:r>
        <w:rPr>
          <w:rFonts w:ascii="Arial" w:cs="Arial" w:eastAsia="Arial" w:hAnsi="Arial"/>
          <w:sz w:val="16"/>
          <w:szCs w:val="16"/>
          <w:color w:val="auto"/>
        </w:rPr>
        <w:t>”); and (e) warrants to purchase Debt Securities, Preferred Stock, Common Stock or other securities, property or assets or other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The Common Stock, Preferred Stock, Debt Securities, Rights and Warrants are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The Securities being registered under the Registration Statement will be offered on a continuous or delayed basis pursuant to the provisions of Rule 415 under the Securities Act.</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terms of the Preferred Stock are to be established in one or more certificates of designation, rights and preferences filed with the Secretary of State of the State of Delaware (each, a “</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The Debt Securities are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to be entered into between the Company and the trustee to be named therein. The Rights are to be issued under one or more rights agreements (each, a “</w:t>
      </w:r>
      <w:r>
        <w:rPr>
          <w:rFonts w:ascii="Arial" w:cs="Arial" w:eastAsia="Arial" w:hAnsi="Arial"/>
          <w:sz w:val="17"/>
          <w:szCs w:val="17"/>
          <w:u w:val="single" w:color="auto"/>
          <w:color w:val="auto"/>
        </w:rPr>
        <w:t>Rights Agreement</w:t>
      </w:r>
      <w:r>
        <w:rPr>
          <w:rFonts w:ascii="Arial" w:cs="Arial" w:eastAsia="Arial" w:hAnsi="Arial"/>
          <w:sz w:val="17"/>
          <w:szCs w:val="17"/>
          <w:color w:val="auto"/>
        </w:rPr>
        <w:t>”) between the Company and the rights agent to be named therein. The Warrants are to be issued under one or more warrant agreements (each, a “</w:t>
      </w: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to be entered into between the Company and the warrant agent to be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135890</wp:posOffset>
            </wp:positionV>
            <wp:extent cx="391922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19220" cy="8572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form of Certificate of Common Stock included as Exhibit (d)(2)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form of Indenture included as Exhibit (d)(5) to 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form of Subscription Certificate included as Exhibit (d)(7) to the Registration Statement; and</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Bylaws, certified by the corporate secretary of the Company.</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opinions expressed below.</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rendering the opinions expressed below, we have assumed the authenticity of all documents submitted to us as originals and the conformity to the originals of all documents submitted to us as copies.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31" w:lineRule="exact"/>
        <w:rPr>
          <w:sz w:val="20"/>
          <w:szCs w:val="20"/>
          <w:color w:val="auto"/>
        </w:rPr>
      </w:pPr>
    </w:p>
    <w:p>
      <w:pPr>
        <w:ind w:left="900" w:right="200" w:hanging="446"/>
        <w:spacing w:after="0" w:line="277"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Common Stock, including Common Stock to be issued upon conversion, exchange or exercise of any other Security in accordance with its terms, will be validly issued by the Company, fully paid and nonassessable.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Preferred Stock will be validly issued by the Company, fully paid and nonassessable.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Debt Securities will be the valid, binding and enforceable obligations of the Company, entitled to the benefits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Rights will be the valid, binding and enforceable obligations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Warrants will be the valid, binding and enforceable obligations of the Company.</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Insofar as the foregoing opinions relate to the validity, binding effect or enforceability of any agreement or obligation of the Company, (x) we have assumed that the Company and each other party to such agreement or obligation has satisfied or, prior to the issuance of the Securities, will satisfy, those legal requirements that are applicable to it to the extent necessary to make such agreement or obligation enforceable against it and (y) such opinions are subject to applicable bankruptcy, insolvency and similar laws affecting creditors’ rights generally and to general principles of equity.</w:t>
      </w:r>
    </w:p>
    <w:p>
      <w:pPr>
        <w:sectPr>
          <w:pgSz w:w="11900" w:h="16838" w:orient="portrait"/>
          <w:cols w:equalWidth="0" w:num="1">
            <w:col w:w="11400"/>
          </w:cols>
          <w:pgMar w:left="240" w:top="274" w:right="2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 p. 3</w:t>
      </w:r>
    </w:p>
    <w:p>
      <w:pPr>
        <w:spacing w:after="0" w:line="15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In rendering the opinions expressed above, we have further assumed that (i) prior to the issuance of the Securities, the Company will authorize the offering and issuance of the Securities and will duly authorize, approve and establish the final terms and conditions thereof, which terms will conform to the descriptions thereof in the Registration Statement and the related prospectus supplements, the terms of any agreement governing those Securities and, in the case of Preferred Stock, the provisions of the Company’s Amended and Restated Certificate of Incorporation, as amended, and will not violate any applicable law, conflict with any matter of public policy, result in a default under or breach of any agreement or instrument binding upon the Company or violate any requirement or restriction imposed by any court or governmental body having jurisdiction over the Company; (ii) prior to the issuance of the Securities, the Company will duly authorize, execute and deliver any applicable Indenture, Rights Agreement and Warrant Agreement and any other agreement governing the Securities or otherwise necessary with respect to the Securities or contemplated by the Securities or the Registration Statement and will take any other appropriate or necessary corporate action, including the filing of any Certificate of Designation with the Secretary of State of the State of Delaware; (iii) any agreement governing the Securities and any instruments evidencing the Securities will be governed by New York law; (iv) the Indenture and the Subscription Certificate, as applicable, will conform to the forms thereof filed as exhibits to the Registration Statement; (v) the Securities will be offered, issued, sold and delivered in compliance with applicable law and any requirements therefor set forth in any corporate action authorizing such Securities and any agreement governing such Securities and in the manner contemplated by the Registration Statement and the related prospectus supplements describing the Securities and the offering thereof; (vi) the Securities will be offered, sold and delivered to, and paid for by, the purchasers thereof at the price specified in, and in accordance with the terms of, an agreement or agreements duly authorized, executed and delivered by the parties thereto, which price, in the case of Common Stock or Preferred Stock, shall not be less than the respective par value thereof; and (vii) if issued in certificated form, certificates representing the Securities will be duly executed and delivered and, to the extent required by any applicable agreement, duly authenticated or countersigned, and if issued in book-entry form, the Securities will be duly registered to the extent required by any applicable agreement.</w:t>
      </w:r>
    </w:p>
    <w:p>
      <w:pPr>
        <w:spacing w:after="0" w:line="17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In rendering the opinions expressed in paragraph 3 above, we have assumed that each series of Debt Securities will be issued with an original aggregate principal amount (or in the case of Debt Securities issued at an original issue discount, an aggregate issue price) of $2,500,000 or more.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note that any designation in the Securities or any applicable agreement governing those Securities of the U.S. federal courts sitting in New York City as the venue for actions or proceedings relating to such Securities is (notwithstanding any waiver thereof) subject to the power of such courts to transfer actions pursuant to 28 U.S.C. §1404(a) or to dismiss such actions or proceedings on the grounds that such a federal court is an inconvenient forum for such an action or proceeding.</w:t>
      </w:r>
    </w:p>
    <w:p>
      <w:pPr>
        <w:sectPr>
          <w:pgSz w:w="11900" w:h="16838" w:orient="portrait"/>
          <w:cols w:equalWidth="0" w:num="1">
            <w:col w:w="11400"/>
          </w:cols>
          <w:pgMar w:left="240" w:top="274" w:right="2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4</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note that by statute New York provides that a judgment or decree rendered in a currency other than the currency of the United States shall be converted into U.S. dollars at the rate of exchange prevailing on the date of entry of the judgment or decree. There is no corresponding federal statute and no controlling federal court decision on this issue. Accordingly, we express no opinion as to whether a federal court would award a judgment in a currency other than U.S. dollars or, if it did so, whether it would order conversion of the judgment into U.S. dollars. In addition, to the extent that any Securities or applicable agreement governing those Securities includes a provision relating to indemnification against any loss in obtaining currency due from a court judgment in another currency, we express no opinion as to the enforceability of such provision.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New York and the General Corporation Law of the State of Delaware.</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hereby consent to the use of our name in the prospectus constituting a part of the Registration Statement under the heading “Legal Matters” and in any prospectus supplement related thereto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opinions expressed herein are rendered on and as of the date hereof, and we assume no obligation to advise you or any other person, or to make any investigations, as to any legal developments or factual matters arising subsequent to the date hereof that might affect the opinions expressed herein.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E. Fleisher</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Adam E. Fleisher,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24, 2016, with respect to the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and the effectiveness of internal control over financial reporting as of December 31, 2015, and our report dated March 2, 2016 on the consolidated senior securities schedule of the Company, included herein, and to the references to our firm under the headings “Senior Securities”, and “Experts” in the prospectus.</w:t>
      </w:r>
    </w:p>
    <w:p>
      <w:pPr>
        <w:spacing w:after="0" w:line="158"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12, 2016</w:t>
      </w:r>
    </w:p>
    <w:p>
      <w:pPr>
        <w:sectPr>
          <w:pgSz w:w="11900" w:h="16838" w:orient="portrait"/>
          <w:cols w:equalWidth="0" w:num="1">
            <w:col w:w="11420"/>
          </w:cols>
          <w:pgMar w:left="240" w:top="121" w:right="239" w:bottom="1440" w:gutter="0" w:footer="0" w:header="0"/>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88900</wp:posOffset>
            </wp:positionV>
            <wp:extent cx="6003290" cy="22898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60032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May 12,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March 31, 2016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333-210524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set forth below are responses to the comments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that we received in a telephone conversation with the Staff on April 28, 2016 with respect to the above-referenced Registration Statement on Form N-2 filed on March 31, 2016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filed today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the Registration Statement, together with this letter via EDGAR submission.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in this letter are as defined in Amendment No. 1.</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74295</wp:posOffset>
            </wp:positionV>
            <wp:extent cx="39192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19220" cy="8572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460" w:right="100" w:hanging="452"/>
        <w:spacing w:after="0" w:line="282" w:lineRule="auto"/>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Explain in correspondence the assumptions used in the calculation of the expense example. We were unable to calculate the 1, 3, 5 and 10 year balances.</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respectfully advises the Staff that the assumptions used in the expense example are as set forth in the table on p. 15, except with respect to the Incentive Fee. As described in the paragraph below the expense example, the example assumes that the 5% annual return will be generated entirely through the realization of capital gains on the Company’s assets. The income portion of the Incentive Fee would not be payable given the requirement under the Company’s advisory agreement to achieve a 6% (annualized) hurdle.</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result, the Incentive Fee used in the example is 0.88%, which reflects the 17.5% capital gains portion of the Incentive Fee payable on a 5% annual return generated through realized capital gains.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aid in the Staff’s review, below is a table showing the calculation of the expense example (note that some figures may not sum due to rounding):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color w:val="auto"/>
              </w:rPr>
              <w:t>Year 1</w:t>
            </w:r>
          </w:p>
        </w:tc>
        <w:tc>
          <w:tcPr>
            <w:tcW w:w="10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Year 2</w:t>
            </w:r>
          </w:p>
        </w:tc>
        <w:tc>
          <w:tcPr>
            <w:tcW w:w="120" w:type="dxa"/>
            <w:vAlign w:val="bottom"/>
          </w:tcPr>
          <w:p>
            <w:pPr>
              <w:spacing w:after="0"/>
              <w:rPr>
                <w:sz w:val="14"/>
                <w:szCs w:val="1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color w:val="auto"/>
                <w:w w:val="92"/>
              </w:rPr>
              <w:t>Year 3</w:t>
            </w:r>
          </w:p>
        </w:tc>
        <w:tc>
          <w:tcPr>
            <w:tcW w:w="700" w:type="dxa"/>
            <w:vAlign w:val="bottom"/>
            <w:gridSpan w:val="3"/>
          </w:tcPr>
          <w:p>
            <w:pPr>
              <w:jc w:val="right"/>
              <w:ind w:right="300"/>
              <w:spacing w:after="0"/>
              <w:rPr>
                <w:sz w:val="20"/>
                <w:szCs w:val="20"/>
                <w:color w:val="auto"/>
              </w:rPr>
            </w:pPr>
            <w:r>
              <w:rPr>
                <w:rFonts w:ascii="Arial" w:cs="Arial" w:eastAsia="Arial" w:hAnsi="Arial"/>
                <w:sz w:val="14"/>
                <w:szCs w:val="14"/>
                <w:color w:val="auto"/>
                <w:w w:val="92"/>
              </w:rPr>
              <w:t>Year 4</w:t>
            </w:r>
          </w:p>
        </w:tc>
        <w:tc>
          <w:tcPr>
            <w:tcW w:w="720" w:type="dxa"/>
            <w:vAlign w:val="bottom"/>
            <w:gridSpan w:val="3"/>
          </w:tcPr>
          <w:p>
            <w:pPr>
              <w:ind w:left="40"/>
              <w:spacing w:after="0"/>
              <w:rPr>
                <w:sz w:val="20"/>
                <w:szCs w:val="20"/>
                <w:color w:val="auto"/>
              </w:rPr>
            </w:pPr>
            <w:r>
              <w:rPr>
                <w:rFonts w:ascii="Arial" w:cs="Arial" w:eastAsia="Arial" w:hAnsi="Arial"/>
                <w:sz w:val="14"/>
                <w:szCs w:val="14"/>
                <w:color w:val="auto"/>
              </w:rPr>
              <w:t>Year 5</w:t>
            </w:r>
          </w:p>
        </w:tc>
        <w:tc>
          <w:tcPr>
            <w:tcW w:w="720" w:type="dxa"/>
            <w:vAlign w:val="bottom"/>
            <w:gridSpan w:val="3"/>
          </w:tcPr>
          <w:p>
            <w:pPr>
              <w:ind w:left="40"/>
              <w:spacing w:after="0"/>
              <w:rPr>
                <w:sz w:val="20"/>
                <w:szCs w:val="20"/>
                <w:color w:val="auto"/>
              </w:rPr>
            </w:pPr>
            <w:r>
              <w:rPr>
                <w:rFonts w:ascii="Arial" w:cs="Arial" w:eastAsia="Arial" w:hAnsi="Arial"/>
                <w:sz w:val="14"/>
                <w:szCs w:val="14"/>
                <w:color w:val="auto"/>
              </w:rPr>
              <w:t>Year 6</w:t>
            </w:r>
          </w:p>
        </w:tc>
        <w:tc>
          <w:tcPr>
            <w:tcW w:w="600" w:type="dxa"/>
            <w:vAlign w:val="bottom"/>
            <w:gridSpan w:val="3"/>
          </w:tcPr>
          <w:p>
            <w:pPr>
              <w:ind w:left="20"/>
              <w:spacing w:after="0"/>
              <w:rPr>
                <w:sz w:val="20"/>
                <w:szCs w:val="20"/>
                <w:color w:val="auto"/>
              </w:rPr>
            </w:pPr>
            <w:r>
              <w:rPr>
                <w:rFonts w:ascii="Arial" w:cs="Arial" w:eastAsia="Arial" w:hAnsi="Arial"/>
                <w:sz w:val="14"/>
                <w:szCs w:val="14"/>
                <w:color w:val="auto"/>
              </w:rPr>
              <w:t>Year 7</w:t>
            </w:r>
          </w:p>
        </w:tc>
        <w:tc>
          <w:tcPr>
            <w:tcW w:w="12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Year 8</w:t>
            </w:r>
          </w:p>
        </w:tc>
        <w:tc>
          <w:tcPr>
            <w:tcW w:w="120" w:type="dxa"/>
            <w:vAlign w:val="bottom"/>
          </w:tcPr>
          <w:p>
            <w:pPr>
              <w:spacing w:after="0"/>
              <w:rPr>
                <w:sz w:val="14"/>
                <w:szCs w:val="1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Year 9</w:t>
            </w:r>
          </w:p>
        </w:tc>
        <w:tc>
          <w:tcPr>
            <w:tcW w:w="10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Year 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w:t>
            </w: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$ 1,000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Offering costs</w:t>
            </w:r>
          </w:p>
        </w:tc>
        <w:tc>
          <w:tcPr>
            <w:tcW w:w="2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NAV contribution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$ 1,000</w:t>
            </w:r>
          </w:p>
        </w:tc>
        <w:tc>
          <w:tcPr>
            <w:tcW w:w="7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$ 995</w:t>
            </w:r>
          </w:p>
        </w:tc>
        <w:tc>
          <w:tcPr>
            <w:tcW w:w="8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$ 989</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8"/>
              </w:rPr>
              <w:t>$ 984</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$ 979</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$ 973</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$ 968</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$ 963</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$ 958</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$ 953</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Return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Opex</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(55)</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(54)</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w w:val="87"/>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w w:val="87"/>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w w:val="87"/>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Cumulative expenses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w:t>
            </w:r>
          </w:p>
        </w:tc>
        <w:tc>
          <w:tcPr>
            <w:tcW w:w="700" w:type="dxa"/>
            <w:vAlign w:val="bottom"/>
            <w:gridSpan w:val="4"/>
          </w:tcPr>
          <w:p>
            <w:pPr>
              <w:jc w:val="right"/>
              <w:ind w:right="160"/>
              <w:spacing w:after="0"/>
              <w:rPr>
                <w:sz w:val="20"/>
                <w:szCs w:val="20"/>
                <w:color w:val="auto"/>
              </w:rPr>
            </w:pPr>
            <w:r>
              <w:rPr>
                <w:rFonts w:ascii="Arial" w:cs="Arial" w:eastAsia="Arial" w:hAnsi="Arial"/>
                <w:sz w:val="18"/>
                <w:szCs w:val="18"/>
                <w:color w:val="auto"/>
              </w:rPr>
              <w:t>$ 110</w:t>
            </w:r>
          </w:p>
        </w:tc>
        <w:tc>
          <w:tcPr>
            <w:tcW w:w="8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$ 165</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w w:val="88"/>
              </w:rPr>
              <w:t>$ 220</w:t>
            </w:r>
          </w:p>
        </w:tc>
        <w:tc>
          <w:tcPr>
            <w:tcW w:w="7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$ 274</w:t>
            </w: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$ 328</w:t>
            </w: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$ 381</w:t>
            </w: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rPr>
              <w:t>$ 435</w:t>
            </w:r>
          </w:p>
        </w:tc>
        <w:tc>
          <w:tcPr>
            <w:tcW w:w="720" w:type="dxa"/>
            <w:vAlign w:val="bottom"/>
            <w:gridSpan w:val="4"/>
          </w:tcPr>
          <w:p>
            <w:pPr>
              <w:jc w:val="right"/>
              <w:ind w:right="180"/>
              <w:spacing w:after="0"/>
              <w:rPr>
                <w:sz w:val="20"/>
                <w:szCs w:val="20"/>
                <w:color w:val="auto"/>
              </w:rPr>
            </w:pPr>
            <w:r>
              <w:rPr>
                <w:rFonts w:ascii="Arial" w:cs="Arial" w:eastAsia="Arial" w:hAnsi="Arial"/>
                <w:sz w:val="18"/>
                <w:szCs w:val="18"/>
                <w:color w:val="auto"/>
              </w:rPr>
              <w:t>$ 488</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$ 541</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60" w:right="160" w:hanging="452"/>
        <w:spacing w:after="0" w:line="282" w:lineRule="auto"/>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Consider categorizing the Schedule of Investments by controlled, affiliated and non-controlled, non-affiliated to agree with the categorization in the statement of assets and liabilities.</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respectfully advises the Staff that the Schedule of Investments is categorized by industry, which the Company believes is the presentation that is the most useful to its investors since, as of March 31, 2016, all but two of the Company’s investments in 48 portfolio companies are non-controlled, non-affiliated investments. Within the Schedule of Investments, the Company indicates by footnote where an investment is a controlled, affiliated investment. In response to the Staff’s comment, the Company has labeled the table in this footnote on p.114 to more clearly indicate that the table in the footnote shows all controlled, affiliated investments, which agrees with the categorization in the statement of assets and liabilities, and will label the same table in the same manner within the financial statements in future filings.</w:t>
      </w:r>
    </w:p>
    <w:p>
      <w:pPr>
        <w:sectPr>
          <w:pgSz w:w="11900" w:h="16838" w:orient="portrait"/>
          <w:cols w:equalWidth="0" w:num="1">
            <w:col w:w="11420"/>
          </w:cols>
          <w:pgMar w:left="240" w:top="274"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jc w:val="both"/>
        <w:ind w:left="460" w:right="600" w:hanging="452"/>
        <w:spacing w:after="0" w:line="329" w:lineRule="auto"/>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 whether the IRGSE Holding Corp. investment is a wholly owned or substantially wholly owned subsidiary and, if so, consider consolidating that investment in accordance with the recent IM Guidance Update that came out on investment company consolidation. </w:t>
      </w:r>
      <w:r>
        <w:rPr>
          <w:rFonts w:ascii="Arial" w:cs="Arial" w:eastAsia="Arial" w:hAnsi="Arial"/>
          <w:sz w:val="18"/>
          <w:szCs w:val="18"/>
          <w:u w:val="single" w:color="auto"/>
          <w:color w:val="auto"/>
        </w:rPr>
        <w:t>Response:</w:t>
      </w:r>
    </w:p>
    <w:p>
      <w:pPr>
        <w:spacing w:after="0" w:line="1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respectfully advises the Staff that the Company considered the accounting and disclosure requirements of ASC Topic 810, ASC Topic 946 and Regulation S-X (including IM Guidance Update No. 2014-11) with respect to the Company’s investment in IRGSE Holding Corp. IRGSE Holding Corp. is a sports and entertainment company that primarily operates in the auto racing industry, in which the Company holds 81.5% of the equity as of March 31, 2016. IRGSE Holding Corp. does not meet the criteria of an Investment Company in accordance with ASC Topic 946, nor does it provide/meet the criteria of an operating company that provides services to the Company in the context of ASC Topic 946, and as such is not considered the Company’s subsidiary in accordance with U.S. GAAP.</w:t>
      </w:r>
    </w:p>
    <w:p>
      <w:pPr>
        <w:spacing w:after="0" w:line="338" w:lineRule="exact"/>
        <w:rPr>
          <w:sz w:val="20"/>
          <w:szCs w:val="20"/>
          <w:color w:val="auto"/>
        </w:rPr>
      </w:pPr>
    </w:p>
    <w:p>
      <w:pPr>
        <w:ind w:left="460" w:right="40" w:hanging="452"/>
        <w:spacing w:after="0" w:line="282" w:lineRule="auto"/>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Footnote 3 on page F-11 in the Schedule of Investments deals with variable rate loans. Consider disclosing the description of the reference rate used for each variable rate security and the spread, and the end of period interest rate.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respectfully advises the Staff that it believes that including the reference rate and spread for each variable rate security, in addition to the end of period interest rate that is currently disclosed in the Schedule of Investments, would not be incrementally useful information to the Company’s investors.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Each variable rate security in the Company’s portfolio is marked as such by footnote in the Schedule of Investments. For purposes of an investor reviewing the Company’s portfolio, an investor is able to determine the spread on the investment by subtracting an end-of-period reference rate from the end-of-period interest rate presented in the schedule. Variances between the reference rate used do not result in material differences for purposes of calculating the spread of such investments. In addition, since each borrower has the option to select the reference rate, such disclosure would only reflect the reference rate used on the date of the schedule of investments.</w:t>
      </w:r>
    </w:p>
    <w:p>
      <w:pPr>
        <w:spacing w:after="0" w:line="333" w:lineRule="exact"/>
        <w:rPr>
          <w:sz w:val="20"/>
          <w:szCs w:val="20"/>
          <w:color w:val="auto"/>
        </w:rPr>
      </w:pPr>
    </w:p>
    <w:p>
      <w:pPr>
        <w:ind w:left="460" w:right="7040" w:hanging="452"/>
        <w:spacing w:after="0" w:line="407" w:lineRule="auto"/>
        <w:tabs>
          <w:tab w:leader="none" w:pos="449"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Identify the counterparty to the interest rate swap. </w:t>
      </w:r>
      <w:r>
        <w:rPr>
          <w:rFonts w:ascii="Arial" w:cs="Arial" w:eastAsia="Arial" w:hAnsi="Arial"/>
          <w:sz w:val="18"/>
          <w:szCs w:val="18"/>
          <w:u w:val="single" w:color="auto"/>
          <w:color w:val="auto"/>
        </w:rPr>
        <w:t>Response:</w:t>
      </w:r>
    </w:p>
    <w:p>
      <w:pPr>
        <w:spacing w:after="0" w:line="5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respectfully advises the Staff that the counterparties to its interest rate swaps are large, regulated financial institutions and, as such, it does not believe that the identity of each particular counterparty is material to investors or that the understanding of investors would be aided by such disclosure.</w:t>
      </w:r>
    </w:p>
    <w:p>
      <w:pPr>
        <w:sectPr>
          <w:pgSz w:w="11900" w:h="16838" w:orient="portrait"/>
          <w:cols w:equalWidth="0" w:num="1">
            <w:col w:w="11380"/>
          </w:cols>
          <w:pgMar w:left="240" w:top="274" w:right="27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460" w:right="500" w:hanging="452"/>
        <w:spacing w:after="0" w:line="347" w:lineRule="auto"/>
        <w:tabs>
          <w:tab w:leader="none" w:pos="460"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Page F-27 states that the notional value of the swap with a maturity of October 5, 2018 is $92,500,000. Confirm that this is accurate. The disclosure states that there were two swaps, each with a $46,300,000 notional amount. This is probably a rounding issue.</w:t>
      </w:r>
    </w:p>
    <w:p>
      <w:pPr>
        <w:spacing w:after="0" w:line="1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confirms to the Staff that the notional amount of each of the two interest rate swaps with maturities of October 5, 2018 are $46,250,000.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Because the disclosure text presents figures in millions, the notional amounts, as rounded, are shown as $46.3 million.</w:t>
      </w:r>
    </w:p>
    <w:p>
      <w:pPr>
        <w:spacing w:after="0" w:line="355" w:lineRule="exact"/>
        <w:rPr>
          <w:sz w:val="20"/>
          <w:szCs w:val="20"/>
          <w:color w:val="auto"/>
        </w:rPr>
      </w:pPr>
    </w:p>
    <w:p>
      <w:pPr>
        <w:ind w:left="460" w:right="3580" w:hanging="452"/>
        <w:spacing w:after="0" w:line="407" w:lineRule="auto"/>
        <w:tabs>
          <w:tab w:leader="none" w:pos="449"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Explain why Interest from cash and cash equivalents is negative in the Statement of Operations. </w:t>
      </w:r>
      <w:r>
        <w:rPr>
          <w:rFonts w:ascii="Arial" w:cs="Arial" w:eastAsia="Arial" w:hAnsi="Arial"/>
          <w:sz w:val="18"/>
          <w:szCs w:val="18"/>
          <w:u w:val="single" w:color="auto"/>
          <w:color w:val="auto"/>
        </w:rPr>
        <w:t>Response:</w:t>
      </w:r>
    </w:p>
    <w:p>
      <w:pPr>
        <w:spacing w:after="0" w:line="58"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Company respectfully advises the Staff that it pays negative interest rates on certain of its cash balance accounts denominated in foreign currencies.</w:t>
      </w:r>
    </w:p>
    <w:p>
      <w:pPr>
        <w:spacing w:after="0" w:line="315" w:lineRule="exact"/>
        <w:rPr>
          <w:sz w:val="20"/>
          <w:szCs w:val="20"/>
          <w:color w:val="auto"/>
        </w:rPr>
      </w:pPr>
    </w:p>
    <w:p>
      <w:pPr>
        <w:ind w:left="460" w:right="820" w:hanging="452"/>
        <w:spacing w:after="0" w:line="282" w:lineRule="auto"/>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List each unfunded commitment separately by portfolio company and confirm that the unfunded commitments are accounted for in accordance with ASC 820.</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In response to the Staff’s comment, the Company has revised the disclosure on p. 85 and 106 within the prospectus and beginning on p. F-77 in its interim financial statements. The Company respectfully advises the Staff that it considered the accounting and disclosure requirements of ASC Topic 450, ASC Topic 460 and ASC Topic 820 as they relate to unfunded commitments.</w:t>
      </w:r>
    </w:p>
    <w:p>
      <w:pPr>
        <w:spacing w:after="0" w:line="326" w:lineRule="exact"/>
        <w:rPr>
          <w:sz w:val="20"/>
          <w:szCs w:val="20"/>
          <w:color w:val="auto"/>
        </w:rPr>
      </w:pPr>
    </w:p>
    <w:p>
      <w:pPr>
        <w:ind w:left="460" w:right="2240" w:hanging="452"/>
        <w:spacing w:after="0" w:line="407" w:lineRule="auto"/>
        <w:tabs>
          <w:tab w:leader="none" w:pos="449"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Confirm whether there were any transfers of investments between Level 1 and Level 2 of the fair value hierarchy. </w:t>
      </w:r>
      <w:r>
        <w:rPr>
          <w:rFonts w:ascii="Arial" w:cs="Arial" w:eastAsia="Arial" w:hAnsi="Arial"/>
          <w:sz w:val="18"/>
          <w:szCs w:val="18"/>
          <w:u w:val="single" w:color="auto"/>
          <w:color w:val="auto"/>
        </w:rPr>
        <w:t>Response:</w:t>
      </w:r>
    </w:p>
    <w:p>
      <w:pPr>
        <w:spacing w:after="0" w:line="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confirms that there were no transfers of investments between Level 1 and Level 2 of the fair value hierarchy during the periods covered by the financial statements in the Registration Statement.</w:t>
      </w:r>
    </w:p>
    <w:p>
      <w:pPr>
        <w:spacing w:after="0" w:line="315" w:lineRule="exact"/>
        <w:rPr>
          <w:sz w:val="20"/>
          <w:szCs w:val="20"/>
          <w:color w:val="auto"/>
        </w:rPr>
      </w:pPr>
    </w:p>
    <w:p>
      <w:pPr>
        <w:ind w:left="460" w:hanging="452"/>
        <w:spacing w:after="0" w:line="261" w:lineRule="auto"/>
        <w:tabs>
          <w:tab w:leader="none" w:pos="4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the Schedule of Investments that you held $43.7 million in first-lien loans issued by The Sports Authority. In March 2016, The Sports Authority filed for bankruptcy protection. Please tell us how you determined the fair value as of December 31 and tell us any adjustments you have made since to reflect the impact of the bankruptcy filing. If no adjustments have been made, or are contemplated, please explain the basis for your position.</w:t>
      </w:r>
    </w:p>
    <w:p>
      <w:pPr>
        <w:spacing w:after="0" w:line="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Company respectfully advises the Staff that it determined fair value for its investment in The Sports Authority as of December 31, 2015 in accordance with the critical accounting policies as described in the notes to the financial statements.</w:t>
      </w:r>
    </w:p>
    <w:p>
      <w:pPr>
        <w:sectPr>
          <w:pgSz w:w="11900" w:h="16838" w:orient="portrait"/>
          <w:cols w:equalWidth="0" w:num="1">
            <w:col w:w="11380"/>
          </w:cols>
          <w:pgMar w:left="240" w:top="274" w:right="27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Company’s investment in The Sports Authority occurred during the quarter ended December 31, 2015. As of December 31, 2015, the fair value of the Company’s investment in The Sports Authority reflected a duration assumption of 15 months, and incorporated an adjustment to the discount rate based on movement in market and comparable company spreads, as well as the impact of upfront fees (original issue discount). The Company notes further that at December 31, 2015 the par value of the Company’s investment in The Sports Authority was fully covered from an enterprise value approach.</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advises the Staff that no adjustments were made to the fair value of the investment as a result of the bankruptcy filing. There are a number of debt tranches in the Sports Authority capital structure; the Company’s asset-based first-in-last-out, or “FILO”, term loan, sits within the revolving asset-based loan, which is over-secured and was rolled up into a debtor-in-possession (“DIP”) financing. In addition to the incremental protections of participating in the DIP facility, the Company received further principal coverage through incremental collateral. The Company advises the Staff that the underwriting of the Company’s original investment in The Sports Authority was conducted with some expectation of bankruptcy or a liquidation event, but the Company believed that the portfolio company’s working capital assets provided substantial downside protection to the investment position. Further, on March 2, 2016, the debtors publicly filed a motion with the bankruptcy court that noted “It is the view of the Debtors and their professionals that the Prepetition Revolving Loans and Prepetition FILO Loan are oversecured by $80 million or more.” Given the milestones in the bankruptcy case, the Company expects to receive repayment of the FILO term loan investment commencing in the second quarter of 2016.</w:t>
      </w:r>
    </w:p>
    <w:p>
      <w:pPr>
        <w:spacing w:after="0" w:line="326" w:lineRule="exact"/>
        <w:rPr>
          <w:sz w:val="20"/>
          <w:szCs w:val="20"/>
          <w:color w:val="auto"/>
        </w:rPr>
      </w:pPr>
    </w:p>
    <w:p>
      <w:pPr>
        <w:ind w:left="460" w:right="60" w:hanging="452"/>
        <w:spacing w:after="0" w:line="289" w:lineRule="auto"/>
        <w:tabs>
          <w:tab w:leader="none" w:pos="4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that you closed an underwritten public offering of 5 million shares at $16.42 per share in early March. Please tell us what disclosures, if any, were provided to investors about The Sports Authority position and its bankruptcy filing. If you did not address this with investors, please explain to us how you concluded additional disclosures about the topic were not required. In addition to valuation-related considerations, please tell us whether the bankruptcy filing resulted in a change to the investment performance rating table on page 65. </w:t>
      </w:r>
      <w:r>
        <w:rPr>
          <w:rFonts w:ascii="Arial" w:cs="Arial" w:eastAsia="Arial" w:hAnsi="Arial"/>
          <w:sz w:val="18"/>
          <w:szCs w:val="18"/>
          <w:u w:val="single" w:color="auto"/>
          <w:color w:val="auto"/>
        </w:rPr>
        <w:t>Response:</w:t>
      </w:r>
    </w:p>
    <w:p>
      <w:pPr>
        <w:spacing w:after="0" w:line="162"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The Company respectfully advises the Staff that the fair value of the Company’s investment in The Sports Authority was disclosed to investors as of December 31, 2015 in the Company’s Schedule of Investments. The Sports Authority bankruptcy filing occurred on March 2, 2016 prior to the Company’s underwritten public offering. At the time of the Company’s offering, as noted in the Company’s response to comment 10, based on the position of the Company’s investment in the capital structure of The Sports Authority and the information in the public bankruptcy filing, the Company concluded the bankruptcy filing was not material to the Company and no additional disclosures were required.</w:t>
      </w:r>
    </w:p>
    <w:p>
      <w:pPr>
        <w:spacing w:after="0" w:line="1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 notes the disclosure on p. F-7 and F-48 in its interim financial statements, which shows that the fair value of the Company’s investment in The Sports Authority rose from $43.8 million at December 31, 2015 to $44.7 million at March 31, 2016. The Company also advises the Staff that the bankruptcy filing also codified a prepayment fee to the Company, which further supported the Company’s assessment of fair value. Since the investment remained a performing investment, the Company advises the Staff that the bankruptcy filing did not result in a change to the performance rating of the investment.</w:t>
      </w:r>
    </w:p>
    <w:p>
      <w:pPr>
        <w:sectPr>
          <w:pgSz w:w="11900" w:h="16838" w:orient="portrait"/>
          <w:cols w:equalWidth="0" w:num="1">
            <w:col w:w="11380"/>
          </w:cols>
          <w:pgMar w:left="240" w:top="274" w:right="27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left="460" w:right="160" w:hanging="452"/>
        <w:spacing w:after="0" w:line="266" w:lineRule="auto"/>
        <w:tabs>
          <w:tab w:leader="none" w:pos="46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On page 62, we note your new investment commitments declined from $884 to $718 million year-over-year. Please explain the underlying business and economic trends that contributed to this decline. Please provide us model disclosure for inclusion in future filings based on your December 31, 2015 results.</w:t>
      </w:r>
    </w:p>
    <w:p>
      <w:pPr>
        <w:spacing w:after="0" w:line="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Company respectfully advises the Staff it does not believe there is any business or economic trend underlying the Company’s amount of new investment commitments from 2014 to 2015 that can be further identified. The Company’s new investment commitments have varied historically from period to period based on a number of factors, which are identified on p. 59 and 62 in the ‘investments’ and ‘market trends’ sections in the Company’s discussion of the key components of its results of operations, as well as in the risk factor section beginning on p. 33. The Company reviews this trend disclosure each quarter, and if it is able to identify any particular additional trends underlying a period-to-period change, it will identify such trends in future filings.</w:t>
      </w:r>
    </w:p>
    <w:p>
      <w:pPr>
        <w:spacing w:after="0" w:line="303" w:lineRule="exact"/>
        <w:rPr>
          <w:sz w:val="20"/>
          <w:szCs w:val="20"/>
          <w:color w:val="auto"/>
        </w:rPr>
      </w:pPr>
    </w:p>
    <w:p>
      <w:pPr>
        <w:ind w:left="460" w:hanging="452"/>
        <w:spacing w:after="0" w:line="261" w:lineRule="auto"/>
        <w:tabs>
          <w:tab w:leader="none" w:pos="4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On page 66, based on your discussion of investment income, it appears that unscheduled paydowns and prepayments decreased year-over-year. While you attribute this to activity at particular portfolio companies, it is unclear whether there were any material portfolio level or economic trends that also contributed to the decline. If so, these should be addressed in MD&amp;A. Please provide us draft disclosure for inclusion in future filings, if applicable.</w:t>
      </w:r>
    </w:p>
    <w:p>
      <w:pPr>
        <w:spacing w:after="0" w:line="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respectfully advises the Staff it does not believe there is any material portfolio level or economic trend underlying the Company’s amount of unscheduled paydowns and prepayments from 2014 to 2015 that can be further identified beyond the current disclosure on p. 60. The Company reviews this trend disclosure each quarter, and if it is able to identify any particular additional trends underlying a period-to-period change, it will identify such trends in future filings.</w:t>
      </w:r>
    </w:p>
    <w:p>
      <w:pPr>
        <w:sectPr>
          <w:pgSz w:w="11900" w:h="16838" w:orient="portrait"/>
          <w:cols w:equalWidth="0" w:num="1">
            <w:col w:w="11400"/>
          </w:cols>
          <w:pgMar w:left="240" w:top="274" w:right="2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left="460" w:right="40" w:hanging="452"/>
        <w:spacing w:after="0" w:line="266" w:lineRule="auto"/>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page 69 reference to incremental professional fees incurred related to your investment in TICC shares. If material, please quantify this amount in future filings. Also, given the potential benefits to the advisor, please provide us with your analysis on why these fees should be paid by the fund and not the advisor.</w:t>
      </w:r>
    </w:p>
    <w:p>
      <w:pPr>
        <w:spacing w:after="0" w:line="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Company advises the Staff that it will quantify the amount of incremental professional fees related to the investment in TICC if such fees are material.</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respectfully advises the Staff that the subject fees relate to a portfolio investment of the Company. The transaction proposed by the Company to TICC’s board of directors is an acquisition by the Company of the all the outstanding common stock of TICC, which, as proposed, would be meaningfully accretive to the Company’s net asset value. The Company has and will continue to carefully consider the potential for future expenses to be incurred in relation to its investment and ongoing interest in TICC, the probability of success of its actions to effect change, and the potential accretion to the Company’s net asset value. Given the meaningful accretion to net asset value from such a transaction, the Company believes these professional fees are appropriately borne by the Company, and not its advisor.</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as disclosed on p. 68, 72 and 73, the Company’s adviser has waived management and incentive fees with respect to the TICC investment while TICC remains a portfolio investment of the Company.</w:t>
      </w:r>
    </w:p>
    <w:p>
      <w:pPr>
        <w:spacing w:after="0" w:line="315" w:lineRule="exact"/>
        <w:rPr>
          <w:sz w:val="20"/>
          <w:szCs w:val="20"/>
          <w:color w:val="auto"/>
        </w:rPr>
      </w:pPr>
    </w:p>
    <w:p>
      <w:pPr>
        <w:ind w:left="460" w:right="40" w:hanging="452"/>
        <w:spacing w:after="0" w:line="266" w:lineRule="auto"/>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page 70 reference to negative credit-related adjustments. Were any of these individually material? If so, please specifically identify them and quantify the size of the adjustment in future filings. Please provide us model draft disclosure based on your December 31, 2015 figures.</w:t>
      </w:r>
    </w:p>
    <w:p>
      <w:pPr>
        <w:spacing w:after="0" w:line="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respectfully advises the Staff that none of the negative credit-related adjustments in the subject disclosure were individually material to the Company. In future filings, the Company will specifically identify and quantify any individual negative credit-related adjustments where such adjustments are material to the Company.</w:t>
      </w:r>
    </w:p>
    <w:p>
      <w:pPr>
        <w:spacing w:after="0" w:line="326" w:lineRule="exact"/>
        <w:rPr>
          <w:sz w:val="20"/>
          <w:szCs w:val="20"/>
          <w:color w:val="auto"/>
        </w:rPr>
      </w:pPr>
    </w:p>
    <w:p>
      <w:pPr>
        <w:ind w:left="460" w:right="100" w:hanging="452"/>
        <w:spacing w:after="0" w:line="282" w:lineRule="auto"/>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On page 72, your disclosure indicates that you paid $78 million in dividends in 2015 and received proceeds from investments of $39 million. In future filings, to the extent material, please:</w:t>
      </w:r>
    </w:p>
    <w:p>
      <w:pPr>
        <w:spacing w:after="0" w:line="67" w:lineRule="exact"/>
        <w:rPr>
          <w:rFonts w:ascii="Arial" w:cs="Arial" w:eastAsia="Arial" w:hAnsi="Arial"/>
          <w:sz w:val="18"/>
          <w:szCs w:val="18"/>
          <w:b w:val="1"/>
          <w:bCs w:val="1"/>
          <w:color w:val="auto"/>
        </w:rPr>
      </w:pPr>
    </w:p>
    <w:p>
      <w:pPr>
        <w:ind w:left="1460" w:hanging="547"/>
        <w:spacing w:after="0"/>
        <w:tabs>
          <w:tab w:leader="none" w:pos="1460"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sources used to pay the dividend;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disclosed on p. 77, the Company advises the Staff that the Company’s sources of liquidity include net cash provided by operating activities, net cash provided by financing activities, as well as existing cash balances and availability under the Company’s debt facilities. In particular, the Company respectfully advises the Staff that the disclosure presented in the “Financial Condition, Liquidity and Capital Resources” section on p. 77, read in conjunction with the Consolidated Statement of Operations and Consolidated Statement of Cash Flows presented in the Company’s financial statements, provides information as to the sources of liquidity required to pay the Company’s quarterly dividend to its stockholders.</w:t>
      </w:r>
    </w:p>
    <w:p>
      <w:pPr>
        <w:sectPr>
          <w:pgSz w:w="11900" w:h="16838" w:orient="portrait"/>
          <w:cols w:equalWidth="0" w:num="1">
            <w:col w:w="11420"/>
          </w:cols>
          <w:pgMar w:left="240" w:top="274" w:right="23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advises the Staff that management and the board of directors view the quarterly dividend as a “liability” to be “financed” with cash earnings from the Company’s investments. On that basis, the Company’s board of directors has set the dividend at a level that can be consistently earned based on the earnings power of the business over the intermediate term. In accordance with that approach, the Company has “over-earned” its dividend each quarter on a regular basis, meaning that the Company’s net investment income and net realized gains exceed its quarterly dividend amount. In addition, the Company considers the requirement under U.S federal income tax to meet minimum levels of distributions to shareholders through dividends in order to maintain its qualification as a RIC.</w:t>
      </w:r>
    </w:p>
    <w:p>
      <w:pPr>
        <w:spacing w:after="0" w:line="193"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Company notes that its Consolidated Statement of Cash Flows, and the related MD&amp;A disclosure beginning on p. 77, is presented using the indirect method and shows the reconciliation of the Company’s net income to its cash flow from operations. As such, the proceeds of investments of $39 million for the year ended December 31, 2015 is a cash flow statement reconciliation amount rather than the total amount of the Company’s net investment income and realized gains that it received in cash during the period. Net investment income and realized gains for the year ended December 31, 2015 were $92 million. The Company will clarify the related MD&amp;A disclosure in future filings.</w:t>
      </w:r>
    </w:p>
    <w:p>
      <w:pPr>
        <w:spacing w:after="0" w:line="74" w:lineRule="exact"/>
        <w:rPr>
          <w:sz w:val="20"/>
          <w:szCs w:val="20"/>
          <w:color w:val="auto"/>
        </w:rPr>
      </w:pPr>
    </w:p>
    <w:p>
      <w:pPr>
        <w:ind w:left="1460" w:hanging="547"/>
        <w:spacing w:after="0"/>
        <w:tabs>
          <w:tab w:leader="none" w:pos="14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Address the fund’s policy with respect to dividends and dividend levels; and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Company respectfully advises the Staff that the Company’s dividend policy as disclosed on p. 53 reflects its current policy and also refers the Staff to its response to part one of this comment. If the Company’s dividend policy changes in the future, it will revise its disclosure in response.</w:t>
      </w:r>
    </w:p>
    <w:p>
      <w:pPr>
        <w:spacing w:after="0" w:line="48" w:lineRule="exact"/>
        <w:rPr>
          <w:sz w:val="20"/>
          <w:szCs w:val="20"/>
          <w:color w:val="auto"/>
        </w:rPr>
      </w:pPr>
    </w:p>
    <w:p>
      <w:pPr>
        <w:ind w:left="1460" w:right="300" w:hanging="547"/>
        <w:spacing w:after="0" w:line="282" w:lineRule="auto"/>
        <w:tabs>
          <w:tab w:leader="none" w:pos="1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Discuss the sustainability of your dividend based on operating cash flows, including how management prioritizes between the dividend and portfolio investments.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respectfully refers the Staff to its response to part one of this comment.</w:t>
      </w:r>
    </w:p>
    <w:p>
      <w:pPr>
        <w:sectPr>
          <w:pgSz w:w="11900" w:h="16838" w:orient="portrait"/>
          <w:cols w:equalWidth="0" w:num="1">
            <w:col w:w="11360"/>
          </w:cols>
          <w:pgMar w:left="240" w:top="274" w:right="29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advise us why these payments are classified as dividends instead of distributions.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respectfully advises the Staff that except where such terms are indicated as being used for tax purposes, the Company has used the terms “dividends” and “distributions” interchangeably with respect to its quarterly cash dividends. In response to the Staff’s comment, the Company has revised disclosure throughout Amendment No. 1 to refer to cash distributions as “dividends” where appropriate.</w:t>
      </w:r>
    </w:p>
    <w:p>
      <w:pPr>
        <w:spacing w:after="0" w:line="181"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hope that these responses adequately address the Staff’s comments. If the Staff has any questions concerning this letter or requires further information, please do not hesitate to contact Adam Fleisher at (212) 225-2286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pacing w:after="0" w:line="252"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Jason Fox</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B7AAA2"/>
    <w:multiLevelType w:val="hybridMultilevel"/>
    <w:lvl w:ilvl="0">
      <w:lvlJc w:val="left"/>
      <w:lvlText w:val="☐"/>
      <w:numFmt w:val="bullet"/>
      <w:start w:val="1"/>
    </w:lvl>
  </w:abstractNum>
  <w:abstractNum w:abstractNumId="1">
    <w:nsid w:val="2B0D8DBE"/>
    <w:multiLevelType w:val="hybridMultilevel"/>
    <w:lvl w:ilvl="0">
      <w:lvlJc w:val="left"/>
      <w:lvlText w:val="(%1)"/>
      <w:numFmt w:val="decimal"/>
      <w:start w:val="1"/>
    </w:lvl>
  </w:abstractNum>
  <w:abstractNum w:abstractNumId="2">
    <w:nsid w:val="6C80EC70"/>
    <w:multiLevelType w:val="hybridMultilevel"/>
    <w:lvl w:ilvl="0">
      <w:lvlJc w:val="left"/>
      <w:lvlText w:val="%1"/>
      <w:numFmt w:val="decimal"/>
      <w:start w:val="13"/>
    </w:lvl>
  </w:abstractNum>
  <w:abstractNum w:abstractNumId="3">
    <w:nsid w:val="379E21B5"/>
    <w:multiLevelType w:val="hybridMultilevel"/>
    <w:lvl w:ilvl="0">
      <w:lvlJc w:val="left"/>
      <w:lvlText w:val="•"/>
      <w:numFmt w:val="bullet"/>
      <w:start w:val="1"/>
    </w:lvl>
  </w:abstractNum>
  <w:abstractNum w:abstractNumId="4">
    <w:nsid w:val="69E373"/>
    <w:multiLevelType w:val="hybridMultilevel"/>
    <w:lvl w:ilvl="0">
      <w:lvlJc w:val="left"/>
      <w:lvlText w:val="•"/>
      <w:numFmt w:val="bullet"/>
      <w:start w:val="1"/>
    </w:lvl>
    <w:lvl w:ilvl="1">
      <w:lvlJc w:val="left"/>
      <w:lvlText w:val="•"/>
      <w:numFmt w:val="bullet"/>
      <w:start w:val="1"/>
    </w:lvl>
  </w:abstractNum>
  <w:abstractNum w:abstractNumId="5">
    <w:nsid w:val="2C27173B"/>
    <w:multiLevelType w:val="hybridMultilevel"/>
    <w:lvl w:ilvl="0">
      <w:lvlJc w:val="left"/>
      <w:lvlText w:val="•"/>
      <w:numFmt w:val="bullet"/>
      <w:start w:val="1"/>
    </w:lvl>
    <w:lvl w:ilvl="1">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1)"/>
      <w:numFmt w:val="decimal"/>
      <w:start w:val="817"/>
    </w:lvl>
  </w:abstractNum>
  <w:abstractNum w:abstractNumId="11">
    <w:nsid w:val="3DB012B3"/>
    <w:multiLevelType w:val="hybridMultilevel"/>
    <w:lvl w:ilvl="0">
      <w:lvlJc w:val="left"/>
      <w:lvlText w:val="(%1)"/>
      <w:numFmt w:val="lowerLetter"/>
      <w:start w:val="2"/>
    </w:lvl>
  </w:abstractNum>
  <w:abstractNum w:abstractNumId="12">
    <w:nsid w:val="2708C9AF"/>
    <w:multiLevelType w:val="hybridMultilevel"/>
    <w:lvl w:ilvl="0">
      <w:lvlJc w:val="left"/>
      <w:lvlText w:val="(%1)"/>
      <w:numFmt w:val="decimal"/>
      <w:start w:val="1"/>
    </w:lvl>
  </w:abstractNum>
  <w:abstractNum w:abstractNumId="13">
    <w:nsid w:val="5B25ACE2"/>
    <w:multiLevelType w:val="hybridMultilevel"/>
    <w:lvl w:ilvl="0">
      <w:lvlJc w:val="left"/>
      <w:lvlText w:val="(%1)"/>
      <w:numFmt w:val="decimal"/>
      <w:start w:val="6"/>
    </w:lvl>
  </w:abstractNum>
  <w:abstractNum w:abstractNumId="14">
    <w:nsid w:val="175DFCF0"/>
    <w:multiLevelType w:val="hybridMultilevel"/>
    <w:lvl w:ilvl="0">
      <w:lvlJc w:val="left"/>
      <w:lvlText w:val="(%1)"/>
      <w:numFmt w:val="decimal"/>
      <w:start w:val="1"/>
    </w:lvl>
  </w:abstractNum>
  <w:abstractNum w:abstractNumId="15">
    <w:nsid w:val="4F97E3E4"/>
    <w:multiLevelType w:val="hybridMultilevel"/>
    <w:lvl w:ilvl="0">
      <w:lvlJc w:val="left"/>
      <w:lvlText w:val="(%1)"/>
      <w:numFmt w:val="decimal"/>
      <w:start w:val="4"/>
    </w:lvl>
  </w:abstractNum>
  <w:abstractNum w:abstractNumId="16">
    <w:nsid w:val="53B0A9E"/>
    <w:multiLevelType w:val="hybridMultilevel"/>
    <w:lvl w:ilvl="0">
      <w:lvlJc w:val="left"/>
      <w:lvlText w:val="(%1)"/>
      <w:numFmt w:val="decimal"/>
      <w:start w:val="1"/>
    </w:lvl>
  </w:abstractNum>
  <w:abstractNum w:abstractNumId="17">
    <w:nsid w:val="34FD6B4F"/>
    <w:multiLevelType w:val="hybridMultilevel"/>
    <w:lvl w:ilvl="0">
      <w:lvlJc w:val="left"/>
      <w:lvlText w:val="•"/>
      <w:numFmt w:val="bullet"/>
      <w:start w:val="1"/>
    </w:lvl>
    <w:lvl w:ilvl="1">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abstractNum>
  <w:abstractNum w:abstractNumId="24">
    <w:nsid w:val="5046B5A9"/>
    <w:multiLevelType w:val="hybridMultilevel"/>
    <w:lvl w:ilvl="0">
      <w:lvlJc w:val="left"/>
      <w:lvlText w:val="•"/>
      <w:numFmt w:val="bullet"/>
      <w:start w:val="1"/>
    </w:lvl>
  </w:abstractNum>
  <w:abstractNum w:abstractNumId="25">
    <w:nsid w:val="5D888A08"/>
    <w:multiLevelType w:val="hybridMultilevel"/>
    <w:lvl w:ilvl="0">
      <w:lvlJc w:val="left"/>
      <w:lvlText w:val="•"/>
      <w:numFmt w:val="bullet"/>
      <w:start w:val="1"/>
    </w:lvl>
  </w:abstractNum>
  <w:abstractNum w:abstractNumId="26">
    <w:nsid w:val="2A082C70"/>
    <w:multiLevelType w:val="hybridMultilevel"/>
    <w:lvl w:ilvl="0">
      <w:lvlJc w:val="left"/>
      <w:lvlText w:val="•"/>
      <w:numFmt w:val="bullet"/>
      <w:start w:val="1"/>
    </w:lvl>
  </w:abstractNum>
  <w:abstractNum w:abstractNumId="27">
    <w:nsid w:val="5EC6AFD4"/>
    <w:multiLevelType w:val="hybridMultilevel"/>
    <w:lvl w:ilvl="0">
      <w:lvlJc w:val="left"/>
      <w:lvlText w:val="•"/>
      <w:numFmt w:val="bullet"/>
      <w:start w:val="1"/>
    </w:lvl>
  </w:abstractNum>
  <w:abstractNum w:abstractNumId="28">
    <w:nsid w:val="19E21BB2"/>
    <w:multiLevelType w:val="hybridMultilevel"/>
    <w:lvl w:ilvl="0">
      <w:lvlJc w:val="left"/>
      <w:lvlText w:val="•"/>
      <w:numFmt w:val="bullet"/>
      <w:start w:val="1"/>
    </w:lvl>
  </w:abstractNum>
  <w:abstractNum w:abstractNumId="29">
    <w:nsid w:val="75E0858A"/>
    <w:multiLevelType w:val="hybridMultilevel"/>
    <w:lvl w:ilvl="0">
      <w:lvlJc w:val="left"/>
      <w:lvlText w:val="(%1)"/>
      <w:numFmt w:val="upperLetter"/>
      <w:start w:val="2"/>
    </w:lvl>
  </w:abstractNum>
  <w:abstractNum w:abstractNumId="30">
    <w:nsid w:val="57A61A29"/>
    <w:multiLevelType w:val="hybridMultilevel"/>
    <w:lvl w:ilvl="0">
      <w:lvlJc w:val="left"/>
      <w:lvlText w:val="(%1)"/>
      <w:numFmt w:val="decimal"/>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1)"/>
      <w:numFmt w:val="decimal"/>
      <w:start w:val="1"/>
    </w:lvl>
  </w:abstractNum>
  <w:abstractNum w:abstractNumId="38">
    <w:nsid w:val="BFFAE18"/>
    <w:multiLevelType w:val="hybridMultilevel"/>
    <w:lvl w:ilvl="0">
      <w:lvlJc w:val="left"/>
      <w:lvlText w:val="(%1)"/>
      <w:numFmt w:val="decimal"/>
      <w:start w:val="1"/>
    </w:lvl>
  </w:abstractNum>
  <w:abstractNum w:abstractNumId="39">
    <w:nsid w:val="E3E47A8"/>
    <w:multiLevelType w:val="hybridMultilevel"/>
    <w:lvl w:ilvl="0">
      <w:lvlJc w:val="left"/>
      <w:lvlText w:val="•"/>
      <w:numFmt w:val="bullet"/>
      <w:start w:val="1"/>
    </w:lvl>
  </w:abstractNum>
  <w:abstractNum w:abstractNumId="40">
    <w:nsid w:val="2E48F044"/>
    <w:multiLevelType w:val="hybridMultilevel"/>
    <w:lvl w:ilvl="0">
      <w:lvlJc w:val="left"/>
      <w:lvlText w:val="•"/>
      <w:numFmt w:val="bullet"/>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1)"/>
      <w:numFmt w:val="decimal"/>
      <w:start w:val="1"/>
    </w:lvl>
  </w:abstractNum>
  <w:abstractNum w:abstractNumId="44">
    <w:nsid w:val="24F6AB8E"/>
    <w:multiLevelType w:val="hybridMultilevel"/>
    <w:lvl w:ilvl="0">
      <w:lvlJc w:val="left"/>
      <w:lvlText w:val="(%1)"/>
      <w:numFmt w:val="decimal"/>
      <w:start w:val="1"/>
    </w:lvl>
  </w:abstractNum>
  <w:abstractNum w:abstractNumId="45">
    <w:nsid w:val="634C574C"/>
    <w:multiLevelType w:val="hybridMultilevel"/>
    <w:lvl w:ilvl="0">
      <w:lvlJc w:val="left"/>
      <w:lvlText w:val="(%1)"/>
      <w:numFmt w:val="decimal"/>
      <w:start w:val="1"/>
    </w:lvl>
  </w:abstractNum>
  <w:abstractNum w:abstractNumId="46">
    <w:nsid w:val="24E99DD7"/>
    <w:multiLevelType w:val="hybridMultilevel"/>
    <w:lvl w:ilvl="0">
      <w:lvlJc w:val="left"/>
      <w:lvlText w:val="•"/>
      <w:numFmt w:val="bullet"/>
      <w:start w:val="1"/>
    </w:lvl>
    <w:lvl w:ilvl="1">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1)"/>
      <w:numFmt w:val="decimal"/>
      <w:start w:val="1"/>
    </w:lvl>
  </w:abstractNum>
  <w:abstractNum w:abstractNumId="52">
    <w:nsid w:val="2A6DE806"/>
    <w:multiLevelType w:val="hybridMultilevel"/>
    <w:lvl w:ilvl="0">
      <w:lvlJc w:val="left"/>
      <w:lvlText w:val="•"/>
      <w:numFmt w:val="bullet"/>
      <w:start w:val="1"/>
    </w:lvl>
  </w:abstractNum>
  <w:abstractNum w:abstractNumId="53">
    <w:nsid w:val="1816F8C4"/>
    <w:multiLevelType w:val="hybridMultilevel"/>
    <w:lvl w:ilvl="0">
      <w:lvlJc w:val="left"/>
      <w:lvlText w:val="•"/>
      <w:numFmt w:val="bullet"/>
      <w:start w:val="1"/>
    </w:lvl>
  </w:abstractNum>
  <w:abstractNum w:abstractNumId="54">
    <w:nsid w:val="37DF2233"/>
    <w:multiLevelType w:val="hybridMultilevel"/>
    <w:lvl w:ilvl="0">
      <w:lvlJc w:val="left"/>
      <w:lvlText w:val="•"/>
      <w:numFmt w:val="bullet"/>
      <w:start w:val="1"/>
    </w:lvl>
  </w:abstractNum>
  <w:abstractNum w:abstractNumId="55">
    <w:nsid w:val="7AB49DAF"/>
    <w:multiLevelType w:val="hybridMultilevel"/>
    <w:lvl w:ilvl="0">
      <w:lvlJc w:val="left"/>
      <w:lvlText w:val="•"/>
      <w:numFmt w:val="bullet"/>
      <w:start w:val="1"/>
    </w:lvl>
  </w:abstractNum>
  <w:abstractNum w:abstractNumId="56">
    <w:nsid w:val="759F82CD"/>
    <w:multiLevelType w:val="hybridMultilevel"/>
    <w:lvl w:ilvl="0">
      <w:lvlJc w:val="left"/>
      <w:lvlText w:val="•"/>
      <w:numFmt w:val="bullet"/>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1)"/>
      <w:numFmt w:val="decimal"/>
      <w:start w:val="1"/>
    </w:lvl>
  </w:abstractNum>
  <w:abstractNum w:abstractNumId="59">
    <w:nsid w:val="F819E7F"/>
    <w:multiLevelType w:val="hybridMultilevel"/>
    <w:lvl w:ilvl="0">
      <w:lvlJc w:val="left"/>
      <w:lvlText w:val="•"/>
      <w:numFmt w:val="bullet"/>
      <w:start w:val="1"/>
    </w:lvl>
    <w:lvl w:ilvl="1">
      <w:lvlJc w:val="left"/>
      <w:lvlText w:val="•"/>
      <w:numFmt w:val="bullet"/>
      <w:start w:val="1"/>
    </w:lvl>
  </w:abstractNum>
  <w:abstractNum w:abstractNumId="60">
    <w:nsid w:val="57C7D42D"/>
    <w:multiLevelType w:val="hybridMultilevel"/>
    <w:lvl w:ilvl="0">
      <w:lvlJc w:val="left"/>
      <w:lvlText w:val="•"/>
      <w:numFmt w:val="bullet"/>
      <w:start w:val="1"/>
    </w:lvl>
    <w:lvl w:ilvl="1">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
      <w:numFmt w:val="bullet"/>
      <w:start w:val="1"/>
    </w:lvl>
  </w:abstractNum>
  <w:abstractNum w:abstractNumId="69">
    <w:nsid w:val="260D8C4A"/>
    <w:multiLevelType w:val="hybridMultilevel"/>
    <w:lvl w:ilvl="0">
      <w:lvlJc w:val="left"/>
      <w:lvlText w:val="•"/>
      <w:numFmt w:val="bullet"/>
      <w:start w:val="1"/>
    </w:lvl>
  </w:abstractNum>
  <w:abstractNum w:abstractNumId="70">
    <w:nsid w:val="73D4D3C4"/>
    <w:multiLevelType w:val="hybridMultilevel"/>
    <w:lvl w:ilvl="0">
      <w:lvlJc w:val="left"/>
      <w:lvlText w:val="•"/>
      <w:numFmt w:val="bullet"/>
      <w:start w:val="1"/>
    </w:lvl>
    <w:lvl w:ilvl="1">
      <w:lvlJc w:val="left"/>
      <w:lvlText w:val="•"/>
      <w:numFmt w:val="bullet"/>
      <w:start w:val="1"/>
    </w:lvl>
  </w:abstractNum>
  <w:abstractNum w:abstractNumId="71">
    <w:nsid w:val="746F2E30"/>
    <w:multiLevelType w:val="hybridMultilevel"/>
    <w:lvl w:ilvl="0">
      <w:lvlJc w:val="left"/>
      <w:lvlText w:val="•"/>
      <w:numFmt w:val="bullet"/>
      <w:start w:val="1"/>
    </w:lvl>
  </w:abstractNum>
  <w:abstractNum w:abstractNumId="72">
    <w:nsid w:val="6FDE8AF6"/>
    <w:multiLevelType w:val="hybridMultilevel"/>
    <w:lvl w:ilvl="0">
      <w:lvlJc w:val="left"/>
      <w:lvlText w:val="(%1)"/>
      <w:numFmt w:val="decimal"/>
      <w:start w:val="1"/>
    </w:lvl>
  </w:abstractNum>
  <w:abstractNum w:abstractNumId="73">
    <w:nsid w:val="3FC32E20"/>
    <w:multiLevelType w:val="hybridMultilevel"/>
    <w:lvl w:ilvl="0">
      <w:lvlJc w:val="left"/>
      <w:lvlText w:val="(%1)"/>
      <w:numFmt w:val="decimal"/>
      <w:start w:val="1"/>
    </w:lvl>
  </w:abstractNum>
  <w:abstractNum w:abstractNumId="74">
    <w:nsid w:val="49C0E823"/>
    <w:multiLevelType w:val="hybridMultilevel"/>
    <w:lvl w:ilvl="0">
      <w:lvlJc w:val="left"/>
      <w:lvlText w:val="(%1)"/>
      <w:numFmt w:val="decimal"/>
      <w:start w:val="7"/>
    </w:lvl>
  </w:abstractNum>
  <w:abstractNum w:abstractNumId="75">
    <w:nsid w:val="14D53685"/>
    <w:multiLevelType w:val="hybridMultilevel"/>
    <w:lvl w:ilvl="0">
      <w:lvlJc w:val="left"/>
      <w:lvlText w:val="%1"/>
      <w:numFmt w:val="decimal"/>
      <w:start w:val="1"/>
    </w:lvl>
    <w:lvl w:ilvl="1">
      <w:lvlJc w:val="left"/>
      <w:lvlText w:val="(%2)"/>
      <w:numFmt w:val="lowerLetter"/>
      <w:start w:val="1"/>
    </w:lvl>
  </w:abstractNum>
  <w:abstractNum w:abstractNumId="76">
    <w:nsid w:val="230F856C"/>
    <w:multiLevelType w:val="hybridMultilevel"/>
    <w:lvl w:ilvl="0">
      <w:lvlJc w:val="left"/>
      <w:lvlText w:val="(%1)"/>
      <w:numFmt w:val="decimal"/>
      <w:start w:val="8"/>
    </w:lvl>
    <w:lvl w:ilvl="1">
      <w:lvlJc w:val="left"/>
      <w:lvlText w:val="%2"/>
      <w:numFmt w:val="lowerLetter"/>
      <w:start w:val="1"/>
    </w:lvl>
  </w:abstractNum>
  <w:abstractNum w:abstractNumId="77">
    <w:nsid w:val="6EAA85FB"/>
    <w:multiLevelType w:val="hybridMultilevel"/>
    <w:lvl w:ilvl="0">
      <w:lvlJc w:val="left"/>
      <w:lvlText w:val="•"/>
      <w:numFmt w:val="bullet"/>
      <w:start w:val="1"/>
    </w:lvl>
  </w:abstractNum>
  <w:abstractNum w:abstractNumId="78">
    <w:nsid w:val="3F06ECB2"/>
    <w:multiLevelType w:val="hybridMultilevel"/>
    <w:lvl w:ilvl="0">
      <w:lvlJc w:val="left"/>
      <w:lvlText w:val="•"/>
      <w:numFmt w:val="bullet"/>
      <w:start w:val="1"/>
    </w:lvl>
  </w:abstractNum>
  <w:abstractNum w:abstractNumId="79">
    <w:nsid w:val="3B594807"/>
    <w:multiLevelType w:val="hybridMultilevel"/>
    <w:lvl w:ilvl="0">
      <w:lvlJc w:val="left"/>
      <w:lvlText w:val="•"/>
      <w:numFmt w:val="bullet"/>
      <w:start w:val="1"/>
    </w:lvl>
  </w:abstractNum>
  <w:abstractNum w:abstractNumId="80">
    <w:nsid w:val="6CAA2304"/>
    <w:multiLevelType w:val="hybridMultilevel"/>
    <w:lvl w:ilvl="0">
      <w:lvlJc w:val="left"/>
      <w:lvlText w:val="•"/>
      <w:numFmt w:val="bullet"/>
      <w:start w:val="1"/>
    </w:lvl>
  </w:abstractNum>
  <w:abstractNum w:abstractNumId="81">
    <w:nsid w:val="3F7C2FF4"/>
    <w:multiLevelType w:val="hybridMultilevel"/>
    <w:lvl w:ilvl="0">
      <w:lvlJc w:val="left"/>
      <w:lvlText w:val="•"/>
      <w:numFmt w:val="bullet"/>
      <w:start w:val="1"/>
    </w:lvl>
  </w:abstractNum>
  <w:abstractNum w:abstractNumId="82">
    <w:nsid w:val="25413BEC"/>
    <w:multiLevelType w:val="hybridMultilevel"/>
    <w:lvl w:ilvl="0">
      <w:lvlJc w:val="left"/>
      <w:lvlText w:val="•"/>
      <w:numFmt w:val="bullet"/>
      <w:start w:val="1"/>
    </w:lvl>
  </w:abstractNum>
  <w:abstractNum w:abstractNumId="83">
    <w:nsid w:val="17180B0B"/>
    <w:multiLevelType w:val="hybridMultilevel"/>
    <w:lvl w:ilvl="0">
      <w:lvlJc w:val="left"/>
      <w:lvlText w:val="•"/>
      <w:numFmt w:val="bullet"/>
      <w:start w:val="1"/>
    </w:lvl>
  </w:abstractNum>
  <w:abstractNum w:abstractNumId="84">
    <w:nsid w:val="579328B9"/>
    <w:multiLevelType w:val="hybridMultilevel"/>
    <w:lvl w:ilvl="0">
      <w:lvlJc w:val="left"/>
      <w:lvlText w:val="•"/>
      <w:numFmt w:val="bullet"/>
      <w:start w:val="1"/>
    </w:lvl>
  </w:abstractNum>
  <w:abstractNum w:abstractNumId="85">
    <w:nsid w:val="5D205E20"/>
    <w:multiLevelType w:val="hybridMultilevel"/>
    <w:lvl w:ilvl="0">
      <w:lvlJc w:val="left"/>
      <w:lvlText w:val="•"/>
      <w:numFmt w:val="bullet"/>
      <w:start w:val="1"/>
    </w:lvl>
  </w:abstractNum>
  <w:abstractNum w:abstractNumId="86">
    <w:nsid w:val="11CCA8BA"/>
    <w:multiLevelType w:val="hybridMultilevel"/>
    <w:lvl w:ilvl="0">
      <w:lvlJc w:val="left"/>
      <w:lvlText w:val="•"/>
      <w:numFmt w:val="bullet"/>
      <w:start w:val="1"/>
    </w:lvl>
  </w:abstractNum>
  <w:abstractNum w:abstractNumId="87">
    <w:nsid w:val="4D32AB86"/>
    <w:multiLevelType w:val="hybridMultilevel"/>
    <w:lvl w:ilvl="0">
      <w:lvlJc w:val="left"/>
      <w:lvlText w:val="(%1)"/>
      <w:numFmt w:val="lowerRoman"/>
      <w:start w:val="1"/>
    </w:lvl>
  </w:abstractNum>
  <w:abstractNum w:abstractNumId="88">
    <w:nsid w:val="3F07ACC3"/>
    <w:multiLevelType w:val="hybridMultilevel"/>
    <w:lvl w:ilvl="0">
      <w:lvlJc w:val="left"/>
      <w:lvlText w:val="(%1)"/>
      <w:numFmt w:val="lowerRoman"/>
      <w:start w:val="2"/>
    </w:lvl>
  </w:abstractNum>
  <w:abstractNum w:abstractNumId="89">
    <w:nsid w:val="6B47F63E"/>
    <w:multiLevelType w:val="hybridMultilevel"/>
    <w:lvl w:ilvl="0">
      <w:lvlJc w:val="left"/>
      <w:lvlText w:val="="/>
      <w:numFmt w:val="bullet"/>
      <w:start w:val="1"/>
    </w:lvl>
  </w:abstractNum>
  <w:abstractNum w:abstractNumId="90">
    <w:nsid w:val="5CB44A05"/>
    <w:multiLevelType w:val="hybridMultilevel"/>
    <w:lvl w:ilvl="0">
      <w:lvlJc w:val="left"/>
      <w:lvlText w:val="(%1)"/>
      <w:numFmt w:val="decimal"/>
    </w:lvl>
    <w:lvl w:ilvl="1">
      <w:lvlJc w:val="left"/>
      <w:lvlText w:val="="/>
      <w:numFmt w:val="bullet"/>
      <w:start w:val="1"/>
    </w:lvl>
  </w:abstractNum>
  <w:abstractNum w:abstractNumId="91">
    <w:nsid w:val="16CF80F1"/>
    <w:multiLevelType w:val="hybridMultilevel"/>
    <w:lvl w:ilvl="0">
      <w:lvlJc w:val="left"/>
      <w:lvlText w:val="(%1)"/>
      <w:numFmt w:val="decimal"/>
      <w:start w:val="4"/>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
      <w:numFmt w:val="bullet"/>
      <w:start w:val="1"/>
    </w:lvl>
  </w:abstractNum>
  <w:abstractNum w:abstractNumId="95">
    <w:nsid w:val="11B1CC33"/>
    <w:multiLevelType w:val="hybridMultilevel"/>
    <w:lvl w:ilvl="0">
      <w:lvlJc w:val="left"/>
      <w:lvlText w:val="•"/>
      <w:numFmt w:val="bullet"/>
      <w:start w:val="1"/>
    </w:lvl>
  </w:abstractNum>
  <w:abstractNum w:abstractNumId="96">
    <w:nsid w:val="2E22FBB7"/>
    <w:multiLevelType w:val="hybridMultilevel"/>
    <w:lvl w:ilvl="0">
      <w:lvlJc w:val="left"/>
      <w:lvlText w:val="•"/>
      <w:numFmt w:val="bullet"/>
      <w:start w:val="1"/>
    </w:lvl>
  </w:abstractNum>
  <w:abstractNum w:abstractNumId="97">
    <w:nsid w:val="29934699"/>
    <w:multiLevelType w:val="hybridMultilevel"/>
    <w:lvl w:ilvl="0">
      <w:lvlJc w:val="left"/>
      <w:lvlText w:val="•"/>
      <w:numFmt w:val="bullet"/>
      <w:start w:val="1"/>
    </w:lvl>
  </w:abstractNum>
  <w:abstractNum w:abstractNumId="98">
    <w:nsid w:val="77485850"/>
    <w:multiLevelType w:val="hybridMultilevel"/>
    <w:lvl w:ilvl="0">
      <w:lvlJc w:val="left"/>
      <w:lvlText w:val="•"/>
      <w:numFmt w:val="bullet"/>
      <w:start w:val="1"/>
    </w:lvl>
  </w:abstractNum>
  <w:abstractNum w:abstractNumId="99">
    <w:nsid w:val="744939A3"/>
    <w:multiLevelType w:val="hybridMultilevel"/>
    <w:lvl w:ilvl="0">
      <w:lvlJc w:val="left"/>
      <w:lvlText w:val="•"/>
      <w:numFmt w:val="bullet"/>
      <w:start w:val="1"/>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
      <w:numFmt w:val="bullet"/>
      <w:start w:val="1"/>
    </w:lvl>
  </w:abstractNum>
  <w:abstractNum w:abstractNumId="102">
    <w:nsid w:val="68B867D3"/>
    <w:multiLevelType w:val="hybridMultilevel"/>
    <w:lvl w:ilvl="0">
      <w:lvlJc w:val="left"/>
      <w:lvlText w:val="•"/>
      <w:numFmt w:val="bullet"/>
      <w:start w:val="1"/>
    </w:lvl>
  </w:abstractNum>
  <w:abstractNum w:abstractNumId="103">
    <w:nsid w:val="3F7F5DD9"/>
    <w:multiLevelType w:val="hybridMultilevel"/>
    <w:lvl w:ilvl="0">
      <w:lvlJc w:val="left"/>
      <w:lvlText w:val="•"/>
      <w:numFmt w:val="bullet"/>
      <w:start w:val="1"/>
    </w:lvl>
  </w:abstractNum>
  <w:abstractNum w:abstractNumId="104">
    <w:nsid w:val="2AE05A34"/>
    <w:multiLevelType w:val="hybridMultilevel"/>
    <w:lvl w:ilvl="0">
      <w:lvlJc w:val="left"/>
      <w:lvlText w:val="•"/>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1)"/>
      <w:numFmt w:val="decimal"/>
      <w:start w:val="1"/>
    </w:lvl>
  </w:abstractNum>
  <w:abstractNum w:abstractNumId="107">
    <w:nsid w:val="4DEFDFA0"/>
    <w:multiLevelType w:val="hybridMultilevel"/>
    <w:lvl w:ilvl="0">
      <w:lvlJc w:val="left"/>
      <w:lvlText w:val="(%1)"/>
      <w:numFmt w:val="decimal"/>
      <w:start w:val="2"/>
    </w:lvl>
  </w:abstractNum>
  <w:abstractNum w:abstractNumId="108">
    <w:nsid w:val="2123D5F2"/>
    <w:multiLevelType w:val="hybridMultilevel"/>
    <w:lvl w:ilvl="0">
      <w:lvlJc w:val="left"/>
      <w:lvlText w:val="(%1)"/>
      <w:numFmt w:val="decimal"/>
      <w:start w:val="1"/>
    </w:lvl>
  </w:abstractNum>
  <w:abstractNum w:abstractNumId="109">
    <w:nsid w:val="135B8110"/>
    <w:multiLevelType w:val="hybridMultilevel"/>
    <w:lvl w:ilvl="0">
      <w:lvlJc w:val="left"/>
      <w:lvlText w:val="•"/>
      <w:numFmt w:val="bullet"/>
      <w:start w:val="1"/>
    </w:lvl>
  </w:abstractNum>
  <w:abstractNum w:abstractNumId="110">
    <w:nsid w:val="94927A8"/>
    <w:multiLevelType w:val="hybridMultilevel"/>
    <w:lvl w:ilvl="0">
      <w:lvlJc w:val="left"/>
      <w:lvlText w:val="•"/>
      <w:numFmt w:val="bullet"/>
      <w:start w:val="1"/>
    </w:lvl>
  </w:abstractNum>
  <w:abstractNum w:abstractNumId="111">
    <w:nsid w:val="DCDF8F6"/>
    <w:multiLevelType w:val="hybridMultilevel"/>
    <w:lvl w:ilvl="0">
      <w:lvlJc w:val="left"/>
      <w:lvlText w:val="•"/>
      <w:numFmt w:val="bullet"/>
      <w:start w:val="1"/>
    </w:lvl>
    <w:lvl w:ilvl="1">
      <w:lvlJc w:val="left"/>
      <w:lvlText w:val="•"/>
      <w:numFmt w:val="bullet"/>
      <w:start w:val="1"/>
    </w:lvl>
  </w:abstractNum>
  <w:abstractNum w:abstractNumId="112">
    <w:nsid w:val="52D7B105"/>
    <w:multiLevelType w:val="hybridMultilevel"/>
    <w:lvl w:ilvl="0">
      <w:lvlJc w:val="left"/>
      <w:lvlText w:val="•"/>
      <w:numFmt w:val="bullet"/>
      <w:start w:val="1"/>
    </w:lvl>
  </w:abstractNum>
  <w:abstractNum w:abstractNumId="113">
    <w:nsid w:val="2E8A6394"/>
    <w:multiLevelType w:val="hybridMultilevel"/>
    <w:lvl w:ilvl="0">
      <w:lvlJc w:val="left"/>
      <w:lvlText w:val="•"/>
      <w:numFmt w:val="bullet"/>
      <w:start w:val="1"/>
    </w:lvl>
  </w:abstractNum>
  <w:abstractNum w:abstractNumId="114">
    <w:nsid w:val="24E60401"/>
    <w:multiLevelType w:val="hybridMultilevel"/>
    <w:lvl w:ilvl="0">
      <w:lvlJc w:val="left"/>
      <w:lvlText w:val="•"/>
      <w:numFmt w:val="bullet"/>
      <w:start w:val="1"/>
    </w:lvl>
  </w:abstractNum>
  <w:abstractNum w:abstractNumId="115">
    <w:nsid w:val="2A6AD9BE"/>
    <w:multiLevelType w:val="hybridMultilevel"/>
    <w:lvl w:ilvl="0">
      <w:lvlJc w:val="left"/>
      <w:lvlText w:val="(%1)"/>
      <w:numFmt w:val="lowerRoman"/>
      <w:start w:val="1"/>
    </w:lvl>
  </w:abstractNum>
  <w:abstractNum w:abstractNumId="116">
    <w:nsid w:val="BAAC1B4"/>
    <w:multiLevelType w:val="hybridMultilevel"/>
    <w:lvl w:ilvl="0">
      <w:lvlJc w:val="left"/>
      <w:lvlText w:val="(%1)"/>
      <w:numFmt w:val="lowerRoman"/>
      <w:start w:val="3"/>
    </w:lvl>
  </w:abstractNum>
  <w:abstractNum w:abstractNumId="117">
    <w:nsid w:val="36B2ACBC"/>
    <w:multiLevelType w:val="hybridMultilevel"/>
    <w:lvl w:ilvl="0">
      <w:lvlJc w:val="left"/>
      <w:lvlText w:val="(%1)"/>
      <w:numFmt w:val="lowerRoman"/>
      <w:start w:val="1"/>
    </w:lvl>
  </w:abstractNum>
  <w:abstractNum w:abstractNumId="118">
    <w:nsid w:val="779D8544"/>
    <w:multiLevelType w:val="hybridMultilevel"/>
    <w:lvl w:ilvl="0">
      <w:lvlJc w:val="left"/>
      <w:lvlText w:val="•"/>
      <w:numFmt w:val="bullet"/>
      <w:start w:val="1"/>
    </w:lvl>
  </w:abstractNum>
  <w:abstractNum w:abstractNumId="119">
    <w:nsid w:val="4AB26E78"/>
    <w:multiLevelType w:val="hybridMultilevel"/>
    <w:lvl w:ilvl="0">
      <w:lvlJc w:val="left"/>
      <w:lvlText w:val="•"/>
      <w:numFmt w:val="bullet"/>
      <w:start w:val="1"/>
    </w:lvl>
  </w:abstractNum>
  <w:abstractNum w:abstractNumId="120">
    <w:nsid w:val="21FAA2FA"/>
    <w:multiLevelType w:val="hybridMultilevel"/>
    <w:lvl w:ilvl="0">
      <w:lvlJc w:val="left"/>
      <w:lvlText w:val="•"/>
      <w:numFmt w:val="bullet"/>
      <w:start w:val="1"/>
    </w:lvl>
  </w:abstractNum>
  <w:abstractNum w:abstractNumId="121">
    <w:nsid w:val="5451CF49"/>
    <w:multiLevelType w:val="hybridMultilevel"/>
    <w:lvl w:ilvl="0">
      <w:lvlJc w:val="left"/>
      <w:lvlText w:val="•"/>
      <w:numFmt w:val="bullet"/>
      <w:start w:val="1"/>
    </w:lvl>
  </w:abstractNum>
  <w:abstractNum w:abstractNumId="122">
    <w:nsid w:val="6181EF69"/>
    <w:multiLevelType w:val="hybridMultilevel"/>
    <w:lvl w:ilvl="0">
      <w:lvlJc w:val="left"/>
      <w:lvlText w:val="•"/>
      <w:numFmt w:val="bullet"/>
      <w:start w:val="1"/>
    </w:lvl>
  </w:abstractNum>
  <w:abstractNum w:abstractNumId="123">
    <w:nsid w:val="3E6400E6"/>
    <w:multiLevelType w:val="hybridMultilevel"/>
    <w:lvl w:ilvl="0">
      <w:lvlJc w:val="left"/>
      <w:lvlText w:val="•"/>
      <w:numFmt w:val="bullet"/>
      <w:start w:val="1"/>
    </w:lvl>
  </w:abstractNum>
  <w:abstractNum w:abstractNumId="124">
    <w:nsid w:val="14217E23"/>
    <w:multiLevelType w:val="hybridMultilevel"/>
    <w:lvl w:ilvl="0">
      <w:lvlJc w:val="left"/>
      <w:lvlText w:val="•"/>
      <w:numFmt w:val="bullet"/>
      <w:start w:val="1"/>
    </w:lvl>
  </w:abstractNum>
  <w:abstractNum w:abstractNumId="125">
    <w:nsid w:val="710757D0"/>
    <w:multiLevelType w:val="hybridMultilevel"/>
    <w:lvl w:ilvl="0">
      <w:lvlJc w:val="left"/>
      <w:lvlText w:val="•"/>
      <w:numFmt w:val="bullet"/>
      <w:start w:val="1"/>
    </w:lvl>
  </w:abstractNum>
  <w:abstractNum w:abstractNumId="126">
    <w:nsid w:val="5015CD1A"/>
    <w:multiLevelType w:val="hybridMultilevel"/>
    <w:lvl w:ilvl="0">
      <w:lvlJc w:val="left"/>
      <w:lvlText w:val="•"/>
      <w:numFmt w:val="bullet"/>
      <w:start w:val="1"/>
    </w:lvl>
  </w:abstractNum>
  <w:abstractNum w:abstractNumId="127">
    <w:nsid w:val="424479DA"/>
    <w:multiLevelType w:val="hybridMultilevel"/>
    <w:lvl w:ilvl="0">
      <w:lvlJc w:val="left"/>
      <w:lvlText w:val="•"/>
      <w:numFmt w:val="bullet"/>
      <w:start w:val="1"/>
    </w:lvl>
  </w:abstractNum>
  <w:abstractNum w:abstractNumId="128">
    <w:nsid w:val="1A9A9E69"/>
    <w:multiLevelType w:val="hybridMultilevel"/>
    <w:lvl w:ilvl="0">
      <w:lvlJc w:val="left"/>
      <w:lvlText w:val="•"/>
      <w:numFmt w:val="bullet"/>
      <w:start w:val="1"/>
    </w:lvl>
  </w:abstractNum>
  <w:abstractNum w:abstractNumId="129">
    <w:nsid w:val="475E256A"/>
    <w:multiLevelType w:val="hybridMultilevel"/>
    <w:lvl w:ilvl="0">
      <w:lvlJc w:val="left"/>
      <w:lvlText w:val="•"/>
      <w:numFmt w:val="bullet"/>
      <w:start w:val="1"/>
    </w:lvl>
  </w:abstractNum>
  <w:abstractNum w:abstractNumId="130">
    <w:nsid w:val="368DB37E"/>
    <w:multiLevelType w:val="hybridMultilevel"/>
    <w:lvl w:ilvl="0">
      <w:lvlJc w:val="left"/>
      <w:lvlText w:val="•"/>
      <w:numFmt w:val="bullet"/>
      <w:start w:val="1"/>
    </w:lvl>
  </w:abstractNum>
  <w:abstractNum w:abstractNumId="131">
    <w:nsid w:val="6A3B714C"/>
    <w:multiLevelType w:val="hybridMultilevel"/>
    <w:lvl w:ilvl="0">
      <w:lvlJc w:val="left"/>
      <w:lvlText w:val="•"/>
      <w:numFmt w:val="bullet"/>
      <w:start w:val="1"/>
    </w:lvl>
  </w:abstractNum>
  <w:abstractNum w:abstractNumId="132">
    <w:nsid w:val="327B517E"/>
    <w:multiLevelType w:val="hybridMultilevel"/>
    <w:lvl w:ilvl="0">
      <w:lvlJc w:val="left"/>
      <w:lvlText w:val="•"/>
      <w:numFmt w:val="bullet"/>
      <w:start w:val="1"/>
    </w:lvl>
  </w:abstractNum>
  <w:abstractNum w:abstractNumId="133">
    <w:nsid w:val="1F461B51"/>
    <w:multiLevelType w:val="hybridMultilevel"/>
    <w:lvl w:ilvl="0">
      <w:lvlJc w:val="left"/>
      <w:lvlText w:val="•"/>
      <w:numFmt w:val="bullet"/>
      <w:start w:val="1"/>
    </w:lvl>
  </w:abstractNum>
  <w:abstractNum w:abstractNumId="134">
    <w:nsid w:val="29BACF25"/>
    <w:multiLevelType w:val="hybridMultilevel"/>
    <w:lvl w:ilvl="0">
      <w:lvlJc w:val="left"/>
      <w:lvlText w:val="•"/>
      <w:numFmt w:val="bullet"/>
      <w:start w:val="1"/>
    </w:lvl>
  </w:abstractNum>
  <w:abstractNum w:abstractNumId="135">
    <w:nsid w:val="5D5BABB3"/>
    <w:multiLevelType w:val="hybridMultilevel"/>
    <w:lvl w:ilvl="0">
      <w:lvlJc w:val="left"/>
      <w:lvlText w:val="•"/>
      <w:numFmt w:val="bullet"/>
      <w:start w:val="1"/>
    </w:lvl>
  </w:abstractNum>
  <w:abstractNum w:abstractNumId="136">
    <w:nsid w:val="51BF6B48"/>
    <w:multiLevelType w:val="hybridMultilevel"/>
    <w:lvl w:ilvl="0">
      <w:lvlJc w:val="left"/>
      <w:lvlText w:val="•"/>
      <w:numFmt w:val="bullet"/>
      <w:start w:val="1"/>
    </w:lvl>
  </w:abstractNum>
  <w:abstractNum w:abstractNumId="137">
    <w:nsid w:val="7E0F6384"/>
    <w:multiLevelType w:val="hybridMultilevel"/>
    <w:lvl w:ilvl="0">
      <w:lvlJc w:val="left"/>
      <w:lvlText w:val="•"/>
      <w:numFmt w:val="bullet"/>
      <w:start w:val="1"/>
    </w:lvl>
  </w:abstractNum>
  <w:abstractNum w:abstractNumId="138">
    <w:nsid w:val="2B4B8B53"/>
    <w:multiLevelType w:val="hybridMultilevel"/>
    <w:lvl w:ilvl="0">
      <w:lvlJc w:val="left"/>
      <w:lvlText w:val="•"/>
      <w:numFmt w:val="bullet"/>
      <w:start w:val="1"/>
    </w:lvl>
  </w:abstractNum>
  <w:abstractNum w:abstractNumId="139">
    <w:nsid w:val="72E3413A"/>
    <w:multiLevelType w:val="hybridMultilevel"/>
    <w:lvl w:ilvl="0">
      <w:lvlJc w:val="left"/>
      <w:lvlText w:val="•"/>
      <w:numFmt w:val="bullet"/>
      <w:start w:val="1"/>
    </w:lvl>
  </w:abstractNum>
  <w:abstractNum w:abstractNumId="140">
    <w:nsid w:val="116AE494"/>
    <w:multiLevelType w:val="hybridMultilevel"/>
    <w:lvl w:ilvl="0">
      <w:lvlJc w:val="left"/>
      <w:lvlText w:val="•"/>
      <w:numFmt w:val="bullet"/>
      <w:start w:val="1"/>
    </w:lvl>
  </w:abstractNum>
  <w:abstractNum w:abstractNumId="141">
    <w:nsid w:val="3494B2FB"/>
    <w:multiLevelType w:val="hybridMultilevel"/>
    <w:lvl w:ilvl="0">
      <w:lvlJc w:val="left"/>
      <w:lvlText w:val="•"/>
      <w:numFmt w:val="bullet"/>
      <w:start w:val="1"/>
    </w:lvl>
    <w:lvl w:ilvl="1">
      <w:lvlJc w:val="left"/>
      <w:lvlText w:val="•"/>
      <w:numFmt w:val="bullet"/>
      <w:start w:val="1"/>
    </w:lvl>
  </w:abstractNum>
  <w:abstractNum w:abstractNumId="142">
    <w:nsid w:val="B13A31"/>
    <w:multiLevelType w:val="hybridMultilevel"/>
    <w:lvl w:ilvl="0">
      <w:lvlJc w:val="left"/>
      <w:lvlText w:val="•"/>
      <w:numFmt w:val="bullet"/>
      <w:start w:val="1"/>
    </w:lvl>
    <w:lvl w:ilvl="1">
      <w:lvlJc w:val="left"/>
      <w:lvlText w:val="•"/>
      <w:numFmt w:val="bullet"/>
      <w:start w:val="1"/>
    </w:lvl>
  </w:abstractNum>
  <w:abstractNum w:abstractNumId="143">
    <w:nsid w:val="64429599"/>
    <w:multiLevelType w:val="hybridMultilevel"/>
    <w:lvl w:ilvl="0">
      <w:lvlJc w:val="left"/>
      <w:lvlText w:val="•"/>
      <w:numFmt w:val="bullet"/>
      <w:start w:val="1"/>
    </w:lvl>
  </w:abstractNum>
  <w:abstractNum w:abstractNumId="144">
    <w:nsid w:val="631F1690"/>
    <w:multiLevelType w:val="hybridMultilevel"/>
    <w:lvl w:ilvl="0">
      <w:lvlJc w:val="left"/>
      <w:lvlText w:val="(%1)"/>
      <w:numFmt w:val="decimal"/>
      <w:start w:val="1"/>
    </w:lvl>
  </w:abstractNum>
  <w:abstractNum w:abstractNumId="145">
    <w:nsid w:val="25973E32"/>
    <w:multiLevelType w:val="hybridMultilevel"/>
    <w:lvl w:ilvl="0">
      <w:lvlJc w:val="left"/>
      <w:lvlText w:val="%1"/>
      <w:numFmt w:val="decimal"/>
      <w:start w:val="1"/>
    </w:lvl>
    <w:lvl w:ilvl="1">
      <w:lvlJc w:val="left"/>
      <w:lvlText w:val="(%2)"/>
      <w:numFmt w:val="lowerLetter"/>
      <w:start w:val="1"/>
    </w:lvl>
  </w:abstractNum>
  <w:abstractNum w:abstractNumId="146">
    <w:nsid w:val="EAD6F57"/>
    <w:multiLevelType w:val="hybridMultilevel"/>
    <w:lvl w:ilvl="0">
      <w:lvlJc w:val="left"/>
      <w:lvlText w:val="(%1)"/>
      <w:numFmt w:val="decimal"/>
      <w:start w:val="8"/>
    </w:lvl>
    <w:lvl w:ilvl="1">
      <w:lvlJc w:val="left"/>
      <w:lvlText w:val="%2"/>
      <w:numFmt w:val="lowerLetter"/>
      <w:start w:val="1"/>
    </w:lvl>
  </w:abstractNum>
  <w:abstractNum w:abstractNumId="147">
    <w:nsid w:val="6EC9D844"/>
    <w:multiLevelType w:val="hybridMultilevel"/>
    <w:lvl w:ilvl="0">
      <w:lvlJc w:val="left"/>
      <w:lvlText w:val="(%1)"/>
      <w:numFmt w:val="decimal"/>
      <w:start w:val="1"/>
    </w:lvl>
  </w:abstractNum>
  <w:abstractNum w:abstractNumId="148">
    <w:nsid w:val="5C49EAEE"/>
    <w:multiLevelType w:val="hybridMultilevel"/>
    <w:lvl w:ilvl="0">
      <w:lvlJc w:val="left"/>
      <w:lvlText w:val="(%1)"/>
      <w:numFmt w:val="decimal"/>
      <w:start w:val="8"/>
    </w:lvl>
  </w:abstractNum>
  <w:abstractNum w:abstractNumId="149">
    <w:nsid w:val="64AF49B"/>
    <w:multiLevelType w:val="hybridMultilevel"/>
    <w:lvl w:ilvl="0">
      <w:lvlJc w:val="left"/>
      <w:lvlText w:val="%1"/>
      <w:numFmt w:val="decimal"/>
      <w:start w:val="1"/>
    </w:lvl>
    <w:lvl w:ilvl="1">
      <w:lvlJc w:val="left"/>
      <w:lvlText w:val="(%2)"/>
      <w:numFmt w:val="lowerLetter"/>
      <w:start w:val="1"/>
    </w:lvl>
  </w:abstractNum>
  <w:abstractNum w:abstractNumId="150">
    <w:nsid w:val="397C46BC"/>
    <w:multiLevelType w:val="hybridMultilevel"/>
    <w:lvl w:ilvl="0">
      <w:lvlJc w:val="left"/>
      <w:lvlText w:val="(%1)"/>
      <w:numFmt w:val="decimal"/>
      <w:start w:val="9"/>
    </w:lvl>
    <w:lvl w:ilvl="1">
      <w:lvlJc w:val="left"/>
      <w:lvlText w:val="%2"/>
      <w:numFmt w:val="lowerLetter"/>
      <w:start w:val="1"/>
    </w:lvl>
  </w:abstractNum>
  <w:abstractNum w:abstractNumId="151">
    <w:nsid w:val="7E448DE9"/>
    <w:multiLevelType w:val="hybridMultilevel"/>
    <w:lvl w:ilvl="0">
      <w:lvlJc w:val="left"/>
      <w:lvlText w:val="•"/>
      <w:numFmt w:val="bullet"/>
      <w:start w:val="1"/>
    </w:lvl>
  </w:abstractNum>
  <w:abstractNum w:abstractNumId="152">
    <w:nsid w:val="5A9CC3E5"/>
    <w:multiLevelType w:val="hybridMultilevel"/>
    <w:lvl w:ilvl="0">
      <w:lvlJc w:val="left"/>
      <w:lvlText w:val="•"/>
      <w:numFmt w:val="bullet"/>
      <w:start w:val="1"/>
    </w:lvl>
  </w:abstractNum>
  <w:abstractNum w:abstractNumId="153">
    <w:nsid w:val="1AFE3625"/>
    <w:multiLevelType w:val="hybridMultilevel"/>
    <w:lvl w:ilvl="0">
      <w:lvlJc w:val="left"/>
      <w:lvlText w:val="•"/>
      <w:numFmt w:val="bullet"/>
      <w:start w:val="1"/>
    </w:lvl>
  </w:abstractNum>
  <w:abstractNum w:abstractNumId="154">
    <w:nsid w:val="3CA88ECF"/>
    <w:multiLevelType w:val="hybridMultilevel"/>
    <w:lvl w:ilvl="0">
      <w:lvlJc w:val="left"/>
      <w:lvlText w:val="(%1)"/>
      <w:numFmt w:val="lowerRoman"/>
      <w:start w:val="1"/>
    </w:lvl>
  </w:abstractNum>
  <w:abstractNum w:abstractNumId="155">
    <w:nsid w:val="6EBE4208"/>
    <w:multiLevelType w:val="hybridMultilevel"/>
    <w:lvl w:ilvl="0">
      <w:lvlJc w:val="left"/>
      <w:lvlText w:val="(%1)"/>
      <w:numFmt w:val="lowerRoman"/>
      <w:start w:val="1"/>
    </w:lvl>
  </w:abstractNum>
  <w:abstractNum w:abstractNumId="156">
    <w:nsid w:val="C058DF5"/>
    <w:multiLevelType w:val="hybridMultilevel"/>
    <w:lvl w:ilvl="0">
      <w:lvlJc w:val="left"/>
      <w:lvlText w:val="(%1)"/>
      <w:numFmt w:val="lowerRoman"/>
      <w:start w:val="2"/>
    </w:lvl>
  </w:abstractNum>
  <w:abstractNum w:abstractNumId="157">
    <w:nsid w:val="CBE5BE9"/>
    <w:multiLevelType w:val="hybridMultilevel"/>
    <w:lvl w:ilvl="0">
      <w:lvlJc w:val="left"/>
      <w:lvlText w:val="•"/>
      <w:numFmt w:val="bullet"/>
      <w:start w:val="1"/>
    </w:lvl>
  </w:abstractNum>
  <w:abstractNum w:abstractNumId="158">
    <w:nsid w:val="3102BBE2"/>
    <w:multiLevelType w:val="hybridMultilevel"/>
    <w:lvl w:ilvl="0">
      <w:lvlJc w:val="left"/>
      <w:lvlText w:val="(%1)"/>
      <w:numFmt w:val="decimal"/>
      <w:start w:val="1"/>
    </w:lvl>
  </w:abstractNum>
  <w:abstractNum w:abstractNumId="159">
    <w:nsid w:val="26A02C5E"/>
    <w:multiLevelType w:val="hybridMultilevel"/>
    <w:lvl w:ilvl="0">
      <w:lvlJc w:val="left"/>
      <w:lvlText w:val="(%1)"/>
      <w:numFmt w:val="decimal"/>
      <w:start w:val="1"/>
    </w:lvl>
  </w:abstractNum>
  <w:abstractNum w:abstractNumId="160">
    <w:nsid w:val="541C8153"/>
    <w:multiLevelType w:val="hybridMultilevel"/>
    <w:lvl w:ilvl="0">
      <w:lvlJc w:val="left"/>
      <w:lvlText w:val="(%1)"/>
      <w:numFmt w:val="decimal"/>
      <w:start w:val="1"/>
    </w:lvl>
  </w:abstractNum>
  <w:abstractNum w:abstractNumId="161">
    <w:nsid w:val="67906F60"/>
    <w:multiLevelType w:val="hybridMultilevel"/>
    <w:lvl w:ilvl="0">
      <w:lvlJc w:val="left"/>
      <w:lvlText w:val="(%1)"/>
      <w:numFmt w:val="decimal"/>
      <w:start w:val="1"/>
    </w:lvl>
  </w:abstractNum>
  <w:abstractNum w:abstractNumId="162">
    <w:nsid w:val="10DB9DAA"/>
    <w:multiLevelType w:val="hybridMultilevel"/>
    <w:lvl w:ilvl="0">
      <w:lvlJc w:val="left"/>
      <w:lvlText w:val="(%1)"/>
      <w:numFmt w:val="decimal"/>
      <w:start w:val="1"/>
    </w:lvl>
  </w:abstractNum>
  <w:abstractNum w:abstractNumId="163">
    <w:nsid w:val="697D2D2"/>
    <w:multiLevelType w:val="hybridMultilevel"/>
    <w:lvl w:ilvl="0">
      <w:lvlJc w:val="left"/>
      <w:lvlText w:val="•"/>
      <w:numFmt w:val="bullet"/>
      <w:start w:val="1"/>
    </w:lvl>
    <w:lvl w:ilvl="1">
      <w:lvlJc w:val="left"/>
      <w:lvlText w:val="•"/>
      <w:numFmt w:val="bullet"/>
      <w:start w:val="1"/>
    </w:lvl>
  </w:abstractNum>
  <w:abstractNum w:abstractNumId="164">
    <w:nsid w:val="6D68AB2"/>
    <w:multiLevelType w:val="hybridMultilevel"/>
    <w:lvl w:ilvl="0">
      <w:lvlJc w:val="left"/>
      <w:lvlText w:val="•"/>
      <w:numFmt w:val="bullet"/>
      <w:start w:val="1"/>
    </w:lvl>
  </w:abstractNum>
  <w:abstractNum w:abstractNumId="165">
    <w:nsid w:val="3A966CD0"/>
    <w:multiLevelType w:val="hybridMultilevel"/>
    <w:lvl w:ilvl="0">
      <w:lvlJc w:val="left"/>
      <w:lvlText w:val="•"/>
      <w:numFmt w:val="bullet"/>
      <w:start w:val="1"/>
    </w:lvl>
  </w:abstractNum>
  <w:abstractNum w:abstractNumId="166">
    <w:nsid w:val="63F37E85"/>
    <w:multiLevelType w:val="hybridMultilevel"/>
    <w:lvl w:ilvl="0">
      <w:lvlJc w:val="left"/>
      <w:lvlText w:val="•"/>
      <w:numFmt w:val="bullet"/>
      <w:start w:val="1"/>
    </w:lvl>
  </w:abstractNum>
  <w:abstractNum w:abstractNumId="167">
    <w:nsid w:val="5895F5FA"/>
    <w:multiLevelType w:val="hybridMultilevel"/>
    <w:lvl w:ilvl="0">
      <w:lvlJc w:val="left"/>
      <w:lvlText w:val="(%1)"/>
      <w:numFmt w:val="decimal"/>
      <w:start w:val="1"/>
    </w:lvl>
  </w:abstractNum>
  <w:abstractNum w:abstractNumId="168">
    <w:nsid w:val="38A5D054"/>
    <w:multiLevelType w:val="hybridMultilevel"/>
    <w:lvl w:ilvl="0">
      <w:lvlJc w:val="left"/>
      <w:lvlText w:val="(%1)"/>
      <w:numFmt w:val="decimal"/>
      <w:start w:val="1"/>
    </w:lvl>
  </w:abstractNum>
  <w:abstractNum w:abstractNumId="169">
    <w:nsid w:val="F3F09D8"/>
    <w:multiLevelType w:val="hybridMultilevel"/>
    <w:lvl w:ilvl="0">
      <w:lvlJc w:val="left"/>
      <w:lvlText w:val="(%1)"/>
      <w:numFmt w:val="decimal"/>
      <w:start w:val="1"/>
    </w:lvl>
  </w:abstractNum>
  <w:abstractNum w:abstractNumId="170">
    <w:nsid w:val="4B793735"/>
    <w:multiLevelType w:val="hybridMultilevel"/>
    <w:lvl w:ilvl="0">
      <w:lvlJc w:val="left"/>
      <w:lvlText w:val="(%1)"/>
      <w:numFmt w:val="decimal"/>
      <w:start w:val="1"/>
    </w:lvl>
  </w:abstractNum>
  <w:abstractNum w:abstractNumId="171">
    <w:nsid w:val="4A10B4E8"/>
    <w:multiLevelType w:val="hybridMultilevel"/>
    <w:lvl w:ilvl="0">
      <w:lvlJc w:val="left"/>
      <w:lvlText w:val="(%1)"/>
      <w:numFmt w:val="decimal"/>
      <w:start w:val="5"/>
    </w:lvl>
  </w:abstractNum>
  <w:abstractNum w:abstractNumId="172">
    <w:nsid w:val="43D3BCD4"/>
    <w:multiLevelType w:val="hybridMultilevel"/>
    <w:lvl w:ilvl="0">
      <w:lvlJc w:val="left"/>
      <w:lvlText w:val="(%1)"/>
      <w:numFmt w:val="decimal"/>
      <w:start w:val="1"/>
    </w:lvl>
  </w:abstractNum>
  <w:abstractNum w:abstractNumId="173">
    <w:nsid w:val="4C2A7166"/>
    <w:multiLevelType w:val="hybridMultilevel"/>
    <w:lvl w:ilvl="0">
      <w:lvlJc w:val="left"/>
      <w:lvlText w:val="(%1)"/>
      <w:numFmt w:val="decimal"/>
      <w:start w:val="1"/>
    </w:lvl>
  </w:abstractNum>
  <w:abstractNum w:abstractNumId="174">
    <w:nsid w:val="2E534A82"/>
    <w:multiLevelType w:val="hybridMultilevel"/>
    <w:lvl w:ilvl="0">
      <w:lvlJc w:val="left"/>
      <w:lvlText w:val="%1"/>
      <w:numFmt w:val="decimal"/>
      <w:start w:val="1"/>
    </w:lvl>
    <w:lvl w:ilvl="1">
      <w:lvlJc w:val="left"/>
      <w:lvlText w:val="(%2)"/>
      <w:numFmt w:val="lowerLetter"/>
      <w:start w:val="1"/>
    </w:lvl>
  </w:abstractNum>
  <w:abstractNum w:abstractNumId="175">
    <w:nsid w:val="26F2D364"/>
    <w:multiLevelType w:val="hybridMultilevel"/>
    <w:lvl w:ilvl="0">
      <w:lvlJc w:val="left"/>
      <w:lvlText w:val="(%1)"/>
      <w:numFmt w:val="decimal"/>
      <w:start w:val="8"/>
    </w:lvl>
    <w:lvl w:ilvl="1">
      <w:lvlJc w:val="left"/>
      <w:lvlText w:val="%2"/>
      <w:numFmt w:val="lowerLetter"/>
      <w:start w:val="1"/>
    </w:lvl>
  </w:abstractNum>
  <w:abstractNum w:abstractNumId="176">
    <w:nsid w:val="71C1AF98"/>
    <w:multiLevelType w:val="hybridMultilevel"/>
    <w:lvl w:ilvl="0">
      <w:lvlJc w:val="left"/>
      <w:lvlText w:val="(%1)"/>
      <w:numFmt w:val="decimal"/>
      <w:start w:val="1"/>
    </w:lvl>
  </w:abstractNum>
  <w:abstractNum w:abstractNumId="177">
    <w:nsid w:val="3D00B9D9"/>
    <w:multiLevelType w:val="hybridMultilevel"/>
    <w:lvl w:ilvl="0">
      <w:lvlJc w:val="left"/>
      <w:lvlText w:val="%1"/>
      <w:numFmt w:val="decimal"/>
      <w:start w:val="1"/>
    </w:lvl>
    <w:lvl w:ilvl="1">
      <w:lvlJc w:val="left"/>
      <w:lvlText w:val="(%2)"/>
      <w:numFmt w:val="lowerLetter"/>
      <w:start w:val="1"/>
    </w:lvl>
  </w:abstractNum>
  <w:abstractNum w:abstractNumId="178">
    <w:nsid w:val="15BCABA8"/>
    <w:multiLevelType w:val="hybridMultilevel"/>
    <w:lvl w:ilvl="0">
      <w:lvlJc w:val="left"/>
      <w:lvlText w:val="(%1)"/>
      <w:numFmt w:val="decimal"/>
      <w:start w:val="8"/>
    </w:lvl>
    <w:lvl w:ilvl="1">
      <w:lvlJc w:val="left"/>
      <w:lvlText w:val="%2"/>
      <w:numFmt w:val="lowerLetter"/>
      <w:start w:val="1"/>
    </w:lvl>
  </w:abstractNum>
  <w:abstractNum w:abstractNumId="179">
    <w:nsid w:val="4E0B9A87"/>
    <w:multiLevelType w:val="hybridMultilevel"/>
    <w:lvl w:ilvl="0">
      <w:lvlJc w:val="left"/>
      <w:lvlText w:val="•"/>
      <w:numFmt w:val="bullet"/>
      <w:start w:val="1"/>
    </w:lvl>
  </w:abstractNum>
  <w:abstractNum w:abstractNumId="180">
    <w:nsid w:val="434BAE75"/>
    <w:multiLevelType w:val="hybridMultilevel"/>
    <w:lvl w:ilvl="0">
      <w:lvlJc w:val="left"/>
      <w:lvlText w:val="•"/>
      <w:numFmt w:val="bullet"/>
      <w:start w:val="1"/>
    </w:lvl>
  </w:abstractNum>
  <w:abstractNum w:abstractNumId="181">
    <w:nsid w:val="4F38F265"/>
    <w:multiLevelType w:val="hybridMultilevel"/>
    <w:lvl w:ilvl="0">
      <w:lvlJc w:val="left"/>
      <w:lvlText w:val="•"/>
      <w:numFmt w:val="bullet"/>
      <w:start w:val="1"/>
    </w:lvl>
  </w:abstractNum>
  <w:abstractNum w:abstractNumId="182">
    <w:nsid w:val="4C502870"/>
    <w:multiLevelType w:val="hybridMultilevel"/>
    <w:lvl w:ilvl="0">
      <w:lvlJc w:val="left"/>
      <w:lvlText w:val="(%1)"/>
      <w:numFmt w:val="lowerRoman"/>
      <w:start w:val="1"/>
    </w:lvl>
  </w:abstractNum>
  <w:abstractNum w:abstractNumId="183">
    <w:nsid w:val="1DE8725A"/>
    <w:multiLevelType w:val="hybridMultilevel"/>
    <w:lvl w:ilvl="0">
      <w:lvlJc w:val="left"/>
      <w:lvlText w:val="(%1)"/>
      <w:numFmt w:val="lowerRoman"/>
      <w:start w:val="2"/>
    </w:lvl>
  </w:abstractNum>
  <w:abstractNum w:abstractNumId="184">
    <w:nsid w:val="6A37288A"/>
    <w:multiLevelType w:val="hybridMultilevel"/>
    <w:lvl w:ilvl="0">
      <w:lvlJc w:val="left"/>
      <w:lvlText w:val="(%1)"/>
      <w:numFmt w:val="decimal"/>
      <w:start w:val="1"/>
    </w:lvl>
  </w:abstractNum>
  <w:abstractNum w:abstractNumId="185">
    <w:nsid w:val="8F8B73F"/>
    <w:multiLevelType w:val="hybridMultilevel"/>
    <w:lvl w:ilvl="0">
      <w:lvlJc w:val="left"/>
      <w:lvlText w:val="(%1)"/>
      <w:numFmt w:val="decimal"/>
      <w:start w:val="1"/>
    </w:lvl>
  </w:abstractNum>
  <w:abstractNum w:abstractNumId="186">
    <w:nsid w:val="CA6B462"/>
    <w:multiLevelType w:val="hybridMultilevel"/>
    <w:lvl w:ilvl="0">
      <w:lvlJc w:val="left"/>
      <w:lvlText w:val="(%1)"/>
      <w:numFmt w:val="decimal"/>
      <w:start w:val="1"/>
    </w:lvl>
  </w:abstractNum>
  <w:abstractNum w:abstractNumId="187">
    <w:nsid w:val="763CB680"/>
    <w:multiLevelType w:val="hybridMultilevel"/>
    <w:lvl w:ilvl="0">
      <w:lvlJc w:val="left"/>
      <w:lvlText w:val="(%1)"/>
      <w:numFmt w:val="decimal"/>
      <w:start w:val="1"/>
    </w:lvl>
  </w:abstractNum>
  <w:abstractNum w:abstractNumId="188">
    <w:nsid w:val="15B71329"/>
    <w:multiLevelType w:val="hybridMultilevel"/>
    <w:lvl w:ilvl="0">
      <w:lvlJc w:val="left"/>
      <w:lvlText w:val="(%1)"/>
      <w:numFmt w:val="decimal"/>
      <w:start w:val="1"/>
    </w:lvl>
  </w:abstractNum>
  <w:abstractNum w:abstractNumId="189">
    <w:nsid w:val="3DA97044"/>
    <w:multiLevelType w:val="hybridMultilevel"/>
    <w:lvl w:ilvl="0">
      <w:lvlJc w:val="left"/>
      <w:lvlText w:val="(%1)"/>
      <w:numFmt w:val="decimal"/>
      <w:start w:val="1"/>
    </w:lvl>
  </w:abstractNum>
  <w:abstractNum w:abstractNumId="190">
    <w:nsid w:val="1CDCE2DE"/>
    <w:multiLevelType w:val="hybridMultilevel"/>
    <w:lvl w:ilvl="0">
      <w:lvlJc w:val="left"/>
      <w:lvlText w:val="(%1)"/>
      <w:numFmt w:val="decimal"/>
      <w:start w:val="1"/>
    </w:lvl>
  </w:abstractNum>
  <w:abstractNum w:abstractNumId="191">
    <w:nsid w:val="69D3947C"/>
    <w:multiLevelType w:val="hybridMultilevel"/>
    <w:lvl w:ilvl="0">
      <w:lvlJc w:val="left"/>
      <w:lvlText w:val="•"/>
      <w:numFmt w:val="bullet"/>
      <w:start w:val="1"/>
    </w:lvl>
  </w:abstractNum>
  <w:abstractNum w:abstractNumId="192">
    <w:nsid w:val="2539DFA5"/>
    <w:multiLevelType w:val="hybridMultilevel"/>
    <w:lvl w:ilvl="0">
      <w:lvlJc w:val="left"/>
      <w:lvlText w:val="•"/>
      <w:numFmt w:val="bullet"/>
      <w:start w:val="1"/>
    </w:lvl>
  </w:abstractNum>
  <w:abstractNum w:abstractNumId="193">
    <w:nsid w:val="2DB88089"/>
    <w:multiLevelType w:val="hybridMultilevel"/>
    <w:lvl w:ilvl="0">
      <w:lvlJc w:val="left"/>
      <w:lvlText w:val="•"/>
      <w:numFmt w:val="bullet"/>
      <w:start w:val="1"/>
    </w:lvl>
  </w:abstractNum>
  <w:abstractNum w:abstractNumId="194">
    <w:nsid w:val="706B674E"/>
    <w:multiLevelType w:val="hybridMultilevel"/>
    <w:lvl w:ilvl="0">
      <w:lvlJc w:val="left"/>
      <w:lvlText w:val="•"/>
      <w:numFmt w:val="bullet"/>
      <w:start w:val="1"/>
    </w:lvl>
  </w:abstractNum>
  <w:abstractNum w:abstractNumId="195">
    <w:nsid w:val="2C106A57"/>
    <w:multiLevelType w:val="hybridMultilevel"/>
    <w:lvl w:ilvl="0">
      <w:lvlJc w:val="left"/>
      <w:lvlText w:val="•"/>
      <w:numFmt w:val="bullet"/>
      <w:start w:val="1"/>
    </w:lvl>
  </w:abstractNum>
  <w:abstractNum w:abstractNumId="196">
    <w:nsid w:val="684EED59"/>
    <w:multiLevelType w:val="hybridMultilevel"/>
    <w:lvl w:ilvl="0">
      <w:lvlJc w:val="left"/>
      <w:lvlText w:val="(%1)"/>
      <w:numFmt w:val="decimal"/>
      <w:start w:val="1"/>
    </w:lvl>
  </w:abstractNum>
  <w:abstractNum w:abstractNumId="197">
    <w:nsid w:val="545EE5D3"/>
    <w:multiLevelType w:val="hybridMultilevel"/>
    <w:lvl w:ilvl="0">
      <w:lvlJc w:val="left"/>
      <w:lvlText w:val="(%1)"/>
      <w:numFmt w:val="decimal"/>
      <w:start w:val="1"/>
    </w:lvl>
  </w:abstractNum>
  <w:abstractNum w:abstractNumId="198">
    <w:nsid w:val="4A66051"/>
    <w:multiLevelType w:val="hybridMultilevel"/>
    <w:lvl w:ilvl="0">
      <w:lvlJc w:val="left"/>
      <w:lvlText w:val="(%1)"/>
      <w:numFmt w:val="decimal"/>
      <w:start w:val="1"/>
    </w:lvl>
  </w:abstractNum>
  <w:abstractNum w:abstractNumId="199">
    <w:nsid w:val="20F4BDAD"/>
    <w:multiLevelType w:val="hybridMultilevel"/>
    <w:lvl w:ilvl="0">
      <w:lvlJc w:val="left"/>
      <w:lvlText w:val="(%1)"/>
      <w:numFmt w:val="lowerLetter"/>
      <w:start w:val="2"/>
    </w:lvl>
  </w:abstractNum>
  <w:abstractNum w:abstractNumId="200">
    <w:nsid w:val="639DEFAC"/>
    <w:multiLevelType w:val="hybridMultilevel"/>
    <w:lvl w:ilvl="0">
      <w:lvlJc w:val="left"/>
      <w:lvlText w:val="(%1)"/>
      <w:numFmt w:val="lowerLetter"/>
      <w:start w:val="5"/>
    </w:lvl>
  </w:abstractNum>
  <w:abstractNum w:abstractNumId="201">
    <w:nsid w:val="501F9786"/>
    <w:multiLevelType w:val="hybridMultilevel"/>
    <w:lvl w:ilvl="0">
      <w:lvlJc w:val="left"/>
      <w:lvlText w:val="(%1)"/>
      <w:numFmt w:val="lowerLetter"/>
      <w:start w:val="9"/>
    </w:lvl>
  </w:abstractNum>
  <w:abstractNum w:abstractNumId="202">
    <w:nsid w:val="6B057295"/>
    <w:multiLevelType w:val="hybridMultilevel"/>
    <w:lvl w:ilvl="0">
      <w:lvlJc w:val="left"/>
      <w:lvlText w:val="(%1)"/>
      <w:numFmt w:val="lowerLetter"/>
      <w:start w:val="12"/>
    </w:lvl>
  </w:abstractNum>
  <w:abstractNum w:abstractNumId="203">
    <w:nsid w:val="2771AC80"/>
    <w:multiLevelType w:val="hybridMultilevel"/>
    <w:lvl w:ilvl="0">
      <w:lvlJc w:val="left"/>
      <w:lvlText w:val="(%1)"/>
      <w:numFmt w:val="lowerLetter"/>
      <w:start w:val="15"/>
    </w:lvl>
  </w:abstractNum>
  <w:abstractNum w:abstractNumId="204">
    <w:nsid w:val="1C4A08EC"/>
    <w:multiLevelType w:val="hybridMultilevel"/>
    <w:lvl w:ilvl="0">
      <w:lvlJc w:val="left"/>
      <w:lvlText w:val="(%1)"/>
      <w:numFmt w:val="decimal"/>
      <w:start w:val="1"/>
    </w:lvl>
  </w:abstractNum>
  <w:abstractNum w:abstractNumId="205">
    <w:nsid w:val="1958BD17"/>
    <w:multiLevelType w:val="hybridMultilevel"/>
    <w:lvl w:ilvl="0">
      <w:lvlJc w:val="left"/>
      <w:lvlText w:val="*"/>
      <w:numFmt w:val="bullet"/>
      <w:start w:val="1"/>
    </w:lvl>
  </w:abstractNum>
  <w:abstractNum w:abstractNumId="206">
    <w:nsid w:val="4E647FE4"/>
    <w:multiLevelType w:val="hybridMultilevel"/>
    <w:lvl w:ilvl="0">
      <w:lvlJc w:val="left"/>
      <w:lvlText w:val="(%1)"/>
      <w:numFmt w:val="decimal"/>
      <w:start w:val="1"/>
    </w:lvl>
  </w:abstractNum>
  <w:abstractNum w:abstractNumId="207">
    <w:nsid w:val="E0BB8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8">
    <w:nsid w:val="565976F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9">
    <w:nsid w:val="64212B8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0">
    <w:nsid w:val="5C17530C"/>
    <w:multiLevelType w:val="hybridMultilevel"/>
    <w:lvl w:ilvl="0">
      <w:lvlJc w:val="left"/>
      <w:lvlText w:val="(%1)"/>
      <w:numFmt w:val="lowerLetter"/>
      <w:start w:val="1"/>
    </w:lvl>
  </w:abstractNum>
  <w:abstractNum w:abstractNumId="211">
    <w:nsid w:val="19A52566"/>
    <w:multiLevelType w:val="hybridMultilevel"/>
    <w:lvl w:ilvl="0">
      <w:lvlJc w:val="left"/>
      <w:lvlText w:val="%1."/>
      <w:numFmt w:val="decimal"/>
      <w:start w:val="1"/>
    </w:lvl>
  </w:abstractNum>
  <w:abstractNum w:abstractNumId="212">
    <w:nsid w:val="335A1DF1"/>
    <w:multiLevelType w:val="hybridMultilevel"/>
    <w:lvl w:ilvl="0">
      <w:lvlJc w:val="left"/>
      <w:lvlText w:val="%1."/>
      <w:numFmt w:val="decimal"/>
      <w:start w:val="1"/>
    </w:lvl>
  </w:abstractNum>
  <w:abstractNum w:abstractNumId="213">
    <w:nsid w:val="28677B7C"/>
    <w:multiLevelType w:val="hybridMultilevel"/>
    <w:lvl w:ilvl="0">
      <w:lvlJc w:val="left"/>
      <w:lvlText w:val="%1."/>
      <w:numFmt w:val="decimal"/>
      <w:start w:val="2"/>
    </w:lvl>
  </w:abstractNum>
  <w:abstractNum w:abstractNumId="214">
    <w:nsid w:val="378D97C0"/>
    <w:multiLevelType w:val="hybridMultilevel"/>
    <w:lvl w:ilvl="0">
      <w:lvlJc w:val="left"/>
      <w:lvlText w:val="%1."/>
      <w:numFmt w:val="decimal"/>
      <w:start w:val="3"/>
    </w:lvl>
  </w:abstractNum>
  <w:abstractNum w:abstractNumId="215">
    <w:nsid w:val="1D91467C"/>
    <w:multiLevelType w:val="hybridMultilevel"/>
    <w:lvl w:ilvl="0">
      <w:lvlJc w:val="left"/>
      <w:lvlText w:val="%1."/>
      <w:numFmt w:val="decimal"/>
      <w:start w:val="4"/>
    </w:lvl>
  </w:abstractNum>
  <w:abstractNum w:abstractNumId="216">
    <w:nsid w:val="316032BB"/>
    <w:multiLevelType w:val="hybridMultilevel"/>
    <w:lvl w:ilvl="0">
      <w:lvlJc w:val="left"/>
      <w:lvlText w:val="%1."/>
      <w:numFmt w:val="decimal"/>
      <w:start w:val="5"/>
    </w:lvl>
  </w:abstractNum>
  <w:abstractNum w:abstractNumId="217">
    <w:nsid w:val="44344C22"/>
    <w:multiLevelType w:val="hybridMultilevel"/>
    <w:lvl w:ilvl="0">
      <w:lvlJc w:val="left"/>
      <w:lvlText w:val="%1."/>
      <w:numFmt w:val="decimal"/>
      <w:start w:val="6"/>
    </w:lvl>
  </w:abstractNum>
  <w:abstractNum w:abstractNumId="218">
    <w:nsid w:val="13CDFCFC"/>
    <w:multiLevelType w:val="hybridMultilevel"/>
    <w:lvl w:ilvl="0">
      <w:lvlJc w:val="left"/>
      <w:lvlText w:val="%1."/>
      <w:numFmt w:val="decimal"/>
      <w:start w:val="7"/>
    </w:lvl>
  </w:abstractNum>
  <w:abstractNum w:abstractNumId="219">
    <w:nsid w:val="471745E4"/>
    <w:multiLevelType w:val="hybridMultilevel"/>
    <w:lvl w:ilvl="0">
      <w:lvlJc w:val="left"/>
      <w:lvlText w:val="%1."/>
      <w:numFmt w:val="decimal"/>
      <w:start w:val="8"/>
    </w:lvl>
  </w:abstractNum>
  <w:abstractNum w:abstractNumId="220">
    <w:nsid w:val="1DDBC66"/>
    <w:multiLevelType w:val="hybridMultilevel"/>
    <w:lvl w:ilvl="0">
      <w:lvlJc w:val="left"/>
      <w:lvlText w:val="%1."/>
      <w:numFmt w:val="decimal"/>
      <w:start w:val="9"/>
    </w:lvl>
  </w:abstractNum>
  <w:abstractNum w:abstractNumId="221">
    <w:nsid w:val="30AADFDA"/>
    <w:multiLevelType w:val="hybridMultilevel"/>
    <w:lvl w:ilvl="0">
      <w:lvlJc w:val="left"/>
      <w:lvlText w:val="%1."/>
      <w:numFmt w:val="decimal"/>
      <w:start w:val="10"/>
    </w:lvl>
  </w:abstractNum>
  <w:abstractNum w:abstractNumId="222">
    <w:nsid w:val="30EADA61"/>
    <w:multiLevelType w:val="hybridMultilevel"/>
    <w:lvl w:ilvl="0">
      <w:lvlJc w:val="left"/>
      <w:lvlText w:val="%1."/>
      <w:numFmt w:val="decimal"/>
      <w:start w:val="11"/>
    </w:lvl>
  </w:abstractNum>
  <w:abstractNum w:abstractNumId="223">
    <w:nsid w:val="27179C0B"/>
    <w:multiLevelType w:val="hybridMultilevel"/>
    <w:lvl w:ilvl="0">
      <w:lvlJc w:val="left"/>
      <w:lvlText w:val="%1."/>
      <w:numFmt w:val="decimal"/>
      <w:start w:val="12"/>
    </w:lvl>
  </w:abstractNum>
  <w:abstractNum w:abstractNumId="224">
    <w:nsid w:val="5E636063"/>
    <w:multiLevelType w:val="hybridMultilevel"/>
    <w:lvl w:ilvl="0">
      <w:lvlJc w:val="left"/>
      <w:lvlText w:val="%1."/>
      <w:numFmt w:val="decimal"/>
      <w:start w:val="13"/>
    </w:lvl>
  </w:abstractNum>
  <w:abstractNum w:abstractNumId="225">
    <w:nsid w:val="215641AF"/>
    <w:multiLevelType w:val="hybridMultilevel"/>
    <w:lvl w:ilvl="0">
      <w:lvlJc w:val="left"/>
      <w:lvlText w:val="%1."/>
      <w:numFmt w:val="decimal"/>
      <w:start w:val="14"/>
    </w:lvl>
  </w:abstractNum>
  <w:abstractNum w:abstractNumId="226">
    <w:nsid w:val="53280662"/>
    <w:multiLevelType w:val="hybridMultilevel"/>
    <w:lvl w:ilvl="0">
      <w:lvlJc w:val="left"/>
      <w:lvlText w:val="%1."/>
      <w:numFmt w:val="decimal"/>
      <w:start w:val="15"/>
    </w:lvl>
  </w:abstractNum>
  <w:abstractNum w:abstractNumId="227">
    <w:nsid w:val="46B24DBC"/>
    <w:multiLevelType w:val="hybridMultilevel"/>
    <w:lvl w:ilvl="0">
      <w:lvlJc w:val="left"/>
      <w:lvlText w:val="%1."/>
      <w:numFmt w:val="decimal"/>
      <w:start w:val="16"/>
    </w:lvl>
    <w:lvl w:ilvl="1">
      <w:lvlJc w:val="left"/>
      <w:lvlText w:val="•"/>
      <w:numFmt w:val="bullet"/>
      <w:start w:val="1"/>
    </w:lvl>
  </w:abstractNum>
  <w:abstractNum w:abstractNumId="228">
    <w:nsid w:val="75B52783"/>
    <w:multiLevelType w:val="hybridMultilevel"/>
    <w:lvl w:ilvl="0">
      <w:lvlJc w:val="left"/>
      <w:lvlText w:val="•"/>
      <w:numFmt w:val="bullet"/>
      <w:start w:val="1"/>
    </w:lvl>
  </w:abstractNum>
  <w:abstractNum w:abstractNumId="229">
    <w:nsid w:val="57CE66B4"/>
    <w:multiLevelType w:val="hybridMultilevel"/>
    <w:lvl w:ilvl="0">
      <w:lvlJc w:val="left"/>
      <w:lvlText w:val="•"/>
      <w:numFmt w:val="bullet"/>
      <w:start w:val="1"/>
    </w:lvl>
  </w:abstractNum>
  <w:abstractNum w:abstractNumId="230">
    <w:nsid w:val="67A70B6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2019-12-08T20:03:49Z</dcterms:created>
  <dcterms:modified xsi:type="dcterms:W3CDTF">2019-12-08T20:03:49Z</dcterms:modified>
</cp:coreProperties>
</file>