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187960</wp:posOffset>
            </wp:positionH>
            <wp:positionV relativeFrom="page">
              <wp:posOffset>274955</wp:posOffset>
            </wp:positionV>
            <wp:extent cx="717359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287020</wp:posOffset>
            </wp:positionV>
            <wp:extent cx="71735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3595" cy="5715"/>
                    </a:xfrm>
                    <a:prstGeom prst="rect">
                      <a:avLst/>
                    </a:prstGeom>
                    <a:noFill/>
                  </pic:spPr>
                </pic:pic>
              </a:graphicData>
            </a:graphic>
          </wp:anchor>
        </w:drawing>
        <w:t>UNITED STATES</w:t>
      </w:r>
    </w:p>
    <w:p>
      <w:pPr>
        <w:spacing w:after="0" w:line="28" w:lineRule="exact"/>
        <w:rPr>
          <w:sz w:val="24"/>
          <w:szCs w:val="24"/>
          <w:color w:val="auto"/>
        </w:rPr>
      </w:pPr>
    </w:p>
    <w:p>
      <w:pPr>
        <w:jc w:val="center"/>
        <w:ind w:right="16"/>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41910</wp:posOffset>
            </wp:positionV>
            <wp:extent cx="14344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81" w:lineRule="exact"/>
        <w:rPr>
          <w:sz w:val="24"/>
          <w:szCs w:val="24"/>
          <w:color w:val="auto"/>
        </w:rPr>
      </w:pPr>
    </w:p>
    <w:p>
      <w:pPr>
        <w:jc w:val="center"/>
        <w:ind w:right="16"/>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66040</wp:posOffset>
            </wp:positionV>
            <wp:extent cx="14344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128" w:lineRule="exact"/>
        <w:rPr>
          <w:sz w:val="24"/>
          <w:szCs w:val="24"/>
          <w:color w:val="auto"/>
        </w:rPr>
      </w:pPr>
    </w:p>
    <w:p>
      <w:pPr>
        <w:ind w:left="4"/>
        <w:spacing w:after="0"/>
        <w:rPr>
          <w:sz w:val="20"/>
          <w:szCs w:val="20"/>
          <w:color w:val="auto"/>
        </w:rPr>
      </w:pPr>
      <w:r>
        <w:rPr>
          <w:rFonts w:ascii="Arial" w:cs="Arial" w:eastAsia="Arial" w:hAnsi="Arial"/>
          <w:sz w:val="13"/>
          <w:szCs w:val="13"/>
          <w:b w:val="1"/>
          <w:bCs w:val="1"/>
          <w:color w:val="auto"/>
        </w:rPr>
        <w:t>(Mark One)</w:t>
      </w:r>
    </w:p>
    <w:p>
      <w:pPr>
        <w:spacing w:after="0" w:line="12" w:lineRule="exact"/>
        <w:rPr>
          <w:sz w:val="24"/>
          <w:szCs w:val="24"/>
          <w:color w:val="auto"/>
        </w:rPr>
      </w:pPr>
    </w:p>
    <w:p>
      <w:pPr>
        <w:ind w:left="504" w:hanging="504"/>
        <w:spacing w:after="0"/>
        <w:tabs>
          <w:tab w:leader="none" w:pos="504"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55"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For the quarterly period ended March 31, 2022</w:t>
      </w:r>
    </w:p>
    <w:p>
      <w:pPr>
        <w:spacing w:after="0" w:line="58"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OR</w:t>
      </w:r>
    </w:p>
    <w:p>
      <w:pPr>
        <w:spacing w:after="0" w:line="43" w:lineRule="exact"/>
        <w:rPr>
          <w:sz w:val="24"/>
          <w:szCs w:val="24"/>
          <w:color w:val="auto"/>
        </w:rPr>
      </w:pPr>
    </w:p>
    <w:p>
      <w:pPr>
        <w:ind w:left="504" w:hanging="504"/>
        <w:spacing w:after="0"/>
        <w:tabs>
          <w:tab w:leader="none" w:pos="504"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304"/>
          </w:cols>
          <w:pgMar w:left="296" w:top="496" w:right="299" w:bottom="1440" w:gutter="0" w:footer="0" w:header="0"/>
        </w:sectPr>
      </w:pPr>
    </w:p>
    <w:p>
      <w:pPr>
        <w:spacing w:after="0" w:line="60" w:lineRule="exact"/>
        <w:rPr>
          <w:sz w:val="24"/>
          <w:szCs w:val="24"/>
          <w:color w:val="auto"/>
        </w:rPr>
      </w:pPr>
    </w:p>
    <w:p>
      <w:pPr>
        <w:ind w:left="4124"/>
        <w:spacing w:after="0"/>
        <w:rPr>
          <w:sz w:val="20"/>
          <w:szCs w:val="20"/>
          <w:color w:val="auto"/>
        </w:rPr>
      </w:pPr>
      <w:r>
        <w:rPr>
          <w:rFonts w:ascii="Arial" w:cs="Arial" w:eastAsia="Arial" w:hAnsi="Arial"/>
          <w:sz w:val="11"/>
          <w:szCs w:val="11"/>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61" w:lineRule="exact"/>
        <w:rPr>
          <w:sz w:val="24"/>
          <w:szCs w:val="24"/>
          <w:color w:val="auto"/>
        </w:rPr>
      </w:pPr>
    </w:p>
    <w:p>
      <w:pPr>
        <w:sectPr>
          <w:pgSz w:w="11900" w:h="16838" w:orient="portrait"/>
          <w:cols w:equalWidth="0" w:num="2">
            <w:col w:w="5744" w:space="660"/>
            <w:col w:w="4900"/>
          </w:cols>
          <w:pgMar w:left="296" w:top="496" w:right="299" w:bottom="1440" w:gutter="0" w:footer="0" w:header="0"/>
          <w:type w:val="continuous"/>
        </w:sectPr>
      </w:pPr>
    </w:p>
    <w:p>
      <w:pPr>
        <w:jc w:val="center"/>
        <w:ind w:right="16"/>
        <w:spacing w:after="0"/>
        <w:rPr>
          <w:sz w:val="20"/>
          <w:szCs w:val="20"/>
          <w:color w:val="auto"/>
        </w:rPr>
      </w:pPr>
      <w:r>
        <w:rPr>
          <w:rFonts w:ascii="Arial" w:cs="Arial" w:eastAsia="Arial" w:hAnsi="Arial"/>
          <w:sz w:val="11"/>
          <w:szCs w:val="11"/>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71755</wp:posOffset>
            </wp:positionV>
            <wp:extent cx="143446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ectPr>
          <w:pgSz w:w="11900" w:h="16838" w:orient="portrait"/>
          <w:cols w:equalWidth="0" w:num="1">
            <w:col w:w="11304"/>
          </w:cols>
          <w:pgMar w:left="296" w:top="496" w:right="299" w:bottom="1440" w:gutter="0" w:footer="0" w:header="0"/>
          <w:type w:val="continuous"/>
        </w:sectPr>
      </w:pPr>
    </w:p>
    <w:p>
      <w:pPr>
        <w:spacing w:after="0" w:line="137" w:lineRule="exact"/>
        <w:rPr>
          <w:sz w:val="24"/>
          <w:szCs w:val="24"/>
          <w:color w:val="auto"/>
        </w:rPr>
      </w:pPr>
    </w:p>
    <w:tbl>
      <w:tblPr>
        <w:tblLayout w:type="fixed"/>
        <w:tblInd w:w="14" w:type="dxa"/>
        <w:tblCellMar>
          <w:top w:w="0" w:type="dxa"/>
          <w:left w:w="0" w:type="dxa"/>
          <w:bottom w:w="0" w:type="dxa"/>
          <w:right w:w="0" w:type="dxa"/>
        </w:tblCellMar>
      </w:tblPr>
      <w:tr>
        <w:trPr>
          <w:trHeight w:val="332"/>
        </w:trPr>
        <w:tc>
          <w:tcPr>
            <w:tcW w:w="7900" w:type="dxa"/>
            <w:vAlign w:val="bottom"/>
            <w:gridSpan w:val="6"/>
          </w:tcPr>
          <w:p>
            <w:pPr>
              <w:jc w:val="center"/>
              <w:ind w:left="3337"/>
              <w:spacing w:after="0"/>
              <w:rPr>
                <w:sz w:val="20"/>
                <w:szCs w:val="20"/>
                <w:color w:val="auto"/>
              </w:rPr>
            </w:pPr>
            <w:r>
              <w:rPr>
                <w:rFonts w:ascii="Arial" w:cs="Arial" w:eastAsia="Arial" w:hAnsi="Arial"/>
                <w:sz w:val="28"/>
                <w:szCs w:val="28"/>
                <w:b w:val="1"/>
                <w:bCs w:val="1"/>
                <w:color w:val="auto"/>
                <w:w w:val="89"/>
              </w:rPr>
              <w:t>Sixth Street Specialty Lending, Inc.</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6"/>
              </w:rPr>
              <w:t>(Exact name of registrant as specified in its charter)</w:t>
            </w: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3820" w:type="dxa"/>
            <w:vAlign w:val="bottom"/>
            <w:gridSpan w:val="2"/>
            <w:vMerge w:val="restart"/>
          </w:tcPr>
          <w:p>
            <w:pPr>
              <w:jc w:val="center"/>
              <w:ind w:left="1757"/>
              <w:spacing w:after="0"/>
              <w:rPr>
                <w:sz w:val="20"/>
                <w:szCs w:val="20"/>
                <w:color w:val="auto"/>
              </w:rPr>
            </w:pPr>
            <w:r>
              <w:rPr>
                <w:rFonts w:ascii="Arial" w:cs="Arial" w:eastAsia="Arial" w:hAnsi="Arial"/>
                <w:sz w:val="13"/>
                <w:szCs w:val="13"/>
                <w:b w:val="1"/>
                <w:bCs w:val="1"/>
                <w:color w:val="auto"/>
                <w:w w:val="91"/>
              </w:rPr>
              <w:t>Delaware</w:t>
            </w:r>
          </w:p>
        </w:tc>
        <w:tc>
          <w:tcPr>
            <w:tcW w:w="700" w:type="dxa"/>
            <w:vAlign w:val="bottom"/>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0" w:type="dxa"/>
            <w:vAlign w:val="bottom"/>
            <w:vMerge w:val="restart"/>
          </w:tcPr>
          <w:p>
            <w:pPr>
              <w:jc w:val="right"/>
              <w:ind w:right="2466"/>
              <w:spacing w:after="0"/>
              <w:rPr>
                <w:sz w:val="20"/>
                <w:szCs w:val="20"/>
                <w:color w:val="auto"/>
              </w:rPr>
            </w:pPr>
            <w:r>
              <w:rPr>
                <w:rFonts w:ascii="Arial" w:cs="Arial" w:eastAsia="Arial" w:hAnsi="Arial"/>
                <w:sz w:val="13"/>
                <w:szCs w:val="13"/>
                <w:b w:val="1"/>
                <w:bCs w:val="1"/>
                <w:color w:val="auto"/>
              </w:rPr>
              <w:t>27-3380000</w:t>
            </w:r>
          </w:p>
        </w:tc>
        <w:tc>
          <w:tcPr>
            <w:tcW w:w="0" w:type="dxa"/>
            <w:vAlign w:val="bottom"/>
          </w:tcPr>
          <w:p>
            <w:pPr>
              <w:spacing w:after="0"/>
              <w:rPr>
                <w:sz w:val="1"/>
                <w:szCs w:val="1"/>
                <w:color w:val="auto"/>
              </w:rPr>
            </w:pPr>
          </w:p>
        </w:tc>
      </w:tr>
      <w:tr>
        <w:trPr>
          <w:trHeight w:val="183"/>
        </w:trPr>
        <w:tc>
          <w:tcPr>
            <w:tcW w:w="38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3820" w:type="dxa"/>
            <w:vAlign w:val="bottom"/>
            <w:gridSpan w:val="2"/>
          </w:tcPr>
          <w:p>
            <w:pPr>
              <w:jc w:val="center"/>
              <w:ind w:left="1777"/>
              <w:spacing w:after="0" w:line="104" w:lineRule="exact"/>
              <w:rPr>
                <w:sz w:val="20"/>
                <w:szCs w:val="20"/>
                <w:color w:val="auto"/>
              </w:rPr>
            </w:pPr>
            <w:r>
              <w:rPr>
                <w:rFonts w:ascii="Arial" w:cs="Arial" w:eastAsia="Arial" w:hAnsi="Arial"/>
                <w:sz w:val="10"/>
                <w:szCs w:val="10"/>
                <w:b w:val="1"/>
                <w:bCs w:val="1"/>
                <w:color w:val="auto"/>
                <w:w w:val="91"/>
              </w:rPr>
              <w:t>(State or other jurisdiction of</w:t>
            </w:r>
          </w:p>
        </w:tc>
        <w:tc>
          <w:tcPr>
            <w:tcW w:w="7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0" w:type="dxa"/>
            <w:vAlign w:val="bottom"/>
          </w:tcPr>
          <w:p>
            <w:pPr>
              <w:jc w:val="center"/>
              <w:ind w:right="2206"/>
              <w:spacing w:after="0" w:line="104" w:lineRule="exact"/>
              <w:rPr>
                <w:sz w:val="20"/>
                <w:szCs w:val="20"/>
                <w:color w:val="auto"/>
              </w:rPr>
            </w:pPr>
            <w:r>
              <w:rPr>
                <w:rFonts w:ascii="Arial" w:cs="Arial" w:eastAsia="Arial" w:hAnsi="Arial"/>
                <w:sz w:val="10"/>
                <w:szCs w:val="10"/>
                <w:b w:val="1"/>
                <w:bCs w:val="1"/>
                <w:color w:val="auto"/>
                <w:w w:val="96"/>
              </w:rPr>
              <w:t>(I.R.S. Employer</w:t>
            </w:r>
          </w:p>
        </w:tc>
        <w:tc>
          <w:tcPr>
            <w:tcW w:w="0" w:type="dxa"/>
            <w:vAlign w:val="bottom"/>
          </w:tcPr>
          <w:p>
            <w:pPr>
              <w:spacing w:after="0"/>
              <w:rPr>
                <w:sz w:val="1"/>
                <w:szCs w:val="1"/>
                <w:color w:val="auto"/>
              </w:rPr>
            </w:pPr>
          </w:p>
        </w:tc>
      </w:tr>
      <w:tr>
        <w:trPr>
          <w:trHeight w:val="130"/>
        </w:trPr>
        <w:tc>
          <w:tcPr>
            <w:tcW w:w="3820" w:type="dxa"/>
            <w:vAlign w:val="bottom"/>
            <w:gridSpan w:val="2"/>
          </w:tcPr>
          <w:p>
            <w:pPr>
              <w:jc w:val="center"/>
              <w:ind w:left="1757"/>
              <w:spacing w:after="0"/>
              <w:rPr>
                <w:sz w:val="20"/>
                <w:szCs w:val="20"/>
                <w:color w:val="auto"/>
              </w:rPr>
            </w:pPr>
            <w:r>
              <w:rPr>
                <w:rFonts w:ascii="Arial" w:cs="Arial" w:eastAsia="Arial" w:hAnsi="Arial"/>
                <w:sz w:val="10"/>
                <w:szCs w:val="10"/>
                <w:b w:val="1"/>
                <w:bCs w:val="1"/>
                <w:color w:val="auto"/>
                <w:w w:val="92"/>
              </w:rPr>
              <w:t>incorporation or organization)</w:t>
            </w:r>
          </w:p>
        </w:tc>
        <w:tc>
          <w:tcPr>
            <w:tcW w:w="7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0" w:type="dxa"/>
            <w:vAlign w:val="bottom"/>
          </w:tcPr>
          <w:p>
            <w:pPr>
              <w:jc w:val="center"/>
              <w:ind w:right="2206"/>
              <w:spacing w:after="0"/>
              <w:rPr>
                <w:sz w:val="20"/>
                <w:szCs w:val="20"/>
                <w:color w:val="auto"/>
              </w:rPr>
            </w:pPr>
            <w:r>
              <w:rPr>
                <w:rFonts w:ascii="Arial" w:cs="Arial" w:eastAsia="Arial" w:hAnsi="Arial"/>
                <w:sz w:val="10"/>
                <w:szCs w:val="10"/>
                <w:b w:val="1"/>
                <w:bCs w:val="1"/>
                <w:color w:val="auto"/>
                <w:w w:val="92"/>
              </w:rPr>
              <w:t>Identification No.)</w:t>
            </w:r>
          </w:p>
        </w:tc>
        <w:tc>
          <w:tcPr>
            <w:tcW w:w="0" w:type="dxa"/>
            <w:vAlign w:val="bottom"/>
          </w:tcPr>
          <w:p>
            <w:pPr>
              <w:spacing w:after="0"/>
              <w:rPr>
                <w:sz w:val="1"/>
                <w:szCs w:val="1"/>
                <w:color w:val="auto"/>
              </w:rPr>
            </w:pPr>
          </w:p>
        </w:tc>
      </w:tr>
      <w:tr>
        <w:trPr>
          <w:trHeight w:val="184"/>
        </w:trPr>
        <w:tc>
          <w:tcPr>
            <w:tcW w:w="3820" w:type="dxa"/>
            <w:vAlign w:val="bottom"/>
            <w:gridSpan w:val="2"/>
          </w:tcPr>
          <w:p>
            <w:pPr>
              <w:jc w:val="center"/>
              <w:ind w:left="1757"/>
              <w:spacing w:after="0"/>
              <w:rPr>
                <w:sz w:val="20"/>
                <w:szCs w:val="20"/>
                <w:color w:val="auto"/>
              </w:rPr>
            </w:pPr>
            <w:r>
              <w:rPr>
                <w:rFonts w:ascii="Arial" w:cs="Arial" w:eastAsia="Arial" w:hAnsi="Arial"/>
                <w:sz w:val="13"/>
                <w:szCs w:val="13"/>
                <w:b w:val="1"/>
                <w:bCs w:val="1"/>
                <w:color w:val="auto"/>
                <w:w w:val="87"/>
              </w:rPr>
              <w:t>2100 McKinney Avenue, Suite 1500,</w:t>
            </w:r>
          </w:p>
        </w:tc>
        <w:tc>
          <w:tcPr>
            <w:tcW w:w="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20" w:type="dxa"/>
            <w:vAlign w:val="bottom"/>
            <w:gridSpan w:val="2"/>
          </w:tcPr>
          <w:p>
            <w:pPr>
              <w:jc w:val="center"/>
              <w:ind w:left="1757"/>
              <w:spacing w:after="0"/>
              <w:rPr>
                <w:sz w:val="20"/>
                <w:szCs w:val="20"/>
                <w:color w:val="auto"/>
              </w:rPr>
            </w:pPr>
            <w:r>
              <w:rPr>
                <w:rFonts w:ascii="Arial" w:cs="Arial" w:eastAsia="Arial" w:hAnsi="Arial"/>
                <w:sz w:val="13"/>
                <w:szCs w:val="13"/>
                <w:b w:val="1"/>
                <w:bCs w:val="1"/>
                <w:color w:val="auto"/>
                <w:w w:val="90"/>
              </w:rPr>
              <w:t>Dallas, TX</w:t>
            </w: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jc w:val="right"/>
              <w:ind w:right="2626"/>
              <w:spacing w:after="0"/>
              <w:rPr>
                <w:sz w:val="20"/>
                <w:szCs w:val="20"/>
                <w:color w:val="auto"/>
              </w:rPr>
            </w:pPr>
            <w:r>
              <w:rPr>
                <w:rFonts w:ascii="Arial" w:cs="Arial" w:eastAsia="Arial" w:hAnsi="Arial"/>
                <w:sz w:val="13"/>
                <w:szCs w:val="13"/>
                <w:b w:val="1"/>
                <w:bCs w:val="1"/>
                <w:color w:val="auto"/>
              </w:rPr>
              <w:t>75201</w:t>
            </w:r>
          </w:p>
        </w:tc>
        <w:tc>
          <w:tcPr>
            <w:tcW w:w="0" w:type="dxa"/>
            <w:vAlign w:val="bottom"/>
          </w:tcPr>
          <w:p>
            <w:pPr>
              <w:spacing w:after="0"/>
              <w:rPr>
                <w:sz w:val="1"/>
                <w:szCs w:val="1"/>
                <w:color w:val="auto"/>
              </w:rPr>
            </w:pPr>
          </w:p>
        </w:tc>
      </w:tr>
      <w:tr>
        <w:trPr>
          <w:trHeight w:val="130"/>
        </w:trPr>
        <w:tc>
          <w:tcPr>
            <w:tcW w:w="3820" w:type="dxa"/>
            <w:vAlign w:val="bottom"/>
            <w:gridSpan w:val="2"/>
          </w:tcPr>
          <w:p>
            <w:pPr>
              <w:jc w:val="center"/>
              <w:ind w:left="1757"/>
              <w:spacing w:after="0"/>
              <w:rPr>
                <w:sz w:val="20"/>
                <w:szCs w:val="20"/>
                <w:color w:val="auto"/>
              </w:rPr>
            </w:pPr>
            <w:r>
              <w:rPr>
                <w:rFonts w:ascii="Arial" w:cs="Arial" w:eastAsia="Arial" w:hAnsi="Arial"/>
                <w:sz w:val="10"/>
                <w:szCs w:val="10"/>
                <w:b w:val="1"/>
                <w:bCs w:val="1"/>
                <w:color w:val="auto"/>
                <w:w w:val="89"/>
              </w:rPr>
              <w:t>(Address of principal executive offices)</w:t>
            </w:r>
          </w:p>
        </w:tc>
        <w:tc>
          <w:tcPr>
            <w:tcW w:w="7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0" w:type="dxa"/>
            <w:vAlign w:val="bottom"/>
          </w:tcPr>
          <w:p>
            <w:pPr>
              <w:jc w:val="center"/>
              <w:ind w:right="2206"/>
              <w:spacing w:after="0"/>
              <w:rPr>
                <w:sz w:val="20"/>
                <w:szCs w:val="20"/>
                <w:color w:val="auto"/>
              </w:rPr>
            </w:pPr>
            <w:r>
              <w:rPr>
                <w:rFonts w:ascii="Arial" w:cs="Arial" w:eastAsia="Arial" w:hAnsi="Arial"/>
                <w:sz w:val="10"/>
                <w:szCs w:val="10"/>
                <w:b w:val="1"/>
                <w:bCs w:val="1"/>
                <w:color w:val="auto"/>
                <w:w w:val="92"/>
              </w:rPr>
              <w:t>(Zip Code)</w:t>
            </w: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8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6"/>
              </w:rPr>
              <w:t>Registrant’s telephone number, including area code: (469) 621-3001</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80" w:type="dxa"/>
            <w:vAlign w:val="bottom"/>
            <w:gridSpan w:val="3"/>
          </w:tcPr>
          <w:p>
            <w:pPr>
              <w:jc w:val="center"/>
              <w:ind w:right="1120"/>
              <w:spacing w:after="0"/>
              <w:rPr>
                <w:sz w:val="20"/>
                <w:szCs w:val="20"/>
                <w:color w:val="auto"/>
              </w:rPr>
            </w:pPr>
            <w:r>
              <w:rPr>
                <w:rFonts w:ascii="Arial" w:cs="Arial" w:eastAsia="Arial" w:hAnsi="Arial"/>
                <w:sz w:val="13"/>
                <w:szCs w:val="13"/>
                <w:b w:val="1"/>
                <w:bCs w:val="1"/>
                <w:color w:val="auto"/>
                <w:w w:val="87"/>
              </w:rPr>
              <w:t>Not applicable</w:t>
            </w: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80" w:type="dxa"/>
            <w:vAlign w:val="bottom"/>
            <w:gridSpan w:val="4"/>
          </w:tcPr>
          <w:p>
            <w:pPr>
              <w:jc w:val="center"/>
              <w:ind w:right="420"/>
              <w:spacing w:after="0"/>
              <w:rPr>
                <w:sz w:val="20"/>
                <w:szCs w:val="20"/>
                <w:color w:val="auto"/>
              </w:rPr>
            </w:pPr>
            <w:r>
              <w:rPr>
                <w:rFonts w:ascii="Arial" w:cs="Arial" w:eastAsia="Arial" w:hAnsi="Arial"/>
                <w:sz w:val="10"/>
                <w:szCs w:val="10"/>
                <w:b w:val="1"/>
                <w:bCs w:val="1"/>
                <w:color w:val="auto"/>
                <w:w w:val="90"/>
              </w:rPr>
              <w:t>Former name, former address and former fiscal year, if changed since last report.</w:t>
            </w: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Securities registered pursuant to Section 12(b) of the Act:</w:t>
            </w:r>
          </w:p>
        </w:tc>
        <w:tc>
          <w:tcPr>
            <w:tcW w:w="700" w:type="dxa"/>
            <w:vAlign w:val="bottom"/>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7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4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780" w:type="dxa"/>
            <w:vAlign w:val="bottom"/>
            <w:tcBorders>
              <w:left w:val="single" w:sz="8" w:color="auto"/>
              <w:bottom w:val="single" w:sz="8" w:color="auto"/>
              <w:right w:val="single" w:sz="8" w:color="auto"/>
            </w:tcBorders>
          </w:tcPr>
          <w:p>
            <w:pPr>
              <w:jc w:val="center"/>
              <w:spacing w:after="0" w:line="94" w:lineRule="exact"/>
              <w:rPr>
                <w:sz w:val="20"/>
                <w:szCs w:val="20"/>
                <w:color w:val="auto"/>
              </w:rPr>
            </w:pPr>
            <w:r>
              <w:rPr>
                <w:rFonts w:ascii="Arial" w:cs="Arial" w:eastAsia="Arial" w:hAnsi="Arial"/>
                <w:sz w:val="10"/>
                <w:szCs w:val="10"/>
                <w:b w:val="1"/>
                <w:bCs w:val="1"/>
                <w:color w:val="auto"/>
                <w:w w:val="88"/>
              </w:rPr>
              <w:t>Title of each class</w:t>
            </w: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20" w:type="dxa"/>
            <w:vAlign w:val="bottom"/>
            <w:tcBorders>
              <w:bottom w:val="single" w:sz="8" w:color="auto"/>
              <w:right w:val="single" w:sz="8" w:color="auto"/>
            </w:tcBorders>
            <w:gridSpan w:val="2"/>
          </w:tcPr>
          <w:p>
            <w:pPr>
              <w:jc w:val="center"/>
              <w:ind w:right="740"/>
              <w:spacing w:after="0" w:line="94" w:lineRule="exact"/>
              <w:rPr>
                <w:sz w:val="20"/>
                <w:szCs w:val="20"/>
                <w:color w:val="auto"/>
              </w:rPr>
            </w:pPr>
            <w:r>
              <w:rPr>
                <w:rFonts w:ascii="Arial" w:cs="Arial" w:eastAsia="Arial" w:hAnsi="Arial"/>
                <w:sz w:val="10"/>
                <w:szCs w:val="10"/>
                <w:b w:val="1"/>
                <w:bCs w:val="1"/>
                <w:color w:val="auto"/>
                <w:w w:val="91"/>
              </w:rPr>
              <w:t>Trading Symbol(s)</w:t>
            </w:r>
          </w:p>
        </w:tc>
        <w:tc>
          <w:tcPr>
            <w:tcW w:w="360" w:type="dxa"/>
            <w:vAlign w:val="bottom"/>
            <w:tcBorders>
              <w:bottom w:val="single" w:sz="8" w:color="auto"/>
            </w:tcBorders>
          </w:tcPr>
          <w:p>
            <w:pPr>
              <w:spacing w:after="0"/>
              <w:rPr>
                <w:sz w:val="8"/>
                <w:szCs w:val="8"/>
                <w:color w:val="auto"/>
              </w:rPr>
            </w:pPr>
          </w:p>
        </w:tc>
        <w:tc>
          <w:tcPr>
            <w:tcW w:w="3400" w:type="dxa"/>
            <w:vAlign w:val="bottom"/>
            <w:tcBorders>
              <w:bottom w:val="single" w:sz="8" w:color="auto"/>
              <w:right w:val="single" w:sz="8" w:color="auto"/>
            </w:tcBorders>
          </w:tcPr>
          <w:p>
            <w:pPr>
              <w:jc w:val="center"/>
              <w:ind w:right="326"/>
              <w:spacing w:after="0" w:line="94" w:lineRule="exact"/>
              <w:rPr>
                <w:sz w:val="20"/>
                <w:szCs w:val="20"/>
                <w:color w:val="auto"/>
              </w:rPr>
            </w:pPr>
            <w:r>
              <w:rPr>
                <w:rFonts w:ascii="Arial" w:cs="Arial" w:eastAsia="Arial" w:hAnsi="Arial"/>
                <w:sz w:val="10"/>
                <w:szCs w:val="10"/>
                <w:b w:val="1"/>
                <w:bCs w:val="1"/>
                <w:color w:val="auto"/>
                <w:w w:val="88"/>
              </w:rPr>
              <w:t>Name of each exchange on which registered</w:t>
            </w:r>
          </w:p>
        </w:tc>
        <w:tc>
          <w:tcPr>
            <w:tcW w:w="0" w:type="dxa"/>
            <w:vAlign w:val="bottom"/>
          </w:tcPr>
          <w:p>
            <w:pPr>
              <w:spacing w:after="0"/>
              <w:rPr>
                <w:sz w:val="1"/>
                <w:szCs w:val="1"/>
                <w:color w:val="auto"/>
              </w:rPr>
            </w:pPr>
          </w:p>
        </w:tc>
      </w:tr>
      <w:tr>
        <w:trPr>
          <w:trHeight w:val="131"/>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Common Stock, par value $0.01 per share</w:t>
            </w: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2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0"/>
                <w:szCs w:val="10"/>
                <w:b w:val="1"/>
                <w:bCs w:val="1"/>
                <w:color w:val="auto"/>
              </w:rPr>
              <w:t>TSLX</w:t>
            </w:r>
          </w:p>
        </w:tc>
        <w:tc>
          <w:tcPr>
            <w:tcW w:w="360" w:type="dxa"/>
            <w:vAlign w:val="bottom"/>
            <w:tcBorders>
              <w:bottom w:val="single" w:sz="8" w:color="auto"/>
            </w:tcBorders>
          </w:tcPr>
          <w:p>
            <w:pPr>
              <w:spacing w:after="0"/>
              <w:rPr>
                <w:sz w:val="11"/>
                <w:szCs w:val="11"/>
                <w:color w:val="auto"/>
              </w:rPr>
            </w:pPr>
          </w:p>
        </w:tc>
        <w:tc>
          <w:tcPr>
            <w:tcW w:w="3400" w:type="dxa"/>
            <w:vAlign w:val="bottom"/>
            <w:tcBorders>
              <w:bottom w:val="single" w:sz="8" w:color="auto"/>
              <w:right w:val="single" w:sz="8" w:color="auto"/>
            </w:tcBorders>
          </w:tcPr>
          <w:p>
            <w:pPr>
              <w:jc w:val="center"/>
              <w:ind w:right="326"/>
              <w:spacing w:after="0"/>
              <w:rPr>
                <w:sz w:val="20"/>
                <w:szCs w:val="20"/>
                <w:color w:val="auto"/>
              </w:rPr>
            </w:pPr>
            <w:r>
              <w:rPr>
                <w:rFonts w:ascii="Arial" w:cs="Arial" w:eastAsia="Arial" w:hAnsi="Arial"/>
                <w:sz w:val="10"/>
                <w:szCs w:val="10"/>
                <w:b w:val="1"/>
                <w:bCs w:val="1"/>
                <w:color w:val="auto"/>
                <w:w w:val="91"/>
              </w:rPr>
              <w:t>The New York Stock Exchange</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4" w:right="200"/>
        <w:spacing w:after="0" w:line="12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3" w:lineRule="exact"/>
        <w:rPr>
          <w:sz w:val="24"/>
          <w:szCs w:val="24"/>
          <w:color w:val="auto"/>
        </w:rPr>
      </w:pPr>
    </w:p>
    <w:p>
      <w:pPr>
        <w:ind w:left="4" w:right="200"/>
        <w:spacing w:after="0" w:line="126"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3" w:lineRule="exact"/>
        <w:rPr>
          <w:sz w:val="24"/>
          <w:szCs w:val="24"/>
          <w:color w:val="auto"/>
        </w:rPr>
      </w:pPr>
    </w:p>
    <w:p>
      <w:pPr>
        <w:ind w:left="4" w:right="180"/>
        <w:spacing w:after="0" w:line="243"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4" w:type="dxa"/>
        <w:tblCellMar>
          <w:top w:w="0" w:type="dxa"/>
          <w:left w:w="0" w:type="dxa"/>
          <w:bottom w:w="0" w:type="dxa"/>
          <w:right w:w="0" w:type="dxa"/>
        </w:tblCellMar>
      </w:tblPr>
      <w:tr>
        <w:trPr>
          <w:trHeight w:val="127"/>
        </w:trPr>
        <w:tc>
          <w:tcPr>
            <w:tcW w:w="19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100" w:type="dxa"/>
            <w:vAlign w:val="bottom"/>
          </w:tcPr>
          <w:p>
            <w:pPr>
              <w:ind w:left="980"/>
              <w:spacing w:after="0" w:line="101" w:lineRule="exact"/>
              <w:rPr>
                <w:sz w:val="20"/>
                <w:szCs w:val="20"/>
                <w:color w:val="auto"/>
              </w:rPr>
            </w:pPr>
            <w:r>
              <w:rPr>
                <w:rFonts w:ascii="MS PGothic" w:cs="MS PGothic" w:eastAsia="MS PGothic" w:hAnsi="MS PGothic"/>
                <w:sz w:val="10"/>
                <w:szCs w:val="10"/>
                <w:color w:val="auto"/>
              </w:rPr>
              <w:t>☒</w:t>
            </w:r>
          </w:p>
        </w:tc>
        <w:tc>
          <w:tcPr>
            <w:tcW w:w="5560" w:type="dxa"/>
            <w:vAlign w:val="bottom"/>
          </w:tcPr>
          <w:p>
            <w:pPr>
              <w:ind w:left="2920"/>
              <w:spacing w:after="0"/>
              <w:rPr>
                <w:sz w:val="20"/>
                <w:szCs w:val="20"/>
                <w:color w:val="auto"/>
              </w:rPr>
            </w:pPr>
            <w:r>
              <w:rPr>
                <w:rFonts w:ascii="Arial" w:cs="Arial" w:eastAsia="Arial" w:hAnsi="Arial"/>
                <w:sz w:val="10"/>
                <w:szCs w:val="10"/>
                <w:color w:val="auto"/>
              </w:rPr>
              <w:t>Accelerated filer</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23"/>
        </w:trPr>
        <w:tc>
          <w:tcPr>
            <w:tcW w:w="1900" w:type="dxa"/>
            <w:vAlign w:val="bottom"/>
          </w:tcPr>
          <w:p>
            <w:pPr>
              <w:spacing w:after="0"/>
              <w:rPr>
                <w:sz w:val="20"/>
                <w:szCs w:val="20"/>
                <w:color w:val="auto"/>
              </w:rPr>
            </w:pPr>
            <w:r>
              <w:rPr>
                <w:rFonts w:ascii="Arial" w:cs="Arial" w:eastAsia="Arial" w:hAnsi="Arial"/>
                <w:sz w:val="10"/>
                <w:szCs w:val="10"/>
                <w:color w:val="auto"/>
              </w:rPr>
              <w:t>Non-accelerated filer</w:t>
            </w:r>
          </w:p>
        </w:tc>
        <w:tc>
          <w:tcPr>
            <w:tcW w:w="3100" w:type="dxa"/>
            <w:vAlign w:val="bottom"/>
          </w:tcPr>
          <w:p>
            <w:pPr>
              <w:ind w:left="980"/>
              <w:spacing w:after="0" w:line="101" w:lineRule="exact"/>
              <w:rPr>
                <w:sz w:val="20"/>
                <w:szCs w:val="20"/>
                <w:color w:val="auto"/>
              </w:rPr>
            </w:pPr>
            <w:r>
              <w:rPr>
                <w:rFonts w:ascii="MS PGothic" w:cs="MS PGothic" w:eastAsia="MS PGothic" w:hAnsi="MS PGothic"/>
                <w:sz w:val="10"/>
                <w:szCs w:val="10"/>
                <w:color w:val="auto"/>
              </w:rPr>
              <w:t>☐</w:t>
            </w:r>
          </w:p>
        </w:tc>
        <w:tc>
          <w:tcPr>
            <w:tcW w:w="5560" w:type="dxa"/>
            <w:vAlign w:val="bottom"/>
          </w:tcPr>
          <w:p>
            <w:pPr>
              <w:ind w:left="2920"/>
              <w:spacing w:after="0"/>
              <w:rPr>
                <w:sz w:val="20"/>
                <w:szCs w:val="20"/>
                <w:color w:val="auto"/>
              </w:rPr>
            </w:pPr>
            <w:r>
              <w:rPr>
                <w:rFonts w:ascii="Arial" w:cs="Arial" w:eastAsia="Arial" w:hAnsi="Arial"/>
                <w:sz w:val="10"/>
                <w:szCs w:val="10"/>
                <w:color w:val="auto"/>
              </w:rPr>
              <w:t>Smaller reporting company</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58"/>
        </w:trPr>
        <w:tc>
          <w:tcPr>
            <w:tcW w:w="19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5560" w:type="dxa"/>
            <w:vAlign w:val="bottom"/>
          </w:tcPr>
          <w:p>
            <w:pPr>
              <w:ind w:left="2920"/>
              <w:spacing w:after="0"/>
              <w:rPr>
                <w:sz w:val="20"/>
                <w:szCs w:val="20"/>
                <w:color w:val="auto"/>
              </w:rPr>
            </w:pPr>
            <w:r>
              <w:rPr>
                <w:rFonts w:ascii="Arial" w:cs="Arial" w:eastAsia="Arial" w:hAnsi="Arial"/>
                <w:sz w:val="10"/>
                <w:szCs w:val="10"/>
                <w:color w:val="auto"/>
              </w:rPr>
              <w:t>Emerging growth company</w:t>
            </w:r>
          </w:p>
        </w:tc>
        <w:tc>
          <w:tcPr>
            <w:tcW w:w="360" w:type="dxa"/>
            <w:vAlign w:val="bottom"/>
          </w:tcPr>
          <w:p>
            <w:pPr>
              <w:ind w:left="2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6"/>
        </w:trPr>
        <w:tc>
          <w:tcPr>
            <w:tcW w:w="10560" w:type="dxa"/>
            <w:vAlign w:val="bottom"/>
            <w:gridSpan w:val="3"/>
          </w:tcPr>
          <w:p>
            <w:pPr>
              <w:spacing w:after="0" w:line="115" w:lineRule="exact"/>
              <w:rPr>
                <w:sz w:val="20"/>
                <w:szCs w:val="20"/>
                <w:color w:val="auto"/>
              </w:rPr>
            </w:pPr>
            <w:r>
              <w:rPr>
                <w:rFonts w:ascii="Arial" w:cs="Arial" w:eastAsia="Arial" w:hAnsi="Arial"/>
                <w:sz w:val="10"/>
                <w:szCs w:val="10"/>
                <w:color w:val="auto"/>
                <w:w w:val="9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w w:val="93"/>
              </w:rPr>
              <w:t>☐</w:t>
            </w:r>
          </w:p>
        </w:tc>
        <w:tc>
          <w:tcPr>
            <w:tcW w:w="360" w:type="dxa"/>
            <w:vAlign w:val="bottom"/>
          </w:tcPr>
          <w:p>
            <w:pPr>
              <w:spacing w:after="0"/>
              <w:rPr>
                <w:sz w:val="15"/>
                <w:szCs w:val="15"/>
                <w:color w:val="auto"/>
              </w:rPr>
            </w:pPr>
          </w:p>
        </w:tc>
      </w:tr>
      <w:tr>
        <w:trPr>
          <w:trHeight w:val="170"/>
        </w:trPr>
        <w:tc>
          <w:tcPr>
            <w:tcW w:w="5000" w:type="dxa"/>
            <w:vAlign w:val="bottom"/>
            <w:gridSpan w:val="2"/>
          </w:tcPr>
          <w:p>
            <w:pPr>
              <w:spacing w:after="0" w:line="115" w:lineRule="exact"/>
              <w:rPr>
                <w:sz w:val="20"/>
                <w:szCs w:val="20"/>
                <w:color w:val="auto"/>
              </w:rPr>
            </w:pPr>
            <w:r>
              <w:rPr>
                <w:rFonts w:ascii="Arial" w:cs="Arial" w:eastAsia="Arial" w:hAnsi="Arial"/>
                <w:sz w:val="10"/>
                <w:szCs w:val="10"/>
                <w:color w:val="auto"/>
                <w:w w:val="93"/>
              </w:rPr>
              <w:t xml:space="preserve">Indicate by check mark whether the registrant is a shell company (as defined in Rule 12b-2 of the Exchange Act).  Yes </w:t>
            </w:r>
            <w:r>
              <w:rPr>
                <w:rFonts w:ascii="MS PGothic" w:cs="MS PGothic" w:eastAsia="MS PGothic" w:hAnsi="MS PGothic"/>
                <w:sz w:val="10"/>
                <w:szCs w:val="10"/>
                <w:color w:val="auto"/>
                <w:w w:val="93"/>
              </w:rPr>
              <w:t>☐</w:t>
            </w:r>
          </w:p>
        </w:tc>
        <w:tc>
          <w:tcPr>
            <w:tcW w:w="5560" w:type="dxa"/>
            <w:vAlign w:val="bottom"/>
          </w:tcPr>
          <w:p>
            <w:pPr>
              <w:ind w:left="6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360" w:type="dxa"/>
            <w:vAlign w:val="bottom"/>
          </w:tcPr>
          <w:p>
            <w:pPr>
              <w:spacing w:after="0"/>
              <w:rPr>
                <w:sz w:val="14"/>
                <w:szCs w:val="14"/>
                <w:color w:val="auto"/>
              </w:rPr>
            </w:pPr>
          </w:p>
        </w:tc>
      </w:tr>
    </w:tbl>
    <w:p>
      <w:pPr>
        <w:spacing w:after="0" w:line="23" w:lineRule="exact"/>
        <w:rPr>
          <w:sz w:val="24"/>
          <w:szCs w:val="24"/>
          <w:color w:val="auto"/>
        </w:rPr>
      </w:pPr>
    </w:p>
    <w:p>
      <w:pPr>
        <w:ind w:left="4"/>
        <w:spacing w:after="0"/>
        <w:rPr>
          <w:sz w:val="20"/>
          <w:szCs w:val="20"/>
          <w:color w:val="auto"/>
        </w:rPr>
      </w:pPr>
      <w:r>
        <w:rPr>
          <w:rFonts w:ascii="Arial" w:cs="Arial" w:eastAsia="Arial" w:hAnsi="Arial"/>
          <w:sz w:val="10"/>
          <w:szCs w:val="10"/>
          <w:color w:val="auto"/>
        </w:rPr>
        <w:t>The number of shares of the registrant’s common stock, $.01 par value per share, outstanding at May 3, 2022 was 76,310,056.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1735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67310</wp:posOffset>
            </wp:positionV>
            <wp:extent cx="71735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528955</wp:posOffset>
            </wp:positionV>
            <wp:extent cx="7211060"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496" w:right="29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3"/>
          <w:szCs w:val="13"/>
          <w:b w:val="1"/>
          <w:bCs w:val="1"/>
          <w:color w:val="auto"/>
        </w:rPr>
        <w:t>SIXTH STREET SPECIALTY LENDING, INC.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ind w:left="300"/>
              <w:spacing w:after="0"/>
              <w:rPr>
                <w:sz w:val="20"/>
                <w:szCs w:val="20"/>
                <w:color w:val="auto"/>
              </w:rPr>
            </w:pPr>
            <w:r>
              <w:rPr>
                <w:rFonts w:ascii="Arial" w:cs="Arial" w:eastAsia="Arial" w:hAnsi="Arial"/>
                <w:sz w:val="10"/>
                <w:szCs w:val="10"/>
                <w:b w:val="1"/>
                <w:bCs w:val="1"/>
                <w:color w:val="auto"/>
              </w:rPr>
              <w:t>PAGE</w:t>
            </w:r>
          </w:p>
        </w:tc>
      </w:tr>
      <w:tr>
        <w:trPr>
          <w:trHeight w:val="119"/>
        </w:trPr>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gridSpan w:val="6"/>
          </w:tcPr>
          <w:p>
            <w:pPr>
              <w:ind w:left="20"/>
              <w:spacing w:after="0"/>
              <w:rPr>
                <w:sz w:val="20"/>
                <w:szCs w:val="20"/>
                <w:color w:val="auto"/>
              </w:rPr>
            </w:pPr>
            <w:r>
              <w:rPr>
                <w:rFonts w:ascii="Arial" w:cs="Arial" w:eastAsia="Arial" w:hAnsi="Arial"/>
                <w:sz w:val="10"/>
                <w:szCs w:val="10"/>
                <w:b w:val="1"/>
                <w:bCs w:val="1"/>
                <w:color w:val="auto"/>
              </w:rPr>
              <w:t>INDEX</w:t>
            </w:r>
          </w:p>
        </w:tc>
        <w:tc>
          <w:tcPr>
            <w:tcW w:w="120" w:type="dxa"/>
            <w:vAlign w:val="bottom"/>
          </w:tcPr>
          <w:p>
            <w:pPr>
              <w:spacing w:after="0"/>
              <w:rPr>
                <w:sz w:val="10"/>
                <w:szCs w:val="10"/>
                <w:color w:val="auto"/>
              </w:rPr>
            </w:pPr>
          </w:p>
        </w:tc>
        <w:tc>
          <w:tcPr>
            <w:tcW w:w="90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NO.</w:t>
            </w:r>
          </w:p>
        </w:tc>
        <w:tc>
          <w:tcPr>
            <w:tcW w:w="20" w:type="dxa"/>
            <w:vAlign w:val="bottom"/>
          </w:tcPr>
          <w:p>
            <w:pPr>
              <w:spacing w:after="0"/>
              <w:rPr>
                <w:sz w:val="10"/>
                <w:szCs w:val="10"/>
                <w:color w:val="auto"/>
              </w:rPr>
            </w:pPr>
          </w:p>
        </w:tc>
      </w:t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PART I.</w:t>
            </w:r>
          </w:p>
        </w:tc>
        <w:tc>
          <w:tcPr>
            <w:tcW w:w="1580" w:type="dxa"/>
            <w:vAlign w:val="bottom"/>
            <w:tcBorders>
              <w:bottom w:val="single" w:sz="8" w:color="0000EE"/>
            </w:tcBorders>
            <w:gridSpan w:val="9"/>
          </w:tcPr>
          <w:p>
            <w:pPr>
              <w:spacing w:after="0"/>
              <w:rPr>
                <w:rFonts w:ascii="Arial" w:cs="Arial" w:eastAsia="Arial" w:hAnsi="Arial"/>
                <w:sz w:val="13"/>
                <w:szCs w:val="13"/>
                <w:color w:val="0000EE"/>
                <w:w w:val="95"/>
              </w:rPr>
            </w:pPr>
            <w:hyperlink w:anchor="page4">
              <w:r>
                <w:rPr>
                  <w:rFonts w:ascii="Arial" w:cs="Arial" w:eastAsia="Arial" w:hAnsi="Arial"/>
                  <w:sz w:val="13"/>
                  <w:szCs w:val="13"/>
                  <w:color w:val="0000EE"/>
                  <w:w w:val="95"/>
                </w:rPr>
                <w:t>FINANCIAL INFORMATION</w:t>
              </w:r>
            </w:hyperlink>
          </w:p>
        </w:tc>
        <w:tc>
          <w:tcPr>
            <w:tcW w:w="7800" w:type="dxa"/>
            <w:vAlign w:val="bottom"/>
            <w:gridSpan w:val="12"/>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1.</w:t>
            </w:r>
          </w:p>
        </w:tc>
        <w:tc>
          <w:tcPr>
            <w:tcW w:w="9380" w:type="dxa"/>
            <w:vAlign w:val="bottom"/>
            <w:gridSpan w:val="21"/>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Financial Statements</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21"/>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Consolidated Balance Sheets as of March 31, 2022 (Unaudited) and December 31, 2021</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20" w:type="dxa"/>
            <w:vAlign w:val="bottom"/>
            <w:tcBorders>
              <w:bottom w:val="single" w:sz="8" w:color="0000EE"/>
            </w:tcBorders>
            <w:gridSpan w:val="17"/>
          </w:tcPr>
          <w:p>
            <w:pPr>
              <w:spacing w:after="0"/>
              <w:rPr>
                <w:rFonts w:ascii="Arial" w:cs="Arial" w:eastAsia="Arial" w:hAnsi="Arial"/>
                <w:sz w:val="13"/>
                <w:szCs w:val="13"/>
                <w:color w:val="0000EE"/>
                <w:w w:val="86"/>
              </w:rPr>
            </w:pPr>
            <w:hyperlink w:anchor="page5">
              <w:r>
                <w:rPr>
                  <w:rFonts w:ascii="Arial" w:cs="Arial" w:eastAsia="Arial" w:hAnsi="Arial"/>
                  <w:sz w:val="13"/>
                  <w:szCs w:val="13"/>
                  <w:color w:val="0000EE"/>
                  <w:w w:val="86"/>
                </w:rPr>
                <w:t>Consolidated Statements of Operations for the three months ended March 31, 2022 and 2021 (Unaudited)</w:t>
              </w:r>
            </w:hyperlink>
          </w:p>
        </w:tc>
        <w:tc>
          <w:tcPr>
            <w:tcW w:w="4060" w:type="dxa"/>
            <w:vAlign w:val="bottom"/>
            <w:gridSpan w:val="4"/>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5</w:t>
            </w:r>
          </w:p>
        </w:tc>
      </w:tr>
      <w:tr>
        <w:trPr>
          <w:trHeight w:val="197"/>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21"/>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Consolidated Schedules of Investments as of March 31, 2022 (Unaudited) and December 31, 2021</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6</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07"/>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21"/>
          </w:tcPr>
          <w:p>
            <w:pPr>
              <w:spacing w:after="0"/>
              <w:rPr>
                <w:rFonts w:ascii="Arial" w:cs="Arial" w:eastAsia="Arial" w:hAnsi="Arial"/>
                <w:sz w:val="13"/>
                <w:szCs w:val="13"/>
                <w:color w:val="0000EE"/>
              </w:rPr>
            </w:pPr>
            <w:hyperlink w:anchor="page21">
              <w:r>
                <w:rPr>
                  <w:rFonts w:ascii="Arial" w:cs="Arial" w:eastAsia="Arial" w:hAnsi="Arial"/>
                  <w:sz w:val="13"/>
                  <w:szCs w:val="13"/>
                  <w:color w:val="0000EE"/>
                </w:rPr>
                <w:t>Consolidated Statements of Changes in Net Assets for the three months ended March 31, 2022 and 2021 (Unaudited)</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21</w:t>
            </w:r>
          </w:p>
        </w:tc>
      </w:tr>
      <w:tr>
        <w:trPr>
          <w:trHeight w:val="197"/>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360" w:type="dxa"/>
            <w:vAlign w:val="bottom"/>
            <w:tcBorders>
              <w:top w:val="single" w:sz="8" w:color="0000EE"/>
              <w:bottom w:val="single" w:sz="8" w:color="0000EE"/>
            </w:tcBorders>
            <w:gridSpan w:val="18"/>
          </w:tcPr>
          <w:p>
            <w:pPr>
              <w:spacing w:after="0"/>
              <w:rPr>
                <w:rFonts w:ascii="Arial" w:cs="Arial" w:eastAsia="Arial" w:hAnsi="Arial"/>
                <w:sz w:val="13"/>
                <w:szCs w:val="13"/>
                <w:color w:val="0000EE"/>
                <w:w w:val="86"/>
              </w:rPr>
            </w:pPr>
            <w:hyperlink w:anchor="page22">
              <w:r>
                <w:rPr>
                  <w:rFonts w:ascii="Arial" w:cs="Arial" w:eastAsia="Arial" w:hAnsi="Arial"/>
                  <w:sz w:val="13"/>
                  <w:szCs w:val="13"/>
                  <w:color w:val="0000EE"/>
                  <w:w w:val="86"/>
                </w:rPr>
                <w:t>Consolidated Statements of Cash Flows for the three months ended March 31, 2022 and 2021 (Unaudited)</w:t>
              </w:r>
            </w:hyperlink>
          </w:p>
        </w:tc>
        <w:tc>
          <w:tcPr>
            <w:tcW w:w="540" w:type="dxa"/>
            <w:vAlign w:val="bottom"/>
            <w:tcBorders>
              <w:top w:val="single" w:sz="8" w:color="0000EE"/>
            </w:tcBorders>
          </w:tcPr>
          <w:p>
            <w:pPr>
              <w:spacing w:after="0"/>
              <w:rPr>
                <w:sz w:val="17"/>
                <w:szCs w:val="17"/>
                <w:color w:val="auto"/>
              </w:rPr>
            </w:pPr>
          </w:p>
        </w:tc>
        <w:tc>
          <w:tcPr>
            <w:tcW w:w="3480" w:type="dxa"/>
            <w:vAlign w:val="bottom"/>
            <w:gridSpan w:val="2"/>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22</w:t>
            </w:r>
          </w:p>
        </w:tc>
      </w:tr>
      <w:tr>
        <w:trPr>
          <w:trHeight w:val="197"/>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380" w:type="dxa"/>
            <w:vAlign w:val="bottom"/>
            <w:gridSpan w:val="21"/>
          </w:tcPr>
          <w:p>
            <w:pPr>
              <w:spacing w:after="0"/>
              <w:rPr>
                <w:rFonts w:ascii="Arial" w:cs="Arial" w:eastAsia="Arial" w:hAnsi="Arial"/>
                <w:sz w:val="13"/>
                <w:szCs w:val="13"/>
                <w:color w:val="0000EE"/>
              </w:rPr>
            </w:pPr>
            <w:hyperlink w:anchor="page23">
              <w:r>
                <w:rPr>
                  <w:rFonts w:ascii="Arial" w:cs="Arial" w:eastAsia="Arial" w:hAnsi="Arial"/>
                  <w:sz w:val="13"/>
                  <w:szCs w:val="13"/>
                  <w:color w:val="0000EE"/>
                </w:rPr>
                <w:t>Notes to Consolidated Financial Statements (Unaudited)</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2.</w:t>
            </w:r>
          </w:p>
        </w:tc>
        <w:tc>
          <w:tcPr>
            <w:tcW w:w="4520" w:type="dxa"/>
            <w:vAlign w:val="bottom"/>
            <w:tcBorders>
              <w:bottom w:val="single" w:sz="8" w:color="0000EE"/>
            </w:tcBorders>
            <w:gridSpan w:val="15"/>
          </w:tcPr>
          <w:p>
            <w:pPr>
              <w:spacing w:after="0"/>
              <w:rPr>
                <w:rFonts w:ascii="Arial" w:cs="Arial" w:eastAsia="Arial" w:hAnsi="Arial"/>
                <w:sz w:val="13"/>
                <w:szCs w:val="13"/>
                <w:color w:val="0000EE"/>
                <w:w w:val="87"/>
              </w:rPr>
            </w:pPr>
            <w:hyperlink w:anchor="page48">
              <w:r>
                <w:rPr>
                  <w:rFonts w:ascii="Arial" w:cs="Arial" w:eastAsia="Arial" w:hAnsi="Arial"/>
                  <w:sz w:val="13"/>
                  <w:szCs w:val="13"/>
                  <w:color w:val="0000EE"/>
                  <w:w w:val="87"/>
                </w:rPr>
                <w:t>Management’s Discussion and Analysis of Financial Condition and Results of Operations</w:t>
              </w:r>
            </w:hyperlink>
          </w:p>
        </w:tc>
        <w:tc>
          <w:tcPr>
            <w:tcW w:w="4860" w:type="dxa"/>
            <w:vAlign w:val="bottom"/>
            <w:gridSpan w:val="6"/>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48</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3.</w:t>
            </w:r>
          </w:p>
        </w:tc>
        <w:tc>
          <w:tcPr>
            <w:tcW w:w="3060" w:type="dxa"/>
            <w:vAlign w:val="bottom"/>
            <w:tcBorders>
              <w:bottom w:val="single" w:sz="8" w:color="0000EE"/>
            </w:tcBorders>
            <w:gridSpan w:val="13"/>
          </w:tcPr>
          <w:p>
            <w:pPr>
              <w:spacing w:after="0"/>
              <w:rPr>
                <w:rFonts w:ascii="Arial" w:cs="Arial" w:eastAsia="Arial" w:hAnsi="Arial"/>
                <w:sz w:val="13"/>
                <w:szCs w:val="13"/>
                <w:color w:val="0000EE"/>
                <w:w w:val="89"/>
              </w:rPr>
            </w:pPr>
            <w:hyperlink w:anchor="page68">
              <w:r>
                <w:rPr>
                  <w:rFonts w:ascii="Arial" w:cs="Arial" w:eastAsia="Arial" w:hAnsi="Arial"/>
                  <w:sz w:val="13"/>
                  <w:szCs w:val="13"/>
                  <w:color w:val="0000EE"/>
                  <w:w w:val="89"/>
                </w:rPr>
                <w:t>Quantitative and Qualitative Disclosures About Market Risk</w:t>
              </w:r>
            </w:hyperlink>
          </w:p>
        </w:tc>
        <w:tc>
          <w:tcPr>
            <w:tcW w:w="6320" w:type="dxa"/>
            <w:vAlign w:val="bottom"/>
            <w:gridSpan w:val="8"/>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68</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60" w:type="dxa"/>
            <w:vAlign w:val="bottom"/>
            <w:tcBorders>
              <w:bottom w:val="single" w:sz="8" w:color="0000EE"/>
            </w:tcBorders>
            <w:gridSpan w:val="7"/>
          </w:tcPr>
          <w:p>
            <w:pPr>
              <w:spacing w:after="0"/>
              <w:rPr>
                <w:rFonts w:ascii="Arial" w:cs="Arial" w:eastAsia="Arial" w:hAnsi="Arial"/>
                <w:sz w:val="13"/>
                <w:szCs w:val="13"/>
                <w:color w:val="0000EE"/>
                <w:w w:val="86"/>
              </w:rPr>
            </w:pPr>
            <w:hyperlink w:anchor="page70">
              <w:r>
                <w:rPr>
                  <w:rFonts w:ascii="Arial" w:cs="Arial" w:eastAsia="Arial" w:hAnsi="Arial"/>
                  <w:sz w:val="13"/>
                  <w:szCs w:val="13"/>
                  <w:color w:val="0000EE"/>
                  <w:w w:val="86"/>
                </w:rPr>
                <w:t>Controls and Procedures</w:t>
              </w:r>
            </w:hyperlink>
          </w:p>
        </w:tc>
        <w:tc>
          <w:tcPr>
            <w:tcW w:w="8120" w:type="dxa"/>
            <w:vAlign w:val="bottom"/>
            <w:gridSpan w:val="14"/>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70</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PART II.</w:t>
            </w:r>
          </w:p>
        </w:tc>
        <w:tc>
          <w:tcPr>
            <w:tcW w:w="1320" w:type="dxa"/>
            <w:vAlign w:val="bottom"/>
            <w:tcBorders>
              <w:bottom w:val="single" w:sz="8" w:color="0000EE"/>
            </w:tcBorders>
            <w:gridSpan w:val="8"/>
          </w:tcPr>
          <w:p>
            <w:pPr>
              <w:spacing w:after="0"/>
              <w:rPr>
                <w:rFonts w:ascii="Arial" w:cs="Arial" w:eastAsia="Arial" w:hAnsi="Arial"/>
                <w:sz w:val="13"/>
                <w:szCs w:val="13"/>
                <w:color w:val="0000EE"/>
                <w:w w:val="92"/>
              </w:rPr>
            </w:pPr>
            <w:hyperlink w:anchor="page71">
              <w:r>
                <w:rPr>
                  <w:rFonts w:ascii="Arial" w:cs="Arial" w:eastAsia="Arial" w:hAnsi="Arial"/>
                  <w:sz w:val="13"/>
                  <w:szCs w:val="13"/>
                  <w:color w:val="0000EE"/>
                  <w:w w:val="92"/>
                </w:rPr>
                <w:t>OTHER INFORMATION</w:t>
              </w:r>
            </w:hyperlink>
          </w:p>
        </w:tc>
        <w:tc>
          <w:tcPr>
            <w:tcW w:w="8060" w:type="dxa"/>
            <w:vAlign w:val="bottom"/>
            <w:gridSpan w:val="13"/>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71</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1.</w:t>
            </w:r>
          </w:p>
        </w:tc>
        <w:tc>
          <w:tcPr>
            <w:tcW w:w="940" w:type="dxa"/>
            <w:vAlign w:val="bottom"/>
            <w:tcBorders>
              <w:bottom w:val="single" w:sz="8" w:color="0000EE"/>
            </w:tcBorders>
            <w:gridSpan w:val="4"/>
          </w:tcPr>
          <w:p>
            <w:pPr>
              <w:spacing w:after="0"/>
              <w:rPr>
                <w:rFonts w:ascii="Arial" w:cs="Arial" w:eastAsia="Arial" w:hAnsi="Arial"/>
                <w:sz w:val="13"/>
                <w:szCs w:val="13"/>
                <w:color w:val="0000EE"/>
                <w:w w:val="85"/>
              </w:rPr>
            </w:pPr>
            <w:hyperlink w:anchor="page71">
              <w:r>
                <w:rPr>
                  <w:rFonts w:ascii="Arial" w:cs="Arial" w:eastAsia="Arial" w:hAnsi="Arial"/>
                  <w:sz w:val="13"/>
                  <w:szCs w:val="13"/>
                  <w:color w:val="0000EE"/>
                  <w:w w:val="85"/>
                </w:rPr>
                <w:t>Legal Proceedings</w:t>
              </w:r>
            </w:hyperlink>
          </w:p>
        </w:tc>
        <w:tc>
          <w:tcPr>
            <w:tcW w:w="8440" w:type="dxa"/>
            <w:vAlign w:val="bottom"/>
            <w:gridSpan w:val="17"/>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71</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1A.</w:t>
            </w:r>
          </w:p>
        </w:tc>
        <w:tc>
          <w:tcPr>
            <w:tcW w:w="640" w:type="dxa"/>
            <w:vAlign w:val="bottom"/>
            <w:tcBorders>
              <w:bottom w:val="single" w:sz="8" w:color="0000EE"/>
            </w:tcBorders>
            <w:gridSpan w:val="2"/>
          </w:tcPr>
          <w:p>
            <w:pPr>
              <w:spacing w:after="0"/>
              <w:rPr>
                <w:rFonts w:ascii="Arial" w:cs="Arial" w:eastAsia="Arial" w:hAnsi="Arial"/>
                <w:sz w:val="13"/>
                <w:szCs w:val="13"/>
                <w:color w:val="0000EE"/>
                <w:w w:val="85"/>
              </w:rPr>
            </w:pPr>
            <w:hyperlink w:anchor="page71">
              <w:r>
                <w:rPr>
                  <w:rFonts w:ascii="Arial" w:cs="Arial" w:eastAsia="Arial" w:hAnsi="Arial"/>
                  <w:sz w:val="13"/>
                  <w:szCs w:val="13"/>
                  <w:color w:val="0000EE"/>
                  <w:w w:val="85"/>
                </w:rPr>
                <w:t>Risk Factors</w:t>
              </w:r>
            </w:hyperlink>
          </w:p>
        </w:tc>
        <w:tc>
          <w:tcPr>
            <w:tcW w:w="8740" w:type="dxa"/>
            <w:vAlign w:val="bottom"/>
            <w:gridSpan w:val="19"/>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71</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2.</w:t>
            </w:r>
          </w:p>
        </w:tc>
        <w:tc>
          <w:tcPr>
            <w:tcW w:w="9380" w:type="dxa"/>
            <w:vAlign w:val="bottom"/>
            <w:gridSpan w:val="21"/>
          </w:tcPr>
          <w:p>
            <w:pPr>
              <w:spacing w:after="0"/>
              <w:rPr>
                <w:rFonts w:ascii="Arial" w:cs="Arial" w:eastAsia="Arial" w:hAnsi="Arial"/>
                <w:sz w:val="13"/>
                <w:szCs w:val="13"/>
                <w:color w:val="0000EE"/>
              </w:rPr>
            </w:pPr>
            <w:hyperlink w:anchor="page76">
              <w:r>
                <w:rPr>
                  <w:rFonts w:ascii="Arial" w:cs="Arial" w:eastAsia="Arial" w:hAnsi="Arial"/>
                  <w:sz w:val="13"/>
                  <w:szCs w:val="13"/>
                  <w:color w:val="0000EE"/>
                </w:rPr>
                <w:t>Unregistered Sales of Equity Securities and Use of Proceeds</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3.</w:t>
            </w:r>
          </w:p>
        </w:tc>
        <w:tc>
          <w:tcPr>
            <w:tcW w:w="3040" w:type="dxa"/>
            <w:vAlign w:val="bottom"/>
            <w:tcBorders>
              <w:top w:val="single" w:sz="8" w:color="0000EE"/>
            </w:tcBorders>
            <w:gridSpan w:val="12"/>
          </w:tcPr>
          <w:p>
            <w:pPr>
              <w:spacing w:after="0"/>
              <w:rPr>
                <w:rFonts w:ascii="Arial" w:cs="Arial" w:eastAsia="Arial" w:hAnsi="Arial"/>
                <w:sz w:val="13"/>
                <w:szCs w:val="13"/>
                <w:color w:val="0000EE"/>
              </w:rPr>
            </w:pPr>
            <w:hyperlink w:anchor="page76">
              <w:r>
                <w:rPr>
                  <w:rFonts w:ascii="Arial" w:cs="Arial" w:eastAsia="Arial" w:hAnsi="Arial"/>
                  <w:sz w:val="13"/>
                  <w:szCs w:val="13"/>
                  <w:color w:val="0000EE"/>
                </w:rPr>
                <w:t>Defaults Upon Senior Securities</w:t>
              </w:r>
            </w:hyperlink>
          </w:p>
        </w:tc>
        <w:tc>
          <w:tcPr>
            <w:tcW w:w="6340" w:type="dxa"/>
            <w:vAlign w:val="bottom"/>
            <w:gridSpan w:val="9"/>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4.</w:t>
            </w:r>
          </w:p>
        </w:tc>
        <w:tc>
          <w:tcPr>
            <w:tcW w:w="1240" w:type="dxa"/>
            <w:vAlign w:val="bottom"/>
            <w:tcBorders>
              <w:top w:val="single" w:sz="8" w:color="0000EE"/>
              <w:bottom w:val="single" w:sz="8" w:color="0000EE"/>
            </w:tcBorders>
            <w:gridSpan w:val="6"/>
          </w:tcPr>
          <w:p>
            <w:pPr>
              <w:spacing w:after="0"/>
              <w:rPr>
                <w:rFonts w:ascii="Arial" w:cs="Arial" w:eastAsia="Arial" w:hAnsi="Arial"/>
                <w:sz w:val="13"/>
                <w:szCs w:val="13"/>
                <w:color w:val="0000EE"/>
                <w:w w:val="87"/>
              </w:rPr>
            </w:pPr>
            <w:hyperlink w:anchor="page76">
              <w:r>
                <w:rPr>
                  <w:rFonts w:ascii="Arial" w:cs="Arial" w:eastAsia="Arial" w:hAnsi="Arial"/>
                  <w:sz w:val="13"/>
                  <w:szCs w:val="13"/>
                  <w:color w:val="0000EE"/>
                  <w:w w:val="87"/>
                </w:rPr>
                <w:t>Mine Safety Disclosures</w:t>
              </w:r>
            </w:hyperlink>
          </w:p>
        </w:tc>
        <w:tc>
          <w:tcPr>
            <w:tcW w:w="380" w:type="dxa"/>
            <w:vAlign w:val="bottom"/>
            <w:tcBorders>
              <w:top w:val="single" w:sz="8" w:color="0000EE"/>
            </w:tcBorders>
            <w:gridSpan w:val="4"/>
          </w:tcPr>
          <w:p>
            <w:pPr>
              <w:spacing w:after="0"/>
              <w:rPr>
                <w:sz w:val="17"/>
                <w:szCs w:val="17"/>
                <w:color w:val="auto"/>
              </w:rPr>
            </w:pPr>
          </w:p>
        </w:tc>
        <w:tc>
          <w:tcPr>
            <w:tcW w:w="7760" w:type="dxa"/>
            <w:vAlign w:val="bottom"/>
            <w:gridSpan w:val="11"/>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5.</w:t>
            </w:r>
          </w:p>
        </w:tc>
        <w:tc>
          <w:tcPr>
            <w:tcW w:w="920" w:type="dxa"/>
            <w:vAlign w:val="bottom"/>
            <w:tcBorders>
              <w:bottom w:val="single" w:sz="8" w:color="0000EE"/>
            </w:tcBorders>
            <w:gridSpan w:val="3"/>
          </w:tcPr>
          <w:p>
            <w:pPr>
              <w:spacing w:after="0"/>
              <w:rPr>
                <w:rFonts w:ascii="Arial" w:cs="Arial" w:eastAsia="Arial" w:hAnsi="Arial"/>
                <w:sz w:val="13"/>
                <w:szCs w:val="13"/>
                <w:color w:val="0000EE"/>
                <w:w w:val="88"/>
              </w:rPr>
            </w:pPr>
            <w:hyperlink w:anchor="page76">
              <w:r>
                <w:rPr>
                  <w:rFonts w:ascii="Arial" w:cs="Arial" w:eastAsia="Arial" w:hAnsi="Arial"/>
                  <w:sz w:val="13"/>
                  <w:szCs w:val="13"/>
                  <w:color w:val="0000EE"/>
                  <w:w w:val="88"/>
                </w:rPr>
                <w:t>Other Information</w:t>
              </w:r>
            </w:hyperlink>
          </w:p>
        </w:tc>
        <w:tc>
          <w:tcPr>
            <w:tcW w:w="8460" w:type="dxa"/>
            <w:vAlign w:val="bottom"/>
            <w:gridSpan w:val="18"/>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r>
      <w:tr>
        <w:trPr>
          <w:trHeight w:val="197"/>
        </w:trPr>
        <w:tc>
          <w:tcPr>
            <w:tcW w:w="1020" w:type="dxa"/>
            <w:vAlign w:val="bottom"/>
            <w:gridSpan w:val="2"/>
          </w:tcPr>
          <w:p>
            <w:pPr>
              <w:spacing w:after="0"/>
              <w:rPr>
                <w:sz w:val="20"/>
                <w:szCs w:val="20"/>
                <w:color w:val="auto"/>
              </w:rPr>
            </w:pPr>
            <w:r>
              <w:rPr>
                <w:rFonts w:ascii="Arial" w:cs="Arial" w:eastAsia="Arial" w:hAnsi="Arial"/>
                <w:sz w:val="13"/>
                <w:szCs w:val="13"/>
                <w:color w:val="auto"/>
              </w:rPr>
              <w:t>Item 6.</w:t>
            </w:r>
          </w:p>
        </w:tc>
        <w:tc>
          <w:tcPr>
            <w:tcW w:w="9380" w:type="dxa"/>
            <w:vAlign w:val="bottom"/>
            <w:gridSpan w:val="21"/>
          </w:tcPr>
          <w:p>
            <w:pPr>
              <w:spacing w:after="0"/>
              <w:rPr>
                <w:rFonts w:ascii="Arial" w:cs="Arial" w:eastAsia="Arial" w:hAnsi="Arial"/>
                <w:sz w:val="13"/>
                <w:szCs w:val="13"/>
                <w:color w:val="0000EE"/>
              </w:rPr>
            </w:pPr>
            <w:hyperlink w:anchor="page76">
              <w:r>
                <w:rPr>
                  <w:rFonts w:ascii="Arial" w:cs="Arial" w:eastAsia="Arial" w:hAnsi="Arial"/>
                  <w:sz w:val="13"/>
                  <w:szCs w:val="13"/>
                  <w:color w:val="0000EE"/>
                </w:rPr>
                <w:t>Exhibits</w:t>
              </w:r>
            </w:hyperlink>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76</w:t>
            </w:r>
          </w:p>
        </w:tc>
      </w:tr>
      <w:tr>
        <w:trPr>
          <w:trHeight w:val="197"/>
        </w:trPr>
        <w:tc>
          <w:tcPr>
            <w:tcW w:w="1020" w:type="dxa"/>
            <w:vAlign w:val="bottom"/>
            <w:gridSpan w:val="2"/>
          </w:tcPr>
          <w:p>
            <w:pPr>
              <w:spacing w:after="0"/>
              <w:rPr>
                <w:rFonts w:ascii="Arial" w:cs="Arial" w:eastAsia="Arial" w:hAnsi="Arial"/>
                <w:sz w:val="13"/>
                <w:szCs w:val="13"/>
                <w:color w:val="0000EE"/>
              </w:rPr>
            </w:pPr>
            <w:hyperlink w:anchor="page77">
              <w:r>
                <w:rPr>
                  <w:rFonts w:ascii="Arial" w:cs="Arial" w:eastAsia="Arial" w:hAnsi="Arial"/>
                  <w:sz w:val="13"/>
                  <w:szCs w:val="13"/>
                  <w:color w:val="0000EE"/>
                </w:rPr>
                <w:t>SIGNATURES</w:t>
              </w:r>
            </w:hyperlink>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77</w:t>
            </w:r>
          </w:p>
        </w:tc>
      </w:tr>
      <w:tr>
        <w:trPr>
          <w:trHeight w:val="765"/>
        </w:trPr>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960" w:type="dxa"/>
            <w:vAlign w:val="bottom"/>
            <w:gridSpan w:val="16"/>
          </w:tcPr>
          <w:p>
            <w:pPr>
              <w:ind w:left="4600"/>
              <w:spacing w:after="0"/>
              <w:rPr>
                <w:sz w:val="20"/>
                <w:szCs w:val="20"/>
                <w:color w:val="auto"/>
              </w:rPr>
            </w:pPr>
            <w:r>
              <w:rPr>
                <w:rFonts w:ascii="Arial" w:cs="Arial" w:eastAsia="Arial" w:hAnsi="Arial"/>
                <w:sz w:val="13"/>
                <w:szCs w:val="13"/>
                <w:color w:val="auto"/>
              </w:rPr>
              <w:t>2</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7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3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78"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157" w:lineRule="exact"/>
        <w:rPr>
          <w:sz w:val="20"/>
          <w:szCs w:val="20"/>
          <w:color w:val="auto"/>
        </w:rPr>
      </w:pPr>
    </w:p>
    <w:p>
      <w:pPr>
        <w:ind w:right="140" w:firstLine="256"/>
        <w:spacing w:after="0" w:line="308" w:lineRule="auto"/>
        <w:rPr>
          <w:sz w:val="20"/>
          <w:szCs w:val="20"/>
          <w:color w:val="auto"/>
        </w:rPr>
      </w:pPr>
      <w:r>
        <w:rPr>
          <w:rFonts w:ascii="Arial" w:cs="Arial" w:eastAsia="Arial" w:hAnsi="Arial"/>
          <w:sz w:val="11"/>
          <w:szCs w:val="11"/>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07" w:lineRule="exact"/>
        <w:rPr>
          <w:sz w:val="20"/>
          <w:szCs w:val="20"/>
          <w:color w:val="auto"/>
        </w:rPr>
      </w:pPr>
    </w:p>
    <w:p>
      <w:pPr>
        <w:ind w:right="340" w:firstLine="256"/>
        <w:spacing w:after="0" w:line="260" w:lineRule="auto"/>
        <w:rPr>
          <w:sz w:val="20"/>
          <w:szCs w:val="20"/>
          <w:color w:val="auto"/>
        </w:rPr>
      </w:pPr>
      <w:r>
        <w:rPr>
          <w:rFonts w:ascii="Arial" w:cs="Arial" w:eastAsia="Arial" w:hAnsi="Arial"/>
          <w:sz w:val="13"/>
          <w:szCs w:val="13"/>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54" w:lineRule="exact"/>
        <w:rPr>
          <w:sz w:val="20"/>
          <w:szCs w:val="20"/>
          <w:color w:val="auto"/>
        </w:rPr>
      </w:pPr>
    </w:p>
    <w:p>
      <w:pPr>
        <w:ind w:left="500" w:right="60" w:hanging="249"/>
        <w:spacing w:after="0" w:line="260"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54" w:lineRule="exact"/>
        <w:rPr>
          <w:rFonts w:ascii="Arial" w:cs="Arial" w:eastAsia="Arial" w:hAnsi="Arial"/>
          <w:sz w:val="13"/>
          <w:szCs w:val="13"/>
          <w:color w:val="auto"/>
        </w:rPr>
      </w:pPr>
    </w:p>
    <w:p>
      <w:pPr>
        <w:ind w:left="500" w:right="540" w:hanging="249"/>
        <w:spacing w:after="0" w:line="260"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4" w:lineRule="exact"/>
        <w:rPr>
          <w:rFonts w:ascii="Arial" w:cs="Arial" w:eastAsia="Arial" w:hAnsi="Arial"/>
          <w:sz w:val="13"/>
          <w:szCs w:val="13"/>
          <w:color w:val="auto"/>
        </w:rPr>
      </w:pPr>
    </w:p>
    <w:p>
      <w:pPr>
        <w:ind w:left="500" w:hanging="249"/>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such an economic downturn could also impact availability and pricing of our financing;</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 inability to access the capital markets could impair our ability to raise capital and our investment activities;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inflation could negatively impact our business, including our ability to access the debt markets on favorable terms, or could negatively impact our portfolio companies; and</w:t>
      </w:r>
    </w:p>
    <w:p>
      <w:pPr>
        <w:spacing w:after="0" w:line="77" w:lineRule="exact"/>
        <w:rPr>
          <w:rFonts w:ascii="Arial" w:cs="Arial" w:eastAsia="Arial" w:hAnsi="Arial"/>
          <w:sz w:val="13"/>
          <w:szCs w:val="13"/>
          <w:color w:val="auto"/>
        </w:rPr>
      </w:pPr>
    </w:p>
    <w:p>
      <w:pPr>
        <w:ind w:left="500" w:right="580" w:hanging="249"/>
        <w:spacing w:after="0" w:line="260" w:lineRule="auto"/>
        <w:tabs>
          <w:tab w:leader="none" w:pos="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risks, uncertainties and other factors we identify in the section entitled “Risk Factors” in this report, in our Annual Report on Form 10-K for the year ended December 31, 2021, filed with the SEC on February 17, 2022, and elsewhere in our filings with the SEC.</w:t>
      </w:r>
    </w:p>
    <w:p>
      <w:pPr>
        <w:spacing w:after="0" w:line="130" w:lineRule="exact"/>
        <w:rPr>
          <w:sz w:val="20"/>
          <w:szCs w:val="20"/>
          <w:color w:val="auto"/>
        </w:rPr>
      </w:pPr>
    </w:p>
    <w:p>
      <w:pPr>
        <w:ind w:firstLine="256"/>
        <w:spacing w:after="0" w:line="308" w:lineRule="auto"/>
        <w:rPr>
          <w:sz w:val="20"/>
          <w:szCs w:val="20"/>
          <w:color w:val="auto"/>
        </w:rPr>
      </w:pPr>
      <w:r>
        <w:rPr>
          <w:rFonts w:ascii="Arial" w:cs="Arial" w:eastAsia="Arial" w:hAnsi="Arial"/>
          <w:sz w:val="11"/>
          <w:szCs w:val="11"/>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“TSLX” and “TAO” marks are marks of Sixth Street.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PART I. FINANCIAL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Sixth Street Specialty Lending,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(Amounts in thousands, except share and per share amounts)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60" w:type="dxa"/>
            <w:vAlign w:val="bottom"/>
          </w:tcPr>
          <w:p>
            <w:pPr>
              <w:spacing w:after="0"/>
              <w:rPr>
                <w:sz w:val="10"/>
                <w:szCs w:val="10"/>
                <w:color w:val="auto"/>
              </w:rPr>
            </w:pPr>
          </w:p>
        </w:tc>
        <w:tc>
          <w:tcPr>
            <w:tcW w:w="1180" w:type="dxa"/>
            <w:vAlign w:val="bottom"/>
          </w:tcPr>
          <w:p>
            <w:pPr>
              <w:jc w:val="right"/>
              <w:ind w:right="32"/>
              <w:spacing w:after="0"/>
              <w:rPr>
                <w:sz w:val="20"/>
                <w:szCs w:val="20"/>
                <w:color w:val="auto"/>
              </w:rPr>
            </w:pPr>
            <w:r>
              <w:rPr>
                <w:rFonts w:ascii="Arial" w:cs="Arial" w:eastAsia="Arial" w:hAnsi="Arial"/>
                <w:sz w:val="10"/>
                <w:szCs w:val="10"/>
                <w:b w:val="1"/>
                <w:bCs w:val="1"/>
                <w:color w:val="auto"/>
              </w:rPr>
              <w:t>March 31,</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December 31,</w:t>
            </w:r>
          </w:p>
        </w:tc>
      </w:tr>
      <w:tr>
        <w:trPr>
          <w:trHeight w:val="119"/>
        </w:trPr>
        <w:tc>
          <w:tcPr>
            <w:tcW w:w="7360" w:type="dxa"/>
            <w:vAlign w:val="bottom"/>
            <w:tcBorders>
              <w:bottom w:val="single" w:sz="8" w:color="CFF0FC"/>
            </w:tcBorders>
          </w:tcPr>
          <w:p>
            <w:pPr>
              <w:spacing w:after="0"/>
              <w:rPr>
                <w:sz w:val="10"/>
                <w:szCs w:val="10"/>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2022</w:t>
            </w:r>
          </w:p>
        </w:tc>
        <w:tc>
          <w:tcPr>
            <w:tcW w:w="580" w:type="dxa"/>
            <w:vAlign w:val="bottom"/>
            <w:tcBorders>
              <w:bottom w:val="single" w:sz="8" w:color="auto"/>
            </w:tcBorders>
          </w:tcPr>
          <w:p>
            <w:pPr>
              <w:spacing w:after="0"/>
              <w:rPr>
                <w:sz w:val="10"/>
                <w:szCs w:val="10"/>
                <w:color w:val="auto"/>
              </w:rPr>
            </w:pPr>
          </w:p>
        </w:tc>
        <w:tc>
          <w:tcPr>
            <w:tcW w:w="300" w:type="dxa"/>
            <w:vAlign w:val="bottom"/>
            <w:tcBorders>
              <w:bottom w:val="single" w:sz="8" w:color="CFF0FC"/>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718"/>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FF0FC"/>
            </w:tcBorders>
          </w:tcPr>
          <w:p>
            <w:pPr>
              <w:spacing w:after="0"/>
              <w:rPr>
                <w:sz w:val="10"/>
                <w:szCs w:val="10"/>
                <w:color w:val="auto"/>
              </w:rPr>
            </w:pPr>
          </w:p>
        </w:tc>
      </w:tr>
      <w:tr>
        <w:trPr>
          <w:trHeight w:val="150"/>
        </w:trPr>
        <w:tc>
          <w:tcPr>
            <w:tcW w:w="73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Non-controlled, non-affiliated investments (amortized cost of $2,301,668 and $2,354,984, respectively)</w:t>
            </w:r>
          </w:p>
        </w:tc>
        <w:tc>
          <w:tcPr>
            <w:tcW w:w="1180" w:type="dxa"/>
            <w:vAlign w:val="bottom"/>
            <w:shd w:val="clear" w:color="auto" w:fill="CFF0FC"/>
          </w:tcPr>
          <w:p>
            <w:pPr>
              <w:jc w:val="right"/>
              <w:ind w:right="1072"/>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2,375,860</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3"/>
              <w:spacing w:after="0"/>
              <w:rPr>
                <w:sz w:val="20"/>
                <w:szCs w:val="20"/>
                <w:color w:val="auto"/>
              </w:rPr>
            </w:pPr>
            <w:r>
              <w:rPr>
                <w:rFonts w:ascii="Arial" w:cs="Arial" w:eastAsia="Arial" w:hAnsi="Arial"/>
                <w:sz w:val="9"/>
                <w:szCs w:val="9"/>
                <w:color w:val="auto"/>
                <w:w w:val="78"/>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2,434,797</w:t>
            </w: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ind w:left="160"/>
              <w:spacing w:after="0"/>
              <w:rPr>
                <w:sz w:val="20"/>
                <w:szCs w:val="20"/>
                <w:color w:val="auto"/>
              </w:rPr>
            </w:pPr>
            <w:r>
              <w:rPr>
                <w:rFonts w:ascii="Arial" w:cs="Arial" w:eastAsia="Arial" w:hAnsi="Arial"/>
                <w:sz w:val="13"/>
                <w:szCs w:val="13"/>
                <w:color w:val="auto"/>
              </w:rPr>
              <w:t>Non-controlled, affiliated investments (amortized cost of $0 and $12,666, respectively)</w:t>
            </w:r>
          </w:p>
        </w:tc>
        <w:tc>
          <w:tcPr>
            <w:tcW w:w="11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27,017</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Controlled, affiliated investments (amortized cost of $64,362 and $64,362, respectively)</w:t>
            </w:r>
          </w:p>
        </w:tc>
        <w:tc>
          <w:tcPr>
            <w:tcW w:w="1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75,999</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59,779</w:t>
            </w:r>
          </w:p>
        </w:tc>
        <w:tc>
          <w:tcPr>
            <w:tcW w:w="120" w:type="dxa"/>
            <w:vAlign w:val="bottom"/>
            <w:shd w:val="clear" w:color="auto" w:fill="CFF0FC"/>
          </w:tcPr>
          <w:p>
            <w:pPr>
              <w:spacing w:after="0"/>
              <w:rPr>
                <w:sz w:val="13"/>
                <w:szCs w:val="13"/>
                <w:color w:val="auto"/>
              </w:rPr>
            </w:pPr>
          </w:p>
        </w:tc>
      </w:tr>
      <w:tr>
        <w:trPr>
          <w:trHeight w:val="150"/>
        </w:trPr>
        <w:tc>
          <w:tcPr>
            <w:tcW w:w="7360" w:type="dxa"/>
            <w:vAlign w:val="bottom"/>
          </w:tcPr>
          <w:p>
            <w:pPr>
              <w:spacing w:after="0"/>
              <w:rPr>
                <w:sz w:val="20"/>
                <w:szCs w:val="20"/>
                <w:color w:val="auto"/>
              </w:rPr>
            </w:pPr>
            <w:r>
              <w:rPr>
                <w:rFonts w:ascii="Arial" w:cs="Arial" w:eastAsia="Arial" w:hAnsi="Arial"/>
                <w:sz w:val="13"/>
                <w:szCs w:val="13"/>
                <w:color w:val="auto"/>
              </w:rPr>
              <w:t>Total investments at fair value (amortized cost of $2,366,030 and $2,432,012, respectively)</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2,451,859</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2,521,593</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(restricted cash of $19,069 and $14,399, respectively)</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23,494</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15,967</w:t>
            </w: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spacing w:after="0"/>
              <w:rPr>
                <w:sz w:val="20"/>
                <w:szCs w:val="20"/>
                <w:color w:val="auto"/>
              </w:rPr>
            </w:pPr>
            <w:r>
              <w:rPr>
                <w:rFonts w:ascii="Arial" w:cs="Arial" w:eastAsia="Arial" w:hAnsi="Arial"/>
                <w:sz w:val="13"/>
                <w:szCs w:val="13"/>
                <w:color w:val="auto"/>
              </w:rPr>
              <w:t>Interest receivable</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11,674</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10,775</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Prepaid expenses and other assets</w:t>
            </w:r>
          </w:p>
        </w:tc>
        <w:tc>
          <w:tcPr>
            <w:tcW w:w="1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4,148</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3,522</w:t>
            </w:r>
          </w:p>
        </w:tc>
        <w:tc>
          <w:tcPr>
            <w:tcW w:w="120" w:type="dxa"/>
            <w:vAlign w:val="bottom"/>
            <w:shd w:val="clear" w:color="auto" w:fill="CFF0FC"/>
          </w:tcPr>
          <w:p>
            <w:pPr>
              <w:spacing w:after="0"/>
              <w:rPr>
                <w:sz w:val="13"/>
                <w:szCs w:val="13"/>
                <w:color w:val="auto"/>
              </w:rPr>
            </w:pPr>
          </w:p>
        </w:tc>
      </w:tr>
      <w:tr>
        <w:trPr>
          <w:trHeight w:val="159"/>
        </w:trPr>
        <w:tc>
          <w:tcPr>
            <w:tcW w:w="7360" w:type="dxa"/>
            <w:vAlign w:val="bottom"/>
            <w:tcBorders>
              <w:bottom w:val="single" w:sz="8" w:color="CFF0FC"/>
            </w:tcBorders>
          </w:tcPr>
          <w:p>
            <w:pPr>
              <w:ind w:left="340"/>
              <w:spacing w:after="0"/>
              <w:rPr>
                <w:sz w:val="20"/>
                <w:szCs w:val="20"/>
                <w:color w:val="auto"/>
              </w:rPr>
            </w:pPr>
            <w:r>
              <w:rPr>
                <w:rFonts w:ascii="Arial" w:cs="Arial" w:eastAsia="Arial" w:hAnsi="Arial"/>
                <w:sz w:val="13"/>
                <w:szCs w:val="13"/>
                <w:b w:val="1"/>
                <w:bCs w:val="1"/>
                <w:color w:val="auto"/>
              </w:rPr>
              <w:t>Total Assets</w:t>
            </w:r>
          </w:p>
        </w:tc>
        <w:tc>
          <w:tcPr>
            <w:tcW w:w="1180" w:type="dxa"/>
            <w:vAlign w:val="bottom"/>
            <w:tcBorders>
              <w:bottom w:val="single" w:sz="8" w:color="auto"/>
            </w:tcBorders>
          </w:tcPr>
          <w:p>
            <w:pPr>
              <w:jc w:val="right"/>
              <w:ind w:right="1072"/>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2,491,175</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2,551,857</w:t>
            </w:r>
          </w:p>
        </w:tc>
        <w:tc>
          <w:tcPr>
            <w:tcW w:w="120" w:type="dxa"/>
            <w:vAlign w:val="bottom"/>
            <w:tcBorders>
              <w:bottom w:val="single" w:sz="8" w:color="CFF0FC"/>
            </w:tcBorders>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Liabilities</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spacing w:after="0"/>
              <w:rPr>
                <w:sz w:val="20"/>
                <w:szCs w:val="20"/>
                <w:color w:val="auto"/>
              </w:rPr>
            </w:pPr>
            <w:r>
              <w:rPr>
                <w:rFonts w:ascii="Arial" w:cs="Arial" w:eastAsia="Arial" w:hAnsi="Arial"/>
                <w:sz w:val="13"/>
                <w:szCs w:val="13"/>
                <w:color w:val="auto"/>
              </w:rPr>
              <w:t>Debt (net of deferred financing costs of $17,755 and $19,147, respectively)</w:t>
            </w:r>
          </w:p>
        </w:tc>
        <w:tc>
          <w:tcPr>
            <w:tcW w:w="1180" w:type="dxa"/>
            <w:vAlign w:val="bottom"/>
          </w:tcPr>
          <w:p>
            <w:pPr>
              <w:jc w:val="right"/>
              <w:ind w:right="1072"/>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1,121,190</w:t>
            </w:r>
          </w:p>
        </w:tc>
        <w:tc>
          <w:tcPr>
            <w:tcW w:w="300" w:type="dxa"/>
            <w:vAlign w:val="bottom"/>
          </w:tcPr>
          <w:p>
            <w:pPr>
              <w:spacing w:after="0"/>
              <w:rPr>
                <w:sz w:val="13"/>
                <w:szCs w:val="13"/>
                <w:color w:val="auto"/>
              </w:rPr>
            </w:pP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1,185,964</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Management fees payable to affiliate</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9,330</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9,380</w:t>
            </w: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spacing w:after="0"/>
              <w:rPr>
                <w:sz w:val="20"/>
                <w:szCs w:val="20"/>
                <w:color w:val="auto"/>
              </w:rPr>
            </w:pPr>
            <w:r>
              <w:rPr>
                <w:rFonts w:ascii="Arial" w:cs="Arial" w:eastAsia="Arial" w:hAnsi="Arial"/>
                <w:sz w:val="13"/>
                <w:szCs w:val="13"/>
                <w:color w:val="auto"/>
              </w:rPr>
              <w:t>Incentive fees on net investment income payable to affiliate</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7,877</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9,789</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Incentive fees on net capital gains accrued to affiliate</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16,351</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14,928</w:t>
            </w: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spacing w:after="0"/>
              <w:rPr>
                <w:sz w:val="20"/>
                <w:szCs w:val="20"/>
                <w:color w:val="auto"/>
              </w:rPr>
            </w:pPr>
            <w:r>
              <w:rPr>
                <w:rFonts w:ascii="Arial" w:cs="Arial" w:eastAsia="Arial" w:hAnsi="Arial"/>
                <w:sz w:val="13"/>
                <w:szCs w:val="13"/>
                <w:color w:val="auto"/>
              </w:rPr>
              <w:t>Dividends payable</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31,162</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30,926</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Other payables to affiliate</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2,943</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3,149</w:t>
            </w: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liabilities</w:t>
            </w: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18,337</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21,873</w:t>
            </w:r>
          </w:p>
        </w:tc>
        <w:tc>
          <w:tcPr>
            <w:tcW w:w="120" w:type="dxa"/>
            <w:vAlign w:val="bottom"/>
            <w:tcBorders>
              <w:bottom w:val="single" w:sz="8" w:color="CFF0FC"/>
            </w:tcBorders>
          </w:tcPr>
          <w:p>
            <w:pPr>
              <w:spacing w:after="0"/>
              <w:rPr>
                <w:sz w:val="13"/>
                <w:szCs w:val="13"/>
                <w:color w:val="auto"/>
              </w:rPr>
            </w:pPr>
          </w:p>
        </w:tc>
      </w:tr>
      <w:tr>
        <w:trPr>
          <w:trHeight w:val="150"/>
        </w:trPr>
        <w:tc>
          <w:tcPr>
            <w:tcW w:w="7360" w:type="dxa"/>
            <w:vAlign w:val="bottom"/>
            <w:shd w:val="clear" w:color="auto" w:fill="CFF0FC"/>
          </w:tcPr>
          <w:p>
            <w:pPr>
              <w:ind w:left="340"/>
              <w:spacing w:after="0"/>
              <w:rPr>
                <w:sz w:val="20"/>
                <w:szCs w:val="20"/>
                <w:color w:val="auto"/>
              </w:rPr>
            </w:pPr>
            <w:r>
              <w:rPr>
                <w:rFonts w:ascii="Arial" w:cs="Arial" w:eastAsia="Arial" w:hAnsi="Arial"/>
                <w:sz w:val="13"/>
                <w:szCs w:val="13"/>
                <w:b w:val="1"/>
                <w:bCs w:val="1"/>
                <w:color w:val="auto"/>
              </w:rPr>
              <w:t>Total Liabilities</w:t>
            </w:r>
          </w:p>
        </w:tc>
        <w:tc>
          <w:tcPr>
            <w:tcW w:w="1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1,207,190</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1,276,009</w:t>
            </w:r>
          </w:p>
        </w:tc>
        <w:tc>
          <w:tcPr>
            <w:tcW w:w="120" w:type="dxa"/>
            <w:vAlign w:val="bottom"/>
            <w:shd w:val="clear" w:color="auto" w:fill="CFF0FC"/>
          </w:tcPr>
          <w:p>
            <w:pPr>
              <w:spacing w:after="0"/>
              <w:rPr>
                <w:sz w:val="13"/>
                <w:szCs w:val="13"/>
                <w:color w:val="auto"/>
              </w:rPr>
            </w:pPr>
          </w:p>
        </w:tc>
      </w:tr>
      <w:tr>
        <w:trPr>
          <w:trHeight w:val="150"/>
        </w:trPr>
        <w:tc>
          <w:tcPr>
            <w:tcW w:w="7360" w:type="dxa"/>
            <w:vAlign w:val="bottom"/>
          </w:tcPr>
          <w:p>
            <w:pPr>
              <w:spacing w:after="0"/>
              <w:rPr>
                <w:sz w:val="20"/>
                <w:szCs w:val="20"/>
                <w:color w:val="auto"/>
              </w:rPr>
            </w:pPr>
            <w:r>
              <w:rPr>
                <w:rFonts w:ascii="Arial" w:cs="Arial" w:eastAsia="Arial" w:hAnsi="Arial"/>
                <w:sz w:val="13"/>
                <w:szCs w:val="13"/>
                <w:color w:val="auto"/>
              </w:rPr>
              <w:t>Commitments and contingencies (Note 8)</w:t>
            </w: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Net Assets</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2"/>
        </w:trPr>
        <w:tc>
          <w:tcPr>
            <w:tcW w:w="7360" w:type="dxa"/>
            <w:vAlign w:val="bottom"/>
          </w:tcPr>
          <w:p>
            <w:pPr>
              <w:spacing w:after="0"/>
              <w:rPr>
                <w:sz w:val="20"/>
                <w:szCs w:val="20"/>
                <w:color w:val="auto"/>
              </w:rPr>
            </w:pPr>
            <w:r>
              <w:rPr>
                <w:rFonts w:ascii="Arial" w:cs="Arial" w:eastAsia="Arial" w:hAnsi="Arial"/>
                <w:sz w:val="13"/>
                <w:szCs w:val="13"/>
                <w:color w:val="auto"/>
              </w:rPr>
              <w:t>Preferred stock, $0.01 par value; 100,000,000 shares authorized; no shares</w:t>
            </w: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7360" w:type="dxa"/>
            <w:vAlign w:val="bottom"/>
          </w:tcPr>
          <w:p>
            <w:pPr>
              <w:ind w:left="100"/>
              <w:spacing w:after="0"/>
              <w:rPr>
                <w:sz w:val="20"/>
                <w:szCs w:val="20"/>
                <w:color w:val="auto"/>
              </w:rPr>
            </w:pPr>
            <w:r>
              <w:rPr>
                <w:rFonts w:ascii="Arial" w:cs="Arial" w:eastAsia="Arial" w:hAnsi="Arial"/>
                <w:sz w:val="13"/>
                <w:szCs w:val="13"/>
                <w:color w:val="auto"/>
              </w:rPr>
              <w:t>issued and outstanding</w:t>
            </w:r>
          </w:p>
        </w:tc>
        <w:tc>
          <w:tcPr>
            <w:tcW w:w="118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2"/>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Common stock, $0.01 par value; 400,000,000 shares authorized, 76,366,724 and</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73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76,067,586 shares issued, respectively; and 76,070,680 and 75,771,542 shares</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73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outstanding, respectively</w:t>
            </w:r>
          </w:p>
        </w:tc>
        <w:tc>
          <w:tcPr>
            <w:tcW w:w="11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w:t>
            </w:r>
          </w:p>
        </w:tc>
        <w:tc>
          <w:tcPr>
            <w:tcW w:w="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w:t>
            </w:r>
          </w:p>
        </w:tc>
        <w:tc>
          <w:tcPr>
            <w:tcW w:w="120" w:type="dxa"/>
            <w:vAlign w:val="bottom"/>
            <w:shd w:val="clear" w:color="auto" w:fill="CFF0FC"/>
          </w:tcPr>
          <w:p>
            <w:pPr>
              <w:spacing w:after="0"/>
              <w:rPr>
                <w:sz w:val="13"/>
                <w:szCs w:val="13"/>
                <w:color w:val="auto"/>
              </w:rPr>
            </w:pPr>
          </w:p>
        </w:tc>
      </w:tr>
      <w:tr>
        <w:trPr>
          <w:trHeight w:val="161"/>
        </w:trPr>
        <w:tc>
          <w:tcPr>
            <w:tcW w:w="7360" w:type="dxa"/>
            <w:vAlign w:val="bottom"/>
          </w:tcPr>
          <w:p>
            <w:pPr>
              <w:spacing w:after="0"/>
              <w:rPr>
                <w:sz w:val="20"/>
                <w:szCs w:val="20"/>
                <w:color w:val="auto"/>
              </w:rPr>
            </w:pPr>
            <w:r>
              <w:rPr>
                <w:rFonts w:ascii="Arial" w:cs="Arial" w:eastAsia="Arial" w:hAnsi="Arial"/>
                <w:sz w:val="13"/>
                <w:szCs w:val="13"/>
                <w:color w:val="auto"/>
              </w:rPr>
              <w:t>Additional paid-in capital</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1,195,695</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1,189,275</w:t>
            </w:r>
          </w:p>
        </w:tc>
        <w:tc>
          <w:tcPr>
            <w:tcW w:w="120" w:type="dxa"/>
            <w:vAlign w:val="bottom"/>
          </w:tcPr>
          <w:p>
            <w:pPr>
              <w:spacing w:after="0"/>
              <w:rPr>
                <w:sz w:val="13"/>
                <w:szCs w:val="13"/>
                <w:color w:val="auto"/>
              </w:rPr>
            </w:pPr>
          </w:p>
        </w:tc>
      </w:tr>
      <w:tr>
        <w:trPr>
          <w:trHeight w:val="161"/>
        </w:trPr>
        <w:tc>
          <w:tcPr>
            <w:tcW w:w="7360" w:type="dxa"/>
            <w:vAlign w:val="bottom"/>
            <w:shd w:val="clear" w:color="auto" w:fill="CFF0FC"/>
          </w:tcPr>
          <w:p>
            <w:pPr>
              <w:spacing w:after="0"/>
              <w:rPr>
                <w:sz w:val="20"/>
                <w:szCs w:val="20"/>
                <w:color w:val="auto"/>
              </w:rPr>
            </w:pPr>
            <w:r>
              <w:rPr>
                <w:rFonts w:ascii="Arial" w:cs="Arial" w:eastAsia="Arial" w:hAnsi="Arial"/>
                <w:sz w:val="13"/>
                <w:szCs w:val="13"/>
                <w:color w:val="auto"/>
              </w:rPr>
              <w:t>Treasury stock at cost; 296,044 and 296,044 shares held, respectively</w:t>
            </w:r>
          </w:p>
        </w:tc>
        <w:tc>
          <w:tcPr>
            <w:tcW w:w="11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(4,291)</w:t>
            </w:r>
          </w:p>
        </w:tc>
        <w:tc>
          <w:tcPr>
            <w:tcW w:w="32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(4,291)</w:t>
            </w:r>
          </w:p>
        </w:tc>
      </w:tr>
      <w:tr>
        <w:trPr>
          <w:trHeight w:val="161"/>
        </w:trPr>
        <w:tc>
          <w:tcPr>
            <w:tcW w:w="73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Distributable earnings</w:t>
            </w:r>
          </w:p>
        </w:tc>
        <w:tc>
          <w:tcPr>
            <w:tcW w:w="1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91,817</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90,103</w:t>
            </w:r>
          </w:p>
        </w:tc>
        <w:tc>
          <w:tcPr>
            <w:tcW w:w="120" w:type="dxa"/>
            <w:vAlign w:val="bottom"/>
            <w:tcBorders>
              <w:bottom w:val="single" w:sz="8" w:color="CFF0FC"/>
            </w:tcBorders>
          </w:tcPr>
          <w:p>
            <w:pPr>
              <w:spacing w:after="0"/>
              <w:rPr>
                <w:sz w:val="13"/>
                <w:szCs w:val="13"/>
                <w:color w:val="auto"/>
              </w:rPr>
            </w:pPr>
          </w:p>
        </w:tc>
      </w:tr>
      <w:tr>
        <w:trPr>
          <w:trHeight w:val="150"/>
        </w:trPr>
        <w:tc>
          <w:tcPr>
            <w:tcW w:w="7360" w:type="dxa"/>
            <w:vAlign w:val="bottom"/>
            <w:shd w:val="clear" w:color="auto" w:fill="CFF0FC"/>
          </w:tcPr>
          <w:p>
            <w:pPr>
              <w:ind w:left="340"/>
              <w:spacing w:after="0"/>
              <w:rPr>
                <w:sz w:val="20"/>
                <w:szCs w:val="20"/>
                <w:color w:val="auto"/>
              </w:rPr>
            </w:pPr>
            <w:r>
              <w:rPr>
                <w:rFonts w:ascii="Arial" w:cs="Arial" w:eastAsia="Arial" w:hAnsi="Arial"/>
                <w:sz w:val="13"/>
                <w:szCs w:val="13"/>
                <w:b w:val="1"/>
                <w:bCs w:val="1"/>
                <w:color w:val="auto"/>
              </w:rPr>
              <w:t>Total Net Assets</w:t>
            </w:r>
          </w:p>
        </w:tc>
        <w:tc>
          <w:tcPr>
            <w:tcW w:w="11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1,283,985</w:t>
            </w:r>
          </w:p>
        </w:tc>
        <w:tc>
          <w:tcPr>
            <w:tcW w:w="30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1,275,848</w:t>
            </w:r>
          </w:p>
        </w:tc>
        <w:tc>
          <w:tcPr>
            <w:tcW w:w="120" w:type="dxa"/>
            <w:vAlign w:val="bottom"/>
            <w:shd w:val="clear" w:color="auto" w:fill="CFF0FC"/>
          </w:tcPr>
          <w:p>
            <w:pPr>
              <w:spacing w:after="0"/>
              <w:rPr>
                <w:sz w:val="13"/>
                <w:szCs w:val="13"/>
                <w:color w:val="auto"/>
              </w:rPr>
            </w:pPr>
          </w:p>
        </w:tc>
      </w:tr>
      <w:tr>
        <w:trPr>
          <w:trHeight w:val="159"/>
        </w:trPr>
        <w:tc>
          <w:tcPr>
            <w:tcW w:w="7360" w:type="dxa"/>
            <w:vAlign w:val="bottom"/>
            <w:tcBorders>
              <w:bottom w:val="single" w:sz="8" w:color="CFF0FC"/>
            </w:tcBorders>
          </w:tcPr>
          <w:p>
            <w:pPr>
              <w:ind w:left="340"/>
              <w:spacing w:after="0"/>
              <w:rPr>
                <w:sz w:val="20"/>
                <w:szCs w:val="20"/>
                <w:color w:val="auto"/>
              </w:rPr>
            </w:pPr>
            <w:r>
              <w:rPr>
                <w:rFonts w:ascii="Arial" w:cs="Arial" w:eastAsia="Arial" w:hAnsi="Arial"/>
                <w:sz w:val="13"/>
                <w:szCs w:val="13"/>
                <w:b w:val="1"/>
                <w:bCs w:val="1"/>
                <w:color w:val="auto"/>
              </w:rPr>
              <w:t>Total Liabilities and Net Assets</w:t>
            </w:r>
          </w:p>
        </w:tc>
        <w:tc>
          <w:tcPr>
            <w:tcW w:w="1180" w:type="dxa"/>
            <w:vAlign w:val="bottom"/>
            <w:tcBorders>
              <w:bottom w:val="single" w:sz="8" w:color="auto"/>
            </w:tcBorders>
          </w:tcPr>
          <w:p>
            <w:pPr>
              <w:jc w:val="right"/>
              <w:ind w:right="1072"/>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2,491,175</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2,551,857</w:t>
            </w:r>
          </w:p>
        </w:tc>
        <w:tc>
          <w:tcPr>
            <w:tcW w:w="120" w:type="dxa"/>
            <w:vAlign w:val="bottom"/>
            <w:tcBorders>
              <w:bottom w:val="single" w:sz="8" w:color="CFF0FC"/>
            </w:tcBorders>
          </w:tcPr>
          <w:p>
            <w:pPr>
              <w:spacing w:after="0"/>
              <w:rPr>
                <w:sz w:val="13"/>
                <w:szCs w:val="13"/>
                <w:color w:val="auto"/>
              </w:rPr>
            </w:pPr>
          </w:p>
        </w:tc>
      </w:tr>
      <w:tr>
        <w:trPr>
          <w:trHeight w:val="169"/>
        </w:trPr>
        <w:tc>
          <w:tcPr>
            <w:tcW w:w="736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3"/>
                <w:szCs w:val="13"/>
                <w:b w:val="1"/>
                <w:bCs w:val="1"/>
                <w:color w:val="auto"/>
              </w:rPr>
              <w:t>Net Asset Value Per Share</w:t>
            </w:r>
          </w:p>
        </w:tc>
        <w:tc>
          <w:tcPr>
            <w:tcW w:w="1180" w:type="dxa"/>
            <w:vAlign w:val="bottom"/>
            <w:tcBorders>
              <w:bottom w:val="single" w:sz="8" w:color="auto"/>
            </w:tcBorders>
            <w:shd w:val="clear" w:color="auto" w:fill="CFF0FC"/>
          </w:tcPr>
          <w:p>
            <w:pPr>
              <w:jc w:val="right"/>
              <w:ind w:right="1072"/>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16.88</w:t>
            </w:r>
          </w:p>
        </w:tc>
        <w:tc>
          <w:tcPr>
            <w:tcW w:w="3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ind w:right="213"/>
              <w:spacing w:after="0"/>
              <w:rPr>
                <w:sz w:val="20"/>
                <w:szCs w:val="20"/>
                <w:color w:val="auto"/>
              </w:rPr>
            </w:pPr>
            <w:r>
              <w:rPr>
                <w:rFonts w:ascii="Arial" w:cs="Arial" w:eastAsia="Arial" w:hAnsi="Arial"/>
                <w:sz w:val="9"/>
                <w:szCs w:val="9"/>
                <w:color w:val="auto"/>
                <w:w w:val="7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16.84</w:t>
            </w:r>
          </w:p>
        </w:tc>
        <w:tc>
          <w:tcPr>
            <w:tcW w:w="120" w:type="dxa"/>
            <w:vAlign w:val="bottom"/>
            <w:tcBorders>
              <w:bottom w:val="single" w:sz="8" w:color="CFF0FC"/>
            </w:tcBorders>
            <w:shd w:val="clear" w:color="auto" w:fill="CFF0FC"/>
          </w:tcPr>
          <w:p>
            <w:pPr>
              <w:spacing w:after="0"/>
              <w:rPr>
                <w:sz w:val="14"/>
                <w:szCs w:val="14"/>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3"/>
          <w:szCs w:val="13"/>
          <w:b w:val="1"/>
          <w:bCs w:val="1"/>
          <w:color w:val="auto"/>
        </w:rPr>
        <w:t>Sixth Street Specialty Lending,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 except share and per share amounts)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3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6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March 31, 2022</w:t>
            </w:r>
          </w:p>
        </w:tc>
        <w:tc>
          <w:tcPr>
            <w:tcW w:w="1240" w:type="dxa"/>
            <w:vAlign w:val="bottom"/>
            <w:gridSpan w:val="3"/>
          </w:tcPr>
          <w:p>
            <w:pPr>
              <w:jc w:val="right"/>
              <w:ind w:right="70"/>
              <w:spacing w:after="0"/>
              <w:rPr>
                <w:sz w:val="20"/>
                <w:szCs w:val="20"/>
                <w:color w:val="auto"/>
              </w:rPr>
            </w:pPr>
            <w:r>
              <w:rPr>
                <w:rFonts w:ascii="Arial" w:cs="Arial" w:eastAsia="Arial" w:hAnsi="Arial"/>
                <w:sz w:val="10"/>
                <w:szCs w:val="10"/>
                <w:b w:val="1"/>
                <w:bCs w:val="1"/>
                <w:color w:val="auto"/>
              </w:rPr>
              <w:t>Three Months Ended</w:t>
            </w: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rPr>
              <w:t>March 31, 2021</w:t>
            </w: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Income</w:t>
            </w:r>
          </w:p>
        </w:tc>
        <w:tc>
          <w:tcPr>
            <w:tcW w:w="2040" w:type="dxa"/>
            <w:vAlign w:val="bottom"/>
            <w:tcBorders>
              <w:top w:val="single" w:sz="8" w:color="CFF0FC"/>
            </w:tcBorders>
            <w:shd w:val="clear" w:color="auto" w:fill="CFF0FC"/>
          </w:tcPr>
          <w:p>
            <w:pPr>
              <w:spacing w:after="0"/>
              <w:rPr>
                <w:sz w:val="8"/>
                <w:szCs w:val="8"/>
                <w:color w:val="auto"/>
              </w:rPr>
            </w:pPr>
          </w:p>
        </w:tc>
        <w:tc>
          <w:tcPr>
            <w:tcW w:w="12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340" w:type="dxa"/>
            <w:vAlign w:val="bottom"/>
            <w:tcBorders>
              <w:top w:val="single" w:sz="8" w:color="auto"/>
            </w:tcBorders>
            <w:shd w:val="clear" w:color="auto" w:fill="CFF0FC"/>
          </w:tcPr>
          <w:p>
            <w:pPr>
              <w:spacing w:after="0"/>
              <w:rPr>
                <w:sz w:val="8"/>
                <w:szCs w:val="8"/>
                <w:color w:val="auto"/>
              </w:rPr>
            </w:pP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color w:val="auto"/>
              </w:rPr>
              <w:t>Investment income from non-controlled, non-affiliated investments: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Interest from investments</w:t>
            </w:r>
          </w:p>
        </w:tc>
        <w:tc>
          <w:tcPr>
            <w:tcW w:w="3300" w:type="dxa"/>
            <w:vAlign w:val="bottom"/>
            <w:gridSpan w:val="2"/>
            <w:shd w:val="clear" w:color="auto" w:fill="CFF0FC"/>
          </w:tcPr>
          <w:p>
            <w:pPr>
              <w:jc w:val="right"/>
              <w:ind w:right="1189"/>
              <w:spacing w:after="0" w:line="114" w:lineRule="exact"/>
              <w:rPr>
                <w:sz w:val="20"/>
                <w:szCs w:val="20"/>
                <w:color w:val="auto"/>
              </w:rPr>
            </w:pPr>
            <w:r>
              <w:rPr>
                <w:rFonts w:ascii="Arial" w:cs="Arial" w:eastAsia="Arial" w:hAnsi="Arial"/>
                <w:sz w:val="10"/>
                <w:szCs w:val="10"/>
                <w:color w:val="auto"/>
              </w:rPr>
              <w:t>$</w:t>
            </w: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64,233</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jc w:val="right"/>
              <w:ind w:right="330"/>
              <w:spacing w:after="0" w:line="114" w:lineRule="exact"/>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61,765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Dividend income</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235</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507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Other income</w:t>
            </w:r>
          </w:p>
        </w:tc>
        <w:tc>
          <w:tcPr>
            <w:tcW w:w="2040" w:type="dxa"/>
            <w:vAlign w:val="bottom"/>
            <w:shd w:val="clear" w:color="auto" w:fill="CFF0FC"/>
          </w:tcPr>
          <w:p>
            <w:pPr>
              <w:spacing w:after="0"/>
              <w:rPr>
                <w:sz w:val="9"/>
                <w:szCs w:val="9"/>
                <w:color w:val="auto"/>
              </w:rPr>
            </w:pPr>
          </w:p>
        </w:tc>
        <w:tc>
          <w:tcPr>
            <w:tcW w:w="126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line="114" w:lineRule="exact"/>
              <w:rPr>
                <w:sz w:val="20"/>
                <w:szCs w:val="20"/>
                <w:color w:val="auto"/>
              </w:rPr>
            </w:pPr>
            <w:r>
              <w:rPr>
                <w:rFonts w:ascii="Arial" w:cs="Arial" w:eastAsia="Arial" w:hAnsi="Arial"/>
                <w:sz w:val="10"/>
                <w:szCs w:val="10"/>
                <w:color w:val="auto"/>
              </w:rPr>
              <w:t>1,762</w:t>
            </w:r>
          </w:p>
        </w:tc>
        <w:tc>
          <w:tcPr>
            <w:tcW w:w="280" w:type="dxa"/>
            <w:vAlign w:val="bottom"/>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1340" w:type="dxa"/>
            <w:vAlign w:val="bottom"/>
            <w:tcBorders>
              <w:bottom w:val="single" w:sz="8" w:color="auto"/>
            </w:tcBorders>
            <w:shd w:val="clear" w:color="auto" w:fill="CFF0FC"/>
          </w:tcPr>
          <w:p>
            <w:pPr>
              <w:jc w:val="right"/>
              <w:spacing w:after="0" w:line="114" w:lineRule="exact"/>
              <w:rPr>
                <w:sz w:val="20"/>
                <w:szCs w:val="20"/>
                <w:color w:val="auto"/>
              </w:rPr>
            </w:pPr>
            <w:r>
              <w:rPr>
                <w:rFonts w:ascii="Arial" w:cs="Arial" w:eastAsia="Arial" w:hAnsi="Arial"/>
                <w:sz w:val="10"/>
                <w:szCs w:val="10"/>
                <w:color w:val="auto"/>
              </w:rPr>
              <w:t>2,277</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300" w:type="dxa"/>
            <w:vAlign w:val="bottom"/>
          </w:tcPr>
          <w:p>
            <w:pPr>
              <w:ind w:left="340"/>
              <w:spacing w:after="0" w:line="103" w:lineRule="exact"/>
              <w:rPr>
                <w:sz w:val="20"/>
                <w:szCs w:val="20"/>
                <w:color w:val="auto"/>
              </w:rPr>
            </w:pPr>
            <w:r>
              <w:rPr>
                <w:rFonts w:ascii="Arial" w:cs="Arial" w:eastAsia="Arial" w:hAnsi="Arial"/>
                <w:sz w:val="10"/>
                <w:szCs w:val="10"/>
                <w:color w:val="auto"/>
              </w:rPr>
              <w:t>Total investment income from non-controlled, non-affiliated investments</w:t>
            </w:r>
          </w:p>
        </w:tc>
        <w:tc>
          <w:tcPr>
            <w:tcW w:w="2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Arial" w:cs="Arial" w:eastAsia="Arial" w:hAnsi="Arial"/>
                <w:sz w:val="10"/>
                <w:szCs w:val="10"/>
                <w:color w:val="auto"/>
              </w:rPr>
              <w:t>66,230</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jc w:val="right"/>
              <w:spacing w:after="0" w:line="103" w:lineRule="exact"/>
              <w:rPr>
                <w:sz w:val="20"/>
                <w:szCs w:val="20"/>
                <w:color w:val="auto"/>
              </w:rPr>
            </w:pPr>
            <w:r>
              <w:rPr>
                <w:rFonts w:ascii="Arial" w:cs="Arial" w:eastAsia="Arial" w:hAnsi="Arial"/>
                <w:sz w:val="10"/>
                <w:szCs w:val="10"/>
                <w:color w:val="auto"/>
              </w:rPr>
              <w:t>64,549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Investment income from non-controlled, affiliated investments: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Interest from investments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133</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211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Dividend income</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300"/>
              <w:spacing w:after="0" w:line="114" w:lineRule="exact"/>
              <w:rPr>
                <w:sz w:val="20"/>
                <w:szCs w:val="20"/>
                <w:color w:val="auto"/>
              </w:rPr>
            </w:pPr>
            <w:r>
              <w:rPr>
                <w:rFonts w:ascii="Arial" w:cs="Arial" w:eastAsia="Arial" w:hAnsi="Arial"/>
                <w:sz w:val="10"/>
                <w:szCs w:val="10"/>
                <w:color w:val="auto"/>
              </w:rPr>
              <w:t>—</w:t>
            </w: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545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Other income</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gridSpan w:val="2"/>
          </w:tcPr>
          <w:p>
            <w:pPr>
              <w:jc w:val="right"/>
              <w:ind w:right="300"/>
              <w:spacing w:after="0" w:line="114"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1460" w:type="dxa"/>
            <w:vAlign w:val="bottom"/>
            <w:gridSpan w:val="2"/>
          </w:tcPr>
          <w:p>
            <w:pPr>
              <w:jc w:val="right"/>
              <w:ind w:right="120"/>
              <w:spacing w:after="0" w:line="11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3"/>
        </w:trPr>
        <w:tc>
          <w:tcPr>
            <w:tcW w:w="5300" w:type="dxa"/>
            <w:vAlign w:val="bottom"/>
            <w:tcBorders>
              <w:top w:val="single" w:sz="8" w:color="CFF0FC"/>
            </w:tcBorders>
            <w:shd w:val="clear" w:color="auto" w:fill="CFF0FC"/>
          </w:tcPr>
          <w:p>
            <w:pPr>
              <w:ind w:left="340"/>
              <w:spacing w:after="0" w:line="103" w:lineRule="exact"/>
              <w:rPr>
                <w:sz w:val="20"/>
                <w:szCs w:val="20"/>
                <w:color w:val="auto"/>
              </w:rPr>
            </w:pPr>
            <w:r>
              <w:rPr>
                <w:rFonts w:ascii="Arial" w:cs="Arial" w:eastAsia="Arial" w:hAnsi="Arial"/>
                <w:sz w:val="10"/>
                <w:szCs w:val="10"/>
                <w:color w:val="auto"/>
              </w:rPr>
              <w:t>Total investment income from non-controlled, affiliated investments</w:t>
            </w:r>
          </w:p>
        </w:tc>
        <w:tc>
          <w:tcPr>
            <w:tcW w:w="2040" w:type="dxa"/>
            <w:vAlign w:val="bottom"/>
            <w:tcBorders>
              <w:top w:val="single" w:sz="8" w:color="CFF0FC"/>
            </w:tcBorders>
            <w:shd w:val="clear" w:color="auto" w:fill="CFF0FC"/>
          </w:tcPr>
          <w:p>
            <w:pPr>
              <w:spacing w:after="0"/>
              <w:rPr>
                <w:sz w:val="8"/>
                <w:szCs w:val="8"/>
                <w:color w:val="auto"/>
              </w:rPr>
            </w:pPr>
          </w:p>
        </w:tc>
        <w:tc>
          <w:tcPr>
            <w:tcW w:w="12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133</w:t>
            </w:r>
          </w:p>
        </w:tc>
        <w:tc>
          <w:tcPr>
            <w:tcW w:w="28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auto"/>
            </w:tcBorders>
            <w:shd w:val="clear" w:color="auto" w:fill="CFF0FC"/>
          </w:tcPr>
          <w:p>
            <w:pPr>
              <w:spacing w:after="0"/>
              <w:rPr>
                <w:sz w:val="8"/>
                <w:szCs w:val="8"/>
                <w:color w:val="auto"/>
              </w:rPr>
            </w:pPr>
          </w:p>
        </w:tc>
        <w:tc>
          <w:tcPr>
            <w:tcW w:w="134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756</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color w:val="auto"/>
              </w:rPr>
              <w:t>Investment income from controlled, affiliated investments: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Interest from investments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1,065</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936</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Borders>
              <w:bottom w:val="single" w:sz="8" w:color="CFF0FC"/>
            </w:tcBorders>
          </w:tcPr>
          <w:p>
            <w:pPr>
              <w:ind w:left="160"/>
              <w:spacing w:after="0" w:line="114" w:lineRule="exact"/>
              <w:rPr>
                <w:sz w:val="20"/>
                <w:szCs w:val="20"/>
                <w:color w:val="auto"/>
              </w:rPr>
            </w:pPr>
            <w:r>
              <w:rPr>
                <w:rFonts w:ascii="Arial" w:cs="Arial" w:eastAsia="Arial" w:hAnsi="Arial"/>
                <w:sz w:val="10"/>
                <w:szCs w:val="10"/>
                <w:color w:val="auto"/>
              </w:rPr>
              <w:t>Other income</w:t>
            </w:r>
          </w:p>
        </w:tc>
        <w:tc>
          <w:tcPr>
            <w:tcW w:w="2040" w:type="dxa"/>
            <w:vAlign w:val="bottom"/>
            <w:tcBorders>
              <w:bottom w:val="single" w:sz="8" w:color="CFF0FC"/>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w:t>
            </w:r>
          </w:p>
        </w:tc>
        <w:tc>
          <w:tcPr>
            <w:tcW w:w="28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ind w:left="340"/>
              <w:spacing w:after="0" w:line="103" w:lineRule="exact"/>
              <w:rPr>
                <w:sz w:val="20"/>
                <w:szCs w:val="20"/>
                <w:color w:val="auto"/>
              </w:rPr>
            </w:pPr>
            <w:r>
              <w:rPr>
                <w:rFonts w:ascii="Arial" w:cs="Arial" w:eastAsia="Arial" w:hAnsi="Arial"/>
                <w:sz w:val="10"/>
                <w:szCs w:val="10"/>
                <w:color w:val="auto"/>
              </w:rPr>
              <w:t>Total investment income from controlled, affiliated investments</w:t>
            </w:r>
          </w:p>
        </w:tc>
        <w:tc>
          <w:tcPr>
            <w:tcW w:w="2040" w:type="dxa"/>
            <w:vAlign w:val="bottom"/>
            <w:shd w:val="clear" w:color="auto" w:fill="CFF0FC"/>
          </w:tcPr>
          <w:p>
            <w:pPr>
              <w:spacing w:after="0"/>
              <w:rPr>
                <w:sz w:val="8"/>
                <w:szCs w:val="8"/>
                <w:color w:val="auto"/>
              </w:rPr>
            </w:pPr>
          </w:p>
        </w:tc>
        <w:tc>
          <w:tcPr>
            <w:tcW w:w="12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1,066</w:t>
            </w:r>
          </w:p>
        </w:tc>
        <w:tc>
          <w:tcPr>
            <w:tcW w:w="280" w:type="dxa"/>
            <w:vAlign w:val="bottom"/>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937</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tcBorders>
              <w:bottom w:val="single" w:sz="8" w:color="CFF0FC"/>
            </w:tcBorders>
          </w:tcPr>
          <w:p>
            <w:pPr>
              <w:ind w:left="520"/>
              <w:spacing w:after="0" w:line="103" w:lineRule="exact"/>
              <w:rPr>
                <w:sz w:val="20"/>
                <w:szCs w:val="20"/>
                <w:color w:val="auto"/>
              </w:rPr>
            </w:pPr>
            <w:r>
              <w:rPr>
                <w:rFonts w:ascii="Arial" w:cs="Arial" w:eastAsia="Arial" w:hAnsi="Arial"/>
                <w:sz w:val="10"/>
                <w:szCs w:val="10"/>
                <w:b w:val="1"/>
                <w:bCs w:val="1"/>
                <w:color w:val="auto"/>
              </w:rPr>
              <w:t>Total Investment Income</w:t>
            </w:r>
          </w:p>
        </w:tc>
        <w:tc>
          <w:tcPr>
            <w:tcW w:w="2040" w:type="dxa"/>
            <w:vAlign w:val="bottom"/>
            <w:tcBorders>
              <w:bottom w:val="single" w:sz="8" w:color="CFF0FC"/>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67,429</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66,242</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Expenses</w:t>
            </w:r>
          </w:p>
        </w:tc>
        <w:tc>
          <w:tcPr>
            <w:tcW w:w="204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color w:val="auto"/>
              </w:rPr>
              <w:t>Interest</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9,602</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8,953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Management fees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9,330</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8,738</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color w:val="auto"/>
              </w:rPr>
              <w:t>Incentive fees on net investment income</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7,877</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7,811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Incentive fees on net capital gains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1,424</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4,515</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color w:val="auto"/>
              </w:rPr>
              <w:t>Professional fees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1,484</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1,395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Directors’ fees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191</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194</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color w:val="auto"/>
              </w:rPr>
              <w:t>Other general and administrative</w:t>
            </w:r>
          </w:p>
        </w:tc>
        <w:tc>
          <w:tcPr>
            <w:tcW w:w="2040" w:type="dxa"/>
            <w:vAlign w:val="bottom"/>
            <w:tcBorders>
              <w:bottom w:val="single" w:sz="8" w:color="CFF0FC"/>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1,459</w:t>
            </w:r>
          </w:p>
        </w:tc>
        <w:tc>
          <w:tcPr>
            <w:tcW w:w="280" w:type="dxa"/>
            <w:vAlign w:val="bottom"/>
            <w:tcBorders>
              <w:bottom w:val="single" w:sz="8" w:color="CFF0FC"/>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1,866</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ind w:left="340"/>
              <w:spacing w:after="0" w:line="103" w:lineRule="exact"/>
              <w:rPr>
                <w:sz w:val="20"/>
                <w:szCs w:val="20"/>
                <w:color w:val="auto"/>
              </w:rPr>
            </w:pPr>
            <w:r>
              <w:rPr>
                <w:rFonts w:ascii="Arial" w:cs="Arial" w:eastAsia="Arial" w:hAnsi="Arial"/>
                <w:sz w:val="10"/>
                <w:szCs w:val="10"/>
                <w:color w:val="auto"/>
              </w:rPr>
              <w:t>Total expenses</w:t>
            </w:r>
          </w:p>
        </w:tc>
        <w:tc>
          <w:tcPr>
            <w:tcW w:w="2040" w:type="dxa"/>
            <w:vAlign w:val="bottom"/>
            <w:shd w:val="clear" w:color="auto" w:fill="CFF0FC"/>
          </w:tcPr>
          <w:p>
            <w:pPr>
              <w:spacing w:after="0"/>
              <w:rPr>
                <w:sz w:val="8"/>
                <w:szCs w:val="8"/>
                <w:color w:val="auto"/>
              </w:rPr>
            </w:pPr>
          </w:p>
        </w:tc>
        <w:tc>
          <w:tcPr>
            <w:tcW w:w="12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31,367</w:t>
            </w:r>
          </w:p>
        </w:tc>
        <w:tc>
          <w:tcPr>
            <w:tcW w:w="280" w:type="dxa"/>
            <w:vAlign w:val="bottom"/>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33,472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tcBorders>
              <w:bottom w:val="single" w:sz="8" w:color="CFF0FC"/>
            </w:tcBorders>
          </w:tcPr>
          <w:p>
            <w:pPr>
              <w:spacing w:after="0" w:line="103" w:lineRule="exact"/>
              <w:rPr>
                <w:sz w:val="20"/>
                <w:szCs w:val="20"/>
                <w:color w:val="auto"/>
              </w:rPr>
            </w:pPr>
            <w:r>
              <w:rPr>
                <w:rFonts w:ascii="Arial" w:cs="Arial" w:eastAsia="Arial" w:hAnsi="Arial"/>
                <w:sz w:val="10"/>
                <w:szCs w:val="10"/>
                <w:color w:val="auto"/>
              </w:rPr>
              <w:t>Management fees waived (Note 3)</w:t>
            </w:r>
          </w:p>
        </w:tc>
        <w:tc>
          <w:tcPr>
            <w:tcW w:w="2040" w:type="dxa"/>
            <w:vAlign w:val="bottom"/>
            <w:tcBorders>
              <w:bottom w:val="single" w:sz="8" w:color="CFF0FC"/>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ind w:left="520"/>
              <w:spacing w:after="0" w:line="103" w:lineRule="exact"/>
              <w:rPr>
                <w:sz w:val="20"/>
                <w:szCs w:val="20"/>
                <w:color w:val="auto"/>
              </w:rPr>
            </w:pPr>
            <w:r>
              <w:rPr>
                <w:rFonts w:ascii="Arial" w:cs="Arial" w:eastAsia="Arial" w:hAnsi="Arial"/>
                <w:sz w:val="10"/>
                <w:szCs w:val="10"/>
                <w:b w:val="1"/>
                <w:bCs w:val="1"/>
                <w:color w:val="auto"/>
              </w:rPr>
              <w:t>Net Expenses</w:t>
            </w:r>
          </w:p>
        </w:tc>
        <w:tc>
          <w:tcPr>
            <w:tcW w:w="2040" w:type="dxa"/>
            <w:vAlign w:val="bottom"/>
            <w:shd w:val="clear" w:color="auto" w:fill="CFF0FC"/>
          </w:tcPr>
          <w:p>
            <w:pPr>
              <w:spacing w:after="0"/>
              <w:rPr>
                <w:sz w:val="8"/>
                <w:szCs w:val="8"/>
                <w:color w:val="auto"/>
              </w:rPr>
            </w:pPr>
          </w:p>
        </w:tc>
        <w:tc>
          <w:tcPr>
            <w:tcW w:w="12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31,367</w:t>
            </w:r>
          </w:p>
        </w:tc>
        <w:tc>
          <w:tcPr>
            <w:tcW w:w="280" w:type="dxa"/>
            <w:vAlign w:val="bottom"/>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33,472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tcPr>
          <w:p>
            <w:pPr>
              <w:spacing w:after="0" w:line="103" w:lineRule="exact"/>
              <w:rPr>
                <w:sz w:val="20"/>
                <w:szCs w:val="20"/>
                <w:color w:val="auto"/>
              </w:rPr>
            </w:pPr>
            <w:r>
              <w:rPr>
                <w:rFonts w:ascii="Arial" w:cs="Arial" w:eastAsia="Arial" w:hAnsi="Arial"/>
                <w:sz w:val="10"/>
                <w:szCs w:val="10"/>
                <w:b w:val="1"/>
                <w:bCs w:val="1"/>
                <w:color w:val="auto"/>
              </w:rPr>
              <w:t>Net Investment Income Before Income Taxes</w:t>
            </w:r>
          </w:p>
        </w:tc>
        <w:tc>
          <w:tcPr>
            <w:tcW w:w="2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Arial" w:cs="Arial" w:eastAsia="Arial" w:hAnsi="Arial"/>
                <w:sz w:val="10"/>
                <w:szCs w:val="10"/>
                <w:color w:val="auto"/>
              </w:rPr>
              <w:t>36,062</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jc w:val="right"/>
              <w:spacing w:after="0" w:line="103" w:lineRule="exact"/>
              <w:rPr>
                <w:sz w:val="20"/>
                <w:szCs w:val="20"/>
                <w:color w:val="auto"/>
              </w:rPr>
            </w:pPr>
            <w:r>
              <w:rPr>
                <w:rFonts w:ascii="Arial" w:cs="Arial" w:eastAsia="Arial" w:hAnsi="Arial"/>
                <w:sz w:val="10"/>
                <w:szCs w:val="10"/>
                <w:color w:val="auto"/>
              </w:rPr>
              <w:t>32,770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Income taxes, including excise taxes</w:t>
            </w:r>
          </w:p>
        </w:tc>
        <w:tc>
          <w:tcPr>
            <w:tcW w:w="2040" w:type="dxa"/>
            <w:vAlign w:val="bottom"/>
            <w:shd w:val="clear" w:color="auto" w:fill="CFF0FC"/>
          </w:tcPr>
          <w:p>
            <w:pPr>
              <w:spacing w:after="0"/>
              <w:rPr>
                <w:sz w:val="9"/>
                <w:szCs w:val="9"/>
                <w:color w:val="auto"/>
              </w:rPr>
            </w:pPr>
          </w:p>
        </w:tc>
        <w:tc>
          <w:tcPr>
            <w:tcW w:w="1260" w:type="dxa"/>
            <w:vAlign w:val="bottom"/>
            <w:tcBorders>
              <w:bottom w:val="single" w:sz="8" w:color="auto"/>
            </w:tcBorders>
            <w:shd w:val="clear" w:color="auto" w:fill="CFF0FC"/>
          </w:tcPr>
          <w:p>
            <w:pPr>
              <w:spacing w:after="0"/>
              <w:rPr>
                <w:sz w:val="9"/>
                <w:szCs w:val="9"/>
                <w:color w:val="auto"/>
              </w:rPr>
            </w:pPr>
          </w:p>
        </w:tc>
        <w:tc>
          <w:tcPr>
            <w:tcW w:w="520" w:type="dxa"/>
            <w:vAlign w:val="bottom"/>
            <w:tcBorders>
              <w:bottom w:val="single" w:sz="8" w:color="auto"/>
            </w:tcBorders>
            <w:shd w:val="clear" w:color="auto" w:fill="CFF0FC"/>
          </w:tcPr>
          <w:p>
            <w:pPr>
              <w:jc w:val="right"/>
              <w:spacing w:after="0" w:line="114" w:lineRule="exact"/>
              <w:rPr>
                <w:sz w:val="20"/>
                <w:szCs w:val="20"/>
                <w:color w:val="auto"/>
              </w:rPr>
            </w:pPr>
            <w:r>
              <w:rPr>
                <w:rFonts w:ascii="Arial" w:cs="Arial" w:eastAsia="Arial" w:hAnsi="Arial"/>
                <w:sz w:val="10"/>
                <w:szCs w:val="10"/>
                <w:color w:val="auto"/>
              </w:rPr>
              <w:t>350</w:t>
            </w:r>
          </w:p>
        </w:tc>
        <w:tc>
          <w:tcPr>
            <w:tcW w:w="280" w:type="dxa"/>
            <w:vAlign w:val="bottom"/>
            <w:shd w:val="clear" w:color="auto" w:fill="CFF0FC"/>
          </w:tcPr>
          <w:p>
            <w:pPr>
              <w:spacing w:after="0"/>
              <w:rPr>
                <w:sz w:val="9"/>
                <w:szCs w:val="9"/>
                <w:color w:val="auto"/>
              </w:rPr>
            </w:pPr>
          </w:p>
        </w:tc>
        <w:tc>
          <w:tcPr>
            <w:tcW w:w="440" w:type="dxa"/>
            <w:vAlign w:val="bottom"/>
            <w:tcBorders>
              <w:bottom w:val="single" w:sz="8" w:color="auto"/>
            </w:tcBorders>
            <w:shd w:val="clear" w:color="auto" w:fill="CFF0FC"/>
          </w:tcPr>
          <w:p>
            <w:pPr>
              <w:spacing w:after="0"/>
              <w:rPr>
                <w:sz w:val="9"/>
                <w:szCs w:val="9"/>
                <w:color w:val="auto"/>
              </w:rPr>
            </w:pPr>
          </w:p>
        </w:tc>
        <w:tc>
          <w:tcPr>
            <w:tcW w:w="1340" w:type="dxa"/>
            <w:vAlign w:val="bottom"/>
            <w:tcBorders>
              <w:bottom w:val="single" w:sz="8" w:color="auto"/>
            </w:tcBorders>
            <w:shd w:val="clear" w:color="auto" w:fill="CFF0FC"/>
          </w:tcPr>
          <w:p>
            <w:pPr>
              <w:jc w:val="right"/>
              <w:spacing w:after="0" w:line="114" w:lineRule="exact"/>
              <w:rPr>
                <w:sz w:val="20"/>
                <w:szCs w:val="20"/>
                <w:color w:val="auto"/>
              </w:rPr>
            </w:pPr>
            <w:r>
              <w:rPr>
                <w:rFonts w:ascii="Arial" w:cs="Arial" w:eastAsia="Arial" w:hAnsi="Arial"/>
                <w:sz w:val="10"/>
                <w:szCs w:val="10"/>
                <w:color w:val="auto"/>
              </w:rPr>
              <w:t>460</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300" w:type="dxa"/>
            <w:vAlign w:val="bottom"/>
          </w:tcPr>
          <w:p>
            <w:pPr>
              <w:spacing w:after="0" w:line="103" w:lineRule="exact"/>
              <w:rPr>
                <w:sz w:val="20"/>
                <w:szCs w:val="20"/>
                <w:color w:val="auto"/>
              </w:rPr>
            </w:pPr>
            <w:r>
              <w:rPr>
                <w:rFonts w:ascii="Arial" w:cs="Arial" w:eastAsia="Arial" w:hAnsi="Arial"/>
                <w:sz w:val="10"/>
                <w:szCs w:val="10"/>
                <w:b w:val="1"/>
                <w:bCs w:val="1"/>
                <w:color w:val="auto"/>
              </w:rPr>
              <w:t>Net Investment Income</w:t>
            </w:r>
          </w:p>
        </w:tc>
        <w:tc>
          <w:tcPr>
            <w:tcW w:w="20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Arial" w:cs="Arial" w:eastAsia="Arial" w:hAnsi="Arial"/>
                <w:sz w:val="10"/>
                <w:szCs w:val="10"/>
                <w:color w:val="auto"/>
              </w:rPr>
              <w:t>35,712</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340" w:type="dxa"/>
            <w:vAlign w:val="bottom"/>
          </w:tcPr>
          <w:p>
            <w:pPr>
              <w:jc w:val="right"/>
              <w:spacing w:after="0" w:line="103" w:lineRule="exact"/>
              <w:rPr>
                <w:sz w:val="20"/>
                <w:szCs w:val="20"/>
                <w:color w:val="auto"/>
              </w:rPr>
            </w:pPr>
            <w:r>
              <w:rPr>
                <w:rFonts w:ascii="Arial" w:cs="Arial" w:eastAsia="Arial" w:hAnsi="Arial"/>
                <w:sz w:val="10"/>
                <w:szCs w:val="10"/>
                <w:color w:val="auto"/>
              </w:rPr>
              <w:t>32,310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spacing w:after="0" w:line="114" w:lineRule="exact"/>
              <w:rPr>
                <w:sz w:val="20"/>
                <w:szCs w:val="20"/>
                <w:color w:val="auto"/>
              </w:rPr>
            </w:pPr>
            <w:r>
              <w:rPr>
                <w:rFonts w:ascii="Arial" w:cs="Arial" w:eastAsia="Arial" w:hAnsi="Arial"/>
                <w:sz w:val="10"/>
                <w:szCs w:val="10"/>
                <w:b w:val="1"/>
                <w:bCs w:val="1"/>
                <w:color w:val="auto"/>
              </w:rPr>
              <w:t>Unrealized and Realized Gains (Losses)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spacing w:after="0" w:line="114" w:lineRule="exact"/>
              <w:rPr>
                <w:sz w:val="20"/>
                <w:szCs w:val="20"/>
                <w:color w:val="auto"/>
              </w:rPr>
            </w:pPr>
            <w:r>
              <w:rPr>
                <w:rFonts w:ascii="Arial" w:cs="Arial" w:eastAsia="Arial" w:hAnsi="Arial"/>
                <w:sz w:val="10"/>
                <w:szCs w:val="10"/>
                <w:color w:val="auto"/>
              </w:rPr>
              <w:t>Net change in unrealized gains (losses):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Non-controlled, non-affiliated investments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4" w:lineRule="exact"/>
              <w:rPr>
                <w:sz w:val="20"/>
                <w:szCs w:val="20"/>
                <w:color w:val="auto"/>
              </w:rPr>
            </w:pPr>
            <w:r>
              <w:rPr>
                <w:rFonts w:ascii="Arial" w:cs="Arial" w:eastAsia="Arial" w:hAnsi="Arial"/>
                <w:sz w:val="10"/>
                <w:szCs w:val="10"/>
                <w:color w:val="auto"/>
              </w:rPr>
              <w:t>(5,622)</w:t>
            </w:r>
          </w:p>
        </w:tc>
        <w:tc>
          <w:tcPr>
            <w:tcW w:w="440" w:type="dxa"/>
            <w:vAlign w:val="bottom"/>
            <w:shd w:val="clear" w:color="auto" w:fill="CFF0FC"/>
          </w:tcPr>
          <w:p>
            <w:pPr>
              <w:spacing w:after="0"/>
              <w:rPr>
                <w:sz w:val="9"/>
                <w:szCs w:val="9"/>
                <w:color w:val="auto"/>
              </w:rPr>
            </w:pPr>
          </w:p>
        </w:tc>
        <w:tc>
          <w:tcPr>
            <w:tcW w:w="134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9,363</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Non-controlled, affiliated investments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gridSpan w:val="2"/>
          </w:tcPr>
          <w:p>
            <w:pPr>
              <w:jc w:val="right"/>
              <w:ind w:right="240"/>
              <w:spacing w:after="0" w:line="114" w:lineRule="exact"/>
              <w:rPr>
                <w:sz w:val="20"/>
                <w:szCs w:val="20"/>
                <w:color w:val="auto"/>
              </w:rPr>
            </w:pPr>
            <w:r>
              <w:rPr>
                <w:rFonts w:ascii="Arial" w:cs="Arial" w:eastAsia="Arial" w:hAnsi="Arial"/>
                <w:sz w:val="10"/>
                <w:szCs w:val="10"/>
                <w:color w:val="auto"/>
              </w:rPr>
              <w:t>(14,350)</w:t>
            </w: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2,082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Controlled, affiliated investments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16,220</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460" w:type="dxa"/>
            <w:vAlign w:val="bottom"/>
            <w:gridSpan w:val="2"/>
            <w:shd w:val="clear" w:color="auto" w:fill="CFF0FC"/>
          </w:tcPr>
          <w:p>
            <w:pPr>
              <w:jc w:val="right"/>
              <w:ind w:right="80"/>
              <w:spacing w:after="0" w:line="114"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Translation of other assets and liabilities in foreign currencies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gridSpan w:val="2"/>
          </w:tcPr>
          <w:p>
            <w:pPr>
              <w:jc w:val="right"/>
              <w:ind w:right="240"/>
              <w:spacing w:after="0" w:line="114" w:lineRule="exact"/>
              <w:rPr>
                <w:sz w:val="20"/>
                <w:szCs w:val="20"/>
                <w:color w:val="auto"/>
              </w:rPr>
            </w:pPr>
            <w:r>
              <w:rPr>
                <w:rFonts w:ascii="Arial" w:cs="Arial" w:eastAsia="Arial" w:hAnsi="Arial"/>
                <w:sz w:val="10"/>
                <w:szCs w:val="10"/>
                <w:color w:val="auto"/>
              </w:rPr>
              <w:t>(1,800)</w:t>
            </w: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133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Interest rate swaps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800" w:type="dxa"/>
            <w:vAlign w:val="bottom"/>
            <w:gridSpan w:val="2"/>
            <w:shd w:val="clear" w:color="auto" w:fill="CFF0FC"/>
          </w:tcPr>
          <w:p>
            <w:pPr>
              <w:jc w:val="right"/>
              <w:ind w:right="240"/>
              <w:spacing w:after="0" w:line="114" w:lineRule="exact"/>
              <w:rPr>
                <w:sz w:val="20"/>
                <w:szCs w:val="20"/>
                <w:color w:val="auto"/>
              </w:rPr>
            </w:pPr>
            <w:r>
              <w:rPr>
                <w:rFonts w:ascii="Arial" w:cs="Arial" w:eastAsia="Arial" w:hAnsi="Arial"/>
                <w:sz w:val="10"/>
                <w:szCs w:val="10"/>
                <w:color w:val="auto"/>
              </w:rPr>
              <w:t>(2,943)</w:t>
            </w:r>
          </w:p>
        </w:tc>
        <w:tc>
          <w:tcPr>
            <w:tcW w:w="440" w:type="dxa"/>
            <w:vAlign w:val="bottom"/>
            <w:shd w:val="clear" w:color="auto" w:fill="CFF0FC"/>
          </w:tcPr>
          <w:p>
            <w:pPr>
              <w:spacing w:after="0"/>
              <w:rPr>
                <w:sz w:val="9"/>
                <w:szCs w:val="9"/>
                <w:color w:val="auto"/>
              </w:rPr>
            </w:pPr>
          </w:p>
        </w:tc>
        <w:tc>
          <w:tcPr>
            <w:tcW w:w="1460" w:type="dxa"/>
            <w:vAlign w:val="bottom"/>
            <w:gridSpan w:val="2"/>
            <w:shd w:val="clear" w:color="auto" w:fill="CFF0FC"/>
          </w:tcPr>
          <w:p>
            <w:pPr>
              <w:jc w:val="right"/>
              <w:ind w:right="80"/>
              <w:spacing w:after="0" w:line="114" w:lineRule="exact"/>
              <w:rPr>
                <w:sz w:val="20"/>
                <w:szCs w:val="20"/>
                <w:color w:val="auto"/>
              </w:rPr>
            </w:pPr>
            <w:r>
              <w:rPr>
                <w:rFonts w:ascii="Arial" w:cs="Arial" w:eastAsia="Arial" w:hAnsi="Arial"/>
                <w:sz w:val="10"/>
                <w:szCs w:val="10"/>
                <w:color w:val="auto"/>
              </w:rPr>
              <w:t>(1,822)</w:t>
            </w:r>
          </w:p>
        </w:tc>
        <w:tc>
          <w:tcPr>
            <w:tcW w:w="0" w:type="dxa"/>
            <w:vAlign w:val="bottom"/>
          </w:tcPr>
          <w:p>
            <w:pPr>
              <w:spacing w:after="0"/>
              <w:rPr>
                <w:sz w:val="1"/>
                <w:szCs w:val="1"/>
                <w:color w:val="auto"/>
              </w:rPr>
            </w:pPr>
          </w:p>
        </w:tc>
      </w:tr>
      <w:tr>
        <w:trPr>
          <w:trHeight w:val="103"/>
        </w:trPr>
        <w:tc>
          <w:tcPr>
            <w:tcW w:w="5300" w:type="dxa"/>
            <w:vAlign w:val="bottom"/>
            <w:tcBorders>
              <w:bottom w:val="single" w:sz="8" w:color="CFF0FC"/>
            </w:tcBorders>
          </w:tcPr>
          <w:p>
            <w:pPr>
              <w:ind w:left="520"/>
              <w:spacing w:after="0" w:line="103" w:lineRule="exact"/>
              <w:rPr>
                <w:sz w:val="20"/>
                <w:szCs w:val="20"/>
                <w:color w:val="auto"/>
              </w:rPr>
            </w:pPr>
            <w:r>
              <w:rPr>
                <w:rFonts w:ascii="Arial" w:cs="Arial" w:eastAsia="Arial" w:hAnsi="Arial"/>
                <w:sz w:val="10"/>
                <w:szCs w:val="10"/>
                <w:color w:val="auto"/>
              </w:rPr>
              <w:t>Total net change in unrealized gains (losses)</w:t>
            </w:r>
          </w:p>
        </w:tc>
        <w:tc>
          <w:tcPr>
            <w:tcW w:w="2040" w:type="dxa"/>
            <w:vAlign w:val="bottom"/>
            <w:tcBorders>
              <w:bottom w:val="single" w:sz="8" w:color="CFF0FC"/>
            </w:tcBorders>
          </w:tcPr>
          <w:p>
            <w:pPr>
              <w:spacing w:after="0"/>
              <w:rPr>
                <w:sz w:val="8"/>
                <w:szCs w:val="8"/>
                <w:color w:val="auto"/>
              </w:rPr>
            </w:pPr>
          </w:p>
        </w:tc>
        <w:tc>
          <w:tcPr>
            <w:tcW w:w="12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(8,495)</w:t>
            </w:r>
          </w:p>
        </w:tc>
        <w:tc>
          <w:tcPr>
            <w:tcW w:w="280" w:type="dxa"/>
            <w:vAlign w:val="bottom"/>
            <w:tcBorders>
              <w:bottom w:val="single" w:sz="8" w:color="CFF0FC"/>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c>
          <w:tcPr>
            <w:tcW w:w="134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9,755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Realized gains (losses):</w:t>
            </w:r>
          </w:p>
        </w:tc>
        <w:tc>
          <w:tcPr>
            <w:tcW w:w="2040" w:type="dxa"/>
            <w:vAlign w:val="bottom"/>
            <w:shd w:val="clear" w:color="auto" w:fill="CFF0FC"/>
          </w:tcPr>
          <w:p>
            <w:pPr>
              <w:spacing w:after="0"/>
              <w:rPr>
                <w:sz w:val="8"/>
                <w:szCs w:val="8"/>
                <w:color w:val="auto"/>
              </w:rPr>
            </w:pPr>
          </w:p>
        </w:tc>
        <w:tc>
          <w:tcPr>
            <w:tcW w:w="126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Non-controlled, non-affiliated investments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8</w:t>
            </w: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14,619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300" w:type="dxa"/>
            <w:vAlign w:val="bottom"/>
            <w:shd w:val="clear" w:color="auto" w:fill="CFF0FC"/>
          </w:tcPr>
          <w:p>
            <w:pPr>
              <w:ind w:left="160"/>
              <w:spacing w:after="0" w:line="114" w:lineRule="exact"/>
              <w:rPr>
                <w:sz w:val="20"/>
                <w:szCs w:val="20"/>
                <w:color w:val="auto"/>
              </w:rPr>
            </w:pPr>
            <w:r>
              <w:rPr>
                <w:rFonts w:ascii="Arial" w:cs="Arial" w:eastAsia="Arial" w:hAnsi="Arial"/>
                <w:sz w:val="10"/>
                <w:szCs w:val="10"/>
                <w:color w:val="auto"/>
              </w:rPr>
              <w:t>Non-controlled, affiliated investments</w:t>
            </w:r>
          </w:p>
        </w:tc>
        <w:tc>
          <w:tcPr>
            <w:tcW w:w="20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5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13,673</w:t>
            </w:r>
          </w:p>
        </w:tc>
        <w:tc>
          <w:tcPr>
            <w:tcW w:w="2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1460" w:type="dxa"/>
            <w:vAlign w:val="bottom"/>
            <w:gridSpan w:val="2"/>
            <w:shd w:val="clear" w:color="auto" w:fill="CFF0FC"/>
          </w:tcPr>
          <w:p>
            <w:pPr>
              <w:jc w:val="right"/>
              <w:ind w:right="80"/>
              <w:spacing w:after="0" w:line="114" w:lineRule="exact"/>
              <w:rPr>
                <w:sz w:val="20"/>
                <w:szCs w:val="20"/>
                <w:color w:val="auto"/>
              </w:rPr>
            </w:pPr>
            <w:r>
              <w:rPr>
                <w:rFonts w:ascii="Arial" w:cs="Arial" w:eastAsia="Arial" w:hAnsi="Arial"/>
                <w:sz w:val="10"/>
                <w:szCs w:val="10"/>
                <w:color w:val="auto"/>
              </w:rPr>
              <w:t>(33)</w:t>
            </w:r>
          </w:p>
        </w:tc>
        <w:tc>
          <w:tcPr>
            <w:tcW w:w="0" w:type="dxa"/>
            <w:vAlign w:val="bottom"/>
          </w:tcPr>
          <w:p>
            <w:pPr>
              <w:spacing w:after="0"/>
              <w:rPr>
                <w:sz w:val="1"/>
                <w:szCs w:val="1"/>
                <w:color w:val="auto"/>
              </w:rPr>
            </w:pPr>
          </w:p>
        </w:tc>
      </w:tr>
      <w:tr>
        <w:trPr>
          <w:trHeight w:val="113"/>
        </w:trPr>
        <w:tc>
          <w:tcPr>
            <w:tcW w:w="5300" w:type="dxa"/>
            <w:vAlign w:val="bottom"/>
          </w:tcPr>
          <w:p>
            <w:pPr>
              <w:ind w:left="160"/>
              <w:spacing w:after="0" w:line="114" w:lineRule="exact"/>
              <w:rPr>
                <w:sz w:val="20"/>
                <w:szCs w:val="20"/>
                <w:color w:val="auto"/>
              </w:rPr>
            </w:pPr>
            <w:r>
              <w:rPr>
                <w:rFonts w:ascii="Arial" w:cs="Arial" w:eastAsia="Arial" w:hAnsi="Arial"/>
                <w:sz w:val="10"/>
                <w:szCs w:val="10"/>
                <w:color w:val="auto"/>
              </w:rPr>
              <w:t>Foreign currency transactions</w:t>
            </w:r>
          </w:p>
        </w:tc>
        <w:tc>
          <w:tcPr>
            <w:tcW w:w="20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0" w:type="dxa"/>
            <w:vAlign w:val="bottom"/>
            <w:gridSpan w:val="2"/>
          </w:tcPr>
          <w:p>
            <w:pPr>
              <w:jc w:val="right"/>
              <w:ind w:right="240"/>
              <w:spacing w:after="0" w:line="114" w:lineRule="exact"/>
              <w:rPr>
                <w:sz w:val="20"/>
                <w:szCs w:val="20"/>
                <w:color w:val="auto"/>
              </w:rPr>
            </w:pPr>
            <w:r>
              <w:rPr>
                <w:rFonts w:ascii="Arial" w:cs="Arial" w:eastAsia="Arial" w:hAnsi="Arial"/>
                <w:sz w:val="10"/>
                <w:szCs w:val="10"/>
                <w:color w:val="auto"/>
              </w:rPr>
              <w:t>(13)</w:t>
            </w:r>
          </w:p>
        </w:tc>
        <w:tc>
          <w:tcPr>
            <w:tcW w:w="440" w:type="dxa"/>
            <w:vAlign w:val="bottom"/>
          </w:tcPr>
          <w:p>
            <w:pPr>
              <w:spacing w:after="0"/>
              <w:rPr>
                <w:sz w:val="9"/>
                <w:szCs w:val="9"/>
                <w:color w:val="auto"/>
              </w:rPr>
            </w:pPr>
          </w:p>
        </w:tc>
        <w:tc>
          <w:tcPr>
            <w:tcW w:w="1340" w:type="dxa"/>
            <w:vAlign w:val="bottom"/>
          </w:tcPr>
          <w:p>
            <w:pPr>
              <w:jc w:val="right"/>
              <w:spacing w:after="0" w:line="114" w:lineRule="exact"/>
              <w:rPr>
                <w:sz w:val="20"/>
                <w:szCs w:val="20"/>
                <w:color w:val="auto"/>
              </w:rPr>
            </w:pPr>
            <w:r>
              <w:rPr>
                <w:rFonts w:ascii="Arial" w:cs="Arial" w:eastAsia="Arial" w:hAnsi="Arial"/>
                <w:sz w:val="10"/>
                <w:szCs w:val="10"/>
                <w:color w:val="auto"/>
              </w:rPr>
              <w:t>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300" w:type="dxa"/>
            <w:vAlign w:val="bottom"/>
            <w:tcBorders>
              <w:top w:val="single" w:sz="8" w:color="CFF0FC"/>
            </w:tcBorders>
            <w:shd w:val="clear" w:color="auto" w:fill="CFF0FC"/>
          </w:tcPr>
          <w:p>
            <w:pPr>
              <w:ind w:left="520"/>
              <w:spacing w:after="0" w:line="103" w:lineRule="exact"/>
              <w:rPr>
                <w:sz w:val="20"/>
                <w:szCs w:val="20"/>
                <w:color w:val="auto"/>
              </w:rPr>
            </w:pPr>
            <w:r>
              <w:rPr>
                <w:rFonts w:ascii="Arial" w:cs="Arial" w:eastAsia="Arial" w:hAnsi="Arial"/>
                <w:sz w:val="10"/>
                <w:szCs w:val="10"/>
                <w:color w:val="auto"/>
              </w:rPr>
              <w:t>Total net realized gains (losses)</w:t>
            </w:r>
          </w:p>
        </w:tc>
        <w:tc>
          <w:tcPr>
            <w:tcW w:w="2040" w:type="dxa"/>
            <w:vAlign w:val="bottom"/>
            <w:tcBorders>
              <w:top w:val="single" w:sz="8" w:color="CFF0FC"/>
            </w:tcBorders>
            <w:shd w:val="clear" w:color="auto" w:fill="CFF0FC"/>
          </w:tcPr>
          <w:p>
            <w:pPr>
              <w:spacing w:after="0"/>
              <w:rPr>
                <w:sz w:val="8"/>
                <w:szCs w:val="8"/>
                <w:color w:val="auto"/>
              </w:rPr>
            </w:pPr>
          </w:p>
        </w:tc>
        <w:tc>
          <w:tcPr>
            <w:tcW w:w="1260" w:type="dxa"/>
            <w:vAlign w:val="bottom"/>
            <w:tcBorders>
              <w:top w:val="single" w:sz="8" w:color="auto"/>
              <w:bottom w:val="single" w:sz="8" w:color="auto"/>
            </w:tcBorders>
            <w:shd w:val="clear" w:color="auto" w:fill="CFF0FC"/>
          </w:tcPr>
          <w:p>
            <w:pPr>
              <w:spacing w:after="0"/>
              <w:rPr>
                <w:sz w:val="8"/>
                <w:szCs w:val="8"/>
                <w:color w:val="auto"/>
              </w:rPr>
            </w:pPr>
          </w:p>
        </w:tc>
        <w:tc>
          <w:tcPr>
            <w:tcW w:w="52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13,668</w:t>
            </w:r>
          </w:p>
        </w:tc>
        <w:tc>
          <w:tcPr>
            <w:tcW w:w="28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auto"/>
              <w:bottom w:val="single" w:sz="8" w:color="auto"/>
            </w:tcBorders>
            <w:shd w:val="clear" w:color="auto" w:fill="CFF0FC"/>
          </w:tcPr>
          <w:p>
            <w:pPr>
              <w:spacing w:after="0"/>
              <w:rPr>
                <w:sz w:val="8"/>
                <w:szCs w:val="8"/>
                <w:color w:val="auto"/>
              </w:rPr>
            </w:pPr>
          </w:p>
        </w:tc>
        <w:tc>
          <w:tcPr>
            <w:tcW w:w="134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14,587</w:t>
            </w:r>
          </w:p>
        </w:tc>
        <w:tc>
          <w:tcPr>
            <w:tcW w:w="12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tcBorders>
              <w:bottom w:val="single" w:sz="8" w:color="CFF0FC"/>
            </w:tcBorders>
          </w:tcPr>
          <w:p>
            <w:pPr>
              <w:ind w:left="680"/>
              <w:spacing w:after="0" w:line="103" w:lineRule="exact"/>
              <w:rPr>
                <w:sz w:val="20"/>
                <w:szCs w:val="20"/>
                <w:color w:val="auto"/>
              </w:rPr>
            </w:pPr>
            <w:r>
              <w:rPr>
                <w:rFonts w:ascii="Arial" w:cs="Arial" w:eastAsia="Arial" w:hAnsi="Arial"/>
                <w:sz w:val="10"/>
                <w:szCs w:val="10"/>
                <w:b w:val="1"/>
                <w:bCs w:val="1"/>
                <w:color w:val="auto"/>
              </w:rPr>
              <w:t>Total Net Unrealized and Realized Gains (Losses)</w:t>
            </w:r>
          </w:p>
        </w:tc>
        <w:tc>
          <w:tcPr>
            <w:tcW w:w="2040" w:type="dxa"/>
            <w:vAlign w:val="bottom"/>
            <w:tcBorders>
              <w:bottom w:val="single" w:sz="8" w:color="CFF0FC"/>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5,173</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24,342</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5300" w:type="dxa"/>
            <w:vAlign w:val="bottom"/>
            <w:tcBorders>
              <w:bottom w:val="single" w:sz="8" w:color="CFF0FC"/>
            </w:tcBorders>
            <w:shd w:val="clear" w:color="auto" w:fill="CFF0FC"/>
          </w:tcPr>
          <w:p>
            <w:pPr>
              <w:ind w:left="680"/>
              <w:spacing w:after="0" w:line="103" w:lineRule="exact"/>
              <w:rPr>
                <w:sz w:val="20"/>
                <w:szCs w:val="20"/>
                <w:color w:val="auto"/>
              </w:rPr>
            </w:pPr>
            <w:r>
              <w:rPr>
                <w:rFonts w:ascii="Arial" w:cs="Arial" w:eastAsia="Arial" w:hAnsi="Arial"/>
                <w:sz w:val="10"/>
                <w:szCs w:val="10"/>
                <w:b w:val="1"/>
                <w:bCs w:val="1"/>
                <w:color w:val="auto"/>
              </w:rPr>
              <w:t>Increase in Net Assets Resulting from Operations</w:t>
            </w:r>
          </w:p>
        </w:tc>
        <w:tc>
          <w:tcPr>
            <w:tcW w:w="204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auto"/>
            </w:tcBorders>
            <w:shd w:val="clear" w:color="auto" w:fill="CFF0FC"/>
          </w:tcPr>
          <w:p>
            <w:pPr>
              <w:jc w:val="right"/>
              <w:ind w:right="1189"/>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40,885</w:t>
            </w:r>
          </w:p>
        </w:tc>
        <w:tc>
          <w:tcPr>
            <w:tcW w:w="280" w:type="dxa"/>
            <w:vAlign w:val="bottom"/>
            <w:tcBorders>
              <w:bottom w:val="single" w:sz="8" w:color="CFF0FC"/>
            </w:tcBorders>
            <w:shd w:val="clear" w:color="auto" w:fill="CFF0FC"/>
          </w:tcPr>
          <w:p>
            <w:pPr>
              <w:spacing w:after="0"/>
              <w:rPr>
                <w:sz w:val="10"/>
                <w:szCs w:val="10"/>
                <w:color w:val="auto"/>
              </w:rPr>
            </w:pPr>
          </w:p>
        </w:tc>
        <w:tc>
          <w:tcPr>
            <w:tcW w:w="440" w:type="dxa"/>
            <w:vAlign w:val="bottom"/>
            <w:tcBorders>
              <w:bottom w:val="single" w:sz="8" w:color="auto"/>
            </w:tcBorders>
            <w:shd w:val="clear" w:color="auto" w:fill="CFF0FC"/>
          </w:tcPr>
          <w:p>
            <w:pPr>
              <w:jc w:val="right"/>
              <w:ind w:right="330"/>
              <w:spacing w:after="0" w:line="103" w:lineRule="exact"/>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56,652</w:t>
            </w:r>
          </w:p>
        </w:tc>
        <w:tc>
          <w:tcPr>
            <w:tcW w:w="12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300" w:type="dxa"/>
            <w:vAlign w:val="bottom"/>
            <w:tcBorders>
              <w:bottom w:val="single" w:sz="8" w:color="CFF0FC"/>
            </w:tcBorders>
          </w:tcPr>
          <w:p>
            <w:pPr>
              <w:spacing w:after="0" w:line="102" w:lineRule="exact"/>
              <w:rPr>
                <w:sz w:val="20"/>
                <w:szCs w:val="20"/>
                <w:color w:val="auto"/>
              </w:rPr>
            </w:pPr>
            <w:r>
              <w:rPr>
                <w:rFonts w:ascii="Arial" w:cs="Arial" w:eastAsia="Arial" w:hAnsi="Arial"/>
                <w:sz w:val="10"/>
                <w:szCs w:val="10"/>
                <w:color w:val="auto"/>
              </w:rPr>
              <w:t>Earnings per common share—basic</w:t>
            </w:r>
          </w:p>
        </w:tc>
        <w:tc>
          <w:tcPr>
            <w:tcW w:w="2040" w:type="dxa"/>
            <w:vAlign w:val="bottom"/>
            <w:tcBorders>
              <w:bottom w:val="single" w:sz="8" w:color="CFF0FC"/>
            </w:tcBorders>
          </w:tcPr>
          <w:p>
            <w:pPr>
              <w:spacing w:after="0"/>
              <w:rPr>
                <w:sz w:val="8"/>
                <w:szCs w:val="8"/>
                <w:color w:val="auto"/>
              </w:rPr>
            </w:pPr>
          </w:p>
        </w:tc>
        <w:tc>
          <w:tcPr>
            <w:tcW w:w="1260" w:type="dxa"/>
            <w:vAlign w:val="bottom"/>
            <w:tcBorders>
              <w:bottom w:val="single" w:sz="8" w:color="auto"/>
            </w:tcBorders>
          </w:tcPr>
          <w:p>
            <w:pPr>
              <w:jc w:val="right"/>
              <w:ind w:right="1189"/>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0.54</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jc w:val="right"/>
              <w:ind w:right="330"/>
              <w:spacing w:after="0" w:line="102" w:lineRule="exact"/>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0.81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Weighted average shares of common stock outstanding—basic</w:t>
            </w:r>
          </w:p>
        </w:tc>
        <w:tc>
          <w:tcPr>
            <w:tcW w:w="2040" w:type="dxa"/>
            <w:vAlign w:val="bottom"/>
            <w:shd w:val="clear" w:color="auto" w:fill="CFF0FC"/>
          </w:tcPr>
          <w:p>
            <w:pPr>
              <w:spacing w:after="0"/>
              <w:rPr>
                <w:sz w:val="8"/>
                <w:szCs w:val="8"/>
                <w:color w:val="auto"/>
              </w:rPr>
            </w:pPr>
          </w:p>
        </w:tc>
        <w:tc>
          <w:tcPr>
            <w:tcW w:w="12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w w:val="95"/>
              </w:rPr>
              <w:t>75,972,079</w:t>
            </w:r>
          </w:p>
        </w:tc>
        <w:tc>
          <w:tcPr>
            <w:tcW w:w="280" w:type="dxa"/>
            <w:vAlign w:val="bottom"/>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69,691,162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tcBorders>
              <w:bottom w:val="single" w:sz="8" w:color="CFF0FC"/>
            </w:tcBorders>
          </w:tcPr>
          <w:p>
            <w:pPr>
              <w:spacing w:after="0" w:line="103" w:lineRule="exact"/>
              <w:rPr>
                <w:sz w:val="20"/>
                <w:szCs w:val="20"/>
                <w:color w:val="auto"/>
              </w:rPr>
            </w:pPr>
            <w:r>
              <w:rPr>
                <w:rFonts w:ascii="Arial" w:cs="Arial" w:eastAsia="Arial" w:hAnsi="Arial"/>
                <w:sz w:val="10"/>
                <w:szCs w:val="10"/>
                <w:color w:val="auto"/>
              </w:rPr>
              <w:t>Earnings per common share—diluted</w:t>
            </w:r>
          </w:p>
        </w:tc>
        <w:tc>
          <w:tcPr>
            <w:tcW w:w="2040" w:type="dxa"/>
            <w:vAlign w:val="bottom"/>
            <w:tcBorders>
              <w:bottom w:val="single" w:sz="8" w:color="CFF0FC"/>
            </w:tcBorders>
          </w:tcPr>
          <w:p>
            <w:pPr>
              <w:spacing w:after="0"/>
              <w:rPr>
                <w:sz w:val="8"/>
                <w:szCs w:val="8"/>
                <w:color w:val="auto"/>
              </w:rPr>
            </w:pPr>
          </w:p>
        </w:tc>
        <w:tc>
          <w:tcPr>
            <w:tcW w:w="1260" w:type="dxa"/>
            <w:vAlign w:val="bottom"/>
            <w:tcBorders>
              <w:bottom w:val="single" w:sz="8" w:color="auto"/>
            </w:tcBorders>
          </w:tcPr>
          <w:p>
            <w:pPr>
              <w:jc w:val="right"/>
              <w:ind w:right="1189"/>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0.51</w:t>
            </w:r>
          </w:p>
        </w:tc>
        <w:tc>
          <w:tcPr>
            <w:tcW w:w="280" w:type="dxa"/>
            <w:vAlign w:val="bottom"/>
            <w:tcBorders>
              <w:bottom w:val="single" w:sz="8" w:color="CFF0FC"/>
            </w:tcBorders>
          </w:tcPr>
          <w:p>
            <w:pPr>
              <w:spacing w:after="0"/>
              <w:rPr>
                <w:sz w:val="8"/>
                <w:szCs w:val="8"/>
                <w:color w:val="auto"/>
              </w:rPr>
            </w:pPr>
          </w:p>
        </w:tc>
        <w:tc>
          <w:tcPr>
            <w:tcW w:w="440" w:type="dxa"/>
            <w:vAlign w:val="bottom"/>
            <w:tcBorders>
              <w:bottom w:val="single" w:sz="8" w:color="auto"/>
            </w:tcBorders>
          </w:tcPr>
          <w:p>
            <w:pPr>
              <w:jc w:val="right"/>
              <w:ind w:right="330"/>
              <w:spacing w:after="0" w:line="103" w:lineRule="exact"/>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color w:val="auto"/>
              </w:rPr>
              <w:t>0.75</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300" w:type="dxa"/>
            <w:vAlign w:val="bottom"/>
            <w:shd w:val="clear" w:color="auto" w:fill="CFF0FC"/>
          </w:tcPr>
          <w:p>
            <w:pPr>
              <w:spacing w:after="0" w:line="103" w:lineRule="exact"/>
              <w:rPr>
                <w:sz w:val="20"/>
                <w:szCs w:val="20"/>
                <w:color w:val="auto"/>
              </w:rPr>
            </w:pPr>
            <w:r>
              <w:rPr>
                <w:rFonts w:ascii="Arial" w:cs="Arial" w:eastAsia="Arial" w:hAnsi="Arial"/>
                <w:sz w:val="10"/>
                <w:szCs w:val="10"/>
                <w:color w:val="auto"/>
              </w:rPr>
              <w:t>Weighted average shares of common stock outstanding—diluted</w:t>
            </w:r>
          </w:p>
        </w:tc>
        <w:tc>
          <w:tcPr>
            <w:tcW w:w="2040" w:type="dxa"/>
            <w:vAlign w:val="bottom"/>
            <w:shd w:val="clear" w:color="auto" w:fill="CFF0FC"/>
          </w:tcPr>
          <w:p>
            <w:pPr>
              <w:spacing w:after="0"/>
              <w:rPr>
                <w:sz w:val="8"/>
                <w:szCs w:val="8"/>
                <w:color w:val="auto"/>
              </w:rPr>
            </w:pPr>
          </w:p>
        </w:tc>
        <w:tc>
          <w:tcPr>
            <w:tcW w:w="12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w w:val="95"/>
              </w:rPr>
              <w:t>81,536,251</w:t>
            </w:r>
          </w:p>
        </w:tc>
        <w:tc>
          <w:tcPr>
            <w:tcW w:w="280" w:type="dxa"/>
            <w:vAlign w:val="bottom"/>
            <w:shd w:val="clear" w:color="auto" w:fill="CFF0FC"/>
          </w:tcPr>
          <w:p>
            <w:pPr>
              <w:spacing w:after="0"/>
              <w:rPr>
                <w:sz w:val="8"/>
                <w:szCs w:val="8"/>
                <w:color w:val="auto"/>
              </w:rPr>
            </w:pPr>
          </w:p>
        </w:tc>
        <w:tc>
          <w:tcPr>
            <w:tcW w:w="440" w:type="dxa"/>
            <w:vAlign w:val="bottom"/>
            <w:tcBorders>
              <w:bottom w:val="single" w:sz="8" w:color="auto"/>
            </w:tcBorders>
            <w:shd w:val="clear" w:color="auto" w:fill="CFF0FC"/>
          </w:tcPr>
          <w:p>
            <w:pPr>
              <w:spacing w:after="0"/>
              <w:rPr>
                <w:sz w:val="8"/>
                <w:szCs w:val="8"/>
                <w:color w:val="auto"/>
              </w:rPr>
            </w:pPr>
          </w:p>
        </w:tc>
        <w:tc>
          <w:tcPr>
            <w:tcW w:w="134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77,356,492</w:t>
            </w: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3"/>
          <w:szCs w:val="13"/>
          <w:b w:val="1"/>
          <w:bCs w:val="1"/>
          <w:color w:val="auto"/>
        </w:rPr>
        <w:t>Sixth Street Specialty Lending,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Schedule of Investments as of March 31, 2022</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 except share amounts)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Initial</w:t>
            </w:r>
          </w:p>
        </w:tc>
        <w:tc>
          <w:tcPr>
            <w:tcW w:w="10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2"/>
              </w:rPr>
              <w:t>Reference</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5"/>
              </w:rPr>
              <w:t>Acquisition</w:t>
            </w:r>
          </w:p>
        </w:tc>
        <w:tc>
          <w:tcPr>
            <w:tcW w:w="102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89"/>
              </w:rPr>
              <w:t>Rate and</w:t>
            </w: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340"/>
              <w:spacing w:after="0" w:line="95" w:lineRule="exact"/>
              <w:rPr>
                <w:sz w:val="20"/>
                <w:szCs w:val="20"/>
                <w:color w:val="auto"/>
              </w:rPr>
            </w:pPr>
            <w:r>
              <w:rPr>
                <w:rFonts w:ascii="Arial" w:cs="Arial" w:eastAsia="Arial" w:hAnsi="Arial"/>
                <w:sz w:val="9"/>
                <w:szCs w:val="9"/>
                <w:b w:val="1"/>
                <w:bCs w:val="1"/>
                <w:color w:val="auto"/>
                <w:w w:val="90"/>
              </w:rPr>
              <w:t>Amortized</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jc w:val="right"/>
              <w:ind w:right="223"/>
              <w:spacing w:after="0" w:line="95" w:lineRule="exact"/>
              <w:rPr>
                <w:sz w:val="20"/>
                <w:szCs w:val="20"/>
                <w:color w:val="auto"/>
              </w:rPr>
            </w:pPr>
            <w:r>
              <w:rPr>
                <w:rFonts w:ascii="Arial" w:cs="Arial" w:eastAsia="Arial" w:hAnsi="Arial"/>
                <w:sz w:val="9"/>
                <w:szCs w:val="9"/>
                <w:b w:val="1"/>
                <w:bCs w:val="1"/>
                <w:color w:val="auto"/>
              </w:rPr>
              <w:t>Percentage</w:t>
            </w:r>
          </w:p>
        </w:tc>
      </w:tr>
      <w:tr>
        <w:trPr>
          <w:trHeight w:val="107"/>
        </w:trPr>
        <w:tc>
          <w:tcPr>
            <w:tcW w:w="2580" w:type="dxa"/>
            <w:vAlign w:val="bottom"/>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(1)(6)</w:t>
            </w:r>
          </w:p>
        </w:tc>
        <w:tc>
          <w:tcPr>
            <w:tcW w:w="120" w:type="dxa"/>
            <w:vAlign w:val="bottom"/>
          </w:tcPr>
          <w:p>
            <w:pPr>
              <w:spacing w:after="0"/>
              <w:rPr>
                <w:sz w:val="9"/>
                <w:szCs w:val="9"/>
                <w:color w:val="auto"/>
              </w:rPr>
            </w:pPr>
          </w:p>
        </w:tc>
        <w:tc>
          <w:tcPr>
            <w:tcW w:w="2680" w:type="dxa"/>
            <w:vAlign w:val="bottom"/>
            <w:gridSpan w:val="2"/>
          </w:tcPr>
          <w:p>
            <w:pPr>
              <w:ind w:left="1060"/>
              <w:spacing w:after="0"/>
              <w:rPr>
                <w:sz w:val="20"/>
                <w:szCs w:val="20"/>
                <w:color w:val="auto"/>
              </w:rPr>
            </w:pPr>
            <w:r>
              <w:rPr>
                <w:rFonts w:ascii="Arial" w:cs="Arial" w:eastAsia="Arial" w:hAnsi="Arial"/>
                <w:sz w:val="9"/>
                <w:szCs w:val="9"/>
                <w:b w:val="1"/>
                <w:bCs w:val="1"/>
                <w:color w:val="auto"/>
              </w:rPr>
              <w:t>Investment</w:t>
            </w:r>
          </w:p>
        </w:tc>
        <w:tc>
          <w:tcPr>
            <w:tcW w:w="9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2"/>
              </w:rPr>
              <w:t>Date</w:t>
            </w:r>
          </w:p>
        </w:tc>
        <w:tc>
          <w:tcPr>
            <w:tcW w:w="102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Spread</w:t>
            </w:r>
          </w:p>
        </w:tc>
        <w:tc>
          <w:tcPr>
            <w:tcW w:w="1020" w:type="dxa"/>
            <w:vAlign w:val="bottom"/>
            <w:gridSpan w:val="2"/>
          </w:tcPr>
          <w:p>
            <w:pPr>
              <w:jc w:val="right"/>
              <w:ind w:right="380"/>
              <w:spacing w:after="0"/>
              <w:rPr>
                <w:sz w:val="20"/>
                <w:szCs w:val="20"/>
                <w:color w:val="auto"/>
              </w:rPr>
            </w:pPr>
            <w:r>
              <w:rPr>
                <w:rFonts w:ascii="Arial" w:cs="Arial" w:eastAsia="Arial" w:hAnsi="Arial"/>
                <w:sz w:val="9"/>
                <w:szCs w:val="9"/>
                <w:b w:val="1"/>
                <w:bCs w:val="1"/>
                <w:color w:val="auto"/>
              </w:rPr>
              <w:t>Interest Rate</w:t>
            </w:r>
          </w:p>
        </w:tc>
        <w:tc>
          <w:tcPr>
            <w:tcW w:w="140" w:type="dxa"/>
            <w:vAlign w:val="bottom"/>
          </w:tcPr>
          <w:p>
            <w:pPr>
              <w:spacing w:after="0"/>
              <w:rPr>
                <w:sz w:val="9"/>
                <w:szCs w:val="9"/>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5"/>
              </w:rPr>
              <w:t xml:space="preserve">Cost </w:t>
            </w:r>
            <w:r>
              <w:rPr>
                <w:rFonts w:ascii="Arial" w:cs="Arial" w:eastAsia="Arial" w:hAnsi="Arial"/>
                <w:sz w:val="7"/>
                <w:szCs w:val="7"/>
                <w:b w:val="1"/>
                <w:bCs w:val="1"/>
                <w:color w:val="auto"/>
                <w:w w:val="95"/>
              </w:rPr>
              <w:t>(2)(8)</w:t>
            </w:r>
          </w:p>
        </w:tc>
        <w:tc>
          <w:tcPr>
            <w:tcW w:w="1000" w:type="dxa"/>
            <w:vAlign w:val="bottom"/>
            <w:gridSpan w:val="2"/>
          </w:tcPr>
          <w:p>
            <w:pPr>
              <w:ind w:left="140"/>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7"/>
                <w:szCs w:val="7"/>
                <w:b w:val="1"/>
                <w:bCs w:val="1"/>
                <w:color w:val="auto"/>
              </w:rPr>
              <w:t>(9)</w:t>
            </w:r>
          </w:p>
        </w:tc>
        <w:tc>
          <w:tcPr>
            <w:tcW w:w="860" w:type="dxa"/>
            <w:vAlign w:val="bottom"/>
            <w:gridSpan w:val="2"/>
          </w:tcPr>
          <w:p>
            <w:pPr>
              <w:jc w:val="right"/>
              <w:ind w:right="183"/>
              <w:spacing w:after="0"/>
              <w:rPr>
                <w:sz w:val="20"/>
                <w:szCs w:val="20"/>
                <w:color w:val="auto"/>
              </w:rPr>
            </w:pPr>
            <w:r>
              <w:rPr>
                <w:rFonts w:ascii="Arial" w:cs="Arial" w:eastAsia="Arial" w:hAnsi="Arial"/>
                <w:sz w:val="9"/>
                <w:szCs w:val="9"/>
                <w:b w:val="1"/>
                <w:bCs w:val="1"/>
                <w:color w:val="auto"/>
              </w:rPr>
              <w:t>of Net Assets</w:t>
            </w:r>
          </w:p>
        </w:tc>
      </w:tr>
      <w:tr>
        <w:trPr>
          <w:trHeight w:val="141"/>
        </w:trPr>
        <w:tc>
          <w:tcPr>
            <w:tcW w:w="2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Debt Investments</w:t>
            </w:r>
          </w:p>
        </w:tc>
        <w:tc>
          <w:tcPr>
            <w:tcW w:w="120" w:type="dxa"/>
            <w:vAlign w:val="bottom"/>
            <w:tcBorders>
              <w:top w:val="single" w:sz="8" w:color="CFF0FC"/>
            </w:tcBorders>
            <w:shd w:val="clear" w:color="auto" w:fill="CFF0FC"/>
          </w:tcPr>
          <w:p>
            <w:pPr>
              <w:spacing w:after="0"/>
              <w:rPr>
                <w:sz w:val="12"/>
                <w:szCs w:val="12"/>
                <w:color w:val="auto"/>
              </w:rPr>
            </w:pPr>
          </w:p>
        </w:tc>
        <w:tc>
          <w:tcPr>
            <w:tcW w:w="2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2580" w:type="dxa"/>
            <w:vAlign w:val="bottom"/>
          </w:tcPr>
          <w:p>
            <w:pPr>
              <w:spacing w:after="0"/>
              <w:rPr>
                <w:sz w:val="20"/>
                <w:szCs w:val="20"/>
                <w:color w:val="auto"/>
              </w:rPr>
            </w:pPr>
            <w:r>
              <w:rPr>
                <w:rFonts w:ascii="Arial" w:cs="Arial" w:eastAsia="Arial" w:hAnsi="Arial"/>
                <w:sz w:val="11"/>
                <w:szCs w:val="11"/>
                <w:b w:val="1"/>
                <w:bCs w:val="1"/>
                <w:color w:val="auto"/>
              </w:rPr>
              <w:t>Business services</w:t>
            </w: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Acceo Solutions,</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(CAD 73,875 par, due 10/2025)</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7/6/2018</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C + 4.75%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5.86%</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55,623</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$60,919</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w:t>
            </w:r>
          </w:p>
        </w:tc>
      </w:tr>
      <w:tr>
        <w:trPr>
          <w:trHeight w:val="15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(3)(4)(5)</w:t>
            </w:r>
          </w:p>
        </w:tc>
        <w:tc>
          <w:tcPr>
            <w:tcW w:w="120" w:type="dxa"/>
            <w:vAlign w:val="bottom"/>
            <w:shd w:val="clear" w:color="auto" w:fill="CFF0FC"/>
          </w:tcPr>
          <w:p>
            <w:pPr>
              <w:spacing w:after="0"/>
              <w:rPr>
                <w:sz w:val="13"/>
                <w:szCs w:val="13"/>
                <w:color w:val="auto"/>
              </w:rPr>
            </w:pPr>
          </w:p>
        </w:tc>
        <w:tc>
          <w:tcPr>
            <w:tcW w:w="2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(CAD 76,091)</w:t>
            </w: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580" w:type="dxa"/>
            <w:vAlign w:val="bottom"/>
          </w:tcPr>
          <w:p>
            <w:pPr>
              <w:spacing w:after="0" w:line="151" w:lineRule="exact"/>
              <w:rPr>
                <w:sz w:val="20"/>
                <w:szCs w:val="20"/>
                <w:color w:val="auto"/>
              </w:rPr>
            </w:pPr>
            <w:r>
              <w:rPr>
                <w:rFonts w:ascii="Arial" w:cs="Arial" w:eastAsia="Arial" w:hAnsi="Arial"/>
                <w:sz w:val="10"/>
                <w:szCs w:val="10"/>
                <w:color w:val="auto"/>
              </w:rPr>
              <w:t xml:space="preserve">Alpha Midco, Inc. </w:t>
            </w:r>
            <w:r>
              <w:rPr>
                <w:rFonts w:ascii="Arial" w:cs="Arial" w:eastAsia="Arial" w:hAnsi="Arial"/>
                <w:sz w:val="17"/>
                <w:szCs w:val="17"/>
                <w:color w:val="auto"/>
                <w:vertAlign w:val="superscript"/>
              </w:rPr>
              <w:t>(3)(5)</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($65,388 par, due 8/2025)</w:t>
            </w:r>
          </w:p>
        </w:tc>
        <w:tc>
          <w:tcPr>
            <w:tcW w:w="880" w:type="dxa"/>
            <w:vAlign w:val="bottom"/>
          </w:tcPr>
          <w:p>
            <w:pPr>
              <w:jc w:val="right"/>
              <w:spacing w:after="0"/>
              <w:rPr>
                <w:sz w:val="20"/>
                <w:szCs w:val="20"/>
                <w:color w:val="auto"/>
              </w:rPr>
            </w:pPr>
            <w:r>
              <w:rPr>
                <w:rFonts w:ascii="Arial" w:cs="Arial" w:eastAsia="Arial" w:hAnsi="Arial"/>
                <w:sz w:val="11"/>
                <w:szCs w:val="11"/>
                <w:color w:val="auto"/>
              </w:rPr>
              <w:t>8/15/2019</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+ 7.50%</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8.56%</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64,323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66,592</w:t>
            </w:r>
          </w:p>
        </w:tc>
        <w:tc>
          <w:tcPr>
            <w:tcW w:w="2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5.2%</w:t>
            </w:r>
          </w:p>
        </w:tc>
      </w:tr>
      <w:tr>
        <w:trPr>
          <w:trHeight w:val="144"/>
        </w:trPr>
        <w:tc>
          <w:tcPr>
            <w:tcW w:w="2580" w:type="dxa"/>
            <w:vAlign w:val="bottom"/>
            <w:shd w:val="clear" w:color="auto" w:fill="CFF0FC"/>
          </w:tcPr>
          <w:p>
            <w:pPr>
              <w:spacing w:after="0" w:line="145" w:lineRule="exact"/>
              <w:rPr>
                <w:sz w:val="20"/>
                <w:szCs w:val="20"/>
                <w:color w:val="auto"/>
              </w:rPr>
            </w:pPr>
            <w:r>
              <w:rPr>
                <w:rFonts w:ascii="Arial" w:cs="Arial" w:eastAsia="Arial" w:hAnsi="Arial"/>
                <w:sz w:val="10"/>
                <w:szCs w:val="10"/>
                <w:color w:val="auto"/>
              </w:rPr>
              <w:t xml:space="preserve">Dye &amp; Durham Corp. </w:t>
            </w:r>
            <w:r>
              <w:rPr>
                <w:rFonts w:ascii="Arial" w:cs="Arial" w:eastAsia="Arial" w:hAnsi="Arial"/>
                <w:sz w:val="16"/>
                <w:szCs w:val="16"/>
                <w:color w:val="auto"/>
                <w:vertAlign w:val="superscript"/>
              </w:rPr>
              <w:t>(3)(4)</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(CAD 32,772 par, due 12/2027)</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12/3/2021</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C + 5.75%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24,952</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26,718</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w:t>
            </w:r>
          </w:p>
        </w:tc>
      </w:tr>
      <w:tr>
        <w:trPr>
          <w:trHeight w:val="149"/>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(CAD 33,372)</w:t>
            </w: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1"/>
        </w:trPr>
        <w:tc>
          <w:tcPr>
            <w:tcW w:w="2580" w:type="dxa"/>
            <w:vAlign w:val="bottom"/>
          </w:tcPr>
          <w:p>
            <w:pPr>
              <w:spacing w:after="0" w:line="151" w:lineRule="exact"/>
              <w:rPr>
                <w:sz w:val="20"/>
                <w:szCs w:val="20"/>
                <w:color w:val="auto"/>
              </w:rPr>
            </w:pPr>
            <w:r>
              <w:rPr>
                <w:rFonts w:ascii="Arial" w:cs="Arial" w:eastAsia="Arial" w:hAnsi="Arial"/>
                <w:sz w:val="10"/>
                <w:szCs w:val="10"/>
                <w:color w:val="auto"/>
              </w:rPr>
              <w:t xml:space="preserve">ExtraHop Networks, Inc. </w:t>
            </w:r>
            <w:r>
              <w:rPr>
                <w:rFonts w:ascii="Arial" w:cs="Arial" w:eastAsia="Arial" w:hAnsi="Arial"/>
                <w:sz w:val="17"/>
                <w:szCs w:val="17"/>
                <w:color w:val="auto"/>
                <w:vertAlign w:val="superscript"/>
              </w:rPr>
              <w:t>(3)(5)</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($52,379 par, due 7/2027)</w:t>
            </w:r>
          </w:p>
        </w:tc>
        <w:tc>
          <w:tcPr>
            <w:tcW w:w="880" w:type="dxa"/>
            <w:vAlign w:val="bottom"/>
          </w:tcPr>
          <w:p>
            <w:pPr>
              <w:jc w:val="right"/>
              <w:spacing w:after="0"/>
              <w:rPr>
                <w:sz w:val="20"/>
                <w:szCs w:val="20"/>
                <w:color w:val="auto"/>
              </w:rPr>
            </w:pPr>
            <w:r>
              <w:rPr>
                <w:rFonts w:ascii="Arial" w:cs="Arial" w:eastAsia="Arial" w:hAnsi="Arial"/>
                <w:sz w:val="11"/>
                <w:szCs w:val="11"/>
                <w:color w:val="auto"/>
              </w:rPr>
              <w:t>7/22/2021</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+ 7.50%</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8.51%</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51,097</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51,462</w:t>
            </w:r>
          </w:p>
        </w:tc>
        <w:tc>
          <w:tcPr>
            <w:tcW w:w="2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4.0%</w:t>
            </w:r>
          </w:p>
        </w:tc>
      </w:tr>
      <w:tr>
        <w:trPr>
          <w:trHeight w:val="144"/>
        </w:trPr>
        <w:tc>
          <w:tcPr>
            <w:tcW w:w="2580" w:type="dxa"/>
            <w:vAlign w:val="bottom"/>
            <w:shd w:val="clear" w:color="auto" w:fill="CFF0FC"/>
          </w:tcPr>
          <w:p>
            <w:pPr>
              <w:spacing w:after="0" w:line="145" w:lineRule="exact"/>
              <w:rPr>
                <w:sz w:val="20"/>
                <w:szCs w:val="20"/>
                <w:color w:val="auto"/>
              </w:rPr>
            </w:pPr>
            <w:r>
              <w:rPr>
                <w:rFonts w:ascii="Arial" w:cs="Arial" w:eastAsia="Arial" w:hAnsi="Arial"/>
                <w:sz w:val="10"/>
                <w:szCs w:val="10"/>
                <w:color w:val="auto"/>
              </w:rPr>
              <w:t xml:space="preserve">ForeScout Technologies, Inc. </w:t>
            </w:r>
            <w:r>
              <w:rPr>
                <w:rFonts w:ascii="Arial" w:cs="Arial" w:eastAsia="Arial" w:hAnsi="Arial"/>
                <w:sz w:val="16"/>
                <w:szCs w:val="16"/>
                <w:color w:val="auto"/>
                <w:vertAlign w:val="superscript"/>
              </w:rPr>
              <w:t>(3)</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($6,054 par, due 8/2026)</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8/17/2020</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+ 9.50%</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10.60% (incl.</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5,940</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6,086</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0.5%</w:t>
            </w:r>
          </w:p>
        </w:tc>
      </w:tr>
      <w:tr>
        <w:trPr>
          <w:trHeight w:val="149"/>
        </w:trPr>
        <w:tc>
          <w:tcPr>
            <w:tcW w:w="2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9.50% PIK)</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2580" w:type="dxa"/>
            <w:vAlign w:val="bottom"/>
          </w:tcPr>
          <w:p>
            <w:pPr>
              <w:spacing w:after="0"/>
              <w:rPr>
                <w:sz w:val="20"/>
                <w:szCs w:val="20"/>
                <w:color w:val="auto"/>
              </w:rPr>
            </w:pPr>
            <w:r>
              <w:rPr>
                <w:rFonts w:ascii="Arial" w:cs="Arial" w:eastAsia="Arial" w:hAnsi="Arial"/>
                <w:sz w:val="11"/>
                <w:szCs w:val="11"/>
                <w:color w:val="auto"/>
              </w:rPr>
              <w:t>Information Clearinghouse, LLC</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($17,955 par, due 12/2026)</w:t>
            </w:r>
          </w:p>
        </w:tc>
        <w:tc>
          <w:tcPr>
            <w:tcW w:w="880" w:type="dxa"/>
            <w:vAlign w:val="bottom"/>
          </w:tcPr>
          <w:p>
            <w:pPr>
              <w:jc w:val="right"/>
              <w:spacing w:after="0"/>
              <w:rPr>
                <w:sz w:val="20"/>
                <w:szCs w:val="20"/>
                <w:color w:val="auto"/>
              </w:rPr>
            </w:pPr>
            <w:r>
              <w:rPr>
                <w:rFonts w:ascii="Arial" w:cs="Arial" w:eastAsia="Arial" w:hAnsi="Arial"/>
                <w:sz w:val="11"/>
                <w:szCs w:val="11"/>
                <w:color w:val="auto"/>
              </w:rPr>
              <w:t>12/20/2021</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+ 6.50%</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7.50%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17,506</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17,506</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1.4%</w:t>
            </w:r>
          </w:p>
        </w:tc>
      </w:tr>
      <w:tr>
        <w:trPr>
          <w:trHeight w:val="140"/>
        </w:trPr>
        <w:tc>
          <w:tcPr>
            <w:tcW w:w="2580" w:type="dxa"/>
            <w:vAlign w:val="bottom"/>
          </w:tcPr>
          <w:p>
            <w:pPr>
              <w:ind w:left="80"/>
              <w:spacing w:after="0"/>
              <w:rPr>
                <w:sz w:val="20"/>
                <w:szCs w:val="20"/>
                <w:color w:val="auto"/>
              </w:rPr>
            </w:pPr>
            <w:r>
              <w:rPr>
                <w:rFonts w:ascii="Arial" w:cs="Arial" w:eastAsia="Arial" w:hAnsi="Arial"/>
                <w:sz w:val="11"/>
                <w:szCs w:val="11"/>
                <w:color w:val="auto"/>
              </w:rPr>
              <w:t>and MS Market Service,</w:t>
            </w: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580" w:type="dxa"/>
            <w:vAlign w:val="bottom"/>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58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Netwrix Corp. </w:t>
            </w:r>
            <w:r>
              <w:rPr>
                <w:rFonts w:ascii="Arial" w:cs="Arial" w:eastAsia="Arial" w:hAnsi="Arial"/>
                <w:sz w:val="17"/>
                <w:szCs w:val="17"/>
                <w:color w:val="auto"/>
                <w:vertAlign w:val="superscript"/>
              </w:rPr>
              <w:t>(3)(5)</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($70,600 par, due 9/2026)</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9/30/2020</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+ 6.00%</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69,427</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70,600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w:t>
            </w:r>
          </w:p>
        </w:tc>
      </w:tr>
      <w:tr>
        <w:trPr>
          <w:trHeight w:val="151"/>
        </w:trPr>
        <w:tc>
          <w:tcPr>
            <w:tcW w:w="2580" w:type="dxa"/>
            <w:vAlign w:val="bottom"/>
          </w:tcPr>
          <w:p>
            <w:pPr>
              <w:spacing w:after="0" w:line="151" w:lineRule="exact"/>
              <w:rPr>
                <w:sz w:val="20"/>
                <w:szCs w:val="20"/>
                <w:color w:val="auto"/>
              </w:rPr>
            </w:pPr>
            <w:r>
              <w:rPr>
                <w:rFonts w:ascii="Arial" w:cs="Arial" w:eastAsia="Arial" w:hAnsi="Arial"/>
                <w:sz w:val="10"/>
                <w:szCs w:val="10"/>
                <w:color w:val="auto"/>
              </w:rPr>
              <w:t xml:space="preserve">ReliaQuest Holdings, LLC </w:t>
            </w:r>
            <w:r>
              <w:rPr>
                <w:rFonts w:ascii="Arial" w:cs="Arial" w:eastAsia="Arial" w:hAnsi="Arial"/>
                <w:sz w:val="17"/>
                <w:szCs w:val="17"/>
                <w:color w:val="auto"/>
                <w:vertAlign w:val="superscript"/>
              </w:rPr>
              <w:t>(3)(5)</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($48,964 par, due 10/2026)</w:t>
            </w:r>
          </w:p>
        </w:tc>
        <w:tc>
          <w:tcPr>
            <w:tcW w:w="880" w:type="dxa"/>
            <w:vAlign w:val="bottom"/>
          </w:tcPr>
          <w:p>
            <w:pPr>
              <w:jc w:val="right"/>
              <w:spacing w:after="0"/>
              <w:rPr>
                <w:sz w:val="20"/>
                <w:szCs w:val="20"/>
                <w:color w:val="auto"/>
              </w:rPr>
            </w:pPr>
            <w:r>
              <w:rPr>
                <w:rFonts w:ascii="Arial" w:cs="Arial" w:eastAsia="Arial" w:hAnsi="Arial"/>
                <w:sz w:val="11"/>
                <w:szCs w:val="11"/>
                <w:color w:val="auto"/>
              </w:rPr>
              <w:t>10/8/2020</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+ 8.25%</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9.26%</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48,015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50,884</w:t>
            </w:r>
          </w:p>
        </w:tc>
        <w:tc>
          <w:tcPr>
            <w:tcW w:w="2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4.0%</w:t>
            </w:r>
          </w:p>
        </w:tc>
      </w:tr>
      <w:tr>
        <w:trPr>
          <w:trHeight w:val="151"/>
        </w:trPr>
        <w:tc>
          <w:tcPr>
            <w:tcW w:w="258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WideOrbit, Inc. </w:t>
            </w:r>
            <w:r>
              <w:rPr>
                <w:rFonts w:ascii="Arial" w:cs="Arial" w:eastAsia="Arial" w:hAnsi="Arial"/>
                <w:sz w:val="17"/>
                <w:szCs w:val="17"/>
                <w:color w:val="auto"/>
                <w:vertAlign w:val="superscript"/>
              </w:rPr>
              <w:t>(3)</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($50,182 par, due 7/2025)</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7/8/2020</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+ 8.50%</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9.75%</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49,602</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51,555</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w:t>
            </w:r>
          </w:p>
        </w:tc>
      </w:tr>
      <w:tr>
        <w:trPr>
          <w:trHeight w:val="20"/>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386,485</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402,322</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31.5%</w:t>
            </w:r>
          </w:p>
        </w:tc>
      </w:tr>
      <w:tr>
        <w:trPr>
          <w:trHeight w:val="14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Communications</w:t>
            </w:r>
          </w:p>
        </w:tc>
        <w:tc>
          <w:tcPr>
            <w:tcW w:w="120" w:type="dxa"/>
            <w:vAlign w:val="bottom"/>
            <w:tcBorders>
              <w:top w:val="single" w:sz="8" w:color="CFF0FC"/>
            </w:tcBorders>
            <w:shd w:val="clear" w:color="auto" w:fill="CFF0FC"/>
          </w:tcPr>
          <w:p>
            <w:pPr>
              <w:spacing w:after="0"/>
              <w:rPr>
                <w:sz w:val="12"/>
                <w:szCs w:val="12"/>
                <w:color w:val="auto"/>
              </w:rPr>
            </w:pPr>
          </w:p>
        </w:tc>
        <w:tc>
          <w:tcPr>
            <w:tcW w:w="25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580" w:type="dxa"/>
            <w:vAlign w:val="bottom"/>
          </w:tcPr>
          <w:p>
            <w:pPr>
              <w:spacing w:after="0" w:line="151" w:lineRule="exact"/>
              <w:rPr>
                <w:sz w:val="20"/>
                <w:szCs w:val="20"/>
                <w:color w:val="auto"/>
              </w:rPr>
            </w:pPr>
            <w:r>
              <w:rPr>
                <w:rFonts w:ascii="Arial" w:cs="Arial" w:eastAsia="Arial" w:hAnsi="Arial"/>
                <w:sz w:val="10"/>
                <w:szCs w:val="10"/>
                <w:color w:val="auto"/>
              </w:rPr>
              <w:t xml:space="preserve">Celtra Technologies, Inc. </w:t>
            </w:r>
            <w:r>
              <w:rPr>
                <w:rFonts w:ascii="Arial" w:cs="Arial" w:eastAsia="Arial" w:hAnsi="Arial"/>
                <w:sz w:val="17"/>
                <w:szCs w:val="17"/>
                <w:color w:val="auto"/>
                <w:vertAlign w:val="superscript"/>
              </w:rPr>
              <w:t>(3)(5)</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($34,913 par, due 11/2026)</w:t>
            </w:r>
          </w:p>
        </w:tc>
        <w:tc>
          <w:tcPr>
            <w:tcW w:w="880" w:type="dxa"/>
            <w:vAlign w:val="bottom"/>
          </w:tcPr>
          <w:p>
            <w:pPr>
              <w:jc w:val="right"/>
              <w:spacing w:after="0"/>
              <w:rPr>
                <w:sz w:val="20"/>
                <w:szCs w:val="20"/>
                <w:color w:val="auto"/>
              </w:rPr>
            </w:pPr>
            <w:r>
              <w:rPr>
                <w:rFonts w:ascii="Arial" w:cs="Arial" w:eastAsia="Arial" w:hAnsi="Arial"/>
                <w:sz w:val="11"/>
                <w:szCs w:val="11"/>
                <w:color w:val="auto"/>
              </w:rPr>
              <w:t>11/19/2021</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+ 7.00%</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8.00%</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33,881</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33,865</w:t>
            </w:r>
          </w:p>
        </w:tc>
        <w:tc>
          <w:tcPr>
            <w:tcW w:w="2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2.6%</w:t>
            </w:r>
          </w:p>
        </w:tc>
      </w:tr>
      <w:tr>
        <w:trPr>
          <w:trHeight w:val="151"/>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IntelePeer Holdings, Inc.</w:t>
            </w:r>
          </w:p>
        </w:tc>
        <w:tc>
          <w:tcPr>
            <w:tcW w:w="2800" w:type="dxa"/>
            <w:vAlign w:val="bottom"/>
            <w:gridSpan w:val="3"/>
            <w:shd w:val="clear" w:color="auto" w:fill="CFF0FC"/>
          </w:tcPr>
          <w:p>
            <w:pPr>
              <w:ind w:left="120"/>
              <w:spacing w:after="0" w:line="151" w:lineRule="exact"/>
              <w:rPr>
                <w:sz w:val="20"/>
                <w:szCs w:val="20"/>
                <w:color w:val="auto"/>
              </w:rPr>
            </w:pPr>
            <w:r>
              <w:rPr>
                <w:rFonts w:ascii="Arial" w:cs="Arial" w:eastAsia="Arial" w:hAnsi="Arial"/>
                <w:sz w:val="10"/>
                <w:szCs w:val="10"/>
                <w:color w:val="auto"/>
              </w:rPr>
              <w:t xml:space="preserve">First-lien loan ($34,956 par, due 12/2024) </w:t>
            </w:r>
            <w:r>
              <w:rPr>
                <w:rFonts w:ascii="Arial" w:cs="Arial" w:eastAsia="Arial" w:hAnsi="Arial"/>
                <w:sz w:val="17"/>
                <w:szCs w:val="17"/>
                <w:color w:val="auto"/>
                <w:vertAlign w:val="superscript"/>
              </w:rPr>
              <w:t>(3)</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12/2/2019</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+ 8.25%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9.75%</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34,897</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34,694</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w:t>
            </w:r>
          </w:p>
        </w:tc>
      </w:tr>
      <w:tr>
        <w:trPr>
          <w:trHeight w:val="149"/>
        </w:trPr>
        <w:tc>
          <w:tcPr>
            <w:tcW w:w="2580" w:type="dxa"/>
            <w:vAlign w:val="bottom"/>
          </w:tcPr>
          <w:p>
            <w:pPr>
              <w:spacing w:after="0"/>
              <w:rPr>
                <w:sz w:val="12"/>
                <w:szCs w:val="12"/>
                <w:color w:val="auto"/>
              </w:rPr>
            </w:pP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Convertible note ($4,188 par, due 5/2028)</w:t>
            </w:r>
          </w:p>
        </w:tc>
        <w:tc>
          <w:tcPr>
            <w:tcW w:w="880" w:type="dxa"/>
            <w:vAlign w:val="bottom"/>
          </w:tcPr>
          <w:p>
            <w:pPr>
              <w:jc w:val="right"/>
              <w:spacing w:after="0"/>
              <w:rPr>
                <w:sz w:val="20"/>
                <w:szCs w:val="20"/>
                <w:color w:val="auto"/>
              </w:rPr>
            </w:pPr>
            <w:r>
              <w:rPr>
                <w:rFonts w:ascii="Arial" w:cs="Arial" w:eastAsia="Arial" w:hAnsi="Arial"/>
                <w:sz w:val="11"/>
                <w:szCs w:val="11"/>
                <w:color w:val="auto"/>
              </w:rPr>
              <w:t>5/12/2021</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6.00%</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6.00% PIK</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4,152</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4,167</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0.3%</w:t>
            </w:r>
          </w:p>
        </w:tc>
      </w:tr>
      <w:tr>
        <w:trPr>
          <w:trHeight w:val="143"/>
        </w:trPr>
        <w:tc>
          <w:tcPr>
            <w:tcW w:w="25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5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72,930</w:t>
            </w: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72,726</w:t>
            </w: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5.6</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r>
      <w:tr>
        <w:trPr>
          <w:trHeight w:val="139"/>
        </w:trPr>
        <w:tc>
          <w:tcPr>
            <w:tcW w:w="2580" w:type="dxa"/>
            <w:vAlign w:val="bottom"/>
          </w:tcPr>
          <w:p>
            <w:pPr>
              <w:spacing w:after="0"/>
              <w:rPr>
                <w:sz w:val="20"/>
                <w:szCs w:val="20"/>
                <w:color w:val="auto"/>
              </w:rPr>
            </w:pPr>
            <w:r>
              <w:rPr>
                <w:rFonts w:ascii="Arial" w:cs="Arial" w:eastAsia="Arial" w:hAnsi="Arial"/>
                <w:sz w:val="11"/>
                <w:szCs w:val="11"/>
                <w:b w:val="1"/>
                <w:bCs w:val="1"/>
                <w:color w:val="auto"/>
              </w:rPr>
              <w:t>Education</w:t>
            </w: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58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Astra Acquisition Corp. </w:t>
            </w:r>
            <w:r>
              <w:rPr>
                <w:rFonts w:ascii="Arial" w:cs="Arial" w:eastAsia="Arial" w:hAnsi="Arial"/>
                <w:sz w:val="17"/>
                <w:szCs w:val="17"/>
                <w:color w:val="auto"/>
                <w:vertAlign w:val="superscript"/>
              </w:rPr>
              <w:t>(3)</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Second-lien loan ($43,490 par, due 10/2029)</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10/25/2021</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+ 8.88%</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9.63%</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42,647</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42,511</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3.3%</w:t>
            </w:r>
          </w:p>
        </w:tc>
      </w:tr>
      <w:tr>
        <w:trPr>
          <w:trHeight w:val="142"/>
        </w:trPr>
        <w:tc>
          <w:tcPr>
            <w:tcW w:w="2580" w:type="dxa"/>
            <w:vAlign w:val="bottom"/>
          </w:tcPr>
          <w:p>
            <w:pPr>
              <w:spacing w:after="0"/>
              <w:rPr>
                <w:sz w:val="20"/>
                <w:szCs w:val="20"/>
                <w:color w:val="auto"/>
              </w:rPr>
            </w:pPr>
            <w:r>
              <w:rPr>
                <w:rFonts w:ascii="Arial" w:cs="Arial" w:eastAsia="Arial" w:hAnsi="Arial"/>
                <w:sz w:val="11"/>
                <w:szCs w:val="11"/>
                <w:color w:val="auto"/>
              </w:rPr>
              <w:t>Destiny Solutions Parent</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($60,000 par, due 6/2026)</w:t>
            </w:r>
          </w:p>
        </w:tc>
        <w:tc>
          <w:tcPr>
            <w:tcW w:w="880" w:type="dxa"/>
            <w:vAlign w:val="bottom"/>
          </w:tcPr>
          <w:p>
            <w:pPr>
              <w:jc w:val="right"/>
              <w:spacing w:after="0"/>
              <w:rPr>
                <w:sz w:val="20"/>
                <w:szCs w:val="20"/>
                <w:color w:val="auto"/>
              </w:rPr>
            </w:pPr>
            <w:r>
              <w:rPr>
                <w:rFonts w:ascii="Arial" w:cs="Arial" w:eastAsia="Arial" w:hAnsi="Arial"/>
                <w:sz w:val="11"/>
                <w:szCs w:val="11"/>
                <w:color w:val="auto"/>
              </w:rPr>
              <w:t>6/8/2021</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+ 6.00%</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58,857</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58,950</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w:t>
            </w:r>
          </w:p>
        </w:tc>
      </w:tr>
      <w:tr>
        <w:trPr>
          <w:trHeight w:val="151"/>
        </w:trPr>
        <w:tc>
          <w:tcPr>
            <w:tcW w:w="2580" w:type="dxa"/>
            <w:vAlign w:val="bottom"/>
          </w:tcPr>
          <w:p>
            <w:pPr>
              <w:ind w:left="80"/>
              <w:spacing w:after="0" w:line="150" w:lineRule="exact"/>
              <w:rPr>
                <w:sz w:val="20"/>
                <w:szCs w:val="20"/>
                <w:color w:val="auto"/>
              </w:rPr>
            </w:pPr>
            <w:r>
              <w:rPr>
                <w:rFonts w:ascii="Arial" w:cs="Arial" w:eastAsia="Arial" w:hAnsi="Arial"/>
                <w:sz w:val="10"/>
                <w:szCs w:val="10"/>
                <w:color w:val="auto"/>
              </w:rPr>
              <w:t xml:space="preserve">Holding Company </w:t>
            </w:r>
            <w:r>
              <w:rPr>
                <w:rFonts w:ascii="Arial" w:cs="Arial" w:eastAsia="Arial" w:hAnsi="Arial"/>
                <w:sz w:val="17"/>
                <w:szCs w:val="17"/>
                <w:color w:val="auto"/>
                <w:vertAlign w:val="superscript"/>
              </w:rPr>
              <w:t>(3)(5)</w:t>
            </w: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258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EMS Linq, Inc. </w:t>
            </w:r>
            <w:r>
              <w:rPr>
                <w:rFonts w:ascii="Arial" w:cs="Arial" w:eastAsia="Arial" w:hAnsi="Arial"/>
                <w:sz w:val="17"/>
                <w:szCs w:val="17"/>
                <w:color w:val="auto"/>
                <w:vertAlign w:val="superscript"/>
              </w:rPr>
              <w:t>(3)</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($56,216 par, due 12/2027)</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12/22/2021</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+ 6.25%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7.26%</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54,966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54,754</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4.3%</w:t>
            </w:r>
          </w:p>
        </w:tc>
      </w:tr>
      <w:tr>
        <w:trPr>
          <w:trHeight w:val="142"/>
        </w:trPr>
        <w:tc>
          <w:tcPr>
            <w:tcW w:w="2580" w:type="dxa"/>
            <w:vAlign w:val="bottom"/>
          </w:tcPr>
          <w:p>
            <w:pPr>
              <w:spacing w:after="0"/>
              <w:rPr>
                <w:sz w:val="20"/>
                <w:szCs w:val="20"/>
                <w:color w:val="auto"/>
              </w:rPr>
            </w:pPr>
            <w:r>
              <w:rPr>
                <w:rFonts w:ascii="Arial" w:cs="Arial" w:eastAsia="Arial" w:hAnsi="Arial"/>
                <w:sz w:val="11"/>
                <w:szCs w:val="11"/>
                <w:color w:val="auto"/>
              </w:rPr>
              <w:t>Frontline Technologies</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($86,246 par, due 9/2023)</w:t>
            </w:r>
          </w:p>
        </w:tc>
        <w:tc>
          <w:tcPr>
            <w:tcW w:w="880" w:type="dxa"/>
            <w:vAlign w:val="bottom"/>
          </w:tcPr>
          <w:p>
            <w:pPr>
              <w:jc w:val="right"/>
              <w:spacing w:after="0"/>
              <w:rPr>
                <w:sz w:val="20"/>
                <w:szCs w:val="20"/>
                <w:color w:val="auto"/>
              </w:rPr>
            </w:pPr>
            <w:r>
              <w:rPr>
                <w:rFonts w:ascii="Arial" w:cs="Arial" w:eastAsia="Arial" w:hAnsi="Arial"/>
                <w:sz w:val="11"/>
                <w:szCs w:val="11"/>
                <w:color w:val="auto"/>
              </w:rPr>
              <w:t>9/18/2017</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+ 5.25%</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6.25%</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86,049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86,246</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6.7%</w:t>
            </w:r>
          </w:p>
        </w:tc>
      </w:tr>
      <w:tr>
        <w:trPr>
          <w:trHeight w:val="151"/>
        </w:trPr>
        <w:tc>
          <w:tcPr>
            <w:tcW w:w="2580" w:type="dxa"/>
            <w:vAlign w:val="bottom"/>
          </w:tcPr>
          <w:p>
            <w:pPr>
              <w:ind w:left="80"/>
              <w:spacing w:after="0" w:line="150" w:lineRule="exact"/>
              <w:rPr>
                <w:sz w:val="20"/>
                <w:szCs w:val="20"/>
                <w:color w:val="auto"/>
              </w:rPr>
            </w:pPr>
            <w:r>
              <w:rPr>
                <w:rFonts w:ascii="Arial" w:cs="Arial" w:eastAsia="Arial" w:hAnsi="Arial"/>
                <w:sz w:val="10"/>
                <w:szCs w:val="10"/>
                <w:color w:val="auto"/>
              </w:rPr>
              <w:t xml:space="preserve">Group, LLC </w:t>
            </w:r>
            <w:r>
              <w:rPr>
                <w:rFonts w:ascii="Arial" w:cs="Arial" w:eastAsia="Arial" w:hAnsi="Arial"/>
                <w:sz w:val="17"/>
                <w:szCs w:val="17"/>
                <w:color w:val="auto"/>
                <w:vertAlign w:val="superscript"/>
              </w:rPr>
              <w:t>(3)</w:t>
            </w: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Illuminate Education,</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($62,563 par, due 8/2022)</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8/25/2017</w:t>
            </w:r>
          </w:p>
        </w:tc>
        <w:tc>
          <w:tcPr>
            <w:tcW w:w="10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+ 6.25%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62,434</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62,563</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w:t>
            </w:r>
          </w:p>
        </w:tc>
      </w:tr>
      <w:tr>
        <w:trPr>
          <w:trHeight w:val="149"/>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w:t>
            </w:r>
            <w:r>
              <w:rPr>
                <w:rFonts w:ascii="Arial" w:cs="Arial" w:eastAsia="Arial" w:hAnsi="Arial"/>
                <w:sz w:val="9"/>
                <w:szCs w:val="9"/>
                <w:color w:val="auto"/>
              </w:rPr>
              <w:t>(3)(5)</w:t>
            </w:r>
          </w:p>
        </w:tc>
        <w:tc>
          <w:tcPr>
            <w:tcW w:w="120" w:type="dxa"/>
            <w:vAlign w:val="bottom"/>
            <w:shd w:val="clear" w:color="auto" w:fill="CFF0FC"/>
          </w:tcPr>
          <w:p>
            <w:pPr>
              <w:spacing w:after="0"/>
              <w:rPr>
                <w:sz w:val="12"/>
                <w:szCs w:val="12"/>
                <w:color w:val="auto"/>
              </w:rPr>
            </w:pPr>
          </w:p>
        </w:tc>
        <w:tc>
          <w:tcPr>
            <w:tcW w:w="2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1"/>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304,953</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305,024</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23.8%</w:t>
            </w:r>
          </w:p>
        </w:tc>
      </w:tr>
      <w:tr>
        <w:trPr>
          <w:trHeight w:val="143"/>
        </w:trPr>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Financial Services</w:t>
            </w:r>
          </w:p>
        </w:tc>
        <w:tc>
          <w:tcPr>
            <w:tcW w:w="120" w:type="dxa"/>
            <w:vAlign w:val="bottom"/>
            <w:tcBorders>
              <w:top w:val="single" w:sz="8" w:color="CFF0FC"/>
            </w:tcBorders>
            <w:shd w:val="clear" w:color="auto" w:fill="CFF0FC"/>
          </w:tcPr>
          <w:p>
            <w:pPr>
              <w:spacing w:after="0"/>
              <w:rPr>
                <w:sz w:val="12"/>
                <w:szCs w:val="12"/>
                <w:color w:val="auto"/>
              </w:rPr>
            </w:pPr>
          </w:p>
        </w:tc>
        <w:tc>
          <w:tcPr>
            <w:tcW w:w="25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580" w:type="dxa"/>
            <w:vAlign w:val="bottom"/>
          </w:tcPr>
          <w:p>
            <w:pPr>
              <w:spacing w:after="0" w:line="151" w:lineRule="exact"/>
              <w:rPr>
                <w:sz w:val="20"/>
                <w:szCs w:val="20"/>
                <w:color w:val="auto"/>
              </w:rPr>
            </w:pPr>
            <w:r>
              <w:rPr>
                <w:rFonts w:ascii="Arial" w:cs="Arial" w:eastAsia="Arial" w:hAnsi="Arial"/>
                <w:sz w:val="10"/>
                <w:szCs w:val="10"/>
                <w:color w:val="auto"/>
              </w:rPr>
              <w:t xml:space="preserve">AvidXchange, Inc. </w:t>
            </w:r>
            <w:r>
              <w:rPr>
                <w:rFonts w:ascii="Arial" w:cs="Arial" w:eastAsia="Arial" w:hAnsi="Arial"/>
                <w:sz w:val="17"/>
                <w:szCs w:val="17"/>
                <w:color w:val="auto"/>
                <w:vertAlign w:val="superscript"/>
              </w:rPr>
              <w:t>(3)(4)(5)</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($11,331 par, due 4/2024)</w:t>
            </w:r>
          </w:p>
        </w:tc>
        <w:tc>
          <w:tcPr>
            <w:tcW w:w="880" w:type="dxa"/>
            <w:vAlign w:val="bottom"/>
          </w:tcPr>
          <w:p>
            <w:pPr>
              <w:jc w:val="right"/>
              <w:spacing w:after="0"/>
              <w:rPr>
                <w:sz w:val="20"/>
                <w:szCs w:val="20"/>
                <w:color w:val="auto"/>
              </w:rPr>
            </w:pPr>
            <w:r>
              <w:rPr>
                <w:rFonts w:ascii="Arial" w:cs="Arial" w:eastAsia="Arial" w:hAnsi="Arial"/>
                <w:sz w:val="11"/>
                <w:szCs w:val="11"/>
                <w:color w:val="auto"/>
              </w:rPr>
              <w:t>10/1/2019</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+ 9.00%</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10.06%</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11,263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11,392</w:t>
            </w:r>
          </w:p>
        </w:tc>
        <w:tc>
          <w:tcPr>
            <w:tcW w:w="2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0.9%</w:t>
            </w:r>
          </w:p>
        </w:tc>
      </w:tr>
      <w:tr>
        <w:trPr>
          <w:trHeight w:val="151"/>
        </w:trPr>
        <w:tc>
          <w:tcPr>
            <w:tcW w:w="258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Bear OpCo, LLC </w:t>
            </w:r>
            <w:r>
              <w:rPr>
                <w:rFonts w:ascii="Arial" w:cs="Arial" w:eastAsia="Arial" w:hAnsi="Arial"/>
                <w:sz w:val="17"/>
                <w:szCs w:val="17"/>
                <w:color w:val="auto"/>
                <w:vertAlign w:val="superscript"/>
              </w:rPr>
              <w:t>(3)(5)</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($19,525 par, due 10/2024)</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10/10/2019</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+ 6.50%</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19,224</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19,330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w:t>
            </w:r>
          </w:p>
        </w:tc>
      </w:tr>
      <w:tr>
        <w:trPr>
          <w:trHeight w:val="151"/>
        </w:trPr>
        <w:tc>
          <w:tcPr>
            <w:tcW w:w="2580" w:type="dxa"/>
            <w:vAlign w:val="bottom"/>
          </w:tcPr>
          <w:p>
            <w:pPr>
              <w:spacing w:after="0" w:line="151" w:lineRule="exact"/>
              <w:rPr>
                <w:sz w:val="20"/>
                <w:szCs w:val="20"/>
                <w:color w:val="auto"/>
              </w:rPr>
            </w:pPr>
            <w:r>
              <w:rPr>
                <w:rFonts w:ascii="Arial" w:cs="Arial" w:eastAsia="Arial" w:hAnsi="Arial"/>
                <w:sz w:val="10"/>
                <w:szCs w:val="10"/>
                <w:color w:val="auto"/>
              </w:rPr>
              <w:t xml:space="preserve">BlueSnap, Inc. </w:t>
            </w:r>
            <w:r>
              <w:rPr>
                <w:rFonts w:ascii="Arial" w:cs="Arial" w:eastAsia="Arial" w:hAnsi="Arial"/>
                <w:sz w:val="17"/>
                <w:szCs w:val="17"/>
                <w:color w:val="auto"/>
                <w:vertAlign w:val="superscript"/>
              </w:rPr>
              <w:t>(3)(5)</w:t>
            </w:r>
          </w:p>
        </w:tc>
        <w:tc>
          <w:tcPr>
            <w:tcW w:w="2800" w:type="dxa"/>
            <w:vAlign w:val="bottom"/>
            <w:gridSpan w:val="3"/>
          </w:tcPr>
          <w:p>
            <w:pPr>
              <w:ind w:left="120"/>
              <w:spacing w:after="0"/>
              <w:rPr>
                <w:sz w:val="20"/>
                <w:szCs w:val="20"/>
                <w:color w:val="auto"/>
              </w:rPr>
            </w:pPr>
            <w:r>
              <w:rPr>
                <w:rFonts w:ascii="Arial" w:cs="Arial" w:eastAsia="Arial" w:hAnsi="Arial"/>
                <w:sz w:val="11"/>
                <w:szCs w:val="11"/>
                <w:color w:val="auto"/>
              </w:rPr>
              <w:t>First-lien loan ($35,000 par, due 10/2024)</w:t>
            </w:r>
          </w:p>
        </w:tc>
        <w:tc>
          <w:tcPr>
            <w:tcW w:w="880" w:type="dxa"/>
            <w:vAlign w:val="bottom"/>
          </w:tcPr>
          <w:p>
            <w:pPr>
              <w:jc w:val="right"/>
              <w:spacing w:after="0"/>
              <w:rPr>
                <w:sz w:val="20"/>
                <w:szCs w:val="20"/>
                <w:color w:val="auto"/>
              </w:rPr>
            </w:pPr>
            <w:r>
              <w:rPr>
                <w:rFonts w:ascii="Arial" w:cs="Arial" w:eastAsia="Arial" w:hAnsi="Arial"/>
                <w:sz w:val="11"/>
                <w:szCs w:val="11"/>
                <w:color w:val="auto"/>
              </w:rPr>
              <w:t>10/25/2019</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L + 6.75%</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7.76%</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34,500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35,356</w:t>
            </w:r>
          </w:p>
        </w:tc>
        <w:tc>
          <w:tcPr>
            <w:tcW w:w="20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2.7%</w:t>
            </w:r>
          </w:p>
        </w:tc>
      </w:tr>
      <w:tr>
        <w:trPr>
          <w:trHeight w:val="151"/>
        </w:trPr>
        <w:tc>
          <w:tcPr>
            <w:tcW w:w="258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G Treasury SS, LLC </w:t>
            </w:r>
            <w:r>
              <w:rPr>
                <w:rFonts w:ascii="Arial" w:cs="Arial" w:eastAsia="Arial" w:hAnsi="Arial"/>
                <w:sz w:val="17"/>
                <w:szCs w:val="17"/>
                <w:color w:val="auto"/>
                <w:vertAlign w:val="superscript"/>
              </w:rPr>
              <w:t>(3)(5)</w:t>
            </w:r>
          </w:p>
        </w:tc>
        <w:tc>
          <w:tcPr>
            <w:tcW w:w="280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First-lien loan ($63,090 par, due 4/2023)</w:t>
            </w: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4/9/2018</w:t>
            </w: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L + 8.25%</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9.26%</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62,481</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64,085</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5.0%</w:t>
            </w: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8"/>
        </w:trPr>
        <w:tc>
          <w:tcPr>
            <w:tcW w:w="2200" w:type="dxa"/>
            <w:vAlign w:val="bottom"/>
          </w:tcPr>
          <w:p>
            <w:pPr>
              <w:spacing w:after="0"/>
              <w:rPr>
                <w:sz w:val="20"/>
                <w:szCs w:val="20"/>
                <w:color w:val="auto"/>
              </w:rPr>
            </w:pPr>
            <w:r>
              <w:rPr>
                <w:rFonts w:ascii="Arial" w:cs="Arial" w:eastAsia="Arial" w:hAnsi="Arial"/>
                <w:sz w:val="11"/>
                <w:szCs w:val="11"/>
                <w:color w:val="auto"/>
              </w:rPr>
              <w:t xml:space="preserve">Ibis Intermediate Co. </w:t>
            </w:r>
            <w:r>
              <w:rPr>
                <w:rFonts w:ascii="Arial" w:cs="Arial" w:eastAsia="Arial" w:hAnsi="Arial"/>
                <w:sz w:val="19"/>
                <w:szCs w:val="19"/>
                <w:color w:val="auto"/>
                <w:vertAlign w:val="superscript"/>
              </w:rPr>
              <w:t>(3)(5)</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($1,538 par, due 5/2027)</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5/28/2021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+ 5.00%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5.50%</w:t>
            </w:r>
          </w:p>
        </w:tc>
        <w:tc>
          <w:tcPr>
            <w:tcW w:w="820" w:type="dxa"/>
            <w:vAlign w:val="bottom"/>
          </w:tcPr>
          <w:p>
            <w:pPr>
              <w:jc w:val="right"/>
              <w:spacing w:after="0"/>
              <w:rPr>
                <w:sz w:val="20"/>
                <w:szCs w:val="20"/>
                <w:color w:val="auto"/>
              </w:rPr>
            </w:pPr>
            <w:r>
              <w:rPr>
                <w:rFonts w:ascii="Arial" w:cs="Arial" w:eastAsia="Arial" w:hAnsi="Arial"/>
                <w:sz w:val="11"/>
                <w:szCs w:val="11"/>
                <w:color w:val="auto"/>
              </w:rPr>
              <w:t>1,411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1,597</w:t>
            </w: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r>
      <w:tr>
        <w:trPr>
          <w:trHeight w:val="151"/>
        </w:trPr>
        <w:tc>
          <w:tcPr>
            <w:tcW w:w="220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Ibis US Blocker Co. </w:t>
            </w:r>
            <w:r>
              <w:rPr>
                <w:rFonts w:ascii="Arial" w:cs="Arial" w:eastAsia="Arial" w:hAnsi="Arial"/>
                <w:sz w:val="17"/>
                <w:szCs w:val="17"/>
                <w:color w:val="auto"/>
                <w:vertAlign w:val="superscript"/>
              </w:rPr>
              <w:t>(3)</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($12,947 par, due 5/2028)</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5/28/2021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+ 8.25%</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8.75% PIK</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12,679</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12,720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1.0%</w:t>
            </w:r>
          </w:p>
        </w:tc>
      </w:tr>
      <w:tr>
        <w:trPr>
          <w:trHeight w:val="142"/>
        </w:trPr>
        <w:tc>
          <w:tcPr>
            <w:tcW w:w="2200" w:type="dxa"/>
            <w:vAlign w:val="bottom"/>
          </w:tcPr>
          <w:p>
            <w:pPr>
              <w:spacing w:after="0"/>
              <w:rPr>
                <w:sz w:val="20"/>
                <w:szCs w:val="20"/>
                <w:color w:val="auto"/>
              </w:rPr>
            </w:pPr>
            <w:r>
              <w:rPr>
                <w:rFonts w:ascii="Arial" w:cs="Arial" w:eastAsia="Arial" w:hAnsi="Arial"/>
                <w:sz w:val="11"/>
                <w:szCs w:val="11"/>
                <w:color w:val="auto"/>
              </w:rPr>
              <w:t>Jonas Collections and</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($27,313 par, due 6/2026)</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6/21/2021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+ 5.75%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6.75%</w:t>
            </w:r>
          </w:p>
        </w:tc>
        <w:tc>
          <w:tcPr>
            <w:tcW w:w="820" w:type="dxa"/>
            <w:vAlign w:val="bottom"/>
          </w:tcPr>
          <w:p>
            <w:pPr>
              <w:jc w:val="right"/>
              <w:spacing w:after="0"/>
              <w:rPr>
                <w:sz w:val="20"/>
                <w:szCs w:val="20"/>
                <w:color w:val="auto"/>
              </w:rPr>
            </w:pPr>
            <w:r>
              <w:rPr>
                <w:rFonts w:ascii="Arial" w:cs="Arial" w:eastAsia="Arial" w:hAnsi="Arial"/>
                <w:sz w:val="11"/>
                <w:szCs w:val="11"/>
                <w:color w:val="auto"/>
              </w:rPr>
              <w:t>26,818</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26,971</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2.1%</w:t>
            </w:r>
          </w:p>
        </w:tc>
      </w:tr>
      <w:tr>
        <w:trPr>
          <w:trHeight w:val="151"/>
        </w:trPr>
        <w:tc>
          <w:tcPr>
            <w:tcW w:w="2200" w:type="dxa"/>
            <w:vAlign w:val="bottom"/>
          </w:tcPr>
          <w:p>
            <w:pPr>
              <w:ind w:left="80"/>
              <w:spacing w:after="0" w:line="150" w:lineRule="exact"/>
              <w:rPr>
                <w:sz w:val="20"/>
                <w:szCs w:val="20"/>
                <w:color w:val="auto"/>
              </w:rPr>
            </w:pPr>
            <w:r>
              <w:rPr>
                <w:rFonts w:ascii="Arial" w:cs="Arial" w:eastAsia="Arial" w:hAnsi="Arial"/>
                <w:sz w:val="10"/>
                <w:szCs w:val="10"/>
                <w:color w:val="auto"/>
              </w:rPr>
              <w:t xml:space="preserve">Recovery, Inc. </w:t>
            </w:r>
            <w:r>
              <w:rPr>
                <w:rFonts w:ascii="Arial" w:cs="Arial" w:eastAsia="Arial" w:hAnsi="Arial"/>
                <w:sz w:val="17"/>
                <w:szCs w:val="17"/>
                <w:color w:val="auto"/>
                <w:vertAlign w:val="superscript"/>
              </w:rPr>
              <w:t>(3)(5)</w:t>
            </w:r>
          </w:p>
        </w:tc>
        <w:tc>
          <w:tcPr>
            <w:tcW w:w="3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200" w:type="dxa"/>
            <w:vAlign w:val="bottom"/>
            <w:shd w:val="clear" w:color="auto" w:fill="CFF0FC"/>
          </w:tcPr>
          <w:p>
            <w:pPr>
              <w:spacing w:after="0" w:line="145" w:lineRule="exact"/>
              <w:rPr>
                <w:sz w:val="20"/>
                <w:szCs w:val="20"/>
                <w:color w:val="auto"/>
              </w:rPr>
            </w:pPr>
            <w:r>
              <w:rPr>
                <w:rFonts w:ascii="Arial" w:cs="Arial" w:eastAsia="Arial" w:hAnsi="Arial"/>
                <w:sz w:val="10"/>
                <w:szCs w:val="10"/>
                <w:color w:val="auto"/>
              </w:rPr>
              <w:t>Kyriba Corp.</w:t>
            </w:r>
            <w:r>
              <w:rPr>
                <w:rFonts w:ascii="Arial" w:cs="Arial" w:eastAsia="Arial" w:hAnsi="Arial"/>
                <w:sz w:val="16"/>
                <w:szCs w:val="16"/>
                <w:color w:val="auto"/>
                <w:vertAlign w:val="superscript"/>
              </w:rPr>
              <w:t>(3)</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($17,804 par, due 4/2025)</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4/9/2019</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+ 9.00%</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10.50% (incl.</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17,571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17,937</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1.4%</w:t>
            </w:r>
          </w:p>
        </w:tc>
      </w:tr>
      <w:tr>
        <w:trPr>
          <w:trHeight w:val="149"/>
        </w:trPr>
        <w:tc>
          <w:tcPr>
            <w:tcW w:w="220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9.00% PIK)</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2200" w:type="dxa"/>
            <w:vAlign w:val="bottom"/>
          </w:tcPr>
          <w:p>
            <w:pPr>
              <w:spacing w:after="0"/>
              <w:rPr>
                <w:sz w:val="12"/>
                <w:szCs w:val="12"/>
                <w:color w:val="auto"/>
              </w:rPr>
            </w:pP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(EUR 9,275 par, due 4/2025)</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4/9/2019</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E + 9.00%</w:t>
            </w:r>
          </w:p>
        </w:tc>
        <w:tc>
          <w:tcPr>
            <w:tcW w:w="1000" w:type="dxa"/>
            <w:vAlign w:val="bottom"/>
          </w:tcPr>
          <w:p>
            <w:pPr>
              <w:jc w:val="right"/>
              <w:ind w:right="163"/>
              <w:spacing w:after="0"/>
              <w:rPr>
                <w:sz w:val="20"/>
                <w:szCs w:val="20"/>
                <w:color w:val="auto"/>
              </w:rPr>
            </w:pPr>
            <w:r>
              <w:rPr>
                <w:rFonts w:ascii="Arial" w:cs="Arial" w:eastAsia="Arial" w:hAnsi="Arial"/>
                <w:sz w:val="11"/>
                <w:szCs w:val="11"/>
                <w:color w:val="auto"/>
              </w:rPr>
              <w:t>9.00% PIK</w:t>
            </w:r>
          </w:p>
        </w:tc>
        <w:tc>
          <w:tcPr>
            <w:tcW w:w="820" w:type="dxa"/>
            <w:vAlign w:val="bottom"/>
          </w:tcPr>
          <w:p>
            <w:pPr>
              <w:jc w:val="right"/>
              <w:spacing w:after="0"/>
              <w:rPr>
                <w:sz w:val="20"/>
                <w:szCs w:val="20"/>
                <w:color w:val="auto"/>
              </w:rPr>
            </w:pPr>
            <w:r>
              <w:rPr>
                <w:rFonts w:ascii="Arial" w:cs="Arial" w:eastAsia="Arial" w:hAnsi="Arial"/>
                <w:sz w:val="11"/>
                <w:szCs w:val="11"/>
                <w:color w:val="auto"/>
              </w:rPr>
              <w:t>10,306</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10,397</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0.8%</w:t>
            </w:r>
          </w:p>
        </w:tc>
      </w:tr>
      <w:tr>
        <w:trPr>
          <w:trHeight w:val="147"/>
        </w:trPr>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(EUR 9,344)</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200" w:type="dxa"/>
            <w:vAlign w:val="bottom"/>
            <w:shd w:val="clear" w:color="auto" w:fill="CFF0FC"/>
          </w:tcPr>
          <w:p>
            <w:pPr>
              <w:spacing w:after="0"/>
              <w:rPr>
                <w:sz w:val="13"/>
                <w:szCs w:val="13"/>
                <w:color w:val="auto"/>
              </w:rPr>
            </w:pP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revolving loan ($1,411 par, due 4/2025)</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4/9/2019</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+ 7.25%</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8.75%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1,389</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1,424</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0.1%</w:t>
            </w:r>
          </w:p>
        </w:tc>
      </w:tr>
      <w:tr>
        <w:trPr>
          <w:trHeight w:val="144"/>
        </w:trPr>
        <w:tc>
          <w:tcPr>
            <w:tcW w:w="2200" w:type="dxa"/>
            <w:vAlign w:val="bottom"/>
          </w:tcPr>
          <w:p>
            <w:pPr>
              <w:spacing w:after="0"/>
              <w:rPr>
                <w:sz w:val="12"/>
                <w:szCs w:val="12"/>
                <w:color w:val="auto"/>
              </w:rPr>
            </w:pP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revolving loan (EUR 336 par, due 4/2025)</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4/9/2019</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E + 7.25%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7.25%</w:t>
            </w:r>
          </w:p>
        </w:tc>
        <w:tc>
          <w:tcPr>
            <w:tcW w:w="820" w:type="dxa"/>
            <w:vAlign w:val="bottom"/>
          </w:tcPr>
          <w:p>
            <w:pPr>
              <w:jc w:val="right"/>
              <w:spacing w:after="0"/>
              <w:rPr>
                <w:sz w:val="20"/>
                <w:szCs w:val="20"/>
                <w:color w:val="auto"/>
              </w:rPr>
            </w:pPr>
            <w:r>
              <w:rPr>
                <w:rFonts w:ascii="Arial" w:cs="Arial" w:eastAsia="Arial" w:hAnsi="Arial"/>
                <w:sz w:val="11"/>
                <w:szCs w:val="11"/>
                <w:color w:val="auto"/>
              </w:rPr>
              <w:t>371</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374</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r>
      <w:tr>
        <w:trPr>
          <w:trHeight w:val="147"/>
        </w:trPr>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(EUR 336)</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2200" w:type="dxa"/>
            <w:vAlign w:val="bottom"/>
            <w:shd w:val="clear" w:color="auto" w:fill="CFF0FC"/>
          </w:tcPr>
          <w:p>
            <w:pPr>
              <w:spacing w:after="0" w:line="146" w:lineRule="exact"/>
              <w:rPr>
                <w:sz w:val="20"/>
                <w:szCs w:val="20"/>
                <w:color w:val="auto"/>
              </w:rPr>
            </w:pPr>
            <w:r>
              <w:rPr>
                <w:rFonts w:ascii="Arial" w:cs="Arial" w:eastAsia="Arial" w:hAnsi="Arial"/>
                <w:sz w:val="10"/>
                <w:szCs w:val="10"/>
                <w:color w:val="auto"/>
              </w:rPr>
              <w:t xml:space="preserve">Passport Labs, Inc. </w:t>
            </w:r>
            <w:r>
              <w:rPr>
                <w:rFonts w:ascii="Arial" w:cs="Arial" w:eastAsia="Arial" w:hAnsi="Arial"/>
                <w:sz w:val="16"/>
                <w:szCs w:val="16"/>
                <w:color w:val="auto"/>
                <w:vertAlign w:val="superscript"/>
              </w:rPr>
              <w:t>(3)</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($17,197 par, due 4/2026)</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4/28/2021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+ 8.25%</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9.25% (incl.</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16,929</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16,979</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1.3%</w:t>
            </w:r>
          </w:p>
        </w:tc>
      </w:tr>
      <w:tr>
        <w:trPr>
          <w:trHeight w:val="149"/>
        </w:trPr>
        <w:tc>
          <w:tcPr>
            <w:tcW w:w="220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4.125% PIK)</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PrimeRevenue, Inc. </w:t>
            </w:r>
            <w:r>
              <w:rPr>
                <w:rFonts w:ascii="Arial" w:cs="Arial" w:eastAsia="Arial" w:hAnsi="Arial"/>
                <w:sz w:val="17"/>
                <w:szCs w:val="17"/>
                <w:color w:val="auto"/>
                <w:vertAlign w:val="superscript"/>
              </w:rPr>
              <w:t>(3)</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($22,507 par, due 12/2023)</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12/31/2018</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+ 7.00%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8.50%</w:t>
            </w:r>
          </w:p>
        </w:tc>
        <w:tc>
          <w:tcPr>
            <w:tcW w:w="820" w:type="dxa"/>
            <w:vAlign w:val="bottom"/>
          </w:tcPr>
          <w:p>
            <w:pPr>
              <w:jc w:val="right"/>
              <w:spacing w:after="0"/>
              <w:rPr>
                <w:sz w:val="20"/>
                <w:szCs w:val="20"/>
                <w:color w:val="auto"/>
              </w:rPr>
            </w:pPr>
            <w:r>
              <w:rPr>
                <w:rFonts w:ascii="Arial" w:cs="Arial" w:eastAsia="Arial" w:hAnsi="Arial"/>
                <w:sz w:val="11"/>
                <w:szCs w:val="11"/>
                <w:color w:val="auto"/>
              </w:rPr>
              <w:t>22,382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22,942</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1.8%</w:t>
            </w:r>
          </w:p>
        </w:tc>
      </w:tr>
      <w:tr>
        <w:trPr>
          <w:trHeight w:val="151"/>
        </w:trPr>
        <w:tc>
          <w:tcPr>
            <w:tcW w:w="220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TradingScreen, Inc. </w:t>
            </w:r>
            <w:r>
              <w:rPr>
                <w:rFonts w:ascii="Arial" w:cs="Arial" w:eastAsia="Arial" w:hAnsi="Arial"/>
                <w:sz w:val="17"/>
                <w:szCs w:val="17"/>
                <w:color w:val="auto"/>
                <w:vertAlign w:val="superscript"/>
              </w:rPr>
              <w:t>(3)(5)</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($45,000 par, due 4/2027)</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4/30/2021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+ 6.25%</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7.25%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43,822</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44,438</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3.5%</w:t>
            </w:r>
          </w:p>
        </w:tc>
      </w:tr>
      <w:tr>
        <w:trPr>
          <w:trHeight w:val="20"/>
        </w:trPr>
        <w:tc>
          <w:tcPr>
            <w:tcW w:w="2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281,146</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285,942</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22.2%</w:t>
            </w:r>
          </w:p>
        </w:tc>
      </w:tr>
      <w:tr>
        <w:trPr>
          <w:trHeight w:val="14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Healthcare</w:t>
            </w:r>
          </w:p>
        </w:tc>
        <w:tc>
          <w:tcPr>
            <w:tcW w:w="32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BCTO Ace Purchaser, Inc. </w:t>
            </w:r>
            <w:r>
              <w:rPr>
                <w:rFonts w:ascii="Arial" w:cs="Arial" w:eastAsia="Arial" w:hAnsi="Arial"/>
                <w:sz w:val="17"/>
                <w:szCs w:val="17"/>
                <w:color w:val="auto"/>
                <w:vertAlign w:val="superscript"/>
              </w:rPr>
              <w:t>(3)(5)</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($54,859 par, due 11/2026)</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11/23/2020</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+ 7.50%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8.50%</w:t>
            </w:r>
          </w:p>
        </w:tc>
        <w:tc>
          <w:tcPr>
            <w:tcW w:w="820" w:type="dxa"/>
            <w:vAlign w:val="bottom"/>
          </w:tcPr>
          <w:p>
            <w:pPr>
              <w:jc w:val="right"/>
              <w:spacing w:after="0"/>
              <w:rPr>
                <w:sz w:val="20"/>
                <w:szCs w:val="20"/>
                <w:color w:val="auto"/>
              </w:rPr>
            </w:pPr>
            <w:r>
              <w:rPr>
                <w:rFonts w:ascii="Arial" w:cs="Arial" w:eastAsia="Arial" w:hAnsi="Arial"/>
                <w:sz w:val="11"/>
                <w:szCs w:val="11"/>
                <w:color w:val="auto"/>
              </w:rPr>
              <w:t>53,637</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54,996</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4.3%</w:t>
            </w:r>
          </w:p>
        </w:tc>
      </w:tr>
      <w:tr>
        <w:trPr>
          <w:trHeight w:val="151"/>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Caris Life Sciences, Inc.</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($5,000 par, due 9/2023)</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9/21/2018</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11.30%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11.30%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4,935</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5,175</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0.4%</w:t>
            </w:r>
          </w:p>
        </w:tc>
      </w:tr>
      <w:tr>
        <w:trPr>
          <w:trHeight w:val="149"/>
        </w:trPr>
        <w:tc>
          <w:tcPr>
            <w:tcW w:w="2200" w:type="dxa"/>
            <w:vAlign w:val="bottom"/>
          </w:tcPr>
          <w:p>
            <w:pPr>
              <w:spacing w:after="0"/>
              <w:rPr>
                <w:sz w:val="12"/>
                <w:szCs w:val="12"/>
                <w:color w:val="auto"/>
              </w:rPr>
            </w:pP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($3,750 par, due 4/2025)</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4/2/2020</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11.30%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11.30%</w:t>
            </w:r>
          </w:p>
        </w:tc>
        <w:tc>
          <w:tcPr>
            <w:tcW w:w="820" w:type="dxa"/>
            <w:vAlign w:val="bottom"/>
          </w:tcPr>
          <w:p>
            <w:pPr>
              <w:jc w:val="right"/>
              <w:spacing w:after="0"/>
              <w:rPr>
                <w:sz w:val="20"/>
                <w:szCs w:val="20"/>
                <w:color w:val="auto"/>
              </w:rPr>
            </w:pPr>
            <w:r>
              <w:rPr>
                <w:rFonts w:ascii="Arial" w:cs="Arial" w:eastAsia="Arial" w:hAnsi="Arial"/>
                <w:sz w:val="11"/>
                <w:szCs w:val="11"/>
                <w:color w:val="auto"/>
              </w:rPr>
              <w:t>3,559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3,984</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0.3%</w:t>
            </w:r>
          </w:p>
        </w:tc>
      </w:tr>
      <w:tr>
        <w:trPr>
          <w:trHeight w:val="153"/>
        </w:trPr>
        <w:tc>
          <w:tcPr>
            <w:tcW w:w="2200" w:type="dxa"/>
            <w:vAlign w:val="bottom"/>
            <w:shd w:val="clear" w:color="auto" w:fill="CFF0FC"/>
          </w:tcPr>
          <w:p>
            <w:pPr>
              <w:spacing w:after="0"/>
              <w:rPr>
                <w:sz w:val="13"/>
                <w:szCs w:val="13"/>
                <w:color w:val="auto"/>
              </w:rPr>
            </w:pP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Convertible note ($2,602 par, due 9/2023)</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9/21/2018</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8.00%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8.00%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2,602</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9,901</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0.8%</w:t>
            </w:r>
          </w:p>
        </w:tc>
      </w:tr>
      <w:tr>
        <w:trPr>
          <w:trHeight w:val="142"/>
        </w:trPr>
        <w:tc>
          <w:tcPr>
            <w:tcW w:w="2200" w:type="dxa"/>
            <w:vAlign w:val="bottom"/>
          </w:tcPr>
          <w:p>
            <w:pPr>
              <w:spacing w:after="0"/>
              <w:rPr>
                <w:sz w:val="20"/>
                <w:szCs w:val="20"/>
                <w:color w:val="auto"/>
              </w:rPr>
            </w:pPr>
            <w:r>
              <w:rPr>
                <w:rFonts w:ascii="Arial" w:cs="Arial" w:eastAsia="Arial" w:hAnsi="Arial"/>
                <w:sz w:val="11"/>
                <w:szCs w:val="11"/>
                <w:color w:val="auto"/>
              </w:rPr>
              <w:t>Homecare Software Solutions,</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($65,000 par, due 10/2026)</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10/6/2021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SOFR + 5.60%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6.60%</w:t>
            </w:r>
          </w:p>
        </w:tc>
        <w:tc>
          <w:tcPr>
            <w:tcW w:w="820" w:type="dxa"/>
            <w:vAlign w:val="bottom"/>
          </w:tcPr>
          <w:p>
            <w:pPr>
              <w:jc w:val="right"/>
              <w:spacing w:after="0"/>
              <w:rPr>
                <w:sz w:val="20"/>
                <w:szCs w:val="20"/>
                <w:color w:val="auto"/>
              </w:rPr>
            </w:pPr>
            <w:r>
              <w:rPr>
                <w:rFonts w:ascii="Arial" w:cs="Arial" w:eastAsia="Arial" w:hAnsi="Arial"/>
                <w:sz w:val="11"/>
                <w:szCs w:val="11"/>
                <w:color w:val="auto"/>
              </w:rPr>
              <w:t>63,525</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63,700</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5.0%</w:t>
            </w:r>
          </w:p>
        </w:tc>
      </w:tr>
      <w:tr>
        <w:trPr>
          <w:trHeight w:val="149"/>
        </w:trPr>
        <w:tc>
          <w:tcPr>
            <w:tcW w:w="2200" w:type="dxa"/>
            <w:vAlign w:val="bottom"/>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Integrated Practice</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($48,375 par, due 10/2024)</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6/30/2017</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8.51%</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47,355</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49,101</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3.8%</w:t>
            </w:r>
          </w:p>
        </w:tc>
      </w:tr>
      <w:tr>
        <w:trPr>
          <w:trHeight w:val="151"/>
        </w:trPr>
        <w:tc>
          <w:tcPr>
            <w:tcW w:w="2200" w:type="dxa"/>
            <w:vAlign w:val="bottom"/>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Solutions, Inc. </w:t>
            </w:r>
            <w:r>
              <w:rPr>
                <w:rFonts w:ascii="Arial" w:cs="Arial" w:eastAsia="Arial" w:hAnsi="Arial"/>
                <w:sz w:val="17"/>
                <w:szCs w:val="17"/>
                <w:color w:val="auto"/>
                <w:vertAlign w:val="superscript"/>
              </w:rPr>
              <w:t>(3)(5)</w:t>
            </w:r>
          </w:p>
        </w:tc>
        <w:tc>
          <w:tcPr>
            <w:tcW w:w="3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9"/>
        </w:trPr>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175,613</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186,857</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14.6%</w:t>
            </w:r>
          </w:p>
        </w:tc>
      </w:tr>
      <w:tr>
        <w:trPr>
          <w:trHeight w:val="14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Hotel, Gaming and Leisure</w:t>
            </w:r>
          </w:p>
        </w:tc>
        <w:tc>
          <w:tcPr>
            <w:tcW w:w="32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IRGSE Holding Corp. </w:t>
            </w:r>
            <w:r>
              <w:rPr>
                <w:rFonts w:ascii="Arial" w:cs="Arial" w:eastAsia="Arial" w:hAnsi="Arial"/>
                <w:sz w:val="17"/>
                <w:szCs w:val="17"/>
                <w:color w:val="auto"/>
                <w:vertAlign w:val="superscript"/>
              </w:rPr>
              <w:t>(3)(7)</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($30,261 par, due 6/2022)</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9/29/2015</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+ 9.50%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10.51%</w:t>
            </w:r>
          </w:p>
        </w:tc>
        <w:tc>
          <w:tcPr>
            <w:tcW w:w="820" w:type="dxa"/>
            <w:vAlign w:val="bottom"/>
          </w:tcPr>
          <w:p>
            <w:pPr>
              <w:jc w:val="right"/>
              <w:spacing w:after="0"/>
              <w:rPr>
                <w:sz w:val="20"/>
                <w:szCs w:val="20"/>
                <w:color w:val="auto"/>
              </w:rPr>
            </w:pPr>
            <w:r>
              <w:rPr>
                <w:rFonts w:ascii="Arial" w:cs="Arial" w:eastAsia="Arial" w:hAnsi="Arial"/>
                <w:sz w:val="11"/>
                <w:szCs w:val="11"/>
                <w:color w:val="auto"/>
              </w:rPr>
              <w:t>28,595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30,261</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2.3%</w:t>
            </w:r>
          </w:p>
        </w:tc>
      </w:tr>
      <w:tr>
        <w:trPr>
          <w:trHeight w:val="149"/>
        </w:trPr>
        <w:tc>
          <w:tcPr>
            <w:tcW w:w="2200" w:type="dxa"/>
            <w:vAlign w:val="bottom"/>
            <w:shd w:val="clear" w:color="auto" w:fill="CFF0FC"/>
          </w:tcPr>
          <w:p>
            <w:pPr>
              <w:spacing w:after="0"/>
              <w:rPr>
                <w:sz w:val="12"/>
                <w:szCs w:val="12"/>
                <w:color w:val="auto"/>
              </w:rPr>
            </w:pP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revolving loan ($12,327 par, due 6/2022)</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9/29/2015</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+ 9.50%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10.51%</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12,327</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12,327</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1.0%</w:t>
            </w:r>
          </w:p>
        </w:tc>
      </w:tr>
      <w:tr>
        <w:trPr>
          <w:trHeight w:val="20"/>
        </w:trPr>
        <w:tc>
          <w:tcPr>
            <w:tcW w:w="2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1"/>
        </w:trPr>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40,922</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42,588</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3.3%</w:t>
            </w:r>
          </w:p>
        </w:tc>
      </w:tr>
      <w:tr>
        <w:trPr>
          <w:trHeight w:val="143"/>
        </w:trPr>
        <w:tc>
          <w:tcPr>
            <w:tcW w:w="2200" w:type="dxa"/>
            <w:vAlign w:val="bottom"/>
            <w:tcBorders>
              <w:top w:val="single" w:sz="8" w:color="CFF0FC"/>
            </w:tcBorders>
            <w:shd w:val="clear" w:color="auto" w:fill="CFF0FC"/>
          </w:tcPr>
          <w:p>
            <w:pPr>
              <w:spacing w:after="0"/>
              <w:rPr>
                <w:sz w:val="12"/>
                <w:szCs w:val="12"/>
                <w:color w:val="auto"/>
              </w:rPr>
            </w:pPr>
          </w:p>
        </w:tc>
        <w:tc>
          <w:tcPr>
            <w:tcW w:w="32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2200" w:type="dxa"/>
            <w:vAlign w:val="bottom"/>
          </w:tcPr>
          <w:p>
            <w:pPr>
              <w:spacing w:after="0"/>
              <w:rPr>
                <w:sz w:val="20"/>
                <w:szCs w:val="20"/>
                <w:color w:val="auto"/>
              </w:rPr>
            </w:pPr>
            <w:r>
              <w:rPr>
                <w:rFonts w:ascii="Arial" w:cs="Arial" w:eastAsia="Arial" w:hAnsi="Arial"/>
                <w:sz w:val="11"/>
                <w:szCs w:val="11"/>
                <w:b w:val="1"/>
                <w:bCs w:val="1"/>
                <w:color w:val="auto"/>
              </w:rPr>
              <w:t>Human Resource Support Services</w:t>
            </w: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20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Axonify, Inc. </w:t>
            </w:r>
            <w:r>
              <w:rPr>
                <w:rFonts w:ascii="Arial" w:cs="Arial" w:eastAsia="Arial" w:hAnsi="Arial"/>
                <w:sz w:val="17"/>
                <w:szCs w:val="17"/>
                <w:color w:val="auto"/>
                <w:vertAlign w:val="superscript"/>
              </w:rPr>
              <w:t>(3)(4)(5)</w:t>
            </w: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($32,445 par, due 5/2026)</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5/5/2021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8.50%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31,708</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32,156</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2.5%</w:t>
            </w: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DaySmart Holdings, LLC </w:t>
            </w:r>
            <w:r>
              <w:rPr>
                <w:rFonts w:ascii="Arial" w:cs="Arial" w:eastAsia="Arial" w:hAnsi="Arial"/>
                <w:sz w:val="17"/>
                <w:szCs w:val="17"/>
                <w:color w:val="auto"/>
                <w:vertAlign w:val="superscript"/>
              </w:rPr>
              <w:t>(3)(5)</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($48,637 par, due 10/2025)</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12/18/2020</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+ 7.25%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8.75%</w:t>
            </w:r>
          </w:p>
        </w:tc>
        <w:tc>
          <w:tcPr>
            <w:tcW w:w="820" w:type="dxa"/>
            <w:vAlign w:val="bottom"/>
          </w:tcPr>
          <w:p>
            <w:pPr>
              <w:jc w:val="right"/>
              <w:spacing w:after="0"/>
              <w:rPr>
                <w:sz w:val="20"/>
                <w:szCs w:val="20"/>
                <w:color w:val="auto"/>
              </w:rPr>
            </w:pPr>
            <w:r>
              <w:rPr>
                <w:rFonts w:ascii="Arial" w:cs="Arial" w:eastAsia="Arial" w:hAnsi="Arial"/>
                <w:sz w:val="11"/>
                <w:szCs w:val="11"/>
                <w:color w:val="auto"/>
              </w:rPr>
              <w:t>48,535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49,426</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3.8%</w:t>
            </w:r>
          </w:p>
        </w:tc>
      </w:tr>
      <w:tr>
        <w:trPr>
          <w:trHeight w:val="151"/>
        </w:trPr>
        <w:tc>
          <w:tcPr>
            <w:tcW w:w="2200" w:type="dxa"/>
            <w:vAlign w:val="bottom"/>
            <w:shd w:val="clear" w:color="auto" w:fill="CFF0FC"/>
          </w:tcPr>
          <w:p>
            <w:pPr>
              <w:spacing w:after="0"/>
              <w:rPr>
                <w:sz w:val="13"/>
                <w:szCs w:val="13"/>
                <w:color w:val="auto"/>
              </w:rPr>
            </w:pP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revolving loan ($3,000 par, due 10/2025)</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12/18/2020</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+ 7.25%</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8.75%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3,003</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3,045</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Elysian Finco Ltd. </w:t>
            </w:r>
            <w:r>
              <w:rPr>
                <w:rFonts w:ascii="Arial" w:cs="Arial" w:eastAsia="Arial" w:hAnsi="Arial"/>
                <w:sz w:val="17"/>
                <w:szCs w:val="17"/>
                <w:color w:val="auto"/>
                <w:vertAlign w:val="superscript"/>
              </w:rPr>
              <w:t>(3)(4)(5)</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($15,747 par, due 1/2028)</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1/31/2022</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SOFR + 6.50%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7.25%</w:t>
            </w:r>
          </w:p>
        </w:tc>
        <w:tc>
          <w:tcPr>
            <w:tcW w:w="820" w:type="dxa"/>
            <w:vAlign w:val="bottom"/>
          </w:tcPr>
          <w:p>
            <w:pPr>
              <w:jc w:val="right"/>
              <w:spacing w:after="0"/>
              <w:rPr>
                <w:sz w:val="20"/>
                <w:szCs w:val="20"/>
                <w:color w:val="auto"/>
              </w:rPr>
            </w:pPr>
            <w:r>
              <w:rPr>
                <w:rFonts w:ascii="Arial" w:cs="Arial" w:eastAsia="Arial" w:hAnsi="Arial"/>
                <w:sz w:val="11"/>
                <w:szCs w:val="11"/>
                <w:color w:val="auto"/>
              </w:rPr>
              <w:t>15,188</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15,180</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1.2%</w:t>
            </w:r>
          </w:p>
        </w:tc>
      </w:tr>
      <w:tr>
        <w:trPr>
          <w:trHeight w:val="142"/>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Employment Hero Holdings Pty</w:t>
            </w:r>
          </w:p>
        </w:tc>
        <w:tc>
          <w:tcPr>
            <w:tcW w:w="3200" w:type="dxa"/>
            <w:vAlign w:val="bottom"/>
            <w:shd w:val="clear" w:color="auto" w:fill="CFF0FC"/>
          </w:tcPr>
          <w:p>
            <w:pPr>
              <w:ind w:left="500"/>
              <w:spacing w:after="0" w:line="142" w:lineRule="exact"/>
              <w:rPr>
                <w:sz w:val="20"/>
                <w:szCs w:val="20"/>
                <w:color w:val="auto"/>
              </w:rPr>
            </w:pPr>
            <w:r>
              <w:rPr>
                <w:rFonts w:ascii="Arial" w:cs="Arial" w:eastAsia="Arial" w:hAnsi="Arial"/>
                <w:sz w:val="10"/>
                <w:szCs w:val="10"/>
                <w:color w:val="auto"/>
              </w:rPr>
              <w:t xml:space="preserve">First-lien loan (AUD 40,000 par, due 12/2026) </w:t>
            </w:r>
            <w:r>
              <w:rPr>
                <w:rFonts w:ascii="Arial" w:cs="Arial" w:eastAsia="Arial" w:hAnsi="Arial"/>
                <w:sz w:val="16"/>
                <w:szCs w:val="16"/>
                <w:color w:val="auto"/>
                <w:vertAlign w:val="superscript"/>
              </w:rPr>
              <w:t>(3)</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12/6/2021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B + 6.50%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7.50%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27,397</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29,210</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2.3%</w:t>
            </w:r>
          </w:p>
        </w:tc>
      </w:tr>
      <w:tr>
        <w:trPr>
          <w:trHeight w:val="151"/>
        </w:trPr>
        <w:tc>
          <w:tcPr>
            <w:tcW w:w="2200" w:type="dxa"/>
            <w:vAlign w:val="bottom"/>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Ltd. </w:t>
            </w:r>
            <w:r>
              <w:rPr>
                <w:rFonts w:ascii="Arial" w:cs="Arial" w:eastAsia="Arial" w:hAnsi="Arial"/>
                <w:sz w:val="17"/>
                <w:szCs w:val="17"/>
                <w:color w:val="auto"/>
                <w:vertAlign w:val="superscript"/>
              </w:rPr>
              <w:t>(4)</w:t>
            </w:r>
          </w:p>
        </w:tc>
        <w:tc>
          <w:tcPr>
            <w:tcW w:w="32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(AUD 38,898)</w:t>
            </w: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2200" w:type="dxa"/>
            <w:vAlign w:val="bottom"/>
          </w:tcPr>
          <w:p>
            <w:pPr>
              <w:spacing w:after="0" w:line="145" w:lineRule="exact"/>
              <w:rPr>
                <w:sz w:val="20"/>
                <w:szCs w:val="20"/>
                <w:color w:val="auto"/>
              </w:rPr>
            </w:pPr>
            <w:r>
              <w:rPr>
                <w:rFonts w:ascii="Arial" w:cs="Arial" w:eastAsia="Arial" w:hAnsi="Arial"/>
                <w:sz w:val="10"/>
                <w:szCs w:val="10"/>
                <w:color w:val="auto"/>
              </w:rPr>
              <w:t xml:space="preserve">PageUp People, Ltd. </w:t>
            </w:r>
            <w:r>
              <w:rPr>
                <w:rFonts w:ascii="Arial" w:cs="Arial" w:eastAsia="Arial" w:hAnsi="Arial"/>
                <w:sz w:val="16"/>
                <w:szCs w:val="16"/>
                <w:color w:val="auto"/>
                <w:vertAlign w:val="superscript"/>
              </w:rPr>
              <w:t>(3)(4)(5)</w:t>
            </w:r>
          </w:p>
        </w:tc>
        <w:tc>
          <w:tcPr>
            <w:tcW w:w="3200" w:type="dxa"/>
            <w:vAlign w:val="bottom"/>
          </w:tcPr>
          <w:p>
            <w:pPr>
              <w:ind w:left="500"/>
              <w:spacing w:after="0"/>
              <w:rPr>
                <w:sz w:val="20"/>
                <w:szCs w:val="20"/>
                <w:color w:val="auto"/>
              </w:rPr>
            </w:pPr>
            <w:r>
              <w:rPr>
                <w:rFonts w:ascii="Arial" w:cs="Arial" w:eastAsia="Arial" w:hAnsi="Arial"/>
                <w:sz w:val="11"/>
                <w:szCs w:val="11"/>
                <w:color w:val="auto"/>
              </w:rPr>
              <w:t>First-lien loan (AUD 15,982 par, due 12/2025)</w:t>
            </w: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1/11/2018</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B + 5.50%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6.25%</w:t>
            </w:r>
          </w:p>
        </w:tc>
        <w:tc>
          <w:tcPr>
            <w:tcW w:w="820" w:type="dxa"/>
            <w:vAlign w:val="bottom"/>
          </w:tcPr>
          <w:p>
            <w:pPr>
              <w:jc w:val="right"/>
              <w:spacing w:after="0"/>
              <w:rPr>
                <w:sz w:val="20"/>
                <w:szCs w:val="20"/>
                <w:color w:val="auto"/>
              </w:rPr>
            </w:pPr>
            <w:r>
              <w:rPr>
                <w:rFonts w:ascii="Arial" w:cs="Arial" w:eastAsia="Arial" w:hAnsi="Arial"/>
                <w:sz w:val="11"/>
                <w:szCs w:val="11"/>
                <w:color w:val="auto"/>
              </w:rPr>
              <w:t>11,756</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11,462</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0.9%</w:t>
            </w:r>
          </w:p>
        </w:tc>
      </w:tr>
      <w:tr>
        <w:trPr>
          <w:trHeight w:val="147"/>
        </w:trPr>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(AUD 15,263)</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6"/>
        </w:trPr>
        <w:tc>
          <w:tcPr>
            <w:tcW w:w="2200" w:type="dxa"/>
            <w:vAlign w:val="bottom"/>
            <w:shd w:val="clear" w:color="auto" w:fill="CFF0FC"/>
          </w:tcPr>
          <w:p>
            <w:pPr>
              <w:spacing w:after="0"/>
              <w:rPr>
                <w:sz w:val="12"/>
                <w:szCs w:val="12"/>
                <w:color w:val="auto"/>
              </w:rPr>
            </w:pPr>
          </w:p>
        </w:tc>
        <w:tc>
          <w:tcPr>
            <w:tcW w:w="3200" w:type="dxa"/>
            <w:vAlign w:val="bottom"/>
            <w:shd w:val="clear" w:color="auto" w:fill="CFF0FC"/>
          </w:tcPr>
          <w:p>
            <w:pPr>
              <w:ind w:left="500"/>
              <w:spacing w:after="0"/>
              <w:rPr>
                <w:sz w:val="20"/>
                <w:szCs w:val="20"/>
                <w:color w:val="auto"/>
              </w:rPr>
            </w:pPr>
            <w:r>
              <w:rPr>
                <w:rFonts w:ascii="Arial" w:cs="Arial" w:eastAsia="Arial" w:hAnsi="Arial"/>
                <w:sz w:val="11"/>
                <w:szCs w:val="11"/>
                <w:color w:val="auto"/>
              </w:rPr>
              <w:t>First-lien loan (GBP 4,723 par, due 12/2025)</w:t>
            </w:r>
          </w:p>
        </w:tc>
        <w:tc>
          <w:tcPr>
            <w:tcW w:w="100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10/28/2021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S + 5.50%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6.37%</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6,500</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6,141</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0.5%</w:t>
            </w:r>
          </w:p>
        </w:tc>
      </w:tr>
      <w:tr>
        <w:trPr>
          <w:trHeight w:val="149"/>
        </w:trPr>
        <w:tc>
          <w:tcPr>
            <w:tcW w:w="220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(GBP 4,664)</w:t>
            </w: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24" w:right="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7"/>
        </w:trPr>
        <w:tc>
          <w:tcPr>
            <w:tcW w:w="2120" w:type="dxa"/>
            <w:vAlign w:val="bottom"/>
          </w:tcPr>
          <w:p>
            <w:pPr>
              <w:spacing w:after="0"/>
              <w:rPr>
                <w:sz w:val="12"/>
                <w:szCs w:val="12"/>
                <w:color w:val="auto"/>
              </w:rPr>
            </w:pP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($12,989 par, due 12/2025)</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10/28/2021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+ 5.50%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6.51%</w:t>
            </w:r>
          </w:p>
        </w:tc>
        <w:tc>
          <w:tcPr>
            <w:tcW w:w="820" w:type="dxa"/>
            <w:vAlign w:val="bottom"/>
          </w:tcPr>
          <w:p>
            <w:pPr>
              <w:jc w:val="right"/>
              <w:spacing w:after="0"/>
              <w:rPr>
                <w:sz w:val="20"/>
                <w:szCs w:val="20"/>
                <w:color w:val="auto"/>
              </w:rPr>
            </w:pPr>
            <w:r>
              <w:rPr>
                <w:rFonts w:ascii="Arial" w:cs="Arial" w:eastAsia="Arial" w:hAnsi="Arial"/>
                <w:sz w:val="11"/>
                <w:szCs w:val="11"/>
                <w:color w:val="auto"/>
              </w:rPr>
              <w:t>12,971</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12,827</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1.0%</w:t>
            </w: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PayScale Holdings, Inc. </w:t>
            </w:r>
            <w:r>
              <w:rPr>
                <w:rFonts w:ascii="Arial" w:cs="Arial" w:eastAsia="Arial" w:hAnsi="Arial"/>
                <w:sz w:val="17"/>
                <w:szCs w:val="17"/>
                <w:color w:val="auto"/>
                <w:vertAlign w:val="superscript"/>
              </w:rPr>
              <w:t>(3)(5)</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($69,300 par, due 5/2024)</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5/3/2019</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+ 6.00%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7.01%</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68,416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69,300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5.4%</w:t>
            </w:r>
          </w:p>
        </w:tc>
      </w:tr>
      <w:tr>
        <w:trPr>
          <w:trHeight w:val="142"/>
        </w:trPr>
        <w:tc>
          <w:tcPr>
            <w:tcW w:w="2120" w:type="dxa"/>
            <w:vAlign w:val="bottom"/>
          </w:tcPr>
          <w:p>
            <w:pPr>
              <w:spacing w:after="0"/>
              <w:rPr>
                <w:sz w:val="20"/>
                <w:szCs w:val="20"/>
                <w:color w:val="auto"/>
              </w:rPr>
            </w:pPr>
            <w:r>
              <w:rPr>
                <w:rFonts w:ascii="Arial" w:cs="Arial" w:eastAsia="Arial" w:hAnsi="Arial"/>
                <w:sz w:val="11"/>
                <w:szCs w:val="11"/>
                <w:color w:val="auto"/>
              </w:rPr>
              <w:t>PrimePay Intermediate,</w:t>
            </w: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($26,933 par, due 12/2026)</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12/17/2021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+ 7.00%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8.00%</w:t>
            </w:r>
          </w:p>
        </w:tc>
        <w:tc>
          <w:tcPr>
            <w:tcW w:w="820" w:type="dxa"/>
            <w:vAlign w:val="bottom"/>
          </w:tcPr>
          <w:p>
            <w:pPr>
              <w:jc w:val="right"/>
              <w:spacing w:after="0"/>
              <w:rPr>
                <w:sz w:val="20"/>
                <w:szCs w:val="20"/>
                <w:color w:val="auto"/>
              </w:rPr>
            </w:pPr>
            <w:r>
              <w:rPr>
                <w:rFonts w:ascii="Arial" w:cs="Arial" w:eastAsia="Arial" w:hAnsi="Arial"/>
                <w:sz w:val="11"/>
                <w:szCs w:val="11"/>
                <w:color w:val="auto"/>
              </w:rPr>
              <w:t>25,794</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25,885</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2.0%</w:t>
            </w:r>
          </w:p>
        </w:tc>
      </w:tr>
      <w:tr>
        <w:trPr>
          <w:trHeight w:val="149"/>
        </w:trPr>
        <w:tc>
          <w:tcPr>
            <w:tcW w:w="2120" w:type="dxa"/>
            <w:vAlign w:val="bottom"/>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Modern Hire, Inc. </w:t>
            </w:r>
            <w:r>
              <w:rPr>
                <w:rFonts w:ascii="Arial" w:cs="Arial" w:eastAsia="Arial" w:hAnsi="Arial"/>
                <w:sz w:val="17"/>
                <w:szCs w:val="17"/>
                <w:color w:val="auto"/>
                <w:vertAlign w:val="superscript"/>
              </w:rPr>
              <w:t>(3)(5)</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($29,449 par, due 5/2024)</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5/15/2019</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8.50%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29,059</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30,038</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2.3%</w:t>
            </w: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Workwell Acquisition Co. </w:t>
            </w:r>
            <w:r>
              <w:rPr>
                <w:rFonts w:ascii="Arial" w:cs="Arial" w:eastAsia="Arial" w:hAnsi="Arial"/>
                <w:sz w:val="17"/>
                <w:szCs w:val="17"/>
                <w:color w:val="auto"/>
                <w:vertAlign w:val="superscript"/>
              </w:rPr>
              <w:t>(3)(5)</w:t>
            </w: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($19,700 par, due 10/2025)</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10/19/2020</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+ 7.25%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8.25%</w:t>
            </w:r>
          </w:p>
        </w:tc>
        <w:tc>
          <w:tcPr>
            <w:tcW w:w="820" w:type="dxa"/>
            <w:vAlign w:val="bottom"/>
          </w:tcPr>
          <w:p>
            <w:pPr>
              <w:jc w:val="right"/>
              <w:spacing w:after="0"/>
              <w:rPr>
                <w:sz w:val="20"/>
                <w:szCs w:val="20"/>
                <w:color w:val="auto"/>
              </w:rPr>
            </w:pPr>
            <w:r>
              <w:rPr>
                <w:rFonts w:ascii="Arial" w:cs="Arial" w:eastAsia="Arial" w:hAnsi="Arial"/>
                <w:sz w:val="11"/>
                <w:szCs w:val="11"/>
                <w:color w:val="auto"/>
              </w:rPr>
              <w:t>19,245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19,849</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1.5%</w:t>
            </w:r>
          </w:p>
        </w:tc>
      </w:tr>
      <w:tr>
        <w:trPr>
          <w:trHeight w:val="20"/>
        </w:trPr>
        <w:tc>
          <w:tcPr>
            <w:tcW w:w="212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1"/>
        </w:trPr>
        <w:tc>
          <w:tcPr>
            <w:tcW w:w="2120" w:type="dxa"/>
            <w:vAlign w:val="bottom"/>
            <w:shd w:val="clear" w:color="auto" w:fill="CFF0FC"/>
          </w:tcPr>
          <w:p>
            <w:pPr>
              <w:spacing w:after="0"/>
              <w:rPr>
                <w:sz w:val="12"/>
                <w:szCs w:val="12"/>
                <w:color w:val="auto"/>
              </w:rPr>
            </w:pPr>
          </w:p>
        </w:tc>
        <w:tc>
          <w:tcPr>
            <w:tcW w:w="3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299,572</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304,519</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23.6%</w:t>
            </w:r>
          </w:p>
        </w:tc>
      </w:tr>
      <w:tr>
        <w:trPr>
          <w:trHeight w:val="139"/>
        </w:trPr>
        <w:tc>
          <w:tcPr>
            <w:tcW w:w="2120" w:type="dxa"/>
            <w:vAlign w:val="bottom"/>
          </w:tcPr>
          <w:p>
            <w:pPr>
              <w:spacing w:after="0"/>
              <w:rPr>
                <w:sz w:val="20"/>
                <w:szCs w:val="20"/>
                <w:color w:val="auto"/>
              </w:rPr>
            </w:pPr>
            <w:r>
              <w:rPr>
                <w:rFonts w:ascii="Arial" w:cs="Arial" w:eastAsia="Arial" w:hAnsi="Arial"/>
                <w:sz w:val="11"/>
                <w:szCs w:val="11"/>
                <w:b w:val="1"/>
                <w:bCs w:val="1"/>
                <w:color w:val="auto"/>
              </w:rPr>
              <w:t>Internet Services</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Bayshore Intermediate #2,</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($29,417 par, due 10/2028)</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10/1/2021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+ 7.75%</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8.50% PIK</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28,754</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28,701</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2.2%</w:t>
            </w:r>
          </w:p>
        </w:tc>
      </w:tr>
      <w:tr>
        <w:trPr>
          <w:trHeight w:val="151"/>
        </w:trPr>
        <w:tc>
          <w:tcPr>
            <w:tcW w:w="2120" w:type="dxa"/>
            <w:vAlign w:val="bottom"/>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L.P. </w:t>
            </w:r>
            <w:r>
              <w:rPr>
                <w:rFonts w:ascii="Arial" w:cs="Arial" w:eastAsia="Arial" w:hAnsi="Arial"/>
                <w:sz w:val="17"/>
                <w:szCs w:val="17"/>
                <w:color w:val="auto"/>
                <w:vertAlign w:val="superscript"/>
              </w:rPr>
              <w:t>(3)</w:t>
            </w:r>
          </w:p>
        </w:tc>
        <w:tc>
          <w:tcPr>
            <w:tcW w:w="3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Higher Logic, LLC </w:t>
            </w:r>
            <w:r>
              <w:rPr>
                <w:rFonts w:ascii="Arial" w:cs="Arial" w:eastAsia="Arial" w:hAnsi="Arial"/>
                <w:sz w:val="17"/>
                <w:szCs w:val="17"/>
                <w:color w:val="auto"/>
                <w:vertAlign w:val="superscript"/>
              </w:rPr>
              <w:t>(3)(5)</w:t>
            </w: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($56,902 par, due 1/2024)</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6/18/2018</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+ 7.25%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8.26%</w:t>
            </w:r>
          </w:p>
        </w:tc>
        <w:tc>
          <w:tcPr>
            <w:tcW w:w="820" w:type="dxa"/>
            <w:vAlign w:val="bottom"/>
          </w:tcPr>
          <w:p>
            <w:pPr>
              <w:jc w:val="right"/>
              <w:spacing w:after="0"/>
              <w:rPr>
                <w:sz w:val="20"/>
                <w:szCs w:val="20"/>
                <w:color w:val="auto"/>
              </w:rPr>
            </w:pPr>
            <w:r>
              <w:rPr>
                <w:rFonts w:ascii="Arial" w:cs="Arial" w:eastAsia="Arial" w:hAnsi="Arial"/>
                <w:sz w:val="11"/>
                <w:szCs w:val="11"/>
                <w:color w:val="auto"/>
              </w:rPr>
              <w:t>56,451</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57,186</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4.4%</w:t>
            </w:r>
          </w:p>
        </w:tc>
      </w:tr>
      <w:tr>
        <w:trPr>
          <w:trHeight w:val="142"/>
        </w:trPr>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Lithium Technologies,</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($54,700 par, due 10/2022)</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10/3/2017</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+ 8.00%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9.03%</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54,546</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54,700</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4.3%</w:t>
            </w:r>
          </w:p>
        </w:tc>
      </w:tr>
      <w:tr>
        <w:trPr>
          <w:trHeight w:val="151"/>
        </w:trPr>
        <w:tc>
          <w:tcPr>
            <w:tcW w:w="2120" w:type="dxa"/>
            <w:vAlign w:val="bottom"/>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LLC </w:t>
            </w:r>
            <w:r>
              <w:rPr>
                <w:rFonts w:ascii="Arial" w:cs="Arial" w:eastAsia="Arial" w:hAnsi="Arial"/>
                <w:sz w:val="17"/>
                <w:szCs w:val="17"/>
                <w:color w:val="auto"/>
                <w:vertAlign w:val="superscript"/>
              </w:rPr>
              <w:t>(3)</w:t>
            </w:r>
          </w:p>
        </w:tc>
        <w:tc>
          <w:tcPr>
            <w:tcW w:w="3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9"/>
        </w:trPr>
        <w:tc>
          <w:tcPr>
            <w:tcW w:w="2120" w:type="dxa"/>
            <w:vAlign w:val="bottom"/>
          </w:tcPr>
          <w:p>
            <w:pPr>
              <w:spacing w:after="0"/>
              <w:rPr>
                <w:sz w:val="12"/>
                <w:szCs w:val="12"/>
                <w:color w:val="auto"/>
              </w:rPr>
            </w:pP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revolving loan ($1,320 par, due 10/2022)</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10/3/2017</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+ 8.00%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9.00%</w:t>
            </w:r>
          </w:p>
        </w:tc>
        <w:tc>
          <w:tcPr>
            <w:tcW w:w="820" w:type="dxa"/>
            <w:vAlign w:val="bottom"/>
          </w:tcPr>
          <w:p>
            <w:pPr>
              <w:jc w:val="right"/>
              <w:spacing w:after="0"/>
              <w:rPr>
                <w:sz w:val="20"/>
                <w:szCs w:val="20"/>
                <w:color w:val="auto"/>
              </w:rPr>
            </w:pPr>
            <w:r>
              <w:rPr>
                <w:rFonts w:ascii="Arial" w:cs="Arial" w:eastAsia="Arial" w:hAnsi="Arial"/>
                <w:sz w:val="11"/>
                <w:szCs w:val="11"/>
                <w:color w:val="auto"/>
              </w:rPr>
              <w:t>1,314</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1,319</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r>
      <w:tr>
        <w:trPr>
          <w:trHeight w:val="146"/>
        </w:trPr>
        <w:tc>
          <w:tcPr>
            <w:tcW w:w="2120" w:type="dxa"/>
            <w:vAlign w:val="bottom"/>
            <w:shd w:val="clear" w:color="auto" w:fill="CFF0FC"/>
          </w:tcPr>
          <w:p>
            <w:pPr>
              <w:spacing w:after="0" w:line="146" w:lineRule="exact"/>
              <w:rPr>
                <w:sz w:val="20"/>
                <w:szCs w:val="20"/>
                <w:color w:val="auto"/>
              </w:rPr>
            </w:pPr>
            <w:r>
              <w:rPr>
                <w:rFonts w:ascii="Arial" w:cs="Arial" w:eastAsia="Arial" w:hAnsi="Arial"/>
                <w:sz w:val="10"/>
                <w:szCs w:val="10"/>
                <w:color w:val="auto"/>
              </w:rPr>
              <w:t xml:space="preserve">Lucidworks, Inc. </w:t>
            </w:r>
            <w:r>
              <w:rPr>
                <w:rFonts w:ascii="Arial" w:cs="Arial" w:eastAsia="Arial" w:hAnsi="Arial"/>
                <w:sz w:val="16"/>
                <w:szCs w:val="16"/>
                <w:color w:val="auto"/>
                <w:vertAlign w:val="superscript"/>
              </w:rPr>
              <w:t>(3)(5)</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($7,859 par, due 2/2027)</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2/11/2022</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SOFR + 7.50%</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8.50% (incl.</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7,859</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7,837</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0.6%</w:t>
            </w:r>
          </w:p>
        </w:tc>
      </w:tr>
      <w:tr>
        <w:trPr>
          <w:trHeight w:val="149"/>
        </w:trPr>
        <w:tc>
          <w:tcPr>
            <w:tcW w:w="2120" w:type="dxa"/>
            <w:vAlign w:val="bottom"/>
            <w:shd w:val="clear" w:color="auto" w:fill="CFF0FC"/>
          </w:tcPr>
          <w:p>
            <w:pPr>
              <w:spacing w:after="0"/>
              <w:rPr>
                <w:sz w:val="12"/>
                <w:szCs w:val="12"/>
                <w:color w:val="auto"/>
              </w:rPr>
            </w:pPr>
          </w:p>
        </w:tc>
        <w:tc>
          <w:tcPr>
            <w:tcW w:w="3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3.50% PIK)</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Piano Software, Inc. </w:t>
            </w:r>
            <w:r>
              <w:rPr>
                <w:rFonts w:ascii="Arial" w:cs="Arial" w:eastAsia="Arial" w:hAnsi="Arial"/>
                <w:sz w:val="17"/>
                <w:szCs w:val="17"/>
                <w:color w:val="auto"/>
                <w:vertAlign w:val="superscript"/>
              </w:rPr>
              <w:t>(3)(5)</w:t>
            </w: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($51,703 par, due 2/2026)</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2/25/2021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+ 7.00%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8.00%</w:t>
            </w:r>
          </w:p>
        </w:tc>
        <w:tc>
          <w:tcPr>
            <w:tcW w:w="820" w:type="dxa"/>
            <w:vAlign w:val="bottom"/>
          </w:tcPr>
          <w:p>
            <w:pPr>
              <w:jc w:val="right"/>
              <w:spacing w:after="0"/>
              <w:rPr>
                <w:sz w:val="20"/>
                <w:szCs w:val="20"/>
                <w:color w:val="auto"/>
              </w:rPr>
            </w:pPr>
            <w:r>
              <w:rPr>
                <w:rFonts w:ascii="Arial" w:cs="Arial" w:eastAsia="Arial" w:hAnsi="Arial"/>
                <w:sz w:val="11"/>
                <w:szCs w:val="11"/>
                <w:color w:val="auto"/>
              </w:rPr>
              <w:t>50,645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51,161</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4.0%</w:t>
            </w:r>
          </w:p>
        </w:tc>
      </w:tr>
      <w:tr>
        <w:trPr>
          <w:trHeight w:val="20"/>
        </w:trPr>
        <w:tc>
          <w:tcPr>
            <w:tcW w:w="212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1"/>
        </w:trPr>
        <w:tc>
          <w:tcPr>
            <w:tcW w:w="2120" w:type="dxa"/>
            <w:vAlign w:val="bottom"/>
            <w:shd w:val="clear" w:color="auto" w:fill="CFF0FC"/>
          </w:tcPr>
          <w:p>
            <w:pPr>
              <w:spacing w:after="0"/>
              <w:rPr>
                <w:sz w:val="12"/>
                <w:szCs w:val="12"/>
                <w:color w:val="auto"/>
              </w:rPr>
            </w:pPr>
          </w:p>
        </w:tc>
        <w:tc>
          <w:tcPr>
            <w:tcW w:w="3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199,569</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200,904</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15.6%</w:t>
            </w:r>
          </w:p>
        </w:tc>
      </w:tr>
      <w:tr>
        <w:trPr>
          <w:trHeight w:val="139"/>
        </w:trPr>
        <w:tc>
          <w:tcPr>
            <w:tcW w:w="2120" w:type="dxa"/>
            <w:vAlign w:val="bottom"/>
          </w:tcPr>
          <w:p>
            <w:pPr>
              <w:spacing w:after="0"/>
              <w:rPr>
                <w:sz w:val="20"/>
                <w:szCs w:val="20"/>
                <w:color w:val="auto"/>
              </w:rPr>
            </w:pPr>
            <w:r>
              <w:rPr>
                <w:rFonts w:ascii="Arial" w:cs="Arial" w:eastAsia="Arial" w:hAnsi="Arial"/>
                <w:sz w:val="11"/>
                <w:szCs w:val="11"/>
                <w:b w:val="1"/>
                <w:bCs w:val="1"/>
                <w:color w:val="auto"/>
              </w:rPr>
              <w:t>Marketing Services</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Acoustic, L.P. </w:t>
            </w:r>
            <w:r>
              <w:rPr>
                <w:rFonts w:ascii="Arial" w:cs="Arial" w:eastAsia="Arial" w:hAnsi="Arial"/>
                <w:sz w:val="17"/>
                <w:szCs w:val="17"/>
                <w:color w:val="auto"/>
                <w:vertAlign w:val="superscript"/>
              </w:rPr>
              <w:t>(3)</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note ($33,330 par, due 6/2024)</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12/17/2019</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8.50%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32,588</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31,747</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2.5%</w:t>
            </w:r>
          </w:p>
        </w:tc>
      </w:tr>
      <w:tr>
        <w:trPr>
          <w:trHeight w:val="149"/>
        </w:trPr>
        <w:tc>
          <w:tcPr>
            <w:tcW w:w="2120" w:type="dxa"/>
            <w:vAlign w:val="bottom"/>
          </w:tcPr>
          <w:p>
            <w:pPr>
              <w:spacing w:after="0"/>
              <w:rPr>
                <w:sz w:val="20"/>
                <w:szCs w:val="20"/>
                <w:color w:val="auto"/>
              </w:rPr>
            </w:pPr>
            <w:r>
              <w:rPr>
                <w:rFonts w:ascii="Arial" w:cs="Arial" w:eastAsia="Arial" w:hAnsi="Arial"/>
                <w:sz w:val="11"/>
                <w:szCs w:val="11"/>
                <w:b w:val="1"/>
                <w:bCs w:val="1"/>
                <w:color w:val="auto"/>
              </w:rPr>
              <w:t>Office Products</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USR Parent, Inc. </w:t>
            </w:r>
            <w:r>
              <w:rPr>
                <w:rFonts w:ascii="Arial" w:cs="Arial" w:eastAsia="Arial" w:hAnsi="Arial"/>
                <w:sz w:val="17"/>
                <w:szCs w:val="17"/>
                <w:color w:val="auto"/>
                <w:vertAlign w:val="superscript"/>
              </w:rPr>
              <w:t>(3)(5)</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ABL FILO term loan ($5,186 par, due 9/2022)</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9/12/2017</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+ 7.75%</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8.75%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5,173</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5,186</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0.4%</w:t>
            </w:r>
          </w:p>
        </w:tc>
      </w:tr>
      <w:tr>
        <w:trPr>
          <w:trHeight w:val="149"/>
        </w:trPr>
        <w:tc>
          <w:tcPr>
            <w:tcW w:w="2120" w:type="dxa"/>
            <w:vAlign w:val="bottom"/>
          </w:tcPr>
          <w:p>
            <w:pPr>
              <w:spacing w:after="0"/>
              <w:rPr>
                <w:sz w:val="20"/>
                <w:szCs w:val="20"/>
                <w:color w:val="auto"/>
              </w:rPr>
            </w:pPr>
            <w:r>
              <w:rPr>
                <w:rFonts w:ascii="Arial" w:cs="Arial" w:eastAsia="Arial" w:hAnsi="Arial"/>
                <w:sz w:val="11"/>
                <w:szCs w:val="11"/>
                <w:b w:val="1"/>
                <w:bCs w:val="1"/>
                <w:color w:val="auto"/>
              </w:rPr>
              <w:t>Oil, Gas and Consumable Fuels</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Mississippi Resources,</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($1,500 par, due 12/2022)</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6/29/2018</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P + 8.00%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12.00%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1,498</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r>
      <w:tr>
        <w:trPr>
          <w:trHeight w:val="151"/>
        </w:trPr>
        <w:tc>
          <w:tcPr>
            <w:tcW w:w="2120" w:type="dxa"/>
            <w:vAlign w:val="bottom"/>
            <w:shd w:val="clear" w:color="auto" w:fill="CFF0FC"/>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(3)(7)(15)</w:t>
            </w:r>
          </w:p>
        </w:tc>
        <w:tc>
          <w:tcPr>
            <w:tcW w:w="3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TRP Assets, LLC </w:t>
            </w:r>
            <w:r>
              <w:rPr>
                <w:rFonts w:ascii="Arial" w:cs="Arial" w:eastAsia="Arial" w:hAnsi="Arial"/>
                <w:sz w:val="17"/>
                <w:szCs w:val="17"/>
                <w:color w:val="auto"/>
                <w:vertAlign w:val="superscript"/>
              </w:rPr>
              <w:t>(3)</w:t>
            </w: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($42,000 par, due 12/2025)</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12/3/2021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SOFR + 7.50%</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9.50%</w:t>
            </w:r>
          </w:p>
        </w:tc>
        <w:tc>
          <w:tcPr>
            <w:tcW w:w="820" w:type="dxa"/>
            <w:vAlign w:val="bottom"/>
          </w:tcPr>
          <w:p>
            <w:pPr>
              <w:jc w:val="right"/>
              <w:spacing w:after="0"/>
              <w:rPr>
                <w:sz w:val="20"/>
                <w:szCs w:val="20"/>
                <w:color w:val="auto"/>
              </w:rPr>
            </w:pPr>
            <w:r>
              <w:rPr>
                <w:rFonts w:ascii="Arial" w:cs="Arial" w:eastAsia="Arial" w:hAnsi="Arial"/>
                <w:sz w:val="11"/>
                <w:szCs w:val="11"/>
                <w:color w:val="auto"/>
              </w:rPr>
              <w:t>41,076</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42,000</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3.3%</w:t>
            </w:r>
          </w:p>
        </w:tc>
      </w:tr>
      <w:tr>
        <w:trPr>
          <w:trHeight w:val="20"/>
        </w:trPr>
        <w:tc>
          <w:tcPr>
            <w:tcW w:w="2120" w:type="dxa"/>
            <w:vAlign w:val="bottom"/>
            <w:shd w:val="clear" w:color="auto" w:fill="CFF0FC"/>
          </w:tcPr>
          <w:p>
            <w:pPr>
              <w:spacing w:after="0" w:line="20" w:lineRule="exact"/>
              <w:rPr>
                <w:sz w:val="1"/>
                <w:szCs w:val="1"/>
                <w:color w:val="auto"/>
              </w:rPr>
            </w:pPr>
          </w:p>
        </w:tc>
        <w:tc>
          <w:tcPr>
            <w:tcW w:w="324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1"/>
        </w:trPr>
        <w:tc>
          <w:tcPr>
            <w:tcW w:w="2120" w:type="dxa"/>
            <w:vAlign w:val="bottom"/>
            <w:shd w:val="clear" w:color="auto" w:fill="CFF0FC"/>
          </w:tcPr>
          <w:p>
            <w:pPr>
              <w:spacing w:after="0"/>
              <w:rPr>
                <w:sz w:val="12"/>
                <w:szCs w:val="12"/>
                <w:color w:val="auto"/>
              </w:rPr>
            </w:pPr>
          </w:p>
        </w:tc>
        <w:tc>
          <w:tcPr>
            <w:tcW w:w="3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42,574</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42,000</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3.3%</w:t>
            </w:r>
          </w:p>
        </w:tc>
      </w:tr>
      <w:tr>
        <w:trPr>
          <w:trHeight w:val="139"/>
        </w:trPr>
        <w:tc>
          <w:tcPr>
            <w:tcW w:w="2120" w:type="dxa"/>
            <w:vAlign w:val="bottom"/>
          </w:tcPr>
          <w:p>
            <w:pPr>
              <w:spacing w:after="0"/>
              <w:rPr>
                <w:sz w:val="20"/>
                <w:szCs w:val="20"/>
                <w:color w:val="auto"/>
              </w:rPr>
            </w:pPr>
            <w:r>
              <w:rPr>
                <w:rFonts w:ascii="Arial" w:cs="Arial" w:eastAsia="Arial" w:hAnsi="Arial"/>
                <w:sz w:val="11"/>
                <w:szCs w:val="11"/>
                <w:b w:val="1"/>
                <w:bCs w:val="1"/>
                <w:color w:val="auto"/>
              </w:rPr>
              <w:t>Other</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Omnigo Software, LLC </w:t>
            </w:r>
            <w:r>
              <w:rPr>
                <w:rFonts w:ascii="Arial" w:cs="Arial" w:eastAsia="Arial" w:hAnsi="Arial"/>
                <w:sz w:val="17"/>
                <w:szCs w:val="17"/>
                <w:color w:val="auto"/>
                <w:vertAlign w:val="superscript"/>
              </w:rPr>
              <w:t>(3)(5)</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($40,660 par, due 3/2026)</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3/31/2021</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SOFR + 6.50%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7.50%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39,820</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40,253</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3.1%</w:t>
            </w:r>
          </w:p>
        </w:tc>
      </w:tr>
      <w:tr>
        <w:trPr>
          <w:trHeight w:val="149"/>
        </w:trPr>
        <w:tc>
          <w:tcPr>
            <w:tcW w:w="2120" w:type="dxa"/>
            <w:vAlign w:val="bottom"/>
          </w:tcPr>
          <w:p>
            <w:pPr>
              <w:spacing w:after="0"/>
              <w:rPr>
                <w:sz w:val="20"/>
                <w:szCs w:val="20"/>
                <w:color w:val="auto"/>
              </w:rPr>
            </w:pPr>
            <w:r>
              <w:rPr>
                <w:rFonts w:ascii="Arial" w:cs="Arial" w:eastAsia="Arial" w:hAnsi="Arial"/>
                <w:sz w:val="11"/>
                <w:szCs w:val="11"/>
                <w:b w:val="1"/>
                <w:bCs w:val="1"/>
                <w:color w:val="auto"/>
              </w:rPr>
              <w:t>Pharmaceuticals</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Biohaven Pharmaceuticals,</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($42,186 par, due 8/2025)</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8/7/2020</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+ 9.00%</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10.01% (incl.</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41,321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43,979</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3.4%</w:t>
            </w:r>
          </w:p>
        </w:tc>
      </w:tr>
      <w:tr>
        <w:trPr>
          <w:trHeight w:val="151"/>
        </w:trPr>
        <w:tc>
          <w:tcPr>
            <w:tcW w:w="2120" w:type="dxa"/>
            <w:vAlign w:val="bottom"/>
            <w:shd w:val="clear" w:color="auto" w:fill="CFF0FC"/>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(3)(4)</w:t>
            </w:r>
          </w:p>
        </w:tc>
        <w:tc>
          <w:tcPr>
            <w:tcW w:w="3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4.00% PIK)</w:t>
            </w: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2120" w:type="dxa"/>
            <w:vAlign w:val="bottom"/>
          </w:tcPr>
          <w:p>
            <w:pPr>
              <w:spacing w:after="0"/>
              <w:rPr>
                <w:sz w:val="12"/>
                <w:szCs w:val="12"/>
                <w:color w:val="auto"/>
              </w:rPr>
            </w:pP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($22,957 par, due 9/2026)</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9/30/2021</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+ 8.25%</w:t>
            </w:r>
          </w:p>
        </w:tc>
        <w:tc>
          <w:tcPr>
            <w:tcW w:w="1000" w:type="dxa"/>
            <w:vAlign w:val="bottom"/>
          </w:tcPr>
          <w:p>
            <w:pPr>
              <w:jc w:val="right"/>
              <w:ind w:right="163"/>
              <w:spacing w:after="0"/>
              <w:rPr>
                <w:sz w:val="20"/>
                <w:szCs w:val="20"/>
                <w:color w:val="auto"/>
              </w:rPr>
            </w:pPr>
            <w:r>
              <w:rPr>
                <w:rFonts w:ascii="Arial" w:cs="Arial" w:eastAsia="Arial" w:hAnsi="Arial"/>
                <w:sz w:val="11"/>
                <w:szCs w:val="11"/>
                <w:color w:val="auto"/>
              </w:rPr>
              <w:t>9.26% (incl.</w:t>
            </w:r>
          </w:p>
        </w:tc>
        <w:tc>
          <w:tcPr>
            <w:tcW w:w="820" w:type="dxa"/>
            <w:vAlign w:val="bottom"/>
          </w:tcPr>
          <w:p>
            <w:pPr>
              <w:jc w:val="right"/>
              <w:spacing w:after="0"/>
              <w:rPr>
                <w:sz w:val="20"/>
                <w:szCs w:val="20"/>
                <w:color w:val="auto"/>
              </w:rPr>
            </w:pPr>
            <w:r>
              <w:rPr>
                <w:rFonts w:ascii="Arial" w:cs="Arial" w:eastAsia="Arial" w:hAnsi="Arial"/>
                <w:sz w:val="11"/>
                <w:szCs w:val="11"/>
                <w:color w:val="auto"/>
              </w:rPr>
              <w:t>22,203</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23,932</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1.9%</w:t>
            </w:r>
          </w:p>
        </w:tc>
      </w:tr>
      <w:tr>
        <w:trPr>
          <w:trHeight w:val="147"/>
        </w:trPr>
        <w:tc>
          <w:tcPr>
            <w:tcW w:w="2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jc w:val="right"/>
              <w:ind w:right="163"/>
              <w:spacing w:after="0"/>
              <w:rPr>
                <w:sz w:val="20"/>
                <w:szCs w:val="20"/>
                <w:color w:val="auto"/>
              </w:rPr>
            </w:pPr>
            <w:r>
              <w:rPr>
                <w:rFonts w:ascii="Arial" w:cs="Arial" w:eastAsia="Arial" w:hAnsi="Arial"/>
                <w:sz w:val="11"/>
                <w:szCs w:val="11"/>
                <w:color w:val="auto"/>
              </w:rPr>
              <w:t>4.00% PIK)</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TherapeuticsMD, Inc. </w:t>
            </w:r>
            <w:r>
              <w:rPr>
                <w:rFonts w:ascii="Arial" w:cs="Arial" w:eastAsia="Arial" w:hAnsi="Arial"/>
                <w:sz w:val="17"/>
                <w:szCs w:val="17"/>
                <w:color w:val="auto"/>
                <w:vertAlign w:val="superscript"/>
              </w:rPr>
              <w:t>(3)(4)</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($31,350 par, due 6/2022)</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4/24/2019</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+ 7.75%</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10.45%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30,739</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31,350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2.4%</w:t>
            </w:r>
          </w:p>
        </w:tc>
      </w:tr>
      <w:tr>
        <w:trPr>
          <w:trHeight w:val="20"/>
        </w:trPr>
        <w:tc>
          <w:tcPr>
            <w:tcW w:w="2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94,263</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99,261</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7.7%</w:t>
            </w:r>
          </w:p>
        </w:tc>
      </w:tr>
      <w:tr>
        <w:trPr>
          <w:trHeight w:val="143"/>
        </w:trPr>
        <w:tc>
          <w:tcPr>
            <w:tcW w:w="2120" w:type="dxa"/>
            <w:vAlign w:val="bottom"/>
            <w:tcBorders>
              <w:top w:val="single" w:sz="8" w:color="CFF0FC"/>
            </w:tcBorders>
            <w:shd w:val="clear" w:color="auto" w:fill="CFF0FC"/>
          </w:tcPr>
          <w:p>
            <w:pPr>
              <w:spacing w:after="0"/>
              <w:rPr>
                <w:sz w:val="12"/>
                <w:szCs w:val="12"/>
                <w:color w:val="auto"/>
              </w:rPr>
            </w:pPr>
          </w:p>
        </w:tc>
        <w:tc>
          <w:tcPr>
            <w:tcW w:w="3240" w:type="dxa"/>
            <w:vAlign w:val="bottom"/>
            <w:tcBorders>
              <w:top w:val="single" w:sz="8" w:color="CFF0FC"/>
            </w:tcBorders>
            <w:shd w:val="clear" w:color="auto" w:fill="CFF0FC"/>
          </w:tcPr>
          <w:p>
            <w:pPr>
              <w:spacing w:after="0"/>
              <w:rPr>
                <w:sz w:val="12"/>
                <w:szCs w:val="12"/>
                <w:color w:val="auto"/>
              </w:rPr>
            </w:pPr>
          </w:p>
        </w:tc>
        <w:tc>
          <w:tcPr>
            <w:tcW w:w="104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1"/>
                <w:szCs w:val="11"/>
                <w:b w:val="1"/>
                <w:bCs w:val="1"/>
                <w:color w:val="auto"/>
              </w:rPr>
              <w:t>Retail and Consumer Products</w:t>
            </w:r>
          </w:p>
        </w:tc>
        <w:tc>
          <w:tcPr>
            <w:tcW w:w="3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99 Cents Only Stores</w:t>
            </w:r>
          </w:p>
        </w:tc>
        <w:tc>
          <w:tcPr>
            <w:tcW w:w="3240" w:type="dxa"/>
            <w:vAlign w:val="bottom"/>
            <w:shd w:val="clear" w:color="auto" w:fill="CFF0FC"/>
          </w:tcPr>
          <w:p>
            <w:pPr>
              <w:ind w:left="580"/>
              <w:spacing w:after="0"/>
              <w:rPr>
                <w:sz w:val="20"/>
                <w:szCs w:val="20"/>
                <w:color w:val="auto"/>
              </w:rPr>
            </w:pPr>
            <w:r>
              <w:rPr>
                <w:rFonts w:ascii="Arial" w:cs="Arial" w:eastAsia="Arial" w:hAnsi="Arial"/>
                <w:sz w:val="11"/>
                <w:szCs w:val="11"/>
                <w:color w:val="auto"/>
              </w:rPr>
              <w:t>ABL FILO term loan ($25,000 par, due 5/2025)</w:t>
            </w:r>
          </w:p>
        </w:tc>
        <w:tc>
          <w:tcPr>
            <w:tcW w:w="1040" w:type="dxa"/>
            <w:vAlign w:val="bottom"/>
            <w:shd w:val="clear" w:color="auto" w:fill="CFF0FC"/>
          </w:tcPr>
          <w:p>
            <w:pPr>
              <w:jc w:val="right"/>
              <w:ind w:right="103"/>
              <w:spacing w:after="0"/>
              <w:rPr>
                <w:sz w:val="20"/>
                <w:szCs w:val="20"/>
                <w:color w:val="auto"/>
              </w:rPr>
            </w:pPr>
            <w:r>
              <w:rPr>
                <w:rFonts w:ascii="Arial" w:cs="Arial" w:eastAsia="Arial" w:hAnsi="Arial"/>
                <w:sz w:val="11"/>
                <w:szCs w:val="11"/>
                <w:color w:val="auto"/>
              </w:rPr>
              <w:t>9/6/2017</w:t>
            </w:r>
          </w:p>
        </w:tc>
        <w:tc>
          <w:tcPr>
            <w:tcW w:w="100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+ 8.50%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9.50%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24,723</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25,438</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2.0%</w:t>
            </w:r>
          </w:p>
        </w:tc>
      </w:tr>
      <w:tr>
        <w:trPr>
          <w:trHeight w:val="151"/>
        </w:trPr>
        <w:tc>
          <w:tcPr>
            <w:tcW w:w="2120" w:type="dxa"/>
            <w:vAlign w:val="bottom"/>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LLC </w:t>
            </w:r>
            <w:r>
              <w:rPr>
                <w:rFonts w:ascii="Arial" w:cs="Arial" w:eastAsia="Arial" w:hAnsi="Arial"/>
                <w:sz w:val="17"/>
                <w:szCs w:val="17"/>
                <w:color w:val="auto"/>
                <w:vertAlign w:val="superscript"/>
              </w:rPr>
              <w:t>(3)</w:t>
            </w:r>
          </w:p>
        </w:tc>
        <w:tc>
          <w:tcPr>
            <w:tcW w:w="3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2120" w:type="dxa"/>
            <w:vAlign w:val="bottom"/>
          </w:tcPr>
          <w:p>
            <w:pPr>
              <w:spacing w:after="0"/>
              <w:rPr>
                <w:sz w:val="20"/>
                <w:szCs w:val="20"/>
                <w:color w:val="auto"/>
              </w:rPr>
            </w:pPr>
            <w:r>
              <w:rPr>
                <w:rFonts w:ascii="Arial" w:cs="Arial" w:eastAsia="Arial" w:hAnsi="Arial"/>
                <w:sz w:val="11"/>
                <w:szCs w:val="11"/>
                <w:color w:val="auto"/>
              </w:rPr>
              <w:t>American Achievement,</w:t>
            </w:r>
          </w:p>
        </w:tc>
        <w:tc>
          <w:tcPr>
            <w:tcW w:w="3240" w:type="dxa"/>
            <w:vAlign w:val="bottom"/>
          </w:tcPr>
          <w:p>
            <w:pPr>
              <w:ind w:left="580"/>
              <w:spacing w:after="0"/>
              <w:rPr>
                <w:sz w:val="20"/>
                <w:szCs w:val="20"/>
                <w:color w:val="auto"/>
              </w:rPr>
            </w:pPr>
            <w:r>
              <w:rPr>
                <w:rFonts w:ascii="Arial" w:cs="Arial" w:eastAsia="Arial" w:hAnsi="Arial"/>
                <w:sz w:val="11"/>
                <w:szCs w:val="11"/>
                <w:color w:val="auto"/>
              </w:rPr>
              <w:t>First-lien loan ($25,615 par, due 9/2026)</w:t>
            </w:r>
          </w:p>
        </w:tc>
        <w:tc>
          <w:tcPr>
            <w:tcW w:w="1040" w:type="dxa"/>
            <w:vAlign w:val="bottom"/>
          </w:tcPr>
          <w:p>
            <w:pPr>
              <w:jc w:val="right"/>
              <w:ind w:right="103"/>
              <w:spacing w:after="0"/>
              <w:rPr>
                <w:sz w:val="20"/>
                <w:szCs w:val="20"/>
                <w:color w:val="auto"/>
              </w:rPr>
            </w:pPr>
            <w:r>
              <w:rPr>
                <w:rFonts w:ascii="Arial" w:cs="Arial" w:eastAsia="Arial" w:hAnsi="Arial"/>
                <w:sz w:val="11"/>
                <w:szCs w:val="11"/>
                <w:color w:val="auto"/>
              </w:rPr>
              <w:t>9/30/2015</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L + 6.25%</w:t>
            </w:r>
          </w:p>
        </w:tc>
        <w:tc>
          <w:tcPr>
            <w:tcW w:w="1000" w:type="dxa"/>
            <w:vAlign w:val="bottom"/>
          </w:tcPr>
          <w:p>
            <w:pPr>
              <w:jc w:val="right"/>
              <w:ind w:right="163"/>
              <w:spacing w:after="0"/>
              <w:rPr>
                <w:sz w:val="20"/>
                <w:szCs w:val="20"/>
                <w:color w:val="auto"/>
              </w:rPr>
            </w:pPr>
            <w:r>
              <w:rPr>
                <w:rFonts w:ascii="Arial" w:cs="Arial" w:eastAsia="Arial" w:hAnsi="Arial"/>
                <w:sz w:val="11"/>
                <w:szCs w:val="11"/>
                <w:color w:val="auto"/>
              </w:rPr>
              <w:t>7.25% (incl.</w:t>
            </w:r>
          </w:p>
        </w:tc>
        <w:tc>
          <w:tcPr>
            <w:tcW w:w="820" w:type="dxa"/>
            <w:vAlign w:val="bottom"/>
          </w:tcPr>
          <w:p>
            <w:pPr>
              <w:jc w:val="right"/>
              <w:spacing w:after="0"/>
              <w:rPr>
                <w:sz w:val="20"/>
                <w:szCs w:val="20"/>
                <w:color w:val="auto"/>
              </w:rPr>
            </w:pPr>
            <w:r>
              <w:rPr>
                <w:rFonts w:ascii="Arial" w:cs="Arial" w:eastAsia="Arial" w:hAnsi="Arial"/>
                <w:sz w:val="11"/>
                <w:szCs w:val="11"/>
                <w:color w:val="auto"/>
              </w:rPr>
              <w:t>24,711</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19,083</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1.5%</w:t>
            </w:r>
          </w:p>
        </w:tc>
      </w:tr>
      <w:tr>
        <w:trPr>
          <w:trHeight w:val="251"/>
        </w:trPr>
        <w:tc>
          <w:tcPr>
            <w:tcW w:w="2120" w:type="dxa"/>
            <w:vAlign w:val="bottom"/>
          </w:tcPr>
          <w:p>
            <w:pPr>
              <w:ind w:left="80"/>
              <w:spacing w:after="0"/>
              <w:rPr>
                <w:sz w:val="20"/>
                <w:szCs w:val="20"/>
                <w:color w:val="auto"/>
              </w:rPr>
            </w:pPr>
            <w:r>
              <w:rPr>
                <w:rFonts w:ascii="Arial" w:cs="Arial" w:eastAsia="Arial" w:hAnsi="Arial"/>
                <w:sz w:val="11"/>
                <w:szCs w:val="11"/>
                <w:color w:val="auto"/>
              </w:rPr>
              <w:t xml:space="preserve">Corp. </w:t>
            </w:r>
            <w:r>
              <w:rPr>
                <w:rFonts w:ascii="Arial" w:cs="Arial" w:eastAsia="Arial" w:hAnsi="Arial"/>
                <w:sz w:val="19"/>
                <w:szCs w:val="19"/>
                <w:color w:val="auto"/>
                <w:vertAlign w:val="superscript"/>
              </w:rPr>
              <w:t>(3)</w:t>
            </w:r>
          </w:p>
        </w:tc>
        <w:tc>
          <w:tcPr>
            <w:tcW w:w="3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jc w:val="right"/>
              <w:ind w:right="163"/>
              <w:spacing w:after="0"/>
              <w:rPr>
                <w:sz w:val="20"/>
                <w:szCs w:val="20"/>
                <w:color w:val="auto"/>
              </w:rPr>
            </w:pPr>
            <w:r>
              <w:rPr>
                <w:rFonts w:ascii="Arial" w:cs="Arial" w:eastAsia="Arial" w:hAnsi="Arial"/>
                <w:sz w:val="11"/>
                <w:szCs w:val="11"/>
                <w:color w:val="auto"/>
              </w:rPr>
              <w:t>6.75% PIK)</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bl>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3"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8"/>
        </w:trPr>
        <w:tc>
          <w:tcPr>
            <w:tcW w:w="2120" w:type="dxa"/>
            <w:vAlign w:val="bottom"/>
            <w:shd w:val="clear" w:color="auto" w:fill="CFF0FC"/>
          </w:tcPr>
          <w:p>
            <w:pPr>
              <w:spacing w:after="0"/>
              <w:rPr>
                <w:sz w:val="18"/>
                <w:szCs w:val="18"/>
                <w:color w:val="auto"/>
              </w:rPr>
            </w:pP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 xml:space="preserve">First-lien loan ($1,368 par, due 9/2026) </w:t>
            </w:r>
            <w:r>
              <w:rPr>
                <w:rFonts w:ascii="Arial" w:cs="Arial" w:eastAsia="Arial" w:hAnsi="Arial"/>
                <w:sz w:val="19"/>
                <w:szCs w:val="19"/>
                <w:color w:val="auto"/>
                <w:vertAlign w:val="superscript"/>
              </w:rPr>
              <w:t>(15)</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6/10/2021</w:t>
            </w:r>
          </w:p>
        </w:tc>
        <w:tc>
          <w:tcPr>
            <w:tcW w:w="92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+ 14.00%</w:t>
            </w: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15.00% (incl.</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1,368</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99</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163"/>
              <w:spacing w:after="0"/>
              <w:rPr>
                <w:sz w:val="20"/>
                <w:szCs w:val="20"/>
                <w:color w:val="auto"/>
              </w:rPr>
            </w:pPr>
            <w:r>
              <w:rPr>
                <w:rFonts w:ascii="Arial" w:cs="Arial" w:eastAsia="Arial" w:hAnsi="Arial"/>
                <w:sz w:val="11"/>
                <w:szCs w:val="11"/>
                <w:color w:val="auto"/>
              </w:rPr>
              <w:t>14.50% PIK)</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3200" w:type="dxa"/>
            <w:vAlign w:val="bottom"/>
          </w:tcPr>
          <w:p>
            <w:pPr>
              <w:ind w:left="580"/>
              <w:spacing w:after="0" w:line="151" w:lineRule="exact"/>
              <w:rPr>
                <w:sz w:val="20"/>
                <w:szCs w:val="20"/>
                <w:color w:val="auto"/>
              </w:rPr>
            </w:pPr>
            <w:r>
              <w:rPr>
                <w:rFonts w:ascii="Arial" w:cs="Arial" w:eastAsia="Arial" w:hAnsi="Arial"/>
                <w:sz w:val="10"/>
                <w:szCs w:val="10"/>
                <w:color w:val="auto"/>
              </w:rPr>
              <w:t xml:space="preserve">Subordinated note ($4,740 par, due 9/2026) </w:t>
            </w:r>
            <w:r>
              <w:rPr>
                <w:rFonts w:ascii="Arial" w:cs="Arial" w:eastAsia="Arial" w:hAnsi="Arial"/>
                <w:sz w:val="17"/>
                <w:szCs w:val="17"/>
                <w:color w:val="auto"/>
                <w:vertAlign w:val="superscript"/>
              </w:rPr>
              <w:t>(15)</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3/16/2021</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L + 1.00%</w:t>
            </w:r>
          </w:p>
        </w:tc>
        <w:tc>
          <w:tcPr>
            <w:tcW w:w="1000" w:type="dxa"/>
            <w:vAlign w:val="bottom"/>
          </w:tcPr>
          <w:p>
            <w:pPr>
              <w:jc w:val="right"/>
              <w:ind w:right="163"/>
              <w:spacing w:after="0"/>
              <w:rPr>
                <w:sz w:val="20"/>
                <w:szCs w:val="20"/>
                <w:color w:val="auto"/>
              </w:rPr>
            </w:pPr>
            <w:r>
              <w:rPr>
                <w:rFonts w:ascii="Arial" w:cs="Arial" w:eastAsia="Arial" w:hAnsi="Arial"/>
                <w:sz w:val="11"/>
                <w:szCs w:val="11"/>
                <w:color w:val="auto"/>
              </w:rPr>
              <w:t>2.00% PIK</w:t>
            </w:r>
          </w:p>
        </w:tc>
        <w:tc>
          <w:tcPr>
            <w:tcW w:w="820" w:type="dxa"/>
            <w:vAlign w:val="bottom"/>
          </w:tcPr>
          <w:p>
            <w:pPr>
              <w:jc w:val="right"/>
              <w:spacing w:after="0"/>
              <w:rPr>
                <w:sz w:val="20"/>
                <w:szCs w:val="20"/>
                <w:color w:val="auto"/>
              </w:rPr>
            </w:pPr>
            <w:r>
              <w:rPr>
                <w:rFonts w:ascii="Arial" w:cs="Arial" w:eastAsia="Arial" w:hAnsi="Arial"/>
                <w:sz w:val="11"/>
                <w:szCs w:val="11"/>
                <w:color w:val="auto"/>
              </w:rPr>
              <w:t>545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71</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Moran Foods, LLC </w:t>
            </w:r>
            <w:r>
              <w:rPr>
                <w:rFonts w:ascii="Arial" w:cs="Arial" w:eastAsia="Arial" w:hAnsi="Arial"/>
                <w:sz w:val="17"/>
                <w:szCs w:val="17"/>
                <w:color w:val="auto"/>
                <w:vertAlign w:val="superscript"/>
              </w:rPr>
              <w:t>(3)</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ABL FILO term loan ($32,933 par, due 4/2024)</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4/1/2020</w:t>
            </w:r>
          </w:p>
        </w:tc>
        <w:tc>
          <w:tcPr>
            <w:tcW w:w="92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+ 7.50%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9.00%</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32,574</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33,263</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Neuintel, LLC </w:t>
            </w:r>
            <w:r>
              <w:rPr>
                <w:rFonts w:ascii="Arial" w:cs="Arial" w:eastAsia="Arial" w:hAnsi="Arial"/>
                <w:sz w:val="17"/>
                <w:szCs w:val="17"/>
                <w:color w:val="auto"/>
                <w:vertAlign w:val="superscript"/>
              </w:rPr>
              <w:t>(3)(5)</w:t>
            </w:r>
          </w:p>
        </w:tc>
        <w:tc>
          <w:tcPr>
            <w:tcW w:w="3200" w:type="dxa"/>
            <w:vAlign w:val="bottom"/>
          </w:tcPr>
          <w:p>
            <w:pPr>
              <w:ind w:left="580"/>
              <w:spacing w:after="0"/>
              <w:rPr>
                <w:sz w:val="20"/>
                <w:szCs w:val="20"/>
                <w:color w:val="auto"/>
              </w:rPr>
            </w:pPr>
            <w:r>
              <w:rPr>
                <w:rFonts w:ascii="Arial" w:cs="Arial" w:eastAsia="Arial" w:hAnsi="Arial"/>
                <w:sz w:val="11"/>
                <w:szCs w:val="11"/>
                <w:color w:val="auto"/>
              </w:rPr>
              <w:t>First-lien loan ($53,100 par, due 12/2026)</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12/20/2021</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L + 6.25%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7.26%</w:t>
            </w:r>
          </w:p>
        </w:tc>
        <w:tc>
          <w:tcPr>
            <w:tcW w:w="820" w:type="dxa"/>
            <w:vAlign w:val="bottom"/>
          </w:tcPr>
          <w:p>
            <w:pPr>
              <w:jc w:val="right"/>
              <w:spacing w:after="0"/>
              <w:rPr>
                <w:sz w:val="20"/>
                <w:szCs w:val="20"/>
                <w:color w:val="auto"/>
              </w:rPr>
            </w:pPr>
            <w:r>
              <w:rPr>
                <w:rFonts w:ascii="Arial" w:cs="Arial" w:eastAsia="Arial" w:hAnsi="Arial"/>
                <w:sz w:val="11"/>
                <w:szCs w:val="11"/>
                <w:color w:val="auto"/>
              </w:rPr>
              <w:t>51,961</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51,773</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Project P Intermediate 2, LLC </w:t>
            </w:r>
            <w:r>
              <w:rPr>
                <w:rFonts w:ascii="Arial" w:cs="Arial" w:eastAsia="Arial" w:hAnsi="Arial"/>
                <w:sz w:val="17"/>
                <w:szCs w:val="17"/>
                <w:color w:val="auto"/>
                <w:vertAlign w:val="superscript"/>
              </w:rPr>
              <w:t>(3)</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ABL FILO term loan ($75,000 par, due 5/2026)</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11/8/2021</w:t>
            </w:r>
          </w:p>
        </w:tc>
        <w:tc>
          <w:tcPr>
            <w:tcW w:w="92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+ 8.00%</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9.25%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73,609</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74,438</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20"/>
                <w:szCs w:val="20"/>
                <w:color w:val="auto"/>
              </w:rPr>
            </w:pPr>
            <w:r>
              <w:rPr>
                <w:rFonts w:ascii="Arial" w:cs="Arial" w:eastAsia="Arial" w:hAnsi="Arial"/>
                <w:sz w:val="11"/>
                <w:szCs w:val="11"/>
                <w:color w:val="auto"/>
              </w:rPr>
              <w:t>Tango Management Consulting,</w:t>
            </w:r>
          </w:p>
        </w:tc>
        <w:tc>
          <w:tcPr>
            <w:tcW w:w="3200" w:type="dxa"/>
            <w:vAlign w:val="bottom"/>
          </w:tcPr>
          <w:p>
            <w:pPr>
              <w:ind w:left="580"/>
              <w:spacing w:after="0"/>
              <w:rPr>
                <w:sz w:val="20"/>
                <w:szCs w:val="20"/>
                <w:color w:val="auto"/>
              </w:rPr>
            </w:pPr>
            <w:r>
              <w:rPr>
                <w:rFonts w:ascii="Arial" w:cs="Arial" w:eastAsia="Arial" w:hAnsi="Arial"/>
                <w:sz w:val="11"/>
                <w:szCs w:val="11"/>
                <w:color w:val="auto"/>
              </w:rPr>
              <w:t>First-lien loan ($39,300 par, due 12/2027)</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12/1/2021</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L + 6.75%</w:t>
            </w: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7.50%</w:t>
            </w:r>
          </w:p>
        </w:tc>
        <w:tc>
          <w:tcPr>
            <w:tcW w:w="820" w:type="dxa"/>
            <w:vAlign w:val="bottom"/>
          </w:tcPr>
          <w:p>
            <w:pPr>
              <w:jc w:val="right"/>
              <w:spacing w:after="0"/>
              <w:rPr>
                <w:sz w:val="20"/>
                <w:szCs w:val="20"/>
                <w:color w:val="auto"/>
              </w:rPr>
            </w:pPr>
            <w:r>
              <w:rPr>
                <w:rFonts w:ascii="Arial" w:cs="Arial" w:eastAsia="Arial" w:hAnsi="Arial"/>
                <w:sz w:val="11"/>
                <w:szCs w:val="11"/>
                <w:color w:val="auto"/>
              </w:rPr>
              <w:t>38,245</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38,144</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9"/>
        </w:trPr>
        <w:tc>
          <w:tcPr>
            <w:tcW w:w="212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320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920" w:type="dxa"/>
            <w:vAlign w:val="bottom"/>
            <w:tcBorders>
              <w:bottom w:val="single" w:sz="8" w:color="CFF0FC"/>
            </w:tcBorders>
          </w:tcPr>
          <w:p>
            <w:pPr>
              <w:spacing w:after="0"/>
              <w:rPr>
                <w:sz w:val="12"/>
                <w:szCs w:val="12"/>
                <w:color w:val="auto"/>
              </w:rPr>
            </w:pPr>
          </w:p>
        </w:tc>
        <w:tc>
          <w:tcPr>
            <w:tcW w:w="100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2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247,736</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242,309</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1"/>
                <w:szCs w:val="11"/>
                <w:b w:val="1"/>
                <w:bCs w:val="1"/>
                <w:color w:val="auto"/>
              </w:rPr>
              <w:t>Transportation</w:t>
            </w: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Project44, Inc. </w:t>
            </w:r>
            <w:r>
              <w:rPr>
                <w:rFonts w:ascii="Arial" w:cs="Arial" w:eastAsia="Arial" w:hAnsi="Arial"/>
                <w:sz w:val="17"/>
                <w:szCs w:val="17"/>
                <w:color w:val="auto"/>
                <w:vertAlign w:val="superscript"/>
              </w:rPr>
              <w:t>(3)(5)</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First-lien loan ($35,139 par, due 11/2027)</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11/12/2021</w:t>
            </w:r>
          </w:p>
        </w:tc>
        <w:tc>
          <w:tcPr>
            <w:tcW w:w="920" w:type="dxa"/>
            <w:vAlign w:val="bottom"/>
            <w:shd w:val="clear" w:color="auto" w:fill="CFF0FC"/>
          </w:tcPr>
          <w:p>
            <w:pPr>
              <w:jc w:val="right"/>
              <w:ind w:right="83"/>
              <w:spacing w:after="0"/>
              <w:rPr>
                <w:sz w:val="20"/>
                <w:szCs w:val="20"/>
                <w:color w:val="auto"/>
              </w:rPr>
            </w:pPr>
            <w:r>
              <w:rPr>
                <w:rFonts w:ascii="Arial" w:cs="Arial" w:eastAsia="Arial" w:hAnsi="Arial"/>
                <w:sz w:val="11"/>
                <w:szCs w:val="11"/>
                <w:color w:val="auto"/>
              </w:rPr>
              <w:t>L + 6.25%</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7.25%</w:t>
            </w: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33,876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34,039</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1"/>
                <w:szCs w:val="11"/>
                <w:b w:val="1"/>
                <w:bCs w:val="1"/>
                <w:color w:val="auto"/>
              </w:rPr>
              <w:t>Total Debt Investments</w:t>
            </w: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2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2,257,220</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2,295,677</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178.8%</w:t>
            </w:r>
          </w:p>
        </w:tc>
        <w:tc>
          <w:tcPr>
            <w:tcW w:w="0" w:type="dxa"/>
            <w:vAlign w:val="bottom"/>
          </w:tcPr>
          <w:p>
            <w:pPr>
              <w:spacing w:after="0"/>
              <w:rPr>
                <w:sz w:val="1"/>
                <w:szCs w:val="1"/>
                <w:color w:val="auto"/>
              </w:rPr>
            </w:pPr>
          </w:p>
        </w:tc>
      </w:tr>
      <w:tr>
        <w:trPr>
          <w:trHeight w:val="143"/>
        </w:trPr>
        <w:tc>
          <w:tcPr>
            <w:tcW w:w="2120" w:type="dxa"/>
            <w:vAlign w:val="bottom"/>
            <w:tcBorders>
              <w:top w:val="single" w:sz="8" w:color="CFF0FC"/>
            </w:tcBorders>
            <w:shd w:val="clear" w:color="auto" w:fill="CFF0FC"/>
          </w:tcPr>
          <w:p>
            <w:pPr>
              <w:spacing w:after="0"/>
              <w:rPr>
                <w:sz w:val="12"/>
                <w:szCs w:val="12"/>
                <w:color w:val="auto"/>
              </w:rPr>
            </w:pPr>
          </w:p>
        </w:tc>
        <w:tc>
          <w:tcPr>
            <w:tcW w:w="32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1"/>
                <w:szCs w:val="11"/>
                <w:b w:val="1"/>
                <w:bCs w:val="1"/>
                <w:color w:val="auto"/>
              </w:rPr>
              <w:t>Equity and Other Investments</w:t>
            </w: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Business Services</w:t>
            </w:r>
          </w:p>
        </w:tc>
        <w:tc>
          <w:tcPr>
            <w:tcW w:w="32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20" w:type="dxa"/>
            <w:vAlign w:val="bottom"/>
          </w:tcPr>
          <w:p>
            <w:pPr>
              <w:spacing w:after="0" w:line="145" w:lineRule="exact"/>
              <w:rPr>
                <w:sz w:val="20"/>
                <w:szCs w:val="20"/>
                <w:color w:val="auto"/>
              </w:rPr>
            </w:pPr>
            <w:r>
              <w:rPr>
                <w:rFonts w:ascii="Arial" w:cs="Arial" w:eastAsia="Arial" w:hAnsi="Arial"/>
                <w:sz w:val="10"/>
                <w:szCs w:val="10"/>
                <w:color w:val="auto"/>
              </w:rPr>
              <w:t xml:space="preserve">Dye &amp; Durham, Ltd. </w:t>
            </w:r>
            <w:r>
              <w:rPr>
                <w:rFonts w:ascii="Arial" w:cs="Arial" w:eastAsia="Arial" w:hAnsi="Arial"/>
                <w:sz w:val="16"/>
                <w:szCs w:val="16"/>
                <w:color w:val="auto"/>
                <w:vertAlign w:val="superscript"/>
              </w:rPr>
              <w:t>(4)(11)(13)</w:t>
            </w:r>
          </w:p>
        </w:tc>
        <w:tc>
          <w:tcPr>
            <w:tcW w:w="3200" w:type="dxa"/>
            <w:vAlign w:val="bottom"/>
          </w:tcPr>
          <w:p>
            <w:pPr>
              <w:ind w:left="580"/>
              <w:spacing w:after="0"/>
              <w:rPr>
                <w:sz w:val="20"/>
                <w:szCs w:val="20"/>
                <w:color w:val="auto"/>
              </w:rPr>
            </w:pPr>
            <w:r>
              <w:rPr>
                <w:rFonts w:ascii="Arial" w:cs="Arial" w:eastAsia="Arial" w:hAnsi="Arial"/>
                <w:sz w:val="11"/>
                <w:szCs w:val="11"/>
                <w:color w:val="auto"/>
              </w:rPr>
              <w:t>Common Shares (126,968 shares)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12/3/2021</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3,909</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2,550</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ind w:left="180"/>
              <w:spacing w:after="0"/>
              <w:rPr>
                <w:sz w:val="20"/>
                <w:szCs w:val="20"/>
                <w:color w:val="auto"/>
              </w:rPr>
            </w:pPr>
            <w:r>
              <w:rPr>
                <w:rFonts w:ascii="Arial" w:cs="Arial" w:eastAsia="Arial" w:hAnsi="Arial"/>
                <w:sz w:val="11"/>
                <w:szCs w:val="11"/>
                <w:color w:val="auto"/>
              </w:rPr>
              <w:t>(CAD 3,185)</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ReliaQuest, LLC </w:t>
            </w:r>
            <w:r>
              <w:rPr>
                <w:rFonts w:ascii="Arial" w:cs="Arial" w:eastAsia="Arial" w:hAnsi="Arial"/>
                <w:sz w:val="17"/>
                <w:szCs w:val="17"/>
                <w:color w:val="auto"/>
                <w:vertAlign w:val="superscript"/>
              </w:rPr>
              <w:t>(12)(13)(14)</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Class A-1 Units (567,683 units)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11/23/2021</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1,120</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1,120</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20"/>
                <w:szCs w:val="20"/>
                <w:color w:val="auto"/>
              </w:rPr>
            </w:pPr>
            <w:r>
              <w:rPr>
                <w:rFonts w:ascii="Arial" w:cs="Arial" w:eastAsia="Arial" w:hAnsi="Arial"/>
                <w:sz w:val="11"/>
                <w:szCs w:val="11"/>
                <w:color w:val="auto"/>
              </w:rPr>
              <w:t xml:space="preserve">Sprinklr, Inc. </w:t>
            </w:r>
            <w:r>
              <w:rPr>
                <w:rFonts w:ascii="Arial" w:cs="Arial" w:eastAsia="Arial" w:hAnsi="Arial"/>
                <w:sz w:val="9"/>
                <w:szCs w:val="9"/>
                <w:color w:val="auto"/>
              </w:rPr>
              <w:t>(4)(11)(12)(13)</w:t>
            </w:r>
          </w:p>
        </w:tc>
        <w:tc>
          <w:tcPr>
            <w:tcW w:w="3200" w:type="dxa"/>
            <w:vAlign w:val="bottom"/>
          </w:tcPr>
          <w:p>
            <w:pPr>
              <w:ind w:left="580"/>
              <w:spacing w:after="0"/>
              <w:rPr>
                <w:sz w:val="20"/>
                <w:szCs w:val="20"/>
                <w:color w:val="auto"/>
              </w:rPr>
            </w:pPr>
            <w:r>
              <w:rPr>
                <w:rFonts w:ascii="Arial" w:cs="Arial" w:eastAsia="Arial" w:hAnsi="Arial"/>
                <w:sz w:val="11"/>
                <w:szCs w:val="11"/>
                <w:color w:val="auto"/>
              </w:rPr>
              <w:t>Common Shares (484,700 shares)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6/24/2021</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4,180</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5,768</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WideOrbit, Inc. </w:t>
            </w:r>
            <w:r>
              <w:rPr>
                <w:rFonts w:ascii="Arial" w:cs="Arial" w:eastAsia="Arial" w:hAnsi="Arial"/>
                <w:sz w:val="17"/>
                <w:szCs w:val="17"/>
                <w:color w:val="auto"/>
                <w:vertAlign w:val="superscript"/>
              </w:rPr>
              <w:t>(12)</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1,567,807 Warrants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7/8/2020</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2,482</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9,536</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11,920</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Communications</w:t>
            </w:r>
          </w:p>
        </w:tc>
        <w:tc>
          <w:tcPr>
            <w:tcW w:w="32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Celtra Technologies, Inc. </w:t>
            </w:r>
            <w:r>
              <w:rPr>
                <w:rFonts w:ascii="Arial" w:cs="Arial" w:eastAsia="Arial" w:hAnsi="Arial"/>
                <w:sz w:val="17"/>
                <w:szCs w:val="17"/>
                <w:color w:val="auto"/>
                <w:vertAlign w:val="superscript"/>
              </w:rPr>
              <w:t>(12)(13)</w:t>
            </w:r>
          </w:p>
        </w:tc>
        <w:tc>
          <w:tcPr>
            <w:tcW w:w="3200" w:type="dxa"/>
            <w:vAlign w:val="bottom"/>
          </w:tcPr>
          <w:p>
            <w:pPr>
              <w:ind w:left="580"/>
              <w:spacing w:after="0"/>
              <w:rPr>
                <w:sz w:val="20"/>
                <w:szCs w:val="20"/>
                <w:color w:val="auto"/>
              </w:rPr>
            </w:pPr>
            <w:r>
              <w:rPr>
                <w:rFonts w:ascii="Arial" w:cs="Arial" w:eastAsia="Arial" w:hAnsi="Arial"/>
                <w:sz w:val="11"/>
                <w:szCs w:val="11"/>
                <w:color w:val="auto"/>
              </w:rPr>
              <w:t>Class A Units (1,250,000 units)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11/19/2021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1,250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1,250</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IntelePeer Holdings, Inc. </w:t>
            </w:r>
            <w:r>
              <w:rPr>
                <w:rFonts w:ascii="Arial" w:cs="Arial" w:eastAsia="Arial" w:hAnsi="Arial"/>
                <w:sz w:val="17"/>
                <w:szCs w:val="17"/>
                <w:color w:val="auto"/>
                <w:vertAlign w:val="superscript"/>
              </w:rPr>
              <w:t>(12)</w:t>
            </w:r>
          </w:p>
        </w:tc>
        <w:tc>
          <w:tcPr>
            <w:tcW w:w="3200" w:type="dxa"/>
            <w:vAlign w:val="bottom"/>
            <w:shd w:val="clear" w:color="auto" w:fill="CFF0FC"/>
          </w:tcPr>
          <w:p>
            <w:pPr>
              <w:ind w:left="580"/>
              <w:spacing w:after="0" w:line="151" w:lineRule="exact"/>
              <w:rPr>
                <w:sz w:val="20"/>
                <w:szCs w:val="20"/>
                <w:color w:val="auto"/>
              </w:rPr>
            </w:pPr>
            <w:r>
              <w:rPr>
                <w:rFonts w:ascii="Arial" w:cs="Arial" w:eastAsia="Arial" w:hAnsi="Arial"/>
                <w:sz w:val="10"/>
                <w:szCs w:val="10"/>
                <w:color w:val="auto"/>
              </w:rPr>
              <w:t xml:space="preserve">Series C Preferred Shares (1,816,295 shares) </w:t>
            </w:r>
            <w:r>
              <w:rPr>
                <w:rFonts w:ascii="Arial" w:cs="Arial" w:eastAsia="Arial" w:hAnsi="Arial"/>
                <w:sz w:val="17"/>
                <w:szCs w:val="17"/>
                <w:color w:val="auto"/>
                <w:vertAlign w:val="superscript"/>
              </w:rPr>
              <w:t>(13)</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4/8/2021</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1,816</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2,829</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3200" w:type="dxa"/>
            <w:vAlign w:val="bottom"/>
          </w:tcPr>
          <w:p>
            <w:pPr>
              <w:ind w:left="580"/>
              <w:spacing w:after="0" w:line="151" w:lineRule="exact"/>
              <w:rPr>
                <w:sz w:val="20"/>
                <w:szCs w:val="20"/>
                <w:color w:val="auto"/>
              </w:rPr>
            </w:pPr>
            <w:r>
              <w:rPr>
                <w:rFonts w:ascii="Arial" w:cs="Arial" w:eastAsia="Arial" w:hAnsi="Arial"/>
                <w:sz w:val="10"/>
                <w:szCs w:val="10"/>
                <w:color w:val="auto"/>
              </w:rPr>
              <w:t xml:space="preserve">Series D Preferred Shares (1,598,874 shares) </w:t>
            </w:r>
            <w:r>
              <w:rPr>
                <w:rFonts w:ascii="Arial" w:cs="Arial" w:eastAsia="Arial" w:hAnsi="Arial"/>
                <w:sz w:val="17"/>
                <w:szCs w:val="17"/>
                <w:color w:val="auto"/>
                <w:vertAlign w:val="superscript"/>
              </w:rPr>
              <w:t>(13)</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4/8/2021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2,925</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2,925</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rPr>
                <w:sz w:val="13"/>
                <w:szCs w:val="13"/>
                <w:color w:val="auto"/>
              </w:rPr>
            </w:pP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280,000 Warrants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2/28/2020</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288</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3200" w:type="dxa"/>
            <w:vAlign w:val="bottom"/>
          </w:tcPr>
          <w:p>
            <w:pPr>
              <w:ind w:left="580"/>
              <w:spacing w:after="0" w:line="151" w:lineRule="exact"/>
              <w:rPr>
                <w:sz w:val="20"/>
                <w:szCs w:val="20"/>
                <w:color w:val="auto"/>
              </w:rPr>
            </w:pPr>
            <w:r>
              <w:rPr>
                <w:rFonts w:ascii="Arial" w:cs="Arial" w:eastAsia="Arial" w:hAnsi="Arial"/>
                <w:sz w:val="10"/>
                <w:szCs w:val="10"/>
                <w:color w:val="auto"/>
              </w:rPr>
              <w:t xml:space="preserve">106,592 Warrants </w:t>
            </w:r>
            <w:r>
              <w:rPr>
                <w:rFonts w:ascii="Arial" w:cs="Arial" w:eastAsia="Arial" w:hAnsi="Arial"/>
                <w:sz w:val="17"/>
                <w:szCs w:val="17"/>
                <w:color w:val="auto"/>
                <w:vertAlign w:val="superscript"/>
              </w:rPr>
              <w:t>(13)</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4/8/2021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38</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2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6,174</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7,330</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39"/>
        </w:trPr>
        <w:tc>
          <w:tcPr>
            <w:tcW w:w="2120" w:type="dxa"/>
            <w:vAlign w:val="bottom"/>
          </w:tcPr>
          <w:p>
            <w:pPr>
              <w:spacing w:after="0"/>
              <w:rPr>
                <w:sz w:val="20"/>
                <w:szCs w:val="20"/>
                <w:color w:val="auto"/>
              </w:rPr>
            </w:pPr>
            <w:r>
              <w:rPr>
                <w:rFonts w:ascii="Arial" w:cs="Arial" w:eastAsia="Arial" w:hAnsi="Arial"/>
                <w:sz w:val="11"/>
                <w:szCs w:val="11"/>
                <w:b w:val="1"/>
                <w:bCs w:val="1"/>
                <w:color w:val="auto"/>
              </w:rPr>
              <w:t>Education</w:t>
            </w: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Astra 2L Holdings II LLC </w:t>
            </w:r>
            <w:r>
              <w:rPr>
                <w:rFonts w:ascii="Arial" w:cs="Arial" w:eastAsia="Arial" w:hAnsi="Arial"/>
                <w:sz w:val="17"/>
                <w:szCs w:val="17"/>
                <w:color w:val="auto"/>
                <w:vertAlign w:val="superscript"/>
              </w:rPr>
              <w:t>(12)(13)</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Membership Interest (10.17% ownership)</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1/13/2022</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3,255</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3,255</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EMS Linq, Inc. </w:t>
            </w:r>
            <w:r>
              <w:rPr>
                <w:rFonts w:ascii="Arial" w:cs="Arial" w:eastAsia="Arial" w:hAnsi="Arial"/>
                <w:sz w:val="17"/>
                <w:szCs w:val="17"/>
                <w:color w:val="auto"/>
                <w:vertAlign w:val="superscript"/>
              </w:rPr>
              <w:t>(12)(13)</w:t>
            </w:r>
          </w:p>
        </w:tc>
        <w:tc>
          <w:tcPr>
            <w:tcW w:w="3200" w:type="dxa"/>
            <w:vAlign w:val="bottom"/>
          </w:tcPr>
          <w:p>
            <w:pPr>
              <w:ind w:left="580"/>
              <w:spacing w:after="0"/>
              <w:rPr>
                <w:sz w:val="20"/>
                <w:szCs w:val="20"/>
                <w:color w:val="auto"/>
              </w:rPr>
            </w:pPr>
            <w:r>
              <w:rPr>
                <w:rFonts w:ascii="Arial" w:cs="Arial" w:eastAsia="Arial" w:hAnsi="Arial"/>
                <w:sz w:val="11"/>
                <w:szCs w:val="11"/>
                <w:color w:val="auto"/>
              </w:rPr>
              <w:t>Class B Units (5,522,526 units)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12/22/2021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5,523</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5,523</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42"/>
        </w:trPr>
        <w:tc>
          <w:tcPr>
            <w:tcW w:w="2120" w:type="dxa"/>
            <w:vAlign w:val="bottom"/>
            <w:shd w:val="clear" w:color="auto" w:fill="CFF0FC"/>
          </w:tcPr>
          <w:p>
            <w:pPr>
              <w:spacing w:after="0"/>
              <w:rPr>
                <w:sz w:val="20"/>
                <w:szCs w:val="20"/>
                <w:color w:val="auto"/>
              </w:rPr>
            </w:pPr>
            <w:r>
              <w:rPr>
                <w:rFonts w:ascii="Arial" w:cs="Arial" w:eastAsia="Arial" w:hAnsi="Arial"/>
                <w:sz w:val="11"/>
                <w:szCs w:val="11"/>
                <w:color w:val="auto"/>
              </w:rPr>
              <w:t>RMCF IV CIV XXXV,</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Partnership Interest (11.94% ownership)</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6/8/2021</w:t>
            </w:r>
          </w:p>
        </w:tc>
        <w:tc>
          <w:tcPr>
            <w:tcW w:w="9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1,355</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9"/>
        </w:trPr>
        <w:tc>
          <w:tcPr>
            <w:tcW w:w="2120" w:type="dxa"/>
            <w:vAlign w:val="bottom"/>
            <w:shd w:val="clear" w:color="auto" w:fill="CFF0FC"/>
          </w:tcPr>
          <w:p>
            <w:pPr>
              <w:ind w:left="80"/>
              <w:spacing w:after="0"/>
              <w:rPr>
                <w:sz w:val="20"/>
                <w:szCs w:val="20"/>
                <w:color w:val="auto"/>
              </w:rPr>
            </w:pPr>
            <w:r>
              <w:rPr>
                <w:rFonts w:ascii="Arial" w:cs="Arial" w:eastAsia="Arial" w:hAnsi="Arial"/>
                <w:sz w:val="11"/>
                <w:szCs w:val="11"/>
                <w:color w:val="auto"/>
              </w:rPr>
              <w:t xml:space="preserve">LP. </w:t>
            </w:r>
            <w:r>
              <w:rPr>
                <w:rFonts w:ascii="Arial" w:cs="Arial" w:eastAsia="Arial" w:hAnsi="Arial"/>
                <w:sz w:val="9"/>
                <w:szCs w:val="9"/>
                <w:color w:val="auto"/>
              </w:rPr>
              <w:t>(4)(12)(13)</w:t>
            </w:r>
          </w:p>
        </w:tc>
        <w:tc>
          <w:tcPr>
            <w:tcW w:w="3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9,778</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10,133</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4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Financial Services</w:t>
            </w:r>
          </w:p>
        </w:tc>
        <w:tc>
          <w:tcPr>
            <w:tcW w:w="3200" w:type="dxa"/>
            <w:vAlign w:val="bottom"/>
            <w:tcBorders>
              <w:top w:val="single" w:sz="8" w:color="CFF0FC"/>
            </w:tcBorders>
            <w:shd w:val="clear" w:color="auto" w:fill="CFF0FC"/>
          </w:tcPr>
          <w:p>
            <w:pPr>
              <w:spacing w:after="0"/>
              <w:rPr>
                <w:sz w:val="12"/>
                <w:szCs w:val="12"/>
                <w:color w:val="auto"/>
              </w:rPr>
            </w:pPr>
          </w:p>
        </w:tc>
        <w:tc>
          <w:tcPr>
            <w:tcW w:w="1160" w:type="dxa"/>
            <w:vAlign w:val="bottom"/>
            <w:tcBorders>
              <w:top w:val="single" w:sz="8" w:color="CFF0FC"/>
            </w:tcBorders>
            <w:shd w:val="clear" w:color="auto" w:fill="CFF0FC"/>
          </w:tcPr>
          <w:p>
            <w:pPr>
              <w:spacing w:after="0"/>
              <w:rPr>
                <w:sz w:val="12"/>
                <w:szCs w:val="12"/>
                <w:color w:val="auto"/>
              </w:rPr>
            </w:pPr>
          </w:p>
        </w:tc>
        <w:tc>
          <w:tcPr>
            <w:tcW w:w="9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AvidXchange, Inc. </w:t>
            </w:r>
            <w:r>
              <w:rPr>
                <w:rFonts w:ascii="Arial" w:cs="Arial" w:eastAsia="Arial" w:hAnsi="Arial"/>
                <w:sz w:val="17"/>
                <w:szCs w:val="17"/>
                <w:color w:val="auto"/>
                <w:vertAlign w:val="superscript"/>
              </w:rPr>
              <w:t>(4)(11)(12)(13)</w:t>
            </w:r>
          </w:p>
        </w:tc>
        <w:tc>
          <w:tcPr>
            <w:tcW w:w="3200" w:type="dxa"/>
            <w:vAlign w:val="bottom"/>
          </w:tcPr>
          <w:p>
            <w:pPr>
              <w:ind w:left="580"/>
              <w:spacing w:after="0"/>
              <w:rPr>
                <w:sz w:val="20"/>
                <w:szCs w:val="20"/>
                <w:color w:val="auto"/>
              </w:rPr>
            </w:pPr>
            <w:r>
              <w:rPr>
                <w:rFonts w:ascii="Arial" w:cs="Arial" w:eastAsia="Arial" w:hAnsi="Arial"/>
                <w:sz w:val="11"/>
                <w:szCs w:val="11"/>
                <w:color w:val="auto"/>
              </w:rPr>
              <w:t>Common Shares (200,721 shares)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10/15/2021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1,022</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1,616</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Newport Parent Holdings, LP </w:t>
            </w:r>
            <w:r>
              <w:rPr>
                <w:rFonts w:ascii="Arial" w:cs="Arial" w:eastAsia="Arial" w:hAnsi="Arial"/>
                <w:sz w:val="17"/>
                <w:szCs w:val="17"/>
                <w:color w:val="auto"/>
                <w:vertAlign w:val="superscript"/>
              </w:rPr>
              <w:t>(12)</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Class A-2 Units (131,569 units)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12/10/2020</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4,177</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2,527</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20"/>
                <w:szCs w:val="20"/>
                <w:color w:val="auto"/>
              </w:rPr>
            </w:pPr>
            <w:r>
              <w:rPr>
                <w:rFonts w:ascii="Arial" w:cs="Arial" w:eastAsia="Arial" w:hAnsi="Arial"/>
                <w:sz w:val="11"/>
                <w:szCs w:val="11"/>
                <w:color w:val="auto"/>
              </w:rPr>
              <w:t>Oxford Square Capital</w:t>
            </w:r>
          </w:p>
        </w:tc>
        <w:tc>
          <w:tcPr>
            <w:tcW w:w="3200" w:type="dxa"/>
            <w:vAlign w:val="bottom"/>
          </w:tcPr>
          <w:p>
            <w:pPr>
              <w:ind w:left="580"/>
              <w:spacing w:after="0"/>
              <w:rPr>
                <w:sz w:val="20"/>
                <w:szCs w:val="20"/>
                <w:color w:val="auto"/>
              </w:rPr>
            </w:pPr>
            <w:r>
              <w:rPr>
                <w:rFonts w:ascii="Arial" w:cs="Arial" w:eastAsia="Arial" w:hAnsi="Arial"/>
                <w:sz w:val="11"/>
                <w:szCs w:val="11"/>
                <w:color w:val="auto"/>
              </w:rPr>
              <w:t>Common Shares (1,620 shares)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8/5/2015</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49"/>
        </w:trPr>
        <w:tc>
          <w:tcPr>
            <w:tcW w:w="2120" w:type="dxa"/>
            <w:vAlign w:val="bottom"/>
          </w:tcPr>
          <w:p>
            <w:pPr>
              <w:ind w:left="80"/>
              <w:spacing w:after="0"/>
              <w:rPr>
                <w:sz w:val="20"/>
                <w:szCs w:val="20"/>
                <w:color w:val="auto"/>
              </w:rPr>
            </w:pPr>
            <w:r>
              <w:rPr>
                <w:rFonts w:ascii="Arial" w:cs="Arial" w:eastAsia="Arial" w:hAnsi="Arial"/>
                <w:sz w:val="11"/>
                <w:szCs w:val="11"/>
                <w:color w:val="auto"/>
              </w:rPr>
              <w:t xml:space="preserve">Corp. </w:t>
            </w:r>
            <w:r>
              <w:rPr>
                <w:rFonts w:ascii="Arial" w:cs="Arial" w:eastAsia="Arial" w:hAnsi="Arial"/>
                <w:sz w:val="9"/>
                <w:szCs w:val="9"/>
                <w:color w:val="auto"/>
              </w:rPr>
              <w:t>(4)(11)</w:t>
            </w: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Passport Labs, Inc. </w:t>
            </w:r>
            <w:r>
              <w:rPr>
                <w:rFonts w:ascii="Arial" w:cs="Arial" w:eastAsia="Arial" w:hAnsi="Arial"/>
                <w:sz w:val="17"/>
                <w:szCs w:val="17"/>
                <w:color w:val="auto"/>
                <w:vertAlign w:val="superscript"/>
              </w:rPr>
              <w:t>(12)(13)</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17,534 Warrants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4/28/2021</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120" w:type="dxa"/>
            <w:vAlign w:val="bottom"/>
          </w:tcPr>
          <w:p>
            <w:pPr>
              <w:spacing w:after="0" w:line="151" w:lineRule="exact"/>
              <w:rPr>
                <w:sz w:val="20"/>
                <w:szCs w:val="20"/>
                <w:color w:val="auto"/>
              </w:rPr>
            </w:pPr>
            <w:r>
              <w:rPr>
                <w:rFonts w:ascii="Arial" w:cs="Arial" w:eastAsia="Arial" w:hAnsi="Arial"/>
                <w:sz w:val="10"/>
                <w:szCs w:val="10"/>
                <w:color w:val="auto"/>
              </w:rPr>
              <w:t xml:space="preserve">TradingScreen, Inc. </w:t>
            </w:r>
            <w:r>
              <w:rPr>
                <w:rFonts w:ascii="Arial" w:cs="Arial" w:eastAsia="Arial" w:hAnsi="Arial"/>
                <w:sz w:val="17"/>
                <w:szCs w:val="17"/>
                <w:color w:val="auto"/>
                <w:vertAlign w:val="superscript"/>
              </w:rPr>
              <w:t>(12)(13)(14)</w:t>
            </w:r>
          </w:p>
        </w:tc>
        <w:tc>
          <w:tcPr>
            <w:tcW w:w="3200" w:type="dxa"/>
            <w:vAlign w:val="bottom"/>
          </w:tcPr>
          <w:p>
            <w:pPr>
              <w:ind w:left="580"/>
              <w:spacing w:after="0"/>
              <w:rPr>
                <w:sz w:val="20"/>
                <w:szCs w:val="20"/>
                <w:color w:val="auto"/>
              </w:rPr>
            </w:pPr>
            <w:r>
              <w:rPr>
                <w:rFonts w:ascii="Arial" w:cs="Arial" w:eastAsia="Arial" w:hAnsi="Arial"/>
                <w:sz w:val="11"/>
                <w:szCs w:val="11"/>
                <w:color w:val="auto"/>
              </w:rPr>
              <w:t>Class A Units (600,000 units)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5/14/2021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600</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32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20" w:type="dxa"/>
            <w:vAlign w:val="bottom"/>
            <w:shd w:val="clear" w:color="auto" w:fill="CFF0FC"/>
          </w:tcPr>
          <w:p>
            <w:pPr>
              <w:spacing w:after="0"/>
              <w:rPr>
                <w:sz w:val="12"/>
                <w:szCs w:val="12"/>
                <w:color w:val="auto"/>
              </w:rPr>
            </w:pPr>
          </w:p>
        </w:tc>
        <w:tc>
          <w:tcPr>
            <w:tcW w:w="32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5,997</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4,942</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39"/>
        </w:trPr>
        <w:tc>
          <w:tcPr>
            <w:tcW w:w="2120" w:type="dxa"/>
            <w:vAlign w:val="bottom"/>
          </w:tcPr>
          <w:p>
            <w:pPr>
              <w:spacing w:after="0"/>
              <w:rPr>
                <w:sz w:val="20"/>
                <w:szCs w:val="20"/>
                <w:color w:val="auto"/>
              </w:rPr>
            </w:pPr>
            <w:r>
              <w:rPr>
                <w:rFonts w:ascii="Arial" w:cs="Arial" w:eastAsia="Arial" w:hAnsi="Arial"/>
                <w:sz w:val="11"/>
                <w:szCs w:val="11"/>
                <w:b w:val="1"/>
                <w:bCs w:val="1"/>
                <w:color w:val="auto"/>
              </w:rPr>
              <w:t>Healthcare</w:t>
            </w:r>
          </w:p>
        </w:tc>
        <w:tc>
          <w:tcPr>
            <w:tcW w:w="3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Caris Life Sciences, Inc. </w:t>
            </w:r>
            <w:r>
              <w:rPr>
                <w:rFonts w:ascii="Arial" w:cs="Arial" w:eastAsia="Arial" w:hAnsi="Arial"/>
                <w:sz w:val="17"/>
                <w:szCs w:val="17"/>
                <w:color w:val="auto"/>
                <w:vertAlign w:val="superscript"/>
              </w:rPr>
              <w:t>(12)</w:t>
            </w: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Series C Preferred Shares (362,319 shares)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10/13/2020</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1,000</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2,265</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3200" w:type="dxa"/>
            <w:vAlign w:val="bottom"/>
          </w:tcPr>
          <w:p>
            <w:pPr>
              <w:ind w:left="580"/>
              <w:spacing w:after="0" w:line="151" w:lineRule="exact"/>
              <w:rPr>
                <w:sz w:val="20"/>
                <w:szCs w:val="20"/>
                <w:color w:val="auto"/>
              </w:rPr>
            </w:pPr>
            <w:r>
              <w:rPr>
                <w:rFonts w:ascii="Arial" w:cs="Arial" w:eastAsia="Arial" w:hAnsi="Arial"/>
                <w:sz w:val="10"/>
                <w:szCs w:val="10"/>
                <w:color w:val="auto"/>
              </w:rPr>
              <w:t xml:space="preserve">Series D Preferred Shares (1,240,740 shares) </w:t>
            </w:r>
            <w:r>
              <w:rPr>
                <w:rFonts w:ascii="Arial" w:cs="Arial" w:eastAsia="Arial" w:hAnsi="Arial"/>
                <w:sz w:val="17"/>
                <w:szCs w:val="17"/>
                <w:color w:val="auto"/>
                <w:vertAlign w:val="superscript"/>
              </w:rPr>
              <w:t>(13)</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5/11/2021</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10,050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10,050</w:t>
            </w:r>
          </w:p>
        </w:tc>
        <w:tc>
          <w:tcPr>
            <w:tcW w:w="20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0.8%</w:t>
            </w:r>
          </w:p>
        </w:tc>
        <w:tc>
          <w:tcPr>
            <w:tcW w:w="0" w:type="dxa"/>
            <w:vAlign w:val="bottom"/>
          </w:tcPr>
          <w:p>
            <w:pPr>
              <w:spacing w:after="0"/>
              <w:rPr>
                <w:sz w:val="1"/>
                <w:szCs w:val="1"/>
                <w:color w:val="auto"/>
              </w:rPr>
            </w:pPr>
          </w:p>
        </w:tc>
      </w:tr>
      <w:tr>
        <w:trPr>
          <w:trHeight w:val="151"/>
        </w:trPr>
        <w:tc>
          <w:tcPr>
            <w:tcW w:w="2120" w:type="dxa"/>
            <w:vAlign w:val="bottom"/>
            <w:shd w:val="clear" w:color="auto" w:fill="CFF0FC"/>
          </w:tcPr>
          <w:p>
            <w:pPr>
              <w:spacing w:after="0"/>
              <w:rPr>
                <w:sz w:val="13"/>
                <w:szCs w:val="13"/>
                <w:color w:val="auto"/>
              </w:rPr>
            </w:pPr>
          </w:p>
        </w:tc>
        <w:tc>
          <w:tcPr>
            <w:tcW w:w="3200" w:type="dxa"/>
            <w:vAlign w:val="bottom"/>
            <w:shd w:val="clear" w:color="auto" w:fill="CFF0FC"/>
          </w:tcPr>
          <w:p>
            <w:pPr>
              <w:ind w:left="580"/>
              <w:spacing w:after="0"/>
              <w:rPr>
                <w:sz w:val="20"/>
                <w:szCs w:val="20"/>
                <w:color w:val="auto"/>
              </w:rPr>
            </w:pPr>
            <w:r>
              <w:rPr>
                <w:rFonts w:ascii="Arial" w:cs="Arial" w:eastAsia="Arial" w:hAnsi="Arial"/>
                <w:sz w:val="11"/>
                <w:szCs w:val="11"/>
                <w:color w:val="auto"/>
              </w:rPr>
              <w:t>633,376 Warrants</w:t>
            </w:r>
          </w:p>
        </w:tc>
        <w:tc>
          <w:tcPr>
            <w:tcW w:w="1160" w:type="dxa"/>
            <w:vAlign w:val="bottom"/>
            <w:shd w:val="clear" w:color="auto" w:fill="CFF0FC"/>
          </w:tcPr>
          <w:p>
            <w:pPr>
              <w:jc w:val="right"/>
              <w:ind w:right="183"/>
              <w:spacing w:after="0"/>
              <w:rPr>
                <w:sz w:val="20"/>
                <w:szCs w:val="20"/>
                <w:color w:val="auto"/>
              </w:rPr>
            </w:pPr>
            <w:r>
              <w:rPr>
                <w:rFonts w:ascii="Arial" w:cs="Arial" w:eastAsia="Arial" w:hAnsi="Arial"/>
                <w:sz w:val="11"/>
                <w:szCs w:val="11"/>
                <w:color w:val="auto"/>
              </w:rPr>
              <w:t>9/21/2018</w:t>
            </w:r>
          </w:p>
        </w:tc>
        <w:tc>
          <w:tcPr>
            <w:tcW w:w="9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w:t>
            </w:r>
          </w:p>
        </w:tc>
        <w:tc>
          <w:tcPr>
            <w:tcW w:w="2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2,743</w:t>
            </w:r>
          </w:p>
        </w:tc>
        <w:tc>
          <w:tcPr>
            <w:tcW w:w="2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47"/>
        </w:trPr>
        <w:tc>
          <w:tcPr>
            <w:tcW w:w="2120" w:type="dxa"/>
            <w:vAlign w:val="bottom"/>
          </w:tcPr>
          <w:p>
            <w:pPr>
              <w:spacing w:after="0"/>
              <w:rPr>
                <w:sz w:val="12"/>
                <w:szCs w:val="12"/>
                <w:color w:val="auto"/>
              </w:rPr>
            </w:pPr>
          </w:p>
        </w:tc>
        <w:tc>
          <w:tcPr>
            <w:tcW w:w="3200" w:type="dxa"/>
            <w:vAlign w:val="bottom"/>
          </w:tcPr>
          <w:p>
            <w:pPr>
              <w:ind w:left="580"/>
              <w:spacing w:after="0"/>
              <w:rPr>
                <w:sz w:val="20"/>
                <w:szCs w:val="20"/>
                <w:color w:val="auto"/>
              </w:rPr>
            </w:pPr>
            <w:r>
              <w:rPr>
                <w:rFonts w:ascii="Arial" w:cs="Arial" w:eastAsia="Arial" w:hAnsi="Arial"/>
                <w:sz w:val="11"/>
                <w:szCs w:val="11"/>
                <w:color w:val="auto"/>
              </w:rPr>
              <w:t>569,991 Warrants</w:t>
            </w:r>
          </w:p>
        </w:tc>
        <w:tc>
          <w:tcPr>
            <w:tcW w:w="1160" w:type="dxa"/>
            <w:vAlign w:val="bottom"/>
          </w:tcPr>
          <w:p>
            <w:pPr>
              <w:jc w:val="right"/>
              <w:ind w:right="183"/>
              <w:spacing w:after="0"/>
              <w:rPr>
                <w:sz w:val="20"/>
                <w:szCs w:val="20"/>
                <w:color w:val="auto"/>
              </w:rPr>
            </w:pPr>
            <w:r>
              <w:rPr>
                <w:rFonts w:ascii="Arial" w:cs="Arial" w:eastAsia="Arial" w:hAnsi="Arial"/>
                <w:sz w:val="11"/>
                <w:szCs w:val="11"/>
                <w:color w:val="auto"/>
              </w:rPr>
              <w:t>4/2/2020</w:t>
            </w: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250</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2,369</w:t>
            </w:r>
          </w:p>
        </w:tc>
        <w:tc>
          <w:tcPr>
            <w:tcW w:w="20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16"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8"/>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Valant Medical Solutions,</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 xml:space="preserve">Class A Units (121,772 units) </w:t>
            </w:r>
            <w:r>
              <w:rPr>
                <w:rFonts w:ascii="Arial" w:cs="Arial" w:eastAsia="Arial" w:hAnsi="Arial"/>
                <w:sz w:val="19"/>
                <w:szCs w:val="19"/>
                <w:color w:val="auto"/>
                <w:vertAlign w:val="superscript"/>
              </w:rPr>
              <w:t>(13)</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3/10/2021</w:t>
            </w:r>
          </w:p>
        </w:tc>
        <w:tc>
          <w:tcPr>
            <w:tcW w:w="1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199</w:t>
            </w: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(12)(14)</w:t>
            </w:r>
          </w:p>
        </w:tc>
        <w:tc>
          <w:tcPr>
            <w:tcW w:w="30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040" w:type="dxa"/>
            <w:vAlign w:val="bottom"/>
          </w:tcPr>
          <w:p>
            <w:pPr>
              <w:ind w:left="500"/>
              <w:spacing w:after="0"/>
              <w:rPr>
                <w:sz w:val="20"/>
                <w:szCs w:val="20"/>
                <w:color w:val="auto"/>
              </w:rPr>
            </w:pPr>
            <w:r>
              <w:rPr>
                <w:rFonts w:ascii="Arial" w:cs="Arial" w:eastAsia="Arial" w:hAnsi="Arial"/>
                <w:sz w:val="11"/>
                <w:szCs w:val="11"/>
                <w:color w:val="auto"/>
              </w:rPr>
              <w:t>954,478 Warrants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4/8/2019</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605</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30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shd w:val="clear" w:color="auto" w:fill="CFF0FC"/>
          </w:tcPr>
          <w:p>
            <w:pPr>
              <w:spacing w:after="0"/>
              <w:rPr>
                <w:sz w:val="12"/>
                <w:szCs w:val="12"/>
                <w:color w:val="auto"/>
              </w:rPr>
            </w:pPr>
          </w:p>
        </w:tc>
        <w:tc>
          <w:tcPr>
            <w:tcW w:w="30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11,895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18,231</w:t>
            </w: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b w:val="1"/>
                <w:bCs w:val="1"/>
                <w:color w:val="auto"/>
              </w:rPr>
              <w:t>Hotel, Gaming and Leisure</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IRGSE Holding Corp. </w:t>
            </w:r>
            <w:r>
              <w:rPr>
                <w:rFonts w:ascii="Arial" w:cs="Arial" w:eastAsia="Arial" w:hAnsi="Arial"/>
                <w:sz w:val="17"/>
                <w:szCs w:val="17"/>
                <w:color w:val="auto"/>
                <w:vertAlign w:val="superscript"/>
              </w:rPr>
              <w:t>(7)(12)</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Class A Units (33,790,171 units)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12/21/2018</w:t>
            </w: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21,842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33,368</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040" w:type="dxa"/>
            <w:vAlign w:val="bottom"/>
          </w:tcPr>
          <w:p>
            <w:pPr>
              <w:ind w:left="500"/>
              <w:spacing w:after="0"/>
              <w:rPr>
                <w:sz w:val="20"/>
                <w:szCs w:val="20"/>
                <w:color w:val="auto"/>
              </w:rPr>
            </w:pPr>
            <w:r>
              <w:rPr>
                <w:rFonts w:ascii="Arial" w:cs="Arial" w:eastAsia="Arial" w:hAnsi="Arial"/>
                <w:sz w:val="11"/>
                <w:szCs w:val="11"/>
                <w:color w:val="auto"/>
              </w:rPr>
              <w:t>Class C-1 Units (8,800,000 units)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12/21/2018</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0"/>
        </w:trPr>
        <w:tc>
          <w:tcPr>
            <w:tcW w:w="2200" w:type="dxa"/>
            <w:vAlign w:val="bottom"/>
            <w:shd w:val="clear" w:color="auto" w:fill="CFF0FC"/>
          </w:tcPr>
          <w:p>
            <w:pPr>
              <w:spacing w:after="0" w:line="20" w:lineRule="exact"/>
              <w:rPr>
                <w:sz w:val="1"/>
                <w:szCs w:val="1"/>
                <w:color w:val="auto"/>
              </w:rPr>
            </w:pPr>
          </w:p>
        </w:tc>
        <w:tc>
          <w:tcPr>
            <w:tcW w:w="30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0" w:type="dxa"/>
            <w:vAlign w:val="bottom"/>
            <w:shd w:val="clear" w:color="auto" w:fill="CFF0FC"/>
          </w:tcPr>
          <w:p>
            <w:pPr>
              <w:spacing w:after="0"/>
              <w:rPr>
                <w:sz w:val="12"/>
                <w:szCs w:val="12"/>
                <w:color w:val="auto"/>
              </w:rPr>
            </w:pPr>
          </w:p>
        </w:tc>
        <w:tc>
          <w:tcPr>
            <w:tcW w:w="30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21,942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33,411</w:t>
            </w: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b w:val="1"/>
                <w:bCs w:val="1"/>
                <w:color w:val="auto"/>
              </w:rPr>
              <w:t>Human Resource Support Services</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Axonify, Inc. </w:t>
            </w:r>
            <w:r>
              <w:rPr>
                <w:rFonts w:ascii="Arial" w:cs="Arial" w:eastAsia="Arial" w:hAnsi="Arial"/>
                <w:sz w:val="9"/>
                <w:szCs w:val="9"/>
                <w:color w:val="auto"/>
              </w:rPr>
              <w:t>(4)(12)(13)(14)</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Class A-1 Units (3,780,000 units)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5/5/2021</w:t>
            </w: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3,780</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ClearCompany, LLC </w:t>
            </w:r>
            <w:r>
              <w:rPr>
                <w:rFonts w:ascii="Arial" w:cs="Arial" w:eastAsia="Arial" w:hAnsi="Arial"/>
                <w:sz w:val="17"/>
                <w:szCs w:val="17"/>
                <w:color w:val="auto"/>
                <w:vertAlign w:val="superscript"/>
              </w:rPr>
              <w:t>(12)(14)</w:t>
            </w:r>
          </w:p>
        </w:tc>
        <w:tc>
          <w:tcPr>
            <w:tcW w:w="3040" w:type="dxa"/>
            <w:vAlign w:val="bottom"/>
          </w:tcPr>
          <w:p>
            <w:pPr>
              <w:ind w:left="500"/>
              <w:spacing w:after="0"/>
              <w:rPr>
                <w:sz w:val="20"/>
                <w:szCs w:val="20"/>
                <w:color w:val="auto"/>
              </w:rPr>
            </w:pPr>
            <w:r>
              <w:rPr>
                <w:rFonts w:ascii="Arial" w:cs="Arial" w:eastAsia="Arial" w:hAnsi="Arial"/>
                <w:sz w:val="11"/>
                <w:szCs w:val="11"/>
                <w:color w:val="auto"/>
              </w:rPr>
              <w:t>Series A Preferred Units (1,429,228 units)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8/24/2018</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2,014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5,393</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DaySmart Holdings, LLC </w:t>
            </w:r>
            <w:r>
              <w:rPr>
                <w:rFonts w:ascii="Arial" w:cs="Arial" w:eastAsia="Arial" w:hAnsi="Arial"/>
                <w:sz w:val="17"/>
                <w:szCs w:val="17"/>
                <w:color w:val="auto"/>
                <w:vertAlign w:val="superscript"/>
              </w:rPr>
              <w:t>(12)(14)</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Class A Units (166,811 units)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10/1/2019</w:t>
            </w: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2,158</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42"/>
        </w:trPr>
        <w:tc>
          <w:tcPr>
            <w:tcW w:w="2200" w:type="dxa"/>
            <w:vAlign w:val="bottom"/>
          </w:tcPr>
          <w:p>
            <w:pPr>
              <w:spacing w:after="0"/>
              <w:rPr>
                <w:sz w:val="20"/>
                <w:szCs w:val="20"/>
                <w:color w:val="auto"/>
              </w:rPr>
            </w:pPr>
            <w:r>
              <w:rPr>
                <w:rFonts w:ascii="Arial" w:cs="Arial" w:eastAsia="Arial" w:hAnsi="Arial"/>
                <w:sz w:val="11"/>
                <w:szCs w:val="11"/>
                <w:color w:val="auto"/>
              </w:rPr>
              <w:t>Employment Hero Holdings Pty</w:t>
            </w:r>
          </w:p>
        </w:tc>
        <w:tc>
          <w:tcPr>
            <w:tcW w:w="3040" w:type="dxa"/>
            <w:vAlign w:val="bottom"/>
          </w:tcPr>
          <w:p>
            <w:pPr>
              <w:ind w:left="500"/>
              <w:spacing w:after="0"/>
              <w:rPr>
                <w:sz w:val="20"/>
                <w:szCs w:val="20"/>
                <w:color w:val="auto"/>
              </w:rPr>
            </w:pPr>
            <w:r>
              <w:rPr>
                <w:rFonts w:ascii="Arial" w:cs="Arial" w:eastAsia="Arial" w:hAnsi="Arial"/>
                <w:sz w:val="11"/>
                <w:szCs w:val="11"/>
                <w:color w:val="auto"/>
              </w:rPr>
              <w:t>Series E Preferred Shares (113,250 shares)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3/1/2022</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2,134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2,134</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49"/>
        </w:trPr>
        <w:tc>
          <w:tcPr>
            <w:tcW w:w="2200" w:type="dxa"/>
            <w:vAlign w:val="bottom"/>
          </w:tcPr>
          <w:p>
            <w:pPr>
              <w:ind w:left="80"/>
              <w:spacing w:after="0"/>
              <w:rPr>
                <w:sz w:val="20"/>
                <w:szCs w:val="20"/>
                <w:color w:val="auto"/>
              </w:rPr>
            </w:pPr>
            <w:r>
              <w:rPr>
                <w:rFonts w:ascii="Arial" w:cs="Arial" w:eastAsia="Arial" w:hAnsi="Arial"/>
                <w:sz w:val="11"/>
                <w:szCs w:val="11"/>
                <w:color w:val="auto"/>
              </w:rPr>
              <w:t xml:space="preserve">Ltd. </w:t>
            </w:r>
            <w:r>
              <w:rPr>
                <w:rFonts w:ascii="Arial" w:cs="Arial" w:eastAsia="Arial" w:hAnsi="Arial"/>
                <w:sz w:val="9"/>
                <w:szCs w:val="9"/>
                <w:color w:val="auto"/>
              </w:rPr>
              <w:t>(4)(12)(13)</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color w:val="auto"/>
              </w:rPr>
              <w:t>(AUD 2,842)</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00" w:type="dxa"/>
            <w:vAlign w:val="bottom"/>
            <w:tcBorders>
              <w:top w:val="single" w:sz="8" w:color="CFF0FC"/>
            </w:tcBorders>
            <w:shd w:val="clear" w:color="auto" w:fill="CFF0FC"/>
          </w:tcPr>
          <w:p>
            <w:pPr>
              <w:spacing w:after="0"/>
              <w:rPr>
                <w:sz w:val="12"/>
                <w:szCs w:val="12"/>
                <w:color w:val="auto"/>
              </w:rPr>
            </w:pPr>
          </w:p>
        </w:tc>
        <w:tc>
          <w:tcPr>
            <w:tcW w:w="304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9,275</w:t>
            </w: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13,465</w:t>
            </w: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b w:val="1"/>
                <w:bCs w:val="1"/>
                <w:color w:val="auto"/>
              </w:rPr>
              <w:t>Internet Services</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Bayshore Intermediate #2,</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Common Units (12,330,709 units)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10/1/2021</w:t>
            </w:r>
          </w:p>
        </w:tc>
        <w:tc>
          <w:tcPr>
            <w:tcW w:w="1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12,331</w:t>
            </w: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ind w:left="80"/>
              <w:spacing w:after="0"/>
              <w:rPr>
                <w:sz w:val="20"/>
                <w:szCs w:val="20"/>
                <w:color w:val="auto"/>
              </w:rPr>
            </w:pPr>
            <w:r>
              <w:rPr>
                <w:rFonts w:ascii="Arial" w:cs="Arial" w:eastAsia="Arial" w:hAnsi="Arial"/>
                <w:sz w:val="11"/>
                <w:szCs w:val="11"/>
                <w:color w:val="auto"/>
              </w:rPr>
              <w:t xml:space="preserve">L.P. </w:t>
            </w:r>
            <w:r>
              <w:rPr>
                <w:rFonts w:ascii="Arial" w:cs="Arial" w:eastAsia="Arial" w:hAnsi="Arial"/>
                <w:sz w:val="9"/>
                <w:szCs w:val="9"/>
                <w:color w:val="auto"/>
              </w:rPr>
              <w:t>(12)(13)(14)</w:t>
            </w:r>
          </w:p>
        </w:tc>
        <w:tc>
          <w:tcPr>
            <w:tcW w:w="30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Lucidworks, Inc. </w:t>
            </w:r>
            <w:r>
              <w:rPr>
                <w:rFonts w:ascii="Arial" w:cs="Arial" w:eastAsia="Arial" w:hAnsi="Arial"/>
                <w:sz w:val="17"/>
                <w:szCs w:val="17"/>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Series F Preferred Shares (199,054 shares)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8/2/2019</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808</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Piano Software, Inc. </w:t>
            </w:r>
            <w:r>
              <w:rPr>
                <w:rFonts w:ascii="Arial" w:cs="Arial" w:eastAsia="Arial" w:hAnsi="Arial"/>
                <w:sz w:val="17"/>
                <w:szCs w:val="17"/>
                <w:color w:val="auto"/>
                <w:vertAlign w:val="superscript"/>
              </w:rPr>
              <w:t>(12)(13)</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Series C-1 Preferred Shares (418,527 shares)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12/22/2021</w:t>
            </w: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16,131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16,139</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4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b w:val="1"/>
                <w:bCs w:val="1"/>
                <w:color w:val="auto"/>
              </w:rPr>
              <w:t>Marketing Services</w:t>
            </w:r>
          </w:p>
        </w:tc>
        <w:tc>
          <w:tcPr>
            <w:tcW w:w="304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Validity, Inc. </w:t>
            </w:r>
            <w:r>
              <w:rPr>
                <w:rFonts w:ascii="Arial" w:cs="Arial" w:eastAsia="Arial" w:hAnsi="Arial"/>
                <w:sz w:val="17"/>
                <w:szCs w:val="17"/>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Series A Preferred Shares (3,840,000 shares)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5/31/2018</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14,208</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Pharmaceuticals</w:t>
            </w:r>
          </w:p>
        </w:tc>
        <w:tc>
          <w:tcPr>
            <w:tcW w:w="30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TherapeuticsMD, Inc. </w:t>
            </w:r>
            <w:r>
              <w:rPr>
                <w:rFonts w:ascii="Arial" w:cs="Arial" w:eastAsia="Arial" w:hAnsi="Arial"/>
                <w:sz w:val="17"/>
                <w:szCs w:val="17"/>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712,817 Warrants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8/5/2020</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131</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Retail and Consumer Products</w:t>
            </w:r>
          </w:p>
        </w:tc>
        <w:tc>
          <w:tcPr>
            <w:tcW w:w="30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00" w:type="dxa"/>
            <w:vAlign w:val="bottom"/>
          </w:tcPr>
          <w:p>
            <w:pPr>
              <w:spacing w:after="0" w:line="151" w:lineRule="exact"/>
              <w:rPr>
                <w:sz w:val="20"/>
                <w:szCs w:val="20"/>
                <w:color w:val="auto"/>
              </w:rPr>
            </w:pPr>
            <w:r>
              <w:rPr>
                <w:rFonts w:ascii="Arial" w:cs="Arial" w:eastAsia="Arial" w:hAnsi="Arial"/>
                <w:sz w:val="10"/>
                <w:szCs w:val="10"/>
                <w:color w:val="auto"/>
              </w:rPr>
              <w:t xml:space="preserve">American Achievement, Corp. </w:t>
            </w:r>
            <w:r>
              <w:rPr>
                <w:rFonts w:ascii="Arial" w:cs="Arial" w:eastAsia="Arial" w:hAnsi="Arial"/>
                <w:sz w:val="17"/>
                <w:szCs w:val="17"/>
                <w:color w:val="auto"/>
                <w:vertAlign w:val="superscript"/>
              </w:rPr>
              <w:t>(12)</w:t>
            </w:r>
          </w:p>
        </w:tc>
        <w:tc>
          <w:tcPr>
            <w:tcW w:w="3040" w:type="dxa"/>
            <w:vAlign w:val="bottom"/>
          </w:tcPr>
          <w:p>
            <w:pPr>
              <w:ind w:left="500"/>
              <w:spacing w:after="0"/>
              <w:rPr>
                <w:sz w:val="20"/>
                <w:szCs w:val="20"/>
                <w:color w:val="auto"/>
              </w:rPr>
            </w:pPr>
            <w:r>
              <w:rPr>
                <w:rFonts w:ascii="Arial" w:cs="Arial" w:eastAsia="Arial" w:hAnsi="Arial"/>
                <w:sz w:val="11"/>
                <w:szCs w:val="11"/>
                <w:color w:val="auto"/>
              </w:rPr>
              <w:t>Class A Units (687 units)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3/16/2021</w:t>
            </w: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Copper Bidco, LLC </w:t>
            </w:r>
            <w:r>
              <w:rPr>
                <w:rFonts w:ascii="Arial" w:cs="Arial" w:eastAsia="Arial" w:hAnsi="Arial"/>
                <w:sz w:val="17"/>
                <w:szCs w:val="17"/>
                <w:color w:val="auto"/>
                <w:vertAlign w:val="superscript"/>
              </w:rPr>
              <w:t>(10)</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Trust Certificates (132,928 Certificates)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12/7/2020</w:t>
            </w: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1,529</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3040" w:type="dxa"/>
            <w:vAlign w:val="bottom"/>
          </w:tcPr>
          <w:p>
            <w:pPr>
              <w:ind w:left="500"/>
              <w:spacing w:after="0"/>
              <w:rPr>
                <w:sz w:val="20"/>
                <w:szCs w:val="20"/>
                <w:color w:val="auto"/>
              </w:rPr>
            </w:pPr>
            <w:r>
              <w:rPr>
                <w:rFonts w:ascii="Arial" w:cs="Arial" w:eastAsia="Arial" w:hAnsi="Arial"/>
                <w:sz w:val="11"/>
                <w:szCs w:val="11"/>
                <w:color w:val="auto"/>
              </w:rPr>
              <w:t>Trust Certificates (996,958 Certificates)</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1/30/2021</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4,604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15,951</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 xml:space="preserve">Neuintel, LLC </w:t>
            </w:r>
            <w:r>
              <w:rPr>
                <w:rFonts w:ascii="Arial" w:cs="Arial" w:eastAsia="Arial" w:hAnsi="Arial"/>
                <w:sz w:val="9"/>
                <w:szCs w:val="9"/>
                <w:color w:val="auto"/>
              </w:rPr>
              <w:t>(12)(13)(14)</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Class A Units (1,176,494 units)</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12/21/2021</w:t>
            </w: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8,097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20,530</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3"/>
        </w:trPr>
        <w:tc>
          <w:tcPr>
            <w:tcW w:w="2200" w:type="dxa"/>
            <w:vAlign w:val="bottom"/>
            <w:tcBorders>
              <w:top w:val="single" w:sz="8" w:color="CFF0FC"/>
            </w:tcBorders>
            <w:shd w:val="clear" w:color="auto" w:fill="CFF0FC"/>
          </w:tcPr>
          <w:p>
            <w:pPr>
              <w:spacing w:after="0"/>
              <w:rPr>
                <w:sz w:val="12"/>
                <w:szCs w:val="12"/>
                <w:color w:val="auto"/>
              </w:rPr>
            </w:pPr>
          </w:p>
        </w:tc>
        <w:tc>
          <w:tcPr>
            <w:tcW w:w="3040" w:type="dxa"/>
            <w:vAlign w:val="bottom"/>
            <w:tcBorders>
              <w:top w:val="single" w:sz="8" w:color="CFF0FC"/>
            </w:tcBorders>
            <w:shd w:val="clear" w:color="auto" w:fill="CFF0FC"/>
          </w:tcPr>
          <w:p>
            <w:pPr>
              <w:spacing w:after="0"/>
              <w:rPr>
                <w:sz w:val="12"/>
                <w:szCs w:val="12"/>
                <w:color w:val="auto"/>
              </w:rPr>
            </w:pPr>
          </w:p>
        </w:tc>
        <w:tc>
          <w:tcPr>
            <w:tcW w:w="126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20"/>
                <w:szCs w:val="20"/>
                <w:color w:val="auto"/>
              </w:rPr>
            </w:pPr>
            <w:r>
              <w:rPr>
                <w:rFonts w:ascii="Arial" w:cs="Arial" w:eastAsia="Arial" w:hAnsi="Arial"/>
                <w:sz w:val="11"/>
                <w:szCs w:val="11"/>
                <w:b w:val="1"/>
                <w:bCs w:val="1"/>
                <w:color w:val="auto"/>
              </w:rPr>
              <w:t>Other Investments</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Bain Capital Credit CLO Ltd,</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Structured Product ($500 par, due 4/2031)</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10/15/2020</w:t>
            </w:r>
          </w:p>
        </w:tc>
        <w:tc>
          <w:tcPr>
            <w:tcW w:w="11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L + 5.35%</w:t>
            </w:r>
          </w:p>
        </w:tc>
        <w:tc>
          <w:tcPr>
            <w:tcW w:w="78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5.47%</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452</w:t>
            </w: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Series 2018-1A </w:t>
            </w:r>
            <w:r>
              <w:rPr>
                <w:rFonts w:ascii="Arial" w:cs="Arial" w:eastAsia="Arial" w:hAnsi="Arial"/>
                <w:sz w:val="17"/>
                <w:szCs w:val="17"/>
                <w:color w:val="auto"/>
                <w:vertAlign w:val="superscript"/>
              </w:rPr>
              <w:t>(3)(4)(10)</w:t>
            </w:r>
          </w:p>
        </w:tc>
        <w:tc>
          <w:tcPr>
            <w:tcW w:w="30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20"/>
                <w:szCs w:val="20"/>
                <w:color w:val="auto"/>
              </w:rPr>
            </w:pPr>
            <w:r>
              <w:rPr>
                <w:rFonts w:ascii="Arial" w:cs="Arial" w:eastAsia="Arial" w:hAnsi="Arial"/>
                <w:sz w:val="11"/>
                <w:szCs w:val="11"/>
                <w:color w:val="auto"/>
              </w:rPr>
              <w:t>Carlyle Global Market Strategies</w:t>
            </w:r>
          </w:p>
        </w:tc>
        <w:tc>
          <w:tcPr>
            <w:tcW w:w="3040" w:type="dxa"/>
            <w:vAlign w:val="bottom"/>
          </w:tcPr>
          <w:p>
            <w:pPr>
              <w:ind w:left="500"/>
              <w:spacing w:after="0"/>
              <w:rPr>
                <w:sz w:val="20"/>
                <w:szCs w:val="20"/>
                <w:color w:val="auto"/>
              </w:rPr>
            </w:pPr>
            <w:r>
              <w:rPr>
                <w:rFonts w:ascii="Arial" w:cs="Arial" w:eastAsia="Arial" w:hAnsi="Arial"/>
                <w:sz w:val="11"/>
                <w:szCs w:val="11"/>
                <w:color w:val="auto"/>
              </w:rPr>
              <w:t>Structured Product ($1,550 par, due 4/2031)</w:t>
            </w:r>
          </w:p>
        </w:tc>
        <w:tc>
          <w:tcPr>
            <w:tcW w:w="1260" w:type="dxa"/>
            <w:vAlign w:val="bottom"/>
          </w:tcPr>
          <w:p>
            <w:pPr>
              <w:jc w:val="right"/>
              <w:ind w:right="203"/>
              <w:spacing w:after="0"/>
              <w:rPr>
                <w:sz w:val="20"/>
                <w:szCs w:val="20"/>
                <w:color w:val="auto"/>
              </w:rPr>
            </w:pPr>
            <w:r>
              <w:rPr>
                <w:rFonts w:ascii="Arial" w:cs="Arial" w:eastAsia="Arial" w:hAnsi="Arial"/>
                <w:sz w:val="11"/>
                <w:szCs w:val="11"/>
                <w:color w:val="auto"/>
              </w:rPr>
              <w:t>8/11/2020</w:t>
            </w:r>
          </w:p>
        </w:tc>
        <w:tc>
          <w:tcPr>
            <w:tcW w:w="1120" w:type="dxa"/>
            <w:vAlign w:val="bottom"/>
          </w:tcPr>
          <w:p>
            <w:pPr>
              <w:ind w:left="260"/>
              <w:spacing w:after="0"/>
              <w:rPr>
                <w:sz w:val="20"/>
                <w:szCs w:val="20"/>
                <w:color w:val="auto"/>
              </w:rPr>
            </w:pPr>
            <w:r>
              <w:rPr>
                <w:rFonts w:ascii="Arial" w:cs="Arial" w:eastAsia="Arial" w:hAnsi="Arial"/>
                <w:sz w:val="11"/>
                <w:szCs w:val="11"/>
                <w:color w:val="auto"/>
              </w:rPr>
              <w:t>L + 5.75%</w:t>
            </w: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5.88%</w:t>
            </w: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1,414</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0"/>
        </w:trPr>
        <w:tc>
          <w:tcPr>
            <w:tcW w:w="2200" w:type="dxa"/>
            <w:vAlign w:val="bottom"/>
          </w:tcPr>
          <w:p>
            <w:pPr>
              <w:ind w:left="80"/>
              <w:spacing w:after="0"/>
              <w:rPr>
                <w:sz w:val="20"/>
                <w:szCs w:val="20"/>
                <w:color w:val="auto"/>
              </w:rPr>
            </w:pPr>
            <w:r>
              <w:rPr>
                <w:rFonts w:ascii="Arial" w:cs="Arial" w:eastAsia="Arial" w:hAnsi="Arial"/>
                <w:sz w:val="11"/>
                <w:szCs w:val="11"/>
                <w:color w:val="auto"/>
              </w:rPr>
              <w:t>CLO Ltd, Series 2018-1A</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200" w:type="dxa"/>
            <w:vAlign w:val="bottom"/>
          </w:tcPr>
          <w:p>
            <w:pPr>
              <w:ind w:left="80"/>
              <w:spacing w:after="0"/>
              <w:rPr>
                <w:sz w:val="20"/>
                <w:szCs w:val="20"/>
                <w:color w:val="auto"/>
              </w:rPr>
            </w:pPr>
            <w:r>
              <w:rPr>
                <w:rFonts w:ascii="Arial" w:cs="Arial" w:eastAsia="Arial" w:hAnsi="Arial"/>
                <w:sz w:val="10"/>
                <w:szCs w:val="10"/>
                <w:color w:val="auto"/>
              </w:rPr>
              <w:t>(3)(4)(10)</w:t>
            </w:r>
          </w:p>
        </w:tc>
        <w:tc>
          <w:tcPr>
            <w:tcW w:w="30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200" w:type="dxa"/>
            <w:vAlign w:val="bottom"/>
            <w:shd w:val="clear" w:color="auto" w:fill="CFF0FC"/>
          </w:tcPr>
          <w:p>
            <w:pPr>
              <w:spacing w:after="0"/>
              <w:rPr>
                <w:sz w:val="20"/>
                <w:szCs w:val="20"/>
                <w:color w:val="auto"/>
              </w:rPr>
            </w:pPr>
            <w:r>
              <w:rPr>
                <w:rFonts w:ascii="Arial" w:cs="Arial" w:eastAsia="Arial" w:hAnsi="Arial"/>
                <w:sz w:val="11"/>
                <w:szCs w:val="11"/>
                <w:color w:val="auto"/>
              </w:rPr>
              <w:t>Carlyle Global Market Strategies</w:t>
            </w:r>
          </w:p>
        </w:tc>
        <w:tc>
          <w:tcPr>
            <w:tcW w:w="3040" w:type="dxa"/>
            <w:vAlign w:val="bottom"/>
            <w:shd w:val="clear" w:color="auto" w:fill="CFF0FC"/>
          </w:tcPr>
          <w:p>
            <w:pPr>
              <w:ind w:left="500"/>
              <w:spacing w:after="0"/>
              <w:rPr>
                <w:sz w:val="20"/>
                <w:szCs w:val="20"/>
                <w:color w:val="auto"/>
              </w:rPr>
            </w:pPr>
            <w:r>
              <w:rPr>
                <w:rFonts w:ascii="Arial" w:cs="Arial" w:eastAsia="Arial" w:hAnsi="Arial"/>
                <w:sz w:val="11"/>
                <w:szCs w:val="11"/>
                <w:color w:val="auto"/>
              </w:rPr>
              <w:t>Structured Product ($4,150 par, due 1/2030)</w:t>
            </w:r>
          </w:p>
        </w:tc>
        <w:tc>
          <w:tcPr>
            <w:tcW w:w="1260" w:type="dxa"/>
            <w:vAlign w:val="bottom"/>
            <w:shd w:val="clear" w:color="auto" w:fill="CFF0FC"/>
          </w:tcPr>
          <w:p>
            <w:pPr>
              <w:jc w:val="right"/>
              <w:ind w:right="203"/>
              <w:spacing w:after="0"/>
              <w:rPr>
                <w:sz w:val="20"/>
                <w:szCs w:val="20"/>
                <w:color w:val="auto"/>
              </w:rPr>
            </w:pPr>
            <w:r>
              <w:rPr>
                <w:rFonts w:ascii="Arial" w:cs="Arial" w:eastAsia="Arial" w:hAnsi="Arial"/>
                <w:sz w:val="11"/>
                <w:szCs w:val="11"/>
                <w:color w:val="auto"/>
              </w:rPr>
              <w:t>9/3/2020</w:t>
            </w:r>
          </w:p>
        </w:tc>
        <w:tc>
          <w:tcPr>
            <w:tcW w:w="11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L + 6.15%</w:t>
            </w:r>
          </w:p>
        </w:tc>
        <w:tc>
          <w:tcPr>
            <w:tcW w:w="78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rPr>
              <w:t>6.27%</w:t>
            </w: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3,469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3,876</w:t>
            </w:r>
          </w:p>
        </w:tc>
        <w:tc>
          <w:tcPr>
            <w:tcW w:w="2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40"/>
        </w:trPr>
        <w:tc>
          <w:tcPr>
            <w:tcW w:w="2200" w:type="dxa"/>
            <w:vAlign w:val="bottom"/>
            <w:shd w:val="clear" w:color="auto" w:fill="CFF0FC"/>
          </w:tcPr>
          <w:p>
            <w:pPr>
              <w:ind w:left="80"/>
              <w:spacing w:after="0"/>
              <w:rPr>
                <w:sz w:val="20"/>
                <w:szCs w:val="20"/>
                <w:color w:val="auto"/>
              </w:rPr>
            </w:pPr>
            <w:r>
              <w:rPr>
                <w:rFonts w:ascii="Arial" w:cs="Arial" w:eastAsia="Arial" w:hAnsi="Arial"/>
                <w:sz w:val="11"/>
                <w:szCs w:val="11"/>
                <w:color w:val="auto"/>
              </w:rPr>
              <w:t>CLO Ltd, Series 2017-4A</w:t>
            </w:r>
          </w:p>
        </w:tc>
        <w:tc>
          <w:tcPr>
            <w:tcW w:w="30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2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(3)(4)(10)</w:t>
            </w:r>
          </w:p>
        </w:tc>
        <w:tc>
          <w:tcPr>
            <w:tcW w:w="304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spacing w:after="0"/>
              <w:rPr>
                <w:sz w:val="11"/>
                <w:szCs w:val="11"/>
                <w:color w:val="auto"/>
              </w:rPr>
            </w:pPr>
          </w:p>
        </w:tc>
        <w:tc>
          <w:tcPr>
            <w:tcW w:w="11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5,116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5,742</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Total Equity and Other</w:t>
            </w:r>
          </w:p>
        </w:tc>
        <w:tc>
          <w:tcPr>
            <w:tcW w:w="30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200" w:type="dxa"/>
            <w:vAlign w:val="bottom"/>
            <w:vMerge w:val="continue"/>
            <w:shd w:val="clear" w:color="auto" w:fill="CFF0FC"/>
          </w:tcPr>
          <w:p>
            <w:pPr>
              <w:spacing w:after="0"/>
              <w:rPr>
                <w:sz w:val="11"/>
                <w:szCs w:val="11"/>
                <w:color w:val="auto"/>
              </w:rPr>
            </w:pPr>
          </w:p>
        </w:tc>
        <w:tc>
          <w:tcPr>
            <w:tcW w:w="304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108,810</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156,182</w:t>
            </w:r>
          </w:p>
        </w:tc>
        <w:tc>
          <w:tcPr>
            <w:tcW w:w="2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12.2%</w:t>
            </w:r>
          </w:p>
        </w:tc>
        <w:tc>
          <w:tcPr>
            <w:tcW w:w="0" w:type="dxa"/>
            <w:vAlign w:val="bottom"/>
          </w:tcPr>
          <w:p>
            <w:pPr>
              <w:spacing w:after="0"/>
              <w:rPr>
                <w:sz w:val="1"/>
                <w:szCs w:val="1"/>
                <w:color w:val="auto"/>
              </w:rPr>
            </w:pPr>
          </w:p>
        </w:tc>
      </w:tr>
      <w:tr>
        <w:trPr>
          <w:trHeight w:val="151"/>
        </w:trPr>
        <w:tc>
          <w:tcPr>
            <w:tcW w:w="2200" w:type="dxa"/>
            <w:vAlign w:val="bottom"/>
            <w:shd w:val="clear" w:color="auto" w:fill="CFF0FC"/>
          </w:tcPr>
          <w:p>
            <w:pPr>
              <w:ind w:left="80"/>
              <w:spacing w:after="0"/>
              <w:rPr>
                <w:sz w:val="20"/>
                <w:szCs w:val="20"/>
                <w:color w:val="auto"/>
              </w:rPr>
            </w:pPr>
            <w:r>
              <w:rPr>
                <w:rFonts w:ascii="Arial" w:cs="Arial" w:eastAsia="Arial" w:hAnsi="Arial"/>
                <w:sz w:val="11"/>
                <w:szCs w:val="11"/>
                <w:b w:val="1"/>
                <w:bCs w:val="1"/>
                <w:color w:val="auto"/>
              </w:rPr>
              <w:t>Investments</w:t>
            </w:r>
          </w:p>
        </w:tc>
        <w:tc>
          <w:tcPr>
            <w:tcW w:w="304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200" w:type="dxa"/>
            <w:vAlign w:val="bottom"/>
          </w:tcPr>
          <w:p>
            <w:pPr>
              <w:spacing w:after="0"/>
              <w:rPr>
                <w:sz w:val="20"/>
                <w:szCs w:val="20"/>
                <w:color w:val="auto"/>
              </w:rPr>
            </w:pPr>
            <w:r>
              <w:rPr>
                <w:rFonts w:ascii="Arial" w:cs="Arial" w:eastAsia="Arial" w:hAnsi="Arial"/>
                <w:sz w:val="11"/>
                <w:szCs w:val="11"/>
                <w:b w:val="1"/>
                <w:bCs w:val="1"/>
                <w:color w:val="auto"/>
              </w:rPr>
              <w:t>Total Investments</w:t>
            </w:r>
          </w:p>
        </w:tc>
        <w:tc>
          <w:tcPr>
            <w:tcW w:w="30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2,366,030</w:t>
            </w:r>
          </w:p>
        </w:tc>
        <w:tc>
          <w:tcPr>
            <w:tcW w:w="220" w:type="dxa"/>
            <w:vAlign w:val="bottom"/>
          </w:tcPr>
          <w:p>
            <w:pPr>
              <w:spacing w:after="0"/>
              <w:rPr>
                <w:sz w:val="12"/>
                <w:szCs w:val="12"/>
                <w:color w:val="auto"/>
              </w:rPr>
            </w:pPr>
          </w:p>
        </w:tc>
        <w:tc>
          <w:tcPr>
            <w:tcW w:w="120" w:type="dxa"/>
            <w:vAlign w:val="bottom"/>
          </w:tcPr>
          <w:p>
            <w:pPr>
              <w:jc w:val="right"/>
              <w:ind w:right="57"/>
              <w:spacing w:after="0"/>
              <w:rPr>
                <w:sz w:val="20"/>
                <w:szCs w:val="20"/>
                <w:color w:val="auto"/>
              </w:rPr>
            </w:pPr>
            <w:r>
              <w:rPr>
                <w:rFonts w:ascii="Arial" w:cs="Arial" w:eastAsia="Arial" w:hAnsi="Arial"/>
                <w:sz w:val="5"/>
                <w:szCs w:val="5"/>
                <w:b w:val="1"/>
                <w:bCs w:val="1"/>
                <w:color w:val="auto"/>
                <w:w w:val="70"/>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2,451,859</w:t>
            </w:r>
          </w:p>
        </w:tc>
        <w:tc>
          <w:tcPr>
            <w:tcW w:w="200" w:type="dxa"/>
            <w:vAlign w:val="bottom"/>
          </w:tcPr>
          <w:p>
            <w:pPr>
              <w:spacing w:after="0"/>
              <w:rPr>
                <w:sz w:val="12"/>
                <w:szCs w:val="12"/>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b w:val="1"/>
                <w:bCs w:val="1"/>
                <w:color w:val="auto"/>
              </w:rPr>
              <w:t>191.0%</w:t>
            </w:r>
          </w:p>
        </w:tc>
        <w:tc>
          <w:tcPr>
            <w:tcW w:w="0" w:type="dxa"/>
            <w:vAlign w:val="bottom"/>
          </w:tcPr>
          <w:p>
            <w:pPr>
              <w:spacing w:after="0"/>
              <w:rPr>
                <w:sz w:val="1"/>
                <w:szCs w:val="1"/>
                <w:color w:val="auto"/>
              </w:rPr>
            </w:pPr>
          </w:p>
        </w:tc>
      </w:tr>
      <w:tr>
        <w:trPr>
          <w:trHeight w:val="30"/>
        </w:trPr>
        <w:tc>
          <w:tcPr>
            <w:tcW w:w="2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15" w:right="29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6"/>
          </w:tcPr>
          <w:p>
            <w:pPr>
              <w:jc w:val="center"/>
              <w:ind w:left="799"/>
              <w:spacing w:after="0"/>
              <w:rPr>
                <w:sz w:val="20"/>
                <w:szCs w:val="20"/>
                <w:color w:val="auto"/>
              </w:rPr>
            </w:pPr>
            <w:r>
              <w:rPr>
                <w:rFonts w:ascii="Arial" w:cs="Arial" w:eastAsia="Arial" w:hAnsi="Arial"/>
                <w:sz w:val="10"/>
                <w:szCs w:val="10"/>
                <w:b w:val="1"/>
                <w:bCs w:val="1"/>
                <w:color w:val="auto"/>
                <w:w w:val="91"/>
              </w:rPr>
              <w:t>Interest Rate Swaps as of March 31, 2022</w:t>
            </w: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gridSpan w:val="2"/>
          </w:tcPr>
          <w:p>
            <w:pPr>
              <w:jc w:val="center"/>
              <w:ind w:right="400"/>
              <w:spacing w:after="0" w:line="97" w:lineRule="exact"/>
              <w:rPr>
                <w:sz w:val="20"/>
                <w:szCs w:val="20"/>
                <w:color w:val="auto"/>
              </w:rPr>
            </w:pPr>
            <w:r>
              <w:rPr>
                <w:rFonts w:ascii="Arial" w:cs="Arial" w:eastAsia="Arial" w:hAnsi="Arial"/>
                <w:sz w:val="10"/>
                <w:szCs w:val="10"/>
                <w:b w:val="1"/>
                <w:bCs w:val="1"/>
                <w:color w:val="auto"/>
                <w:w w:val="97"/>
              </w:rPr>
              <w:t>Fair</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tcPr>
          <w:p>
            <w:pPr>
              <w:jc w:val="center"/>
              <w:ind w:right="420"/>
              <w:spacing w:after="0" w:line="97" w:lineRule="exact"/>
              <w:rPr>
                <w:sz w:val="20"/>
                <w:szCs w:val="20"/>
                <w:color w:val="auto"/>
              </w:rPr>
            </w:pPr>
            <w:r>
              <w:rPr>
                <w:rFonts w:ascii="Arial" w:cs="Arial" w:eastAsia="Arial" w:hAnsi="Arial"/>
                <w:sz w:val="10"/>
                <w:szCs w:val="10"/>
                <w:b w:val="1"/>
                <w:bCs w:val="1"/>
                <w:color w:val="auto"/>
                <w:w w:val="94"/>
              </w:rPr>
              <w:t>Upfront</w:t>
            </w:r>
          </w:p>
        </w:tc>
        <w:tc>
          <w:tcPr>
            <w:tcW w:w="140" w:type="dxa"/>
            <w:vAlign w:val="bottom"/>
          </w:tcPr>
          <w:p>
            <w:pPr>
              <w:spacing w:after="0"/>
              <w:rPr>
                <w:sz w:val="8"/>
                <w:szCs w:val="8"/>
                <w:color w:val="auto"/>
              </w:rPr>
            </w:pPr>
          </w:p>
        </w:tc>
        <w:tc>
          <w:tcPr>
            <w:tcW w:w="960" w:type="dxa"/>
            <w:vAlign w:val="bottom"/>
          </w:tcPr>
          <w:p>
            <w:pPr>
              <w:jc w:val="center"/>
              <w:ind w:right="59"/>
              <w:spacing w:after="0" w:line="97" w:lineRule="exact"/>
              <w:rPr>
                <w:sz w:val="20"/>
                <w:szCs w:val="20"/>
                <w:color w:val="auto"/>
              </w:rPr>
            </w:pPr>
            <w:r>
              <w:rPr>
                <w:rFonts w:ascii="Arial" w:cs="Arial" w:eastAsia="Arial" w:hAnsi="Arial"/>
                <w:sz w:val="10"/>
                <w:szCs w:val="10"/>
                <w:b w:val="1"/>
                <w:bCs w:val="1"/>
                <w:color w:val="auto"/>
                <w:w w:val="90"/>
              </w:rPr>
              <w:t>Change in</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40" w:type="dxa"/>
            <w:vAlign w:val="bottom"/>
          </w:tcPr>
          <w:p>
            <w:pPr>
              <w:spacing w:after="0"/>
              <w:rPr>
                <w:sz w:val="9"/>
                <w:szCs w:val="9"/>
                <w:color w:val="auto"/>
              </w:rPr>
            </w:pPr>
          </w:p>
        </w:tc>
        <w:tc>
          <w:tcPr>
            <w:tcW w:w="1300" w:type="dxa"/>
            <w:vAlign w:val="bottom"/>
            <w:gridSpan w:val="2"/>
          </w:tcPr>
          <w:p>
            <w:pPr>
              <w:jc w:val="center"/>
              <w:ind w:right="240"/>
              <w:spacing w:after="0" w:line="104" w:lineRule="exact"/>
              <w:rPr>
                <w:sz w:val="20"/>
                <w:szCs w:val="20"/>
                <w:color w:val="auto"/>
              </w:rPr>
            </w:pPr>
            <w:r>
              <w:rPr>
                <w:rFonts w:ascii="Arial" w:cs="Arial" w:eastAsia="Arial" w:hAnsi="Arial"/>
                <w:sz w:val="10"/>
                <w:szCs w:val="10"/>
                <w:b w:val="1"/>
                <w:bCs w:val="1"/>
                <w:color w:val="auto"/>
                <w:w w:val="92"/>
              </w:rPr>
              <w:t>Company</w:t>
            </w:r>
          </w:p>
        </w:tc>
        <w:tc>
          <w:tcPr>
            <w:tcW w:w="132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92"/>
              </w:rPr>
              <w:t>Company</w:t>
            </w: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jc w:val="center"/>
              <w:ind w:right="460"/>
              <w:spacing w:after="0" w:line="104" w:lineRule="exact"/>
              <w:rPr>
                <w:sz w:val="20"/>
                <w:szCs w:val="20"/>
                <w:color w:val="auto"/>
              </w:rPr>
            </w:pPr>
            <w:r>
              <w:rPr>
                <w:rFonts w:ascii="Arial" w:cs="Arial" w:eastAsia="Arial" w:hAnsi="Arial"/>
                <w:sz w:val="10"/>
                <w:szCs w:val="10"/>
                <w:b w:val="1"/>
                <w:bCs w:val="1"/>
                <w:color w:val="auto"/>
                <w:w w:val="89"/>
              </w:rPr>
              <w:t>Notional</w:t>
            </w:r>
          </w:p>
        </w:tc>
        <w:tc>
          <w:tcPr>
            <w:tcW w:w="260" w:type="dxa"/>
            <w:vAlign w:val="bottom"/>
          </w:tcPr>
          <w:p>
            <w:pPr>
              <w:spacing w:after="0"/>
              <w:rPr>
                <w:sz w:val="9"/>
                <w:szCs w:val="9"/>
                <w:color w:val="auto"/>
              </w:rPr>
            </w:pPr>
          </w:p>
        </w:tc>
        <w:tc>
          <w:tcPr>
            <w:tcW w:w="980" w:type="dxa"/>
            <w:vAlign w:val="bottom"/>
            <w:gridSpan w:val="2"/>
          </w:tcPr>
          <w:p>
            <w:pPr>
              <w:jc w:val="center"/>
              <w:ind w:right="420"/>
              <w:spacing w:after="0" w:line="104" w:lineRule="exact"/>
              <w:rPr>
                <w:sz w:val="20"/>
                <w:szCs w:val="20"/>
                <w:color w:val="auto"/>
              </w:rPr>
            </w:pPr>
            <w:r>
              <w:rPr>
                <w:rFonts w:ascii="Arial" w:cs="Arial" w:eastAsia="Arial" w:hAnsi="Arial"/>
                <w:sz w:val="10"/>
                <w:szCs w:val="10"/>
                <w:b w:val="1"/>
                <w:bCs w:val="1"/>
                <w:color w:val="auto"/>
                <w:w w:val="99"/>
              </w:rPr>
              <w:t>Market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jc w:val="center"/>
              <w:ind w:right="420"/>
              <w:spacing w:after="0" w:line="104" w:lineRule="exact"/>
              <w:rPr>
                <w:sz w:val="20"/>
                <w:szCs w:val="20"/>
                <w:color w:val="auto"/>
              </w:rPr>
            </w:pPr>
            <w:r>
              <w:rPr>
                <w:rFonts w:ascii="Arial" w:cs="Arial" w:eastAsia="Arial" w:hAnsi="Arial"/>
                <w:sz w:val="10"/>
                <w:szCs w:val="10"/>
                <w:b w:val="1"/>
                <w:bCs w:val="1"/>
                <w:color w:val="auto"/>
                <w:w w:val="90"/>
              </w:rPr>
              <w:t>(Payments) /</w:t>
            </w:r>
          </w:p>
        </w:tc>
        <w:tc>
          <w:tcPr>
            <w:tcW w:w="140" w:type="dxa"/>
            <w:vAlign w:val="bottom"/>
          </w:tcPr>
          <w:p>
            <w:pPr>
              <w:spacing w:after="0"/>
              <w:rPr>
                <w:sz w:val="9"/>
                <w:szCs w:val="9"/>
                <w:color w:val="auto"/>
              </w:rPr>
            </w:pPr>
          </w:p>
        </w:tc>
        <w:tc>
          <w:tcPr>
            <w:tcW w:w="108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90"/>
              </w:rPr>
              <w:t>Unrealized</w:t>
            </w:r>
          </w:p>
        </w:tc>
        <w:tc>
          <w:tcPr>
            <w:tcW w:w="0" w:type="dxa"/>
            <w:vAlign w:val="bottom"/>
          </w:tcPr>
          <w:p>
            <w:pPr>
              <w:spacing w:after="0"/>
              <w:rPr>
                <w:sz w:val="1"/>
                <w:szCs w:val="1"/>
                <w:color w:val="auto"/>
              </w:rPr>
            </w:pPr>
          </w:p>
        </w:tc>
      </w:tr>
      <w:tr>
        <w:trPr>
          <w:trHeight w:val="119"/>
        </w:trPr>
        <w:tc>
          <w:tcPr>
            <w:tcW w:w="2140" w:type="dxa"/>
            <w:vAlign w:val="bottom"/>
            <w:tcBorders>
              <w:bottom w:val="single" w:sz="8" w:color="CFF0FC"/>
            </w:tcBorders>
          </w:tcPr>
          <w:p>
            <w:pPr>
              <w:spacing w:after="0"/>
              <w:rPr>
                <w:sz w:val="10"/>
                <w:szCs w:val="1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Receives</w:t>
            </w:r>
          </w:p>
        </w:tc>
        <w:tc>
          <w:tcPr>
            <w:tcW w:w="240" w:type="dxa"/>
            <w:vAlign w:val="bottom"/>
            <w:tcBorders>
              <w:bottom w:val="single" w:sz="8" w:color="CFF0FC"/>
            </w:tcBorders>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Pays</w:t>
            </w:r>
          </w:p>
        </w:tc>
        <w:tc>
          <w:tcPr>
            <w:tcW w:w="240" w:type="dxa"/>
            <w:vAlign w:val="bottom"/>
            <w:tcBorders>
              <w:bottom w:val="single" w:sz="8" w:color="CFF0FC"/>
            </w:tcBorders>
          </w:tcPr>
          <w:p>
            <w:pPr>
              <w:spacing w:after="0"/>
              <w:rPr>
                <w:sz w:val="10"/>
                <w:szCs w:val="10"/>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Maturity Date</w:t>
            </w:r>
          </w:p>
        </w:tc>
        <w:tc>
          <w:tcPr>
            <w:tcW w:w="12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58"/>
              <w:spacing w:after="0"/>
              <w:rPr>
                <w:sz w:val="20"/>
                <w:szCs w:val="20"/>
                <w:color w:val="auto"/>
              </w:rPr>
            </w:pPr>
            <w:r>
              <w:rPr>
                <w:rFonts w:ascii="Arial" w:cs="Arial" w:eastAsia="Arial" w:hAnsi="Arial"/>
                <w:sz w:val="10"/>
                <w:szCs w:val="10"/>
                <w:b w:val="1"/>
                <w:bCs w:val="1"/>
                <w:color w:val="auto"/>
                <w:w w:val="95"/>
              </w:rPr>
              <w:t>Amount</w:t>
            </w:r>
          </w:p>
        </w:tc>
        <w:tc>
          <w:tcPr>
            <w:tcW w:w="24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219"/>
              <w:spacing w:after="0"/>
              <w:rPr>
                <w:sz w:val="20"/>
                <w:szCs w:val="20"/>
                <w:color w:val="auto"/>
              </w:rPr>
            </w:pPr>
            <w:r>
              <w:rPr>
                <w:rFonts w:ascii="Arial" w:cs="Arial" w:eastAsia="Arial" w:hAnsi="Arial"/>
                <w:sz w:val="10"/>
                <w:szCs w:val="10"/>
                <w:b w:val="1"/>
                <w:bCs w:val="1"/>
                <w:color w:val="auto"/>
                <w:w w:val="89"/>
              </w:rPr>
              <w:t>Value</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86"/>
              </w:rPr>
              <w:t>Receipts</w:t>
            </w:r>
          </w:p>
        </w:tc>
        <w:tc>
          <w:tcPr>
            <w:tcW w:w="2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0"/>
                <w:szCs w:val="10"/>
                <w:b w:val="1"/>
                <w:bCs w:val="1"/>
                <w:color w:val="auto"/>
                <w:w w:val="85"/>
              </w:rPr>
              <w:t>Gains / (Losses)</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L + 2.37%</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8/1/2022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L + 1.59%</w:t>
            </w:r>
          </w:p>
        </w:tc>
        <w:tc>
          <w:tcPr>
            <w:tcW w:w="1220" w:type="dxa"/>
            <w:vAlign w:val="bottom"/>
          </w:tcPr>
          <w:p>
            <w:pPr>
              <w:jc w:val="right"/>
              <w:spacing w:after="0"/>
              <w:rPr>
                <w:sz w:val="20"/>
                <w:szCs w:val="20"/>
                <w:color w:val="auto"/>
              </w:rPr>
            </w:pPr>
            <w:r>
              <w:rPr>
                <w:rFonts w:ascii="Arial" w:cs="Arial" w:eastAsia="Arial" w:hAnsi="Arial"/>
                <w:sz w:val="13"/>
                <w:szCs w:val="13"/>
                <w:color w:val="auto"/>
              </w:rPr>
              <w:t>8/1/2022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L + 1.60%</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8/1/2022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L + 2.11%</w:t>
            </w: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27,531</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1,252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30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91"/>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8/1/2022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L + 2.11%</w:t>
            </w: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8/1/2022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42,819</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(181)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L + 1.99%</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1/22/2023</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902</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(2,159)</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(a)(e)</w:t>
            </w:r>
          </w:p>
        </w:tc>
        <w:tc>
          <w:tcPr>
            <w:tcW w:w="130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L + 2.28%</w:t>
            </w:r>
          </w:p>
        </w:tc>
        <w:tc>
          <w:tcPr>
            <w:tcW w:w="1080" w:type="dxa"/>
            <w:vAlign w:val="bottom"/>
          </w:tcPr>
          <w:p>
            <w:pPr>
              <w:jc w:val="center"/>
              <w:spacing w:after="0"/>
              <w:rPr>
                <w:sz w:val="20"/>
                <w:szCs w:val="20"/>
                <w:color w:val="auto"/>
              </w:rPr>
            </w:pPr>
            <w:r>
              <w:rPr>
                <w:rFonts w:ascii="Arial" w:cs="Arial" w:eastAsia="Arial" w:hAnsi="Arial"/>
                <w:sz w:val="13"/>
                <w:szCs w:val="13"/>
                <w:color w:val="auto"/>
                <w:w w:val="90"/>
              </w:rPr>
              <w:t>3.875%</w:t>
            </w:r>
          </w:p>
        </w:tc>
        <w:tc>
          <w:tcPr>
            <w:tcW w:w="2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11/1/2024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128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(a)(b)</w:t>
            </w:r>
          </w:p>
        </w:tc>
        <w:tc>
          <w:tcPr>
            <w:tcW w:w="1300" w:type="dxa"/>
            <w:vAlign w:val="bottom"/>
            <w:gridSpan w:val="2"/>
            <w:shd w:val="clear" w:color="auto" w:fill="CFF0FC"/>
          </w:tcPr>
          <w:p>
            <w:pPr>
              <w:jc w:val="center"/>
              <w:ind w:right="260"/>
              <w:spacing w:after="0"/>
              <w:rPr>
                <w:sz w:val="20"/>
                <w:szCs w:val="20"/>
                <w:color w:val="auto"/>
              </w:rPr>
            </w:pPr>
            <w:r>
              <w:rPr>
                <w:rFonts w:ascii="Arial" w:cs="Arial" w:eastAsia="Arial" w:hAnsi="Arial"/>
                <w:sz w:val="13"/>
                <w:szCs w:val="13"/>
                <w:color w:val="auto"/>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0.16%</w:t>
            </w: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7/30/2022</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397,510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2,380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(2,943)</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(a)(c)(d)</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3.875%</w:t>
            </w:r>
          </w:p>
        </w:tc>
        <w:tc>
          <w:tcPr>
            <w:tcW w:w="2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L + 2.25%</w:t>
            </w:r>
          </w:p>
        </w:tc>
        <w:tc>
          <w:tcPr>
            <w:tcW w:w="1220" w:type="dxa"/>
            <w:vAlign w:val="bottom"/>
          </w:tcPr>
          <w:p>
            <w:pPr>
              <w:jc w:val="right"/>
              <w:spacing w:after="0"/>
              <w:rPr>
                <w:sz w:val="20"/>
                <w:szCs w:val="20"/>
                <w:color w:val="auto"/>
              </w:rPr>
            </w:pPr>
            <w:r>
              <w:rPr>
                <w:rFonts w:ascii="Arial" w:cs="Arial" w:eastAsia="Arial" w:hAnsi="Arial"/>
                <w:sz w:val="13"/>
                <w:szCs w:val="13"/>
                <w:color w:val="auto"/>
              </w:rPr>
              <w:t>11/1/2024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(7,330)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(11,326)</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(a)(c)(d)</w:t>
            </w:r>
          </w:p>
        </w:tc>
        <w:tc>
          <w:tcPr>
            <w:tcW w:w="106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3.875%</w:t>
            </w:r>
          </w:p>
        </w:tc>
        <w:tc>
          <w:tcPr>
            <w:tcW w:w="24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8"/>
              </w:rPr>
              <w:t>L + 2.46%</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11/1/2024</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(1,488)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(1,865)</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(a)(c)</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2.50%</w:t>
            </w:r>
          </w:p>
        </w:tc>
        <w:tc>
          <w:tcPr>
            <w:tcW w:w="2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color w:val="auto"/>
                <w:w w:val="88"/>
              </w:rPr>
              <w:t>L + 1.91%</w:t>
            </w:r>
          </w:p>
        </w:tc>
        <w:tc>
          <w:tcPr>
            <w:tcW w:w="1220" w:type="dxa"/>
            <w:vAlign w:val="bottom"/>
          </w:tcPr>
          <w:p>
            <w:pPr>
              <w:jc w:val="right"/>
              <w:spacing w:after="0"/>
              <w:rPr>
                <w:sz w:val="20"/>
                <w:szCs w:val="20"/>
                <w:color w:val="auto"/>
              </w:rPr>
            </w:pPr>
            <w:r>
              <w:rPr>
                <w:rFonts w:ascii="Arial" w:cs="Arial" w:eastAsia="Arial" w:hAnsi="Arial"/>
                <w:sz w:val="13"/>
                <w:szCs w:val="13"/>
                <w:color w:val="auto"/>
              </w:rPr>
              <w:t>8/1/2026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(24,221)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3"/>
                <w:szCs w:val="13"/>
                <w:color w:val="auto"/>
              </w:rPr>
              <w:t>(13,982)</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w:t>
            </w: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40" w:type="dxa"/>
            <w:vAlign w:val="bottom"/>
            <w:vMerge w:val="continue"/>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650,000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(33,039)</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(27,173)</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Cash collateral</w:t>
            </w: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35,520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Total derivatives</w:t>
            </w:r>
          </w:p>
        </w:tc>
        <w:tc>
          <w:tcPr>
            <w:tcW w:w="10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40" w:type="dxa"/>
            <w:vAlign w:val="bottom"/>
            <w:vMerge w:val="continue"/>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1,047,510</w:t>
            </w: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(30,116)</w:t>
            </w:r>
          </w:p>
        </w:tc>
        <w:tc>
          <w:tcPr>
            <w:tcW w:w="0" w:type="dxa"/>
            <w:vAlign w:val="bottom"/>
          </w:tcPr>
          <w:p>
            <w:pPr>
              <w:spacing w:after="0"/>
              <w:rPr>
                <w:sz w:val="1"/>
                <w:szCs w:val="1"/>
                <w:color w:val="auto"/>
              </w:rPr>
            </w:pPr>
          </w:p>
        </w:tc>
      </w:tr>
      <w:tr>
        <w:trPr>
          <w:trHeight w:val="28"/>
        </w:trPr>
        <w:tc>
          <w:tcPr>
            <w:tcW w:w="21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024" w:hanging="514"/>
        <w:spacing w:after="0"/>
        <w:tabs>
          <w:tab w:leader="none" w:pos="1024" w:val="left"/>
        </w:tabs>
        <w:numPr>
          <w:ilvl w:val="1"/>
          <w:numId w:val="4"/>
        </w:numPr>
        <w:rPr>
          <w:rFonts w:ascii="Arial" w:cs="Arial" w:eastAsia="Arial" w:hAnsi="Arial"/>
          <w:sz w:val="13"/>
          <w:szCs w:val="13"/>
          <w:color w:val="auto"/>
        </w:rPr>
      </w:pPr>
      <w:r>
        <w:rPr>
          <w:rFonts w:ascii="Arial" w:cs="Arial" w:eastAsia="Arial" w:hAnsi="Arial"/>
          <w:sz w:val="13"/>
          <w:szCs w:val="13"/>
          <w:color w:val="auto"/>
        </w:rPr>
        <w:t>Contains a variable rate structure. Bears interest at a rate determined by three-month LIBOR.</w:t>
      </w:r>
    </w:p>
    <w:p>
      <w:pPr>
        <w:spacing w:after="0" w:line="10" w:lineRule="exact"/>
        <w:rPr>
          <w:rFonts w:ascii="Arial" w:cs="Arial" w:eastAsia="Arial" w:hAnsi="Arial"/>
          <w:sz w:val="13"/>
          <w:szCs w:val="13"/>
          <w:color w:val="auto"/>
        </w:rPr>
      </w:pPr>
    </w:p>
    <w:p>
      <w:pPr>
        <w:ind w:left="1024" w:hanging="514"/>
        <w:spacing w:after="0"/>
        <w:tabs>
          <w:tab w:leader="none" w:pos="1024" w:val="left"/>
        </w:tabs>
        <w:numPr>
          <w:ilvl w:val="1"/>
          <w:numId w:val="4"/>
        </w:numPr>
        <w:rPr>
          <w:rFonts w:ascii="Arial" w:cs="Arial" w:eastAsia="Arial" w:hAnsi="Arial"/>
          <w:sz w:val="13"/>
          <w:szCs w:val="13"/>
          <w:color w:val="auto"/>
        </w:rPr>
      </w:pPr>
      <w:r>
        <w:rPr>
          <w:rFonts w:ascii="Arial" w:cs="Arial" w:eastAsia="Arial" w:hAnsi="Arial"/>
          <w:sz w:val="13"/>
          <w:szCs w:val="13"/>
          <w:color w:val="auto"/>
        </w:rPr>
        <w:t>Interest rate swap was terminated or matured during the period.</w:t>
      </w:r>
    </w:p>
    <w:p>
      <w:pPr>
        <w:spacing w:after="0" w:line="1" w:lineRule="exact"/>
        <w:rPr>
          <w:rFonts w:ascii="Arial" w:cs="Arial" w:eastAsia="Arial" w:hAnsi="Arial"/>
          <w:sz w:val="13"/>
          <w:szCs w:val="13"/>
          <w:color w:val="auto"/>
        </w:rPr>
      </w:pPr>
    </w:p>
    <w:p>
      <w:pPr>
        <w:ind w:left="1024" w:hanging="514"/>
        <w:spacing w:after="0"/>
        <w:tabs>
          <w:tab w:leader="none" w:pos="1024" w:val="left"/>
        </w:tabs>
        <w:numPr>
          <w:ilvl w:val="1"/>
          <w:numId w:val="4"/>
        </w:numPr>
        <w:rPr>
          <w:rFonts w:ascii="Arial" w:cs="Arial" w:eastAsia="Arial" w:hAnsi="Arial"/>
          <w:sz w:val="12"/>
          <w:szCs w:val="12"/>
          <w:color w:val="auto"/>
        </w:rPr>
      </w:pPr>
      <w:r>
        <w:rPr>
          <w:rFonts w:ascii="Arial" w:cs="Arial" w:eastAsia="Arial" w:hAnsi="Arial"/>
          <w:sz w:val="12"/>
          <w:szCs w:val="12"/>
          <w:color w:val="auto"/>
        </w:rPr>
        <w:t>Instrument is used in a hedge accounting relationship. The associated change in fair value is recorded along with the change in fair value of the hedged item within interest expense.</w:t>
      </w:r>
    </w:p>
    <w:p>
      <w:pPr>
        <w:spacing w:after="0" w:line="13" w:lineRule="exact"/>
        <w:rPr>
          <w:rFonts w:ascii="Arial" w:cs="Arial" w:eastAsia="Arial" w:hAnsi="Arial"/>
          <w:sz w:val="12"/>
          <w:szCs w:val="12"/>
          <w:color w:val="auto"/>
        </w:rPr>
      </w:pPr>
    </w:p>
    <w:p>
      <w:pPr>
        <w:ind w:left="1024" w:right="100" w:hanging="514"/>
        <w:spacing w:after="0" w:line="242" w:lineRule="auto"/>
        <w:tabs>
          <w:tab w:leader="none" w:pos="1024" w:val="left"/>
        </w:tabs>
        <w:numPr>
          <w:ilvl w:val="1"/>
          <w:numId w:val="4"/>
        </w:numPr>
        <w:rPr>
          <w:rFonts w:ascii="Arial" w:cs="Arial" w:eastAsia="Arial" w:hAnsi="Arial"/>
          <w:sz w:val="13"/>
          <w:szCs w:val="13"/>
          <w:color w:val="auto"/>
        </w:rPr>
      </w:pPr>
      <w:r>
        <w:rPr>
          <w:rFonts w:ascii="Arial" w:cs="Arial" w:eastAsia="Arial" w:hAnsi="Arial"/>
          <w:sz w:val="13"/>
          <w:szCs w:val="13"/>
          <w:color w:val="auto"/>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Arial" w:cs="Arial" w:eastAsia="Arial" w:hAnsi="Arial"/>
          <w:sz w:val="13"/>
          <w:szCs w:val="13"/>
          <w:color w:val="auto"/>
        </w:rPr>
      </w:pPr>
    </w:p>
    <w:p>
      <w:pPr>
        <w:ind w:left="1024" w:hanging="514"/>
        <w:spacing w:after="0"/>
        <w:tabs>
          <w:tab w:leader="none" w:pos="1024"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fair market value of this instrument is presented net with the $2.5 million in aggregate notional value of instruments no longer designated as instruments in a hedge accounting relationship.</w:t>
      </w:r>
    </w:p>
    <w:p>
      <w:pPr>
        <w:spacing w:after="0" w:line="79" w:lineRule="exact"/>
        <w:rPr>
          <w:rFonts w:ascii="Arial" w:cs="Arial" w:eastAsia="Arial" w:hAnsi="Arial"/>
          <w:sz w:val="12"/>
          <w:szCs w:val="12"/>
          <w:color w:val="auto"/>
        </w:rPr>
      </w:pPr>
    </w:p>
    <w:p>
      <w:pPr>
        <w:ind w:left="504" w:hanging="504"/>
        <w:spacing w:after="0"/>
        <w:tabs>
          <w:tab w:leader="none" w:pos="504" w:val="left"/>
        </w:tabs>
        <w:numPr>
          <w:ilvl w:val="0"/>
          <w:numId w:val="5"/>
        </w:numPr>
        <w:rPr>
          <w:rFonts w:ascii="Arial" w:cs="Arial" w:eastAsia="Arial" w:hAnsi="Arial"/>
          <w:sz w:val="13"/>
          <w:szCs w:val="13"/>
          <w:color w:val="auto"/>
        </w:rPr>
      </w:pPr>
      <w:r>
        <w:rPr>
          <w:rFonts w:ascii="Arial" w:cs="Arial" w:eastAsia="Arial" w:hAnsi="Arial"/>
          <w:sz w:val="13"/>
          <w:szCs w:val="13"/>
          <w:color w:val="auto"/>
        </w:rPr>
        <w:t>Certain portfolio company investments are subject to contractual restrictions on sales.</w:t>
      </w:r>
    </w:p>
    <w:p>
      <w:pPr>
        <w:spacing w:after="0" w:line="10" w:lineRule="exact"/>
        <w:rPr>
          <w:rFonts w:ascii="Arial" w:cs="Arial" w:eastAsia="Arial" w:hAnsi="Arial"/>
          <w:sz w:val="13"/>
          <w:szCs w:val="13"/>
          <w:color w:val="auto"/>
        </w:rPr>
      </w:pPr>
    </w:p>
    <w:p>
      <w:pPr>
        <w:ind w:left="504" w:hanging="504"/>
        <w:spacing w:after="0"/>
        <w:tabs>
          <w:tab w:leader="none" w:pos="504"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3"/>
          <w:szCs w:val="13"/>
          <w:color w:val="auto"/>
        </w:rPr>
      </w:pPr>
    </w:p>
    <w:p>
      <w:pPr>
        <w:ind w:left="504" w:right="20" w:hanging="504"/>
        <w:spacing w:after="0" w:line="242" w:lineRule="auto"/>
        <w:tabs>
          <w:tab w:leader="none" w:pos="504" w:val="left"/>
        </w:tabs>
        <w:numPr>
          <w:ilvl w:val="0"/>
          <w:numId w:val="5"/>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Bank Bill Swap Bid Rate (“BBSY” or “B”), Sterling Overnight Interbank Average Rate (“SONIA” or “S”) or an alternate base rate (which can include the Federal Funds Effective Rate or the Prime Rate or “P”), all of which can include one-, two-, three- or six-month tenor, at the borrower’s option, which reset periodically based on the terms of the credit agreement. For investments with multiple interest rate contracts, the interest rate shown is the weighted average interest rate in effect at March 31, 2022.</w:t>
      </w:r>
    </w:p>
    <w:p>
      <w:pPr>
        <w:spacing w:after="0" w:line="2" w:lineRule="exact"/>
        <w:rPr>
          <w:rFonts w:ascii="Arial" w:cs="Arial" w:eastAsia="Arial" w:hAnsi="Arial"/>
          <w:sz w:val="13"/>
          <w:szCs w:val="13"/>
          <w:color w:val="auto"/>
        </w:rPr>
      </w:pPr>
    </w:p>
    <w:p>
      <w:pPr>
        <w:ind w:left="504" w:right="120" w:hanging="504"/>
        <w:spacing w:after="0" w:line="263" w:lineRule="auto"/>
        <w:tabs>
          <w:tab w:leader="none" w:pos="504"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13.2% of total assets as of March 31, 2022.</w:t>
      </w:r>
    </w:p>
    <w:p>
      <w:pPr>
        <w:ind w:left="504" w:right="220" w:hanging="504"/>
        <w:spacing w:after="0" w:line="242" w:lineRule="auto"/>
        <w:tabs>
          <w:tab w:leader="none" w:pos="504"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3"/>
          <w:szCs w:val="13"/>
          <w:color w:val="auto"/>
        </w:rPr>
      </w:pPr>
    </w:p>
    <w:p>
      <w:pPr>
        <w:ind w:left="504" w:right="320" w:hanging="504"/>
        <w:spacing w:after="0" w:line="286" w:lineRule="auto"/>
        <w:tabs>
          <w:tab w:leader="none" w:pos="504" w:val="left"/>
        </w:tabs>
        <w:numPr>
          <w:ilvl w:val="0"/>
          <w:numId w:val="5"/>
        </w:numPr>
        <w:rPr>
          <w:rFonts w:ascii="Arial" w:cs="Arial" w:eastAsia="Arial" w:hAnsi="Arial"/>
          <w:sz w:val="12"/>
          <w:szCs w:val="12"/>
          <w:color w:val="auto"/>
        </w:rPr>
      </w:pPr>
      <w:r>
        <w:rPr>
          <w:rFonts w:ascii="Arial" w:cs="Arial" w:eastAsia="Arial" w:hAnsi="Arial"/>
          <w:sz w:val="12"/>
          <w:szCs w:val="12"/>
          <w:color w:val="auto"/>
        </w:rPr>
        <w:t>Under the 1940 Act, the Company is deemed to be an “Affiliated Person” of, as defined in the 1940 Act, a portfolio company, as the Company owns more than 5% of a portfolio company’s outstanding voting securities. Transactions during the three months ended March 31, 2022 in which the Company was an Affiliated Person of a portfolio company are as follows: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437" w:right="29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3"/>
          <w:szCs w:val="13"/>
          <w:b w:val="1"/>
          <w:bCs w:val="1"/>
          <w:u w:val="single" w:color="auto"/>
          <w:color w:val="auto"/>
        </w:rPr>
        <w:t>Non-controlled, Affiliated Investments during the three months ended March 31, 2022</w:t>
      </w:r>
    </w:p>
    <w:p>
      <w:pPr>
        <w:spacing w:after="0" w:line="102"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5"/>
              <w:spacing w:after="0"/>
              <w:rPr>
                <w:sz w:val="20"/>
                <w:szCs w:val="20"/>
                <w:color w:val="auto"/>
              </w:rPr>
            </w:pPr>
            <w:r>
              <w:rPr>
                <w:rFonts w:ascii="Arial" w:cs="Arial" w:eastAsia="Arial" w:hAnsi="Arial"/>
                <w:sz w:val="10"/>
                <w:szCs w:val="10"/>
                <w:b w:val="1"/>
                <w:bCs w:val="1"/>
                <w:color w:val="auto"/>
                <w:w w:val="97"/>
              </w:rPr>
              <w:t>Fair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rPr>
              <w:t>Fair</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4"/>
        </w:trPr>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25"/>
              <w:spacing w:after="0" w:line="104" w:lineRule="exact"/>
              <w:rPr>
                <w:sz w:val="20"/>
                <w:szCs w:val="20"/>
                <w:color w:val="auto"/>
              </w:rPr>
            </w:pPr>
            <w:r>
              <w:rPr>
                <w:rFonts w:ascii="Arial" w:cs="Arial" w:eastAsia="Arial" w:hAnsi="Arial"/>
                <w:sz w:val="10"/>
                <w:szCs w:val="10"/>
                <w:b w:val="1"/>
                <w:bCs w:val="1"/>
                <w:color w:val="auto"/>
                <w:w w:val="93"/>
              </w:rPr>
              <w:t>Value at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89"/>
              </w:rPr>
              <w:t>Net Change</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340"/>
              <w:spacing w:after="0" w:line="104" w:lineRule="exact"/>
              <w:rPr>
                <w:sz w:val="20"/>
                <w:szCs w:val="20"/>
                <w:color w:val="auto"/>
              </w:rPr>
            </w:pPr>
            <w:r>
              <w:rPr>
                <w:rFonts w:ascii="Arial" w:cs="Arial" w:eastAsia="Arial" w:hAnsi="Arial"/>
                <w:sz w:val="10"/>
                <w:szCs w:val="10"/>
                <w:b w:val="1"/>
                <w:bCs w:val="1"/>
                <w:color w:val="auto"/>
                <w:w w:val="93"/>
              </w:rPr>
              <w:t>Value at</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45"/>
              <w:spacing w:after="0" w:line="104" w:lineRule="exact"/>
              <w:rPr>
                <w:sz w:val="20"/>
                <w:szCs w:val="20"/>
                <w:color w:val="auto"/>
              </w:rPr>
            </w:pPr>
            <w:r>
              <w:rPr>
                <w:rFonts w:ascii="Arial" w:cs="Arial" w:eastAsia="Arial" w:hAnsi="Arial"/>
                <w:sz w:val="10"/>
                <w:szCs w:val="10"/>
                <w:b w:val="1"/>
                <w:bCs w:val="1"/>
                <w:color w:val="auto"/>
                <w:w w:val="89"/>
              </w:rPr>
              <w:t>December 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82"/>
              </w:rPr>
              <w:t>Gross</w:t>
            </w:r>
          </w:p>
        </w:tc>
        <w:tc>
          <w:tcPr>
            <w:tcW w:w="80" w:type="dxa"/>
            <w:vAlign w:val="bottom"/>
          </w:tcPr>
          <w:p>
            <w:pPr>
              <w:spacing w:after="0"/>
              <w:rPr>
                <w:sz w:val="9"/>
                <w:szCs w:val="9"/>
                <w:color w:val="auto"/>
              </w:rPr>
            </w:pPr>
          </w:p>
        </w:tc>
        <w:tc>
          <w:tcPr>
            <w:tcW w:w="94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82"/>
              </w:rPr>
              <w:t>Gross</w:t>
            </w:r>
          </w:p>
        </w:tc>
        <w:tc>
          <w:tcPr>
            <w:tcW w:w="140" w:type="dxa"/>
            <w:vAlign w:val="bottom"/>
          </w:tcPr>
          <w:p>
            <w:pPr>
              <w:spacing w:after="0"/>
              <w:rPr>
                <w:sz w:val="9"/>
                <w:szCs w:val="9"/>
                <w:color w:val="auto"/>
              </w:rPr>
            </w:pPr>
          </w:p>
        </w:tc>
        <w:tc>
          <w:tcPr>
            <w:tcW w:w="960" w:type="dxa"/>
            <w:vAlign w:val="bottom"/>
            <w:gridSpan w:val="2"/>
          </w:tcPr>
          <w:p>
            <w:pPr>
              <w:jc w:val="center"/>
              <w:ind w:right="260"/>
              <w:spacing w:after="0" w:line="104" w:lineRule="exact"/>
              <w:rPr>
                <w:sz w:val="20"/>
                <w:szCs w:val="20"/>
                <w:color w:val="auto"/>
              </w:rPr>
            </w:pPr>
            <w:r>
              <w:rPr>
                <w:rFonts w:ascii="Arial" w:cs="Arial" w:eastAsia="Arial" w:hAnsi="Arial"/>
                <w:sz w:val="10"/>
                <w:szCs w:val="10"/>
                <w:b w:val="1"/>
                <w:bCs w:val="1"/>
                <w:color w:val="auto"/>
                <w:w w:val="93"/>
              </w:rPr>
              <w:t>In Unrealized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60"/>
              <w:spacing w:after="0" w:line="104" w:lineRule="exact"/>
              <w:rPr>
                <w:sz w:val="20"/>
                <w:szCs w:val="20"/>
                <w:color w:val="auto"/>
              </w:rPr>
            </w:pPr>
            <w:r>
              <w:rPr>
                <w:rFonts w:ascii="Arial" w:cs="Arial" w:eastAsia="Arial" w:hAnsi="Arial"/>
                <w:sz w:val="10"/>
                <w:szCs w:val="10"/>
                <w:b w:val="1"/>
                <w:bCs w:val="1"/>
                <w:color w:val="auto"/>
                <w:w w:val="88"/>
              </w:rPr>
              <w:t>Realized</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center"/>
              <w:ind w:right="340"/>
              <w:spacing w:after="0" w:line="10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4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4"/>
              </w:rPr>
              <w:t>Dividend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Interest</w:t>
            </w:r>
          </w:p>
        </w:tc>
      </w:tr>
      <w:tr>
        <w:trPr>
          <w:trHeight w:val="119"/>
        </w:trPr>
        <w:tc>
          <w:tcPr>
            <w:tcW w:w="2340" w:type="dxa"/>
            <w:vAlign w:val="bottom"/>
          </w:tcPr>
          <w:p>
            <w:pPr>
              <w:ind w:left="940"/>
              <w:spacing w:after="0"/>
              <w:rPr>
                <w:sz w:val="20"/>
                <w:szCs w:val="20"/>
                <w:color w:val="auto"/>
              </w:rPr>
            </w:pPr>
            <w:r>
              <w:rPr>
                <w:rFonts w:ascii="Arial" w:cs="Arial" w:eastAsia="Arial" w:hAnsi="Arial"/>
                <w:sz w:val="10"/>
                <w:szCs w:val="10"/>
                <w:b w:val="1"/>
                <w:bCs w:val="1"/>
                <w:color w:val="auto"/>
              </w:rPr>
              <w:t>Company</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5"/>
              <w:spacing w:after="0"/>
              <w:rPr>
                <w:sz w:val="20"/>
                <w:szCs w:val="20"/>
                <w:color w:val="auto"/>
              </w:rPr>
            </w:pPr>
            <w:r>
              <w:rPr>
                <w:rFonts w:ascii="Arial" w:cs="Arial" w:eastAsia="Arial" w:hAnsi="Arial"/>
                <w:sz w:val="10"/>
                <w:szCs w:val="10"/>
                <w:b w:val="1"/>
                <w:bCs w:val="1"/>
                <w:color w:val="auto"/>
                <w:w w:val="89"/>
              </w:rPr>
              <w:t>2021</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1"/>
              </w:rPr>
              <w:t>Additions (a)</w:t>
            </w:r>
          </w:p>
        </w:tc>
        <w:tc>
          <w:tcPr>
            <w:tcW w:w="80" w:type="dxa"/>
            <w:vAlign w:val="bottom"/>
          </w:tcPr>
          <w:p>
            <w:pPr>
              <w:spacing w:after="0"/>
              <w:rPr>
                <w:sz w:val="10"/>
                <w:szCs w:val="1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Reductions (b)</w:t>
            </w:r>
          </w:p>
        </w:tc>
        <w:tc>
          <w:tcPr>
            <w:tcW w:w="14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0"/>
              </w:rPr>
              <w:t>Gain/(Loss)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0"/>
              </w:rPr>
              <w:t>Gain/(Loss)</w:t>
            </w:r>
          </w:p>
        </w:tc>
        <w:tc>
          <w:tcPr>
            <w:tcW w:w="1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Transfers</w:t>
            </w:r>
          </w:p>
        </w:tc>
        <w:tc>
          <w:tcPr>
            <w:tcW w:w="120" w:type="dxa"/>
            <w:vAlign w:val="bottom"/>
          </w:tcPr>
          <w:p>
            <w:pPr>
              <w:spacing w:after="0"/>
              <w:rPr>
                <w:sz w:val="10"/>
                <w:szCs w:val="10"/>
                <w:color w:val="auto"/>
              </w:rPr>
            </w:pPr>
          </w:p>
        </w:tc>
        <w:tc>
          <w:tcPr>
            <w:tcW w:w="680" w:type="dxa"/>
            <w:vAlign w:val="bottom"/>
          </w:tcPr>
          <w:p>
            <w:pPr>
              <w:jc w:val="center"/>
              <w:ind w:right="65"/>
              <w:spacing w:after="0"/>
              <w:rPr>
                <w:sz w:val="20"/>
                <w:szCs w:val="20"/>
                <w:color w:val="auto"/>
              </w:rPr>
            </w:pPr>
            <w:r>
              <w:rPr>
                <w:rFonts w:ascii="Arial" w:cs="Arial" w:eastAsia="Arial" w:hAnsi="Arial"/>
                <w:sz w:val="10"/>
                <w:szCs w:val="10"/>
                <w:b w:val="1"/>
                <w:bCs w:val="1"/>
                <w:color w:val="auto"/>
                <w:w w:val="89"/>
              </w:rPr>
              <w:t>2022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Income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40"/>
              <w:spacing w:after="0"/>
              <w:rPr>
                <w:sz w:val="20"/>
                <w:szCs w:val="20"/>
                <w:color w:val="auto"/>
              </w:rPr>
            </w:pPr>
            <w:r>
              <w:rPr>
                <w:rFonts w:ascii="Arial" w:cs="Arial" w:eastAsia="Arial" w:hAnsi="Arial"/>
                <w:sz w:val="10"/>
                <w:szCs w:val="10"/>
                <w:b w:val="1"/>
                <w:bCs w:val="1"/>
                <w:color w:val="auto"/>
              </w:rPr>
              <w:t>Income</w:t>
            </w:r>
          </w:p>
        </w:tc>
      </w:tr>
      <w:tr>
        <w:trPr>
          <w:trHeight w:val="141"/>
        </w:trPr>
        <w:tc>
          <w:tcPr>
            <w:tcW w:w="2340" w:type="dxa"/>
            <w:vAlign w:val="bottom"/>
            <w:tcBorders>
              <w:top w:val="single" w:sz="8" w:color="auto"/>
            </w:tcBorders>
            <w:shd w:val="clear" w:color="auto" w:fill="CFF0FC"/>
          </w:tcPr>
          <w:p>
            <w:pPr>
              <w:spacing w:after="0" w:line="141" w:lineRule="exact"/>
              <w:rPr>
                <w:sz w:val="20"/>
                <w:szCs w:val="20"/>
                <w:color w:val="auto"/>
              </w:rPr>
            </w:pPr>
            <w:r>
              <w:rPr>
                <w:rFonts w:ascii="Arial" w:cs="Arial" w:eastAsia="Arial" w:hAnsi="Arial"/>
                <w:sz w:val="13"/>
                <w:szCs w:val="13"/>
                <w:color w:val="auto"/>
              </w:rPr>
              <w:t>MD America Energy,</w:t>
            </w: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60"/>
        </w:trPr>
        <w:tc>
          <w:tcPr>
            <w:tcW w:w="23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 xml:space="preserve">LLC </w:t>
            </w:r>
            <w:r>
              <w:rPr>
                <w:rFonts w:ascii="Arial" w:cs="Arial" w:eastAsia="Arial" w:hAnsi="Arial"/>
                <w:sz w:val="10"/>
                <w:szCs w:val="10"/>
                <w:color w:val="auto"/>
              </w:rPr>
              <w:t>(c)</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27,017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ind w:left="5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FF0FC"/>
          </w:tcPr>
          <w:p>
            <w:pPr>
              <w:ind w:left="320"/>
              <w:spacing w:after="0"/>
              <w:rPr>
                <w:sz w:val="20"/>
                <w:szCs w:val="20"/>
                <w:color w:val="auto"/>
              </w:rPr>
            </w:pPr>
            <w:r>
              <w:rPr>
                <w:rFonts w:ascii="Arial" w:cs="Arial" w:eastAsia="Arial" w:hAnsi="Arial"/>
                <w:sz w:val="13"/>
                <w:szCs w:val="13"/>
                <w:color w:val="auto"/>
              </w:rPr>
              <w:t>(12,667)</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(14,350)</w:t>
            </w:r>
          </w:p>
        </w:tc>
        <w:tc>
          <w:tcPr>
            <w:tcW w:w="2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13,673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FF0FC"/>
          </w:tcPr>
          <w:p>
            <w:pPr>
              <w:ind w:left="5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FF0FC"/>
          </w:tcPr>
          <w:p>
            <w:pPr>
              <w:ind w:left="400"/>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FF0FC"/>
          </w:tcPr>
          <w:p>
            <w:pPr>
              <w:jc w:val="right"/>
              <w:ind w:right="14"/>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60" w:type="dxa"/>
            <w:vAlign w:val="bottom"/>
            <w:shd w:val="clear" w:color="auto" w:fill="CFF0FC"/>
          </w:tcPr>
          <w:p>
            <w:pPr>
              <w:spacing w:after="0"/>
              <w:rPr>
                <w:sz w:val="13"/>
                <w:szCs w:val="13"/>
                <w:color w:val="auto"/>
              </w:rPr>
            </w:pPr>
          </w:p>
        </w:tc>
      </w:tr>
      <w:tr>
        <w:trPr>
          <w:trHeight w:val="159"/>
        </w:trPr>
        <w:tc>
          <w:tcPr>
            <w:tcW w:w="23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27,017</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b w:val="1"/>
                <w:bCs w:val="1"/>
                <w:color w:val="auto"/>
                <w:w w:val="78"/>
              </w:rPr>
              <w:t>(12,667)</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b w:val="1"/>
                <w:bCs w:val="1"/>
                <w:color w:val="auto"/>
                <w:w w:val="78"/>
              </w:rPr>
              <w:t>(14,350)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13,673</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133</w:t>
            </w:r>
          </w:p>
        </w:tc>
        <w:tc>
          <w:tcPr>
            <w:tcW w:w="60" w:type="dxa"/>
            <w:vAlign w:val="bottom"/>
          </w:tcPr>
          <w:p>
            <w:pPr>
              <w:spacing w:after="0"/>
              <w:rPr>
                <w:sz w:val="13"/>
                <w:szCs w:val="13"/>
                <w:color w:val="auto"/>
              </w:rPr>
            </w:pPr>
          </w:p>
        </w:tc>
      </w:tr>
    </w:tbl>
    <w:p>
      <w:pPr>
        <w:spacing w:after="0" w:line="95" w:lineRule="exact"/>
        <w:rPr>
          <w:sz w:val="20"/>
          <w:szCs w:val="20"/>
          <w:color w:val="auto"/>
        </w:rPr>
      </w:pPr>
    </w:p>
    <w:p>
      <w:pPr>
        <w:ind w:left="1024" w:right="240" w:hanging="514"/>
        <w:spacing w:after="0" w:line="250" w:lineRule="auto"/>
        <w:tabs>
          <w:tab w:leader="none" w:pos="1024" w:val="left"/>
        </w:tabs>
        <w:numPr>
          <w:ilvl w:val="1"/>
          <w:numId w:val="6"/>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investments, payment-in-kind interest or dividends, the amortization of any unearned income or discounts on debt investments, as applicable.</w:t>
      </w:r>
    </w:p>
    <w:p>
      <w:pPr>
        <w:ind w:left="1024" w:right="600" w:hanging="514"/>
        <w:spacing w:after="0" w:line="286" w:lineRule="auto"/>
        <w:tabs>
          <w:tab w:leader="none" w:pos="1024" w:val="left"/>
        </w:tabs>
        <w:numPr>
          <w:ilvl w:val="1"/>
          <w:numId w:val="6"/>
        </w:numPr>
        <w:rPr>
          <w:rFonts w:ascii="Arial" w:cs="Arial" w:eastAsia="Arial" w:hAnsi="Arial"/>
          <w:sz w:val="11"/>
          <w:szCs w:val="11"/>
          <w:color w:val="auto"/>
        </w:rPr>
      </w:pPr>
      <w:r>
        <w:rPr>
          <w:rFonts w:ascii="Arial" w:cs="Arial" w:eastAsia="Arial" w:hAnsi="Arial"/>
          <w:sz w:val="11"/>
          <w:szCs w:val="11"/>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1"/>
          <w:szCs w:val="11"/>
          <w:color w:val="auto"/>
        </w:rPr>
      </w:pPr>
    </w:p>
    <w:p>
      <w:pPr>
        <w:ind w:left="1024" w:hanging="514"/>
        <w:spacing w:after="0"/>
        <w:tabs>
          <w:tab w:leader="none" w:pos="1024" w:val="left"/>
        </w:tabs>
        <w:numPr>
          <w:ilvl w:val="1"/>
          <w:numId w:val="6"/>
        </w:numPr>
        <w:rPr>
          <w:rFonts w:ascii="Arial" w:cs="Arial" w:eastAsia="Arial" w:hAnsi="Arial"/>
          <w:sz w:val="13"/>
          <w:szCs w:val="13"/>
          <w:color w:val="auto"/>
        </w:rPr>
      </w:pPr>
      <w:r>
        <w:rPr>
          <w:rFonts w:ascii="Arial" w:cs="Arial" w:eastAsia="Arial" w:hAnsi="Arial"/>
          <w:sz w:val="13"/>
          <w:szCs w:val="13"/>
          <w:color w:val="auto"/>
        </w:rPr>
        <w:t>Includes investment in SMPA Holdings, LLC of 15,000 common equity units.</w:t>
      </w:r>
    </w:p>
    <w:p>
      <w:pPr>
        <w:spacing w:after="0" w:line="68" w:lineRule="exact"/>
        <w:rPr>
          <w:rFonts w:ascii="Arial" w:cs="Arial" w:eastAsia="Arial" w:hAnsi="Arial"/>
          <w:sz w:val="13"/>
          <w:szCs w:val="13"/>
          <w:color w:val="auto"/>
        </w:rPr>
      </w:pPr>
    </w:p>
    <w:p>
      <w:pPr>
        <w:ind w:left="504" w:right="20" w:hanging="504"/>
        <w:spacing w:after="0" w:line="282" w:lineRule="auto"/>
        <w:tabs>
          <w:tab w:leader="none" w:pos="504" w:val="left"/>
        </w:tabs>
        <w:numPr>
          <w:ilvl w:val="0"/>
          <w:numId w:val="7"/>
        </w:numPr>
        <w:rPr>
          <w:rFonts w:ascii="Arial" w:cs="Arial" w:eastAsia="Arial" w:hAnsi="Arial"/>
          <w:sz w:val="12"/>
          <w:szCs w:val="12"/>
          <w:color w:val="auto"/>
        </w:rPr>
      </w:pPr>
      <w:r>
        <w:rPr>
          <w:rFonts w:ascii="Arial" w:cs="Arial" w:eastAsia="Arial" w:hAnsi="Arial"/>
          <w:sz w:val="12"/>
          <w:szCs w:val="12"/>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2022 in which the Company was an Affiliated Person of and was deemed to Control a portfolio company are as follows:</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u w:val="single" w:color="auto"/>
          <w:color w:val="auto"/>
        </w:rPr>
        <w:t>Controlled, Affiliated Investments during the three months ended March 31, 2022</w:t>
      </w:r>
    </w:p>
    <w:p>
      <w:pPr>
        <w:spacing w:after="0" w:line="102"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4"/>
              <w:spacing w:after="0"/>
              <w:rPr>
                <w:sz w:val="20"/>
                <w:szCs w:val="20"/>
                <w:color w:val="auto"/>
              </w:rPr>
            </w:pPr>
            <w:r>
              <w:rPr>
                <w:rFonts w:ascii="Arial" w:cs="Arial" w:eastAsia="Arial" w:hAnsi="Arial"/>
                <w:sz w:val="10"/>
                <w:szCs w:val="10"/>
                <w:b w:val="1"/>
                <w:bCs w:val="1"/>
                <w:color w:val="auto"/>
                <w:w w:val="97"/>
              </w:rPr>
              <w:t>Fair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7"/>
              </w:rPr>
              <w:t>Fair</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4"/>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24"/>
              <w:spacing w:after="0" w:line="104" w:lineRule="exact"/>
              <w:rPr>
                <w:sz w:val="20"/>
                <w:szCs w:val="20"/>
                <w:color w:val="auto"/>
              </w:rPr>
            </w:pPr>
            <w:r>
              <w:rPr>
                <w:rFonts w:ascii="Arial" w:cs="Arial" w:eastAsia="Arial" w:hAnsi="Arial"/>
                <w:sz w:val="10"/>
                <w:szCs w:val="10"/>
                <w:b w:val="1"/>
                <w:bCs w:val="1"/>
                <w:color w:val="auto"/>
                <w:w w:val="93"/>
              </w:rPr>
              <w:t>Value at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83"/>
              <w:spacing w:after="0" w:line="104" w:lineRule="exact"/>
              <w:rPr>
                <w:sz w:val="20"/>
                <w:szCs w:val="20"/>
                <w:color w:val="auto"/>
              </w:rPr>
            </w:pPr>
            <w:r>
              <w:rPr>
                <w:rFonts w:ascii="Arial" w:cs="Arial" w:eastAsia="Arial" w:hAnsi="Arial"/>
                <w:sz w:val="10"/>
                <w:szCs w:val="10"/>
                <w:b w:val="1"/>
                <w:bCs w:val="1"/>
                <w:color w:val="auto"/>
                <w:w w:val="93"/>
              </w:rPr>
              <w:t>Net Change</w:t>
            </w: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340"/>
              <w:spacing w:after="0" w:line="104" w:lineRule="exact"/>
              <w:rPr>
                <w:sz w:val="20"/>
                <w:szCs w:val="20"/>
                <w:color w:val="auto"/>
              </w:rPr>
            </w:pPr>
            <w:r>
              <w:rPr>
                <w:rFonts w:ascii="Arial" w:cs="Arial" w:eastAsia="Arial" w:hAnsi="Arial"/>
                <w:sz w:val="10"/>
                <w:szCs w:val="10"/>
                <w:b w:val="1"/>
                <w:bCs w:val="1"/>
                <w:color w:val="auto"/>
                <w:w w:val="88"/>
              </w:rPr>
              <w:t>Value at</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4"/>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44"/>
              <w:spacing w:after="0" w:line="104" w:lineRule="exact"/>
              <w:rPr>
                <w:sz w:val="20"/>
                <w:szCs w:val="20"/>
                <w:color w:val="auto"/>
              </w:rPr>
            </w:pPr>
            <w:r>
              <w:rPr>
                <w:rFonts w:ascii="Arial" w:cs="Arial" w:eastAsia="Arial" w:hAnsi="Arial"/>
                <w:sz w:val="10"/>
                <w:szCs w:val="10"/>
                <w:b w:val="1"/>
                <w:bCs w:val="1"/>
                <w:color w:val="auto"/>
                <w:w w:val="89"/>
              </w:rPr>
              <w:t>December 31,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22"/>
              <w:spacing w:after="0" w:line="104" w:lineRule="exact"/>
              <w:rPr>
                <w:sz w:val="20"/>
                <w:szCs w:val="20"/>
                <w:color w:val="auto"/>
              </w:rPr>
            </w:pPr>
            <w:r>
              <w:rPr>
                <w:rFonts w:ascii="Arial" w:cs="Arial" w:eastAsia="Arial" w:hAnsi="Arial"/>
                <w:sz w:val="10"/>
                <w:szCs w:val="10"/>
                <w:b w:val="1"/>
                <w:bCs w:val="1"/>
                <w:color w:val="auto"/>
                <w:w w:val="89"/>
              </w:rPr>
              <w:t>Gross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22"/>
              <w:spacing w:after="0" w:line="104" w:lineRule="exact"/>
              <w:rPr>
                <w:sz w:val="20"/>
                <w:szCs w:val="20"/>
                <w:color w:val="auto"/>
              </w:rPr>
            </w:pPr>
            <w:r>
              <w:rPr>
                <w:rFonts w:ascii="Arial" w:cs="Arial" w:eastAsia="Arial" w:hAnsi="Arial"/>
                <w:sz w:val="10"/>
                <w:szCs w:val="10"/>
                <w:b w:val="1"/>
                <w:bCs w:val="1"/>
                <w:color w:val="auto"/>
                <w:w w:val="82"/>
              </w:rPr>
              <w:t>Gross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jc w:val="center"/>
              <w:ind w:right="83"/>
              <w:spacing w:after="0" w:line="104" w:lineRule="exact"/>
              <w:rPr>
                <w:sz w:val="20"/>
                <w:szCs w:val="20"/>
                <w:color w:val="auto"/>
              </w:rPr>
            </w:pPr>
            <w:r>
              <w:rPr>
                <w:rFonts w:ascii="Arial" w:cs="Arial" w:eastAsia="Arial" w:hAnsi="Arial"/>
                <w:sz w:val="10"/>
                <w:szCs w:val="10"/>
                <w:b w:val="1"/>
                <w:bCs w:val="1"/>
                <w:color w:val="auto"/>
                <w:w w:val="96"/>
              </w:rPr>
              <w:t>In Unrealized</w:t>
            </w:r>
          </w:p>
        </w:tc>
        <w:tc>
          <w:tcPr>
            <w:tcW w:w="200" w:type="dxa"/>
            <w:vAlign w:val="bottom"/>
          </w:tcPr>
          <w:p>
            <w:pPr>
              <w:spacing w:after="0"/>
              <w:rPr>
                <w:sz w:val="9"/>
                <w:szCs w:val="9"/>
                <w:color w:val="auto"/>
              </w:rPr>
            </w:pPr>
          </w:p>
        </w:tc>
        <w:tc>
          <w:tcPr>
            <w:tcW w:w="700" w:type="dxa"/>
            <w:vAlign w:val="bottom"/>
          </w:tcPr>
          <w:p>
            <w:pPr>
              <w:jc w:val="right"/>
              <w:ind w:right="51"/>
              <w:spacing w:after="0" w:line="104" w:lineRule="exact"/>
              <w:rPr>
                <w:sz w:val="20"/>
                <w:szCs w:val="20"/>
                <w:color w:val="auto"/>
              </w:rPr>
            </w:pPr>
            <w:r>
              <w:rPr>
                <w:rFonts w:ascii="Arial" w:cs="Arial" w:eastAsia="Arial" w:hAnsi="Arial"/>
                <w:sz w:val="10"/>
                <w:szCs w:val="10"/>
                <w:b w:val="1"/>
                <w:bCs w:val="1"/>
                <w:color w:val="auto"/>
              </w:rPr>
              <w:t>Realized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360"/>
              <w:spacing w:after="0" w:line="104" w:lineRule="exact"/>
              <w:rPr>
                <w:sz w:val="20"/>
                <w:szCs w:val="20"/>
                <w:color w:val="auto"/>
              </w:rPr>
            </w:pPr>
            <w:r>
              <w:rPr>
                <w:rFonts w:ascii="Arial" w:cs="Arial" w:eastAsia="Arial" w:hAnsi="Arial"/>
                <w:sz w:val="10"/>
                <w:szCs w:val="10"/>
                <w:b w:val="1"/>
                <w:bCs w:val="1"/>
                <w:color w:val="auto"/>
                <w:w w:val="95"/>
              </w:rPr>
              <w:t>March 31,</w:t>
            </w:r>
          </w:p>
        </w:tc>
        <w:tc>
          <w:tcPr>
            <w:tcW w:w="100" w:type="dxa"/>
            <w:vAlign w:val="bottom"/>
          </w:tcPr>
          <w:p>
            <w:pPr>
              <w:spacing w:after="0"/>
              <w:rPr>
                <w:sz w:val="9"/>
                <w:szCs w:val="9"/>
                <w:color w:val="auto"/>
              </w:rPr>
            </w:pPr>
          </w:p>
        </w:tc>
        <w:tc>
          <w:tcPr>
            <w:tcW w:w="520" w:type="dxa"/>
            <w:vAlign w:val="bottom"/>
          </w:tcPr>
          <w:p>
            <w:pPr>
              <w:jc w:val="right"/>
              <w:ind w:right="122"/>
              <w:spacing w:after="0" w:line="104" w:lineRule="exact"/>
              <w:rPr>
                <w:sz w:val="20"/>
                <w:szCs w:val="20"/>
                <w:color w:val="auto"/>
              </w:rPr>
            </w:pPr>
            <w:r>
              <w:rPr>
                <w:rFonts w:ascii="Arial" w:cs="Arial" w:eastAsia="Arial" w:hAnsi="Arial"/>
                <w:sz w:val="10"/>
                <w:szCs w:val="10"/>
                <w:b w:val="1"/>
                <w:bCs w:val="1"/>
                <w:color w:val="auto"/>
              </w:rPr>
              <w:t>Other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Interest</w:t>
            </w:r>
          </w:p>
        </w:tc>
      </w:tr>
      <w:tr>
        <w:trPr>
          <w:trHeight w:val="119"/>
        </w:trPr>
        <w:tc>
          <w:tcPr>
            <w:tcW w:w="238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Company</w:t>
            </w:r>
          </w:p>
        </w:tc>
        <w:tc>
          <w:tcPr>
            <w:tcW w:w="1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89"/>
              </w:rPr>
              <w:t>2021</w:t>
            </w: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1"/>
              </w:rPr>
              <w:t>Additions (a)</w:t>
            </w: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1"/>
              </w:rPr>
              <w:t>Reductions (b)</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3"/>
              <w:spacing w:after="0"/>
              <w:rPr>
                <w:sz w:val="20"/>
                <w:szCs w:val="20"/>
                <w:color w:val="auto"/>
              </w:rPr>
            </w:pPr>
            <w:r>
              <w:rPr>
                <w:rFonts w:ascii="Arial" w:cs="Arial" w:eastAsia="Arial" w:hAnsi="Arial"/>
                <w:sz w:val="10"/>
                <w:szCs w:val="10"/>
                <w:b w:val="1"/>
                <w:bCs w:val="1"/>
                <w:color w:val="auto"/>
                <w:w w:val="90"/>
              </w:rPr>
              <w:t>Gain/(Loss)</w:t>
            </w:r>
          </w:p>
        </w:tc>
        <w:tc>
          <w:tcPr>
            <w:tcW w:w="200" w:type="dxa"/>
            <w:vAlign w:val="bottom"/>
            <w:tcBorders>
              <w:bottom w:val="single" w:sz="8" w:color="CFF0FC"/>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Gain/(Loss)</w:t>
            </w: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Transfers</w:t>
            </w: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0"/>
                <w:szCs w:val="10"/>
                <w:b w:val="1"/>
                <w:bCs w:val="1"/>
                <w:color w:val="auto"/>
                <w:w w:val="98"/>
              </w:rPr>
              <w:t>2022</w:t>
            </w:r>
          </w:p>
        </w:tc>
        <w:tc>
          <w:tcPr>
            <w:tcW w:w="20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96"/>
              </w:rPr>
              <w:t>Income</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96"/>
              </w:rPr>
              <w:t>Income</w:t>
            </w:r>
          </w:p>
        </w:tc>
        <w:tc>
          <w:tcPr>
            <w:tcW w:w="120" w:type="dxa"/>
            <w:vAlign w:val="bottom"/>
            <w:tcBorders>
              <w:bottom w:val="single" w:sz="8" w:color="CFF0FC"/>
            </w:tcBorders>
          </w:tcPr>
          <w:p>
            <w:pPr>
              <w:spacing w:after="0"/>
              <w:rPr>
                <w:sz w:val="10"/>
                <w:szCs w:val="10"/>
                <w:color w:val="auto"/>
              </w:rPr>
            </w:pPr>
          </w:p>
        </w:tc>
      </w:tr>
      <w:tr>
        <w:trPr>
          <w:trHeight w:val="150"/>
        </w:trPr>
        <w:tc>
          <w:tcPr>
            <w:tcW w:w="2380" w:type="dxa"/>
            <w:vAlign w:val="bottom"/>
            <w:shd w:val="clear" w:color="auto" w:fill="CFF0FC"/>
          </w:tcPr>
          <w:p>
            <w:pPr>
              <w:spacing w:after="0"/>
              <w:rPr>
                <w:sz w:val="20"/>
                <w:szCs w:val="20"/>
                <w:color w:val="auto"/>
              </w:rPr>
            </w:pPr>
            <w:r>
              <w:rPr>
                <w:rFonts w:ascii="Arial" w:cs="Arial" w:eastAsia="Arial" w:hAnsi="Arial"/>
                <w:sz w:val="13"/>
                <w:szCs w:val="13"/>
                <w:color w:val="auto"/>
              </w:rPr>
              <w:t>IRGSE Holding Corp.</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59,779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ind w:left="580"/>
              <w:spacing w:after="0"/>
              <w:rPr>
                <w:sz w:val="20"/>
                <w:szCs w:val="20"/>
                <w:color w:val="auto"/>
              </w:rPr>
            </w:pPr>
            <w:r>
              <w:rPr>
                <w:rFonts w:ascii="Arial" w:cs="Arial" w:eastAsia="Arial" w:hAnsi="Arial"/>
                <w:sz w:val="13"/>
                <w:szCs w:val="13"/>
                <w:color w:val="auto"/>
                <w:w w:val="76"/>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3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16,220</w:t>
            </w:r>
          </w:p>
        </w:tc>
        <w:tc>
          <w:tcPr>
            <w:tcW w:w="900" w:type="dxa"/>
            <w:vAlign w:val="bottom"/>
            <w:gridSpan w:val="2"/>
            <w:shd w:val="clear" w:color="auto" w:fill="CFF0FC"/>
          </w:tcPr>
          <w:p>
            <w:pPr>
              <w:jc w:val="right"/>
              <w:ind w:right="591"/>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ind w:right="511"/>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75,999</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3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1,065</w:t>
            </w:r>
          </w:p>
        </w:tc>
        <w:tc>
          <w:tcPr>
            <w:tcW w:w="120" w:type="dxa"/>
            <w:vAlign w:val="bottom"/>
            <w:shd w:val="clear" w:color="auto" w:fill="CFF0FC"/>
          </w:tcPr>
          <w:p>
            <w:pPr>
              <w:spacing w:after="0"/>
              <w:rPr>
                <w:sz w:val="13"/>
                <w:szCs w:val="13"/>
                <w:color w:val="auto"/>
              </w:rPr>
            </w:pPr>
          </w:p>
        </w:tc>
      </w:tr>
      <w:tr>
        <w:trPr>
          <w:trHeight w:val="152"/>
        </w:trPr>
        <w:tc>
          <w:tcPr>
            <w:tcW w:w="2380" w:type="dxa"/>
            <w:vAlign w:val="bottom"/>
          </w:tcPr>
          <w:p>
            <w:pPr>
              <w:spacing w:after="0"/>
              <w:rPr>
                <w:sz w:val="20"/>
                <w:szCs w:val="20"/>
                <w:color w:val="auto"/>
              </w:rPr>
            </w:pPr>
            <w:r>
              <w:rPr>
                <w:rFonts w:ascii="Arial" w:cs="Arial" w:eastAsia="Arial" w:hAnsi="Arial"/>
                <w:sz w:val="13"/>
                <w:szCs w:val="13"/>
                <w:color w:val="auto"/>
              </w:rPr>
              <w:t>Mississippi Resources,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2380" w:type="dxa"/>
            <w:vAlign w:val="bottom"/>
          </w:tcPr>
          <w:p>
            <w:pPr>
              <w:ind w:left="100"/>
              <w:spacing w:after="0"/>
              <w:rPr>
                <w:sz w:val="20"/>
                <w:szCs w:val="20"/>
                <w:color w:val="auto"/>
              </w:rPr>
            </w:pPr>
            <w:r>
              <w:rPr>
                <w:rFonts w:ascii="Arial" w:cs="Arial" w:eastAsia="Arial" w:hAnsi="Arial"/>
                <w:sz w:val="13"/>
                <w:szCs w:val="13"/>
                <w:color w:val="auto"/>
              </w:rPr>
              <w:t>LLC</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w w:val="76"/>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59"/>
        </w:trPr>
        <w:tc>
          <w:tcPr>
            <w:tcW w:w="2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59,779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3"/>
                <w:szCs w:val="13"/>
                <w:b w:val="1"/>
                <w:bCs w:val="1"/>
                <w:color w:val="auto"/>
                <w:w w:val="76"/>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16,220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ind w:right="591"/>
              <w:spacing w:after="0"/>
              <w:rPr>
                <w:sz w:val="20"/>
                <w:szCs w:val="20"/>
                <w:color w:val="auto"/>
              </w:rPr>
            </w:pPr>
            <w:r>
              <w:rPr>
                <w:rFonts w:ascii="Arial" w:cs="Arial" w:eastAsia="Arial" w:hAnsi="Arial"/>
                <w:sz w:val="9"/>
                <w:szCs w:val="9"/>
                <w:b w:val="1"/>
                <w:bCs w:val="1"/>
                <w:color w:val="auto"/>
                <w:w w:val="78"/>
              </w:rPr>
              <w:t>$</w:t>
            </w: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11"/>
              <w:spacing w:after="0"/>
              <w:rPr>
                <w:sz w:val="20"/>
                <w:szCs w:val="20"/>
                <w:color w:val="auto"/>
              </w:rPr>
            </w:pPr>
            <w:r>
              <w:rPr>
                <w:rFonts w:ascii="Arial" w:cs="Arial" w:eastAsia="Arial" w:hAnsi="Arial"/>
                <w:sz w:val="9"/>
                <w:szCs w:val="9"/>
                <w:b w:val="1"/>
                <w:bCs w:val="1"/>
                <w:color w:val="auto"/>
                <w:w w:val="78"/>
              </w:rPr>
              <w:t>$</w:t>
            </w:r>
          </w:p>
        </w:tc>
        <w:tc>
          <w:tcPr>
            <w:tcW w:w="18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75,999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1,065</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95" w:lineRule="exact"/>
        <w:rPr>
          <w:sz w:val="20"/>
          <w:szCs w:val="20"/>
          <w:color w:val="auto"/>
        </w:rPr>
      </w:pPr>
    </w:p>
    <w:p>
      <w:pPr>
        <w:ind w:left="1024" w:right="240" w:hanging="514"/>
        <w:spacing w:after="0" w:line="250" w:lineRule="auto"/>
        <w:tabs>
          <w:tab w:leader="none" w:pos="1024" w:val="left"/>
        </w:tabs>
        <w:numPr>
          <w:ilvl w:val="1"/>
          <w:numId w:val="8"/>
        </w:numPr>
        <w:rPr>
          <w:rFonts w:ascii="Arial" w:cs="Arial" w:eastAsia="Arial" w:hAnsi="Arial"/>
          <w:sz w:val="11"/>
          <w:szCs w:val="11"/>
          <w:color w:val="auto"/>
        </w:rPr>
      </w:pPr>
      <w:r>
        <w:rPr>
          <w:rFonts w:ascii="Arial" w:cs="Arial" w:eastAsia="Arial" w:hAnsi="Arial"/>
          <w:sz w:val="13"/>
          <w:szCs w:val="13"/>
          <w:color w:val="auto"/>
        </w:rPr>
        <w:t>Gross additions include increases in the cost basis of investments resulting from new investments, payment-in-kind interest or dividends, the amortization of any unearned income or discounts on debt investments, as applicable.</w:t>
      </w:r>
    </w:p>
    <w:p>
      <w:pPr>
        <w:ind w:left="1024" w:right="600" w:hanging="514"/>
        <w:spacing w:after="0" w:line="333" w:lineRule="auto"/>
        <w:tabs>
          <w:tab w:leader="none" w:pos="1024" w:val="left"/>
        </w:tabs>
        <w:numPr>
          <w:ilvl w:val="1"/>
          <w:numId w:val="8"/>
        </w:numPr>
        <w:rPr>
          <w:rFonts w:ascii="Arial" w:cs="Arial" w:eastAsia="Arial" w:hAnsi="Arial"/>
          <w:sz w:val="11"/>
          <w:szCs w:val="11"/>
          <w:color w:val="auto"/>
        </w:rPr>
      </w:pPr>
      <w:r>
        <w:rPr>
          <w:rFonts w:ascii="Arial" w:cs="Arial" w:eastAsia="Arial" w:hAnsi="Arial"/>
          <w:sz w:val="11"/>
          <w:szCs w:val="11"/>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8" w:lineRule="exact"/>
        <w:rPr>
          <w:rFonts w:ascii="Arial" w:cs="Arial" w:eastAsia="Arial" w:hAnsi="Arial"/>
          <w:sz w:val="11"/>
          <w:szCs w:val="11"/>
          <w:color w:val="auto"/>
        </w:rPr>
      </w:pPr>
    </w:p>
    <w:p>
      <w:pPr>
        <w:ind w:left="504" w:hanging="504"/>
        <w:spacing w:after="0"/>
        <w:tabs>
          <w:tab w:leader="none" w:pos="504" w:val="left"/>
        </w:tabs>
        <w:numPr>
          <w:ilvl w:val="0"/>
          <w:numId w:val="9"/>
        </w:numPr>
        <w:rPr>
          <w:rFonts w:ascii="Arial" w:cs="Arial" w:eastAsia="Arial" w:hAnsi="Arial"/>
          <w:sz w:val="11"/>
          <w:szCs w:val="11"/>
          <w:color w:val="auto"/>
        </w:rPr>
      </w:pPr>
      <w:r>
        <w:rPr>
          <w:rFonts w:ascii="Arial" w:cs="Arial" w:eastAsia="Arial" w:hAnsi="Arial"/>
          <w:sz w:val="11"/>
          <w:szCs w:val="11"/>
          <w:color w:val="auto"/>
        </w:rPr>
        <w:t>As of March 31, 2022, the estimated cost basis of investments for U.S. federal tax purposes was $2,380,931, resulting in estimated gross unrealized gains and losses of $149,015 and $81,339, respectively.</w:t>
      </w:r>
    </w:p>
    <w:p>
      <w:pPr>
        <w:spacing w:after="0" w:line="33" w:lineRule="exact"/>
        <w:rPr>
          <w:rFonts w:ascii="Arial" w:cs="Arial" w:eastAsia="Arial" w:hAnsi="Arial"/>
          <w:sz w:val="11"/>
          <w:szCs w:val="11"/>
          <w:color w:val="auto"/>
        </w:rPr>
      </w:pPr>
    </w:p>
    <w:p>
      <w:pPr>
        <w:ind w:left="504" w:right="40" w:hanging="504"/>
        <w:spacing w:after="0" w:line="263" w:lineRule="auto"/>
        <w:tabs>
          <w:tab w:leader="none" w:pos="504"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In accordance with Financial Accounting Standards Board Accounting Standards Codification Topic 820,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ind w:left="504" w:hanging="504"/>
        <w:spacing w:after="0"/>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investment is valued using observable inputs and is considered a Level 2 investment. See Note 6 for further information related to investments at fair value.</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investment is valued using observable inputs and is considered a Level 1 investment. See Note 6 for further information related to investments at fair value.</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investment is non-income producing.</w:t>
      </w:r>
    </w:p>
    <w:p>
      <w:pPr>
        <w:spacing w:after="0" w:line="1" w:lineRule="exact"/>
        <w:rPr>
          <w:rFonts w:ascii="Arial" w:cs="Arial" w:eastAsia="Arial" w:hAnsi="Arial"/>
          <w:sz w:val="13"/>
          <w:szCs w:val="13"/>
          <w:color w:val="auto"/>
        </w:rPr>
      </w:pPr>
    </w:p>
    <w:p>
      <w:pPr>
        <w:ind w:left="504" w:right="180" w:hanging="504"/>
        <w:spacing w:after="0" w:line="242" w:lineRule="auto"/>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All or a portion of this security was acquired in a transaction exempt from registration under the Securities Act of 1933, and may be deemed to be “restricted securities” under the Securities Act. As of March 31, 2022, the aggregate fair value of these securities is $63,431, or 4.9% of the Company’s net assets.</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Ownership of equity investments may occur through a holding company or partnership.</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9"/>
        </w:numPr>
        <w:rPr>
          <w:rFonts w:ascii="Arial" w:cs="Arial" w:eastAsia="Arial" w:hAnsi="Arial"/>
          <w:sz w:val="13"/>
          <w:szCs w:val="13"/>
          <w:color w:val="auto"/>
        </w:rPr>
      </w:pPr>
      <w:r>
        <w:rPr>
          <w:rFonts w:ascii="Arial" w:cs="Arial" w:eastAsia="Arial" w:hAnsi="Arial"/>
          <w:sz w:val="13"/>
          <w:szCs w:val="13"/>
          <w:color w:val="auto"/>
        </w:rPr>
        <w:t>Investment is on non-accrual status as of March 31, 2022.</w:t>
      </w:r>
    </w:p>
    <w:p>
      <w:pPr>
        <w:spacing w:after="0" w:line="6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429" w:right="2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3"/>
          <w:szCs w:val="13"/>
          <w:b w:val="1"/>
          <w:bCs w:val="1"/>
          <w:color w:val="auto"/>
        </w:rPr>
        <w:t>Sixth Street Specialty Lending,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Schedule of Investments as of December 31, 2021</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 except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Initial</w:t>
            </w:r>
          </w:p>
        </w:tc>
        <w:tc>
          <w:tcPr>
            <w:tcW w:w="9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7"/>
              </w:rPr>
              <w:t>Reference</w:t>
            </w: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5"/>
              </w:rPr>
              <w:t>Acquisition</w:t>
            </w:r>
          </w:p>
        </w:tc>
        <w:tc>
          <w:tcPr>
            <w:tcW w:w="98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89"/>
              </w:rPr>
              <w:t>Rate and</w:t>
            </w: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ind w:left="60"/>
              <w:spacing w:after="0" w:line="95" w:lineRule="exact"/>
              <w:rPr>
                <w:sz w:val="20"/>
                <w:szCs w:val="20"/>
                <w:color w:val="auto"/>
              </w:rPr>
            </w:pPr>
            <w:r>
              <w:rPr>
                <w:rFonts w:ascii="Arial" w:cs="Arial" w:eastAsia="Arial" w:hAnsi="Arial"/>
                <w:sz w:val="9"/>
                <w:szCs w:val="9"/>
                <w:b w:val="1"/>
                <w:bCs w:val="1"/>
                <w:color w:val="auto"/>
              </w:rPr>
              <w:t>Amortized</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203"/>
              <w:spacing w:after="0" w:line="95" w:lineRule="exact"/>
              <w:rPr>
                <w:sz w:val="20"/>
                <w:szCs w:val="20"/>
                <w:color w:val="auto"/>
              </w:rPr>
            </w:pPr>
            <w:r>
              <w:rPr>
                <w:rFonts w:ascii="Arial" w:cs="Arial" w:eastAsia="Arial" w:hAnsi="Arial"/>
                <w:sz w:val="9"/>
                <w:szCs w:val="9"/>
                <w:b w:val="1"/>
                <w:bCs w:val="1"/>
                <w:color w:val="auto"/>
              </w:rPr>
              <w:t>Percentage</w:t>
            </w:r>
          </w:p>
        </w:tc>
      </w:tr>
      <w:tr>
        <w:trPr>
          <w:trHeight w:val="107"/>
        </w:trPr>
        <w:tc>
          <w:tcPr>
            <w:tcW w:w="2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w:t>
            </w:r>
          </w:p>
        </w:tc>
        <w:tc>
          <w:tcPr>
            <w:tcW w:w="100" w:type="dxa"/>
            <w:vAlign w:val="bottom"/>
            <w:tcBorders>
              <w:bottom w:val="single" w:sz="8" w:color="CFF0FC"/>
            </w:tcBorders>
          </w:tcPr>
          <w:p>
            <w:pPr>
              <w:spacing w:after="0"/>
              <w:rPr>
                <w:sz w:val="9"/>
                <w:szCs w:val="9"/>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9"/>
                <w:szCs w:val="9"/>
                <w:b w:val="1"/>
                <w:bCs w:val="1"/>
                <w:color w:val="auto"/>
              </w:rPr>
              <w:t>Investment</w:t>
            </w:r>
          </w:p>
        </w:tc>
        <w:tc>
          <w:tcPr>
            <w:tcW w:w="12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Spread</w:t>
            </w:r>
          </w:p>
        </w:tc>
        <w:tc>
          <w:tcPr>
            <w:tcW w:w="220" w:type="dxa"/>
            <w:vAlign w:val="bottom"/>
            <w:tcBorders>
              <w:bottom w:val="single" w:sz="8" w:color="CFF0FC"/>
            </w:tcBorders>
          </w:tcPr>
          <w:p>
            <w:pPr>
              <w:spacing w:after="0"/>
              <w:rPr>
                <w:sz w:val="9"/>
                <w:szCs w:val="9"/>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9"/>
                <w:szCs w:val="9"/>
                <w:b w:val="1"/>
                <w:bCs w:val="1"/>
                <w:color w:val="auto"/>
              </w:rPr>
              <w:t>Interest Rate</w:t>
            </w:r>
          </w:p>
        </w:tc>
        <w:tc>
          <w:tcPr>
            <w:tcW w:w="160" w:type="dxa"/>
            <w:vAlign w:val="bottom"/>
            <w:tcBorders>
              <w:bottom w:val="single" w:sz="8" w:color="CFF0FC"/>
            </w:tcBorders>
          </w:tcPr>
          <w:p>
            <w:pPr>
              <w:spacing w:after="0"/>
              <w:rPr>
                <w:sz w:val="9"/>
                <w:szCs w:val="9"/>
                <w:color w:val="auto"/>
              </w:rPr>
            </w:pPr>
          </w:p>
        </w:tc>
        <w:tc>
          <w:tcPr>
            <w:tcW w:w="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44"/>
              <w:spacing w:after="0"/>
              <w:rPr>
                <w:sz w:val="20"/>
                <w:szCs w:val="20"/>
                <w:color w:val="auto"/>
              </w:rPr>
            </w:pPr>
            <w:r>
              <w:rPr>
                <w:rFonts w:ascii="Arial" w:cs="Arial" w:eastAsia="Arial" w:hAnsi="Arial"/>
                <w:sz w:val="9"/>
                <w:szCs w:val="9"/>
                <w:b w:val="1"/>
                <w:bCs w:val="1"/>
                <w:color w:val="auto"/>
              </w:rPr>
              <w:t xml:space="preserve">Cost </w:t>
            </w:r>
            <w:r>
              <w:rPr>
                <w:rFonts w:ascii="Arial" w:cs="Arial" w:eastAsia="Arial" w:hAnsi="Arial"/>
                <w:sz w:val="7"/>
                <w:szCs w:val="7"/>
                <w:b w:val="1"/>
                <w:bCs w:val="1"/>
                <w:color w:val="auto"/>
              </w:rPr>
              <w:t>(2)(8)</w:t>
            </w: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7"/>
                <w:szCs w:val="7"/>
                <w:b w:val="1"/>
                <w:bCs w:val="1"/>
                <w:color w:val="auto"/>
              </w:rPr>
              <w:t>(10)</w:t>
            </w:r>
          </w:p>
        </w:tc>
        <w:tc>
          <w:tcPr>
            <w:tcW w:w="20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rPr>
              <w:t>of Net Assets</w:t>
            </w:r>
          </w:p>
        </w:tc>
        <w:tc>
          <w:tcPr>
            <w:tcW w:w="120" w:type="dxa"/>
            <w:vAlign w:val="bottom"/>
            <w:tcBorders>
              <w:bottom w:val="single" w:sz="8" w:color="CFF0FC"/>
            </w:tcBorders>
          </w:tcPr>
          <w:p>
            <w:pPr>
              <w:spacing w:after="0"/>
              <w:rPr>
                <w:sz w:val="9"/>
                <w:szCs w:val="9"/>
                <w:color w:val="auto"/>
              </w:rPr>
            </w:pPr>
          </w:p>
        </w:tc>
      </w:tr>
      <w:tr>
        <w:trPr>
          <w:trHeight w:val="14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Debt Investments</w:t>
            </w: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Business services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Acceo Solutions,</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(CAD 74,062 par, due 10/2025)</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7/6/2018</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C + 4.75%</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5.75%</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55,724</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$60,246</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w:t>
            </w:r>
          </w:p>
        </w:tc>
      </w:tr>
      <w:tr>
        <w:trPr>
          <w:trHeight w:val="151"/>
        </w:trPr>
        <w:tc>
          <w:tcPr>
            <w:tcW w:w="270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(3)(4)(5)</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(CAD 76,099)</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Alpha Midco, Inc.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($64,435 par, due 8/2025)</w:t>
            </w:r>
          </w:p>
        </w:tc>
        <w:tc>
          <w:tcPr>
            <w:tcW w:w="840" w:type="dxa"/>
            <w:vAlign w:val="bottom"/>
          </w:tcPr>
          <w:p>
            <w:pPr>
              <w:jc w:val="right"/>
              <w:spacing w:after="0"/>
              <w:rPr>
                <w:sz w:val="20"/>
                <w:szCs w:val="20"/>
                <w:color w:val="auto"/>
              </w:rPr>
            </w:pPr>
            <w:r>
              <w:rPr>
                <w:rFonts w:ascii="Arial" w:cs="Arial" w:eastAsia="Arial" w:hAnsi="Arial"/>
                <w:sz w:val="11"/>
                <w:szCs w:val="11"/>
                <w:color w:val="auto"/>
              </w:rPr>
              <w:t>8/15/2019</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+ 7.50%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8.50%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63,312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65,469</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5.1%</w:t>
            </w:r>
          </w:p>
        </w:tc>
      </w:tr>
      <w:tr>
        <w:trPr>
          <w:trHeight w:val="144"/>
        </w:trPr>
        <w:tc>
          <w:tcPr>
            <w:tcW w:w="2700" w:type="dxa"/>
            <w:vAlign w:val="bottom"/>
            <w:gridSpan w:val="2"/>
            <w:shd w:val="clear" w:color="auto" w:fill="CFF0FC"/>
          </w:tcPr>
          <w:p>
            <w:pPr>
              <w:spacing w:after="0" w:line="145" w:lineRule="exact"/>
              <w:rPr>
                <w:sz w:val="20"/>
                <w:szCs w:val="20"/>
                <w:color w:val="auto"/>
              </w:rPr>
            </w:pPr>
            <w:r>
              <w:rPr>
                <w:rFonts w:ascii="Arial" w:cs="Arial" w:eastAsia="Arial" w:hAnsi="Arial"/>
                <w:sz w:val="10"/>
                <w:szCs w:val="10"/>
                <w:color w:val="auto"/>
              </w:rPr>
              <w:t xml:space="preserve">Dye &amp; Durham Corp. </w:t>
            </w:r>
            <w:r>
              <w:rPr>
                <w:rFonts w:ascii="Arial" w:cs="Arial" w:eastAsia="Arial" w:hAnsi="Arial"/>
                <w:sz w:val="16"/>
                <w:szCs w:val="16"/>
                <w:color w:val="auto"/>
                <w:vertAlign w:val="superscript"/>
              </w:rPr>
              <w:t>(3)(4)</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(CAD 55,042 par, due 12/2027)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12/3/2021</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C + 5.75%</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6.50%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41,946</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43,961</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w:t>
            </w:r>
          </w:p>
        </w:tc>
      </w:tr>
      <w:tr>
        <w:trPr>
          <w:trHeight w:val="149"/>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ind w:left="220"/>
              <w:spacing w:after="0"/>
              <w:rPr>
                <w:sz w:val="20"/>
                <w:szCs w:val="20"/>
                <w:color w:val="auto"/>
              </w:rPr>
            </w:pPr>
            <w:r>
              <w:rPr>
                <w:rFonts w:ascii="Arial" w:cs="Arial" w:eastAsia="Arial" w:hAnsi="Arial"/>
                <w:sz w:val="11"/>
                <w:szCs w:val="11"/>
                <w:color w:val="auto"/>
              </w:rPr>
              <w:t>(CAD 55,529)</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ExtraHop Networks, Inc.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($50,611 par, due 7/2027)</w:t>
            </w:r>
          </w:p>
        </w:tc>
        <w:tc>
          <w:tcPr>
            <w:tcW w:w="840" w:type="dxa"/>
            <w:vAlign w:val="bottom"/>
          </w:tcPr>
          <w:p>
            <w:pPr>
              <w:jc w:val="right"/>
              <w:spacing w:after="0"/>
              <w:rPr>
                <w:sz w:val="20"/>
                <w:szCs w:val="20"/>
                <w:color w:val="auto"/>
              </w:rPr>
            </w:pPr>
            <w:r>
              <w:rPr>
                <w:rFonts w:ascii="Arial" w:cs="Arial" w:eastAsia="Arial" w:hAnsi="Arial"/>
                <w:sz w:val="11"/>
                <w:szCs w:val="11"/>
                <w:color w:val="auto"/>
              </w:rPr>
              <w:t>7/22/2021</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+ 7.50%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8.50%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49,283</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49,659</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3.9%</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ForeScout Technologies, Inc.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($5,127 par, due 8/2026)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8/17/2020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+ 9.50%</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w w:val="96"/>
              </w:rPr>
              <w:t>10.50% (incl. 9.50% PIK)</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5,025</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5,155</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0.4%</w:t>
            </w:r>
          </w:p>
        </w:tc>
      </w:tr>
      <w:tr>
        <w:trPr>
          <w:trHeight w:val="144"/>
        </w:trPr>
        <w:tc>
          <w:tcPr>
            <w:tcW w:w="2700" w:type="dxa"/>
            <w:vAlign w:val="bottom"/>
            <w:gridSpan w:val="2"/>
          </w:tcPr>
          <w:p>
            <w:pPr>
              <w:spacing w:after="0"/>
              <w:rPr>
                <w:sz w:val="20"/>
                <w:szCs w:val="20"/>
                <w:color w:val="auto"/>
              </w:rPr>
            </w:pPr>
            <w:r>
              <w:rPr>
                <w:rFonts w:ascii="Arial" w:cs="Arial" w:eastAsia="Arial" w:hAnsi="Arial"/>
                <w:sz w:val="11"/>
                <w:szCs w:val="11"/>
                <w:color w:val="auto"/>
              </w:rPr>
              <w:t>Information Clearinghouse, LLC</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($18,000 par, due 12/2026)</w:t>
            </w:r>
          </w:p>
        </w:tc>
        <w:tc>
          <w:tcPr>
            <w:tcW w:w="840" w:type="dxa"/>
            <w:vAlign w:val="bottom"/>
          </w:tcPr>
          <w:p>
            <w:pPr>
              <w:jc w:val="right"/>
              <w:spacing w:after="0"/>
              <w:rPr>
                <w:sz w:val="20"/>
                <w:szCs w:val="20"/>
                <w:color w:val="auto"/>
              </w:rPr>
            </w:pPr>
            <w:r>
              <w:rPr>
                <w:rFonts w:ascii="Arial" w:cs="Arial" w:eastAsia="Arial" w:hAnsi="Arial"/>
                <w:sz w:val="11"/>
                <w:szCs w:val="11"/>
                <w:color w:val="auto"/>
              </w:rPr>
              <w:t>12/20/2021</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+ 6.50%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7.50%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17,530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17,505</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1.4%</w:t>
            </w:r>
          </w:p>
        </w:tc>
      </w:tr>
      <w:tr>
        <w:trPr>
          <w:trHeight w:val="140"/>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and MS Market Service,</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Netwrix Corp.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($68,160 par, due 9/2026)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9/30/2020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+ 6.00%</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7.00%</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66,948</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68,533</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5.4%</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ReliaQuest Holdings, LLC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($46,948 par, due 10/2026)</w:t>
            </w:r>
          </w:p>
        </w:tc>
        <w:tc>
          <w:tcPr>
            <w:tcW w:w="840" w:type="dxa"/>
            <w:vAlign w:val="bottom"/>
          </w:tcPr>
          <w:p>
            <w:pPr>
              <w:jc w:val="right"/>
              <w:spacing w:after="0"/>
              <w:rPr>
                <w:sz w:val="20"/>
                <w:szCs w:val="20"/>
                <w:color w:val="auto"/>
              </w:rPr>
            </w:pPr>
            <w:r>
              <w:rPr>
                <w:rFonts w:ascii="Arial" w:cs="Arial" w:eastAsia="Arial" w:hAnsi="Arial"/>
                <w:sz w:val="11"/>
                <w:szCs w:val="11"/>
                <w:color w:val="auto"/>
              </w:rPr>
              <w:t>10/8/2020</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+ 8.25%</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9.25%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45,954</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47,716</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3.7%</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WideOrbit, Inc.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($50,332 par, due 7/2025)</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7/8/2020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+ 8.50%</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9.75%</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49,713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51,434</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4.0%</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395,435</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409,678</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32.0%</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Communications</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Celtra Technologies, Inc.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($35,000 par, due 11/2026)</w:t>
            </w:r>
          </w:p>
        </w:tc>
        <w:tc>
          <w:tcPr>
            <w:tcW w:w="840" w:type="dxa"/>
            <w:vAlign w:val="bottom"/>
          </w:tcPr>
          <w:p>
            <w:pPr>
              <w:jc w:val="right"/>
              <w:spacing w:after="0"/>
              <w:rPr>
                <w:sz w:val="20"/>
                <w:szCs w:val="20"/>
                <w:color w:val="auto"/>
              </w:rPr>
            </w:pPr>
            <w:r>
              <w:rPr>
                <w:rFonts w:ascii="Arial" w:cs="Arial" w:eastAsia="Arial" w:hAnsi="Arial"/>
                <w:sz w:val="11"/>
                <w:szCs w:val="11"/>
                <w:color w:val="auto"/>
              </w:rPr>
              <w:t>11/19/2021</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+ 7.00%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33,921</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33,863</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2.7%</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IntelePeer Holdings, Inc.</w:t>
            </w:r>
          </w:p>
        </w:tc>
        <w:tc>
          <w:tcPr>
            <w:tcW w:w="24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First-lien loan ($44,657 par, due 12/2024) </w:t>
            </w:r>
            <w:r>
              <w:rPr>
                <w:rFonts w:ascii="Arial" w:cs="Arial" w:eastAsia="Arial" w:hAnsi="Arial"/>
                <w:sz w:val="17"/>
                <w:szCs w:val="17"/>
                <w:color w:val="auto"/>
                <w:vertAlign w:val="superscript"/>
              </w:rPr>
              <w:t>(3)</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+ 8.25%</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9.75%</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44,564</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44,184</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w:t>
            </w: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Convertible note ($4,124 par, due 5/2028)</w:t>
            </w:r>
          </w:p>
        </w:tc>
        <w:tc>
          <w:tcPr>
            <w:tcW w:w="840" w:type="dxa"/>
            <w:vAlign w:val="bottom"/>
          </w:tcPr>
          <w:p>
            <w:pPr>
              <w:jc w:val="right"/>
              <w:spacing w:after="0"/>
              <w:rPr>
                <w:sz w:val="20"/>
                <w:szCs w:val="20"/>
                <w:color w:val="auto"/>
              </w:rPr>
            </w:pPr>
            <w:r>
              <w:rPr>
                <w:rFonts w:ascii="Arial" w:cs="Arial" w:eastAsia="Arial" w:hAnsi="Arial"/>
                <w:sz w:val="11"/>
                <w:szCs w:val="11"/>
                <w:color w:val="auto"/>
              </w:rPr>
              <w:t>5/12/2021</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6.00%</w:t>
            </w: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6.00% PIK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4,087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4,114</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0.3%</w:t>
            </w:r>
          </w:p>
        </w:tc>
      </w:tr>
      <w:tr>
        <w:trPr>
          <w:trHeight w:val="143"/>
        </w:trPr>
        <w:tc>
          <w:tcPr>
            <w:tcW w:w="26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82,572</w:t>
            </w: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82,161</w:t>
            </w: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6.5</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r>
      <w:tr>
        <w:trPr>
          <w:trHeight w:val="13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Education</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Astra Acquisition Corp. </w:t>
            </w:r>
            <w:r>
              <w:rPr>
                <w:rFonts w:ascii="Arial" w:cs="Arial" w:eastAsia="Arial" w:hAnsi="Arial"/>
                <w:sz w:val="17"/>
                <w:szCs w:val="17"/>
                <w:color w:val="auto"/>
                <w:vertAlign w:val="superscript"/>
              </w:rPr>
              <w:t>(3)(11)</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Second-lien loan ($43,490 par, due 10/2029)</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10/25/2021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+ 8.88%</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9.63%</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42,629</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42,729</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w:t>
            </w: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Destiny Solutions Parent</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($53,522 par, due 6/2026)</w:t>
            </w:r>
          </w:p>
        </w:tc>
        <w:tc>
          <w:tcPr>
            <w:tcW w:w="840" w:type="dxa"/>
            <w:vAlign w:val="bottom"/>
          </w:tcPr>
          <w:p>
            <w:pPr>
              <w:jc w:val="right"/>
              <w:spacing w:after="0"/>
              <w:rPr>
                <w:sz w:val="20"/>
                <w:szCs w:val="20"/>
                <w:color w:val="auto"/>
              </w:rPr>
            </w:pPr>
            <w:r>
              <w:rPr>
                <w:rFonts w:ascii="Arial" w:cs="Arial" w:eastAsia="Arial" w:hAnsi="Arial"/>
                <w:sz w:val="11"/>
                <w:szCs w:val="11"/>
                <w:color w:val="auto"/>
              </w:rPr>
              <w:t>6/8/2021</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+ 6.00%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52,318</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52,622</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4.1%</w:t>
            </w:r>
          </w:p>
        </w:tc>
      </w:tr>
      <w:tr>
        <w:trPr>
          <w:trHeight w:val="151"/>
        </w:trPr>
        <w:tc>
          <w:tcPr>
            <w:tcW w:w="2700" w:type="dxa"/>
            <w:vAlign w:val="bottom"/>
            <w:gridSpan w:val="2"/>
          </w:tcPr>
          <w:p>
            <w:pPr>
              <w:ind w:left="80"/>
              <w:spacing w:after="0" w:line="150" w:lineRule="exact"/>
              <w:rPr>
                <w:sz w:val="20"/>
                <w:szCs w:val="20"/>
                <w:color w:val="auto"/>
              </w:rPr>
            </w:pPr>
            <w:r>
              <w:rPr>
                <w:rFonts w:ascii="Arial" w:cs="Arial" w:eastAsia="Arial" w:hAnsi="Arial"/>
                <w:sz w:val="10"/>
                <w:szCs w:val="10"/>
                <w:color w:val="auto"/>
              </w:rPr>
              <w:t xml:space="preserve">Holding Company </w:t>
            </w:r>
            <w:r>
              <w:rPr>
                <w:rFonts w:ascii="Arial" w:cs="Arial" w:eastAsia="Arial" w:hAnsi="Arial"/>
                <w:sz w:val="17"/>
                <w:szCs w:val="17"/>
                <w:color w:val="auto"/>
                <w:vertAlign w:val="superscript"/>
              </w:rPr>
              <w:t>(3)(5)</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EMS Linq, Inc.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($56,216 par, due 12/2027)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+ 6.25%</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7.25%</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54,921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54,916</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4.4%</w:t>
            </w: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Frontline Technologies</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($86,466 par, due 9/2023)</w:t>
            </w:r>
          </w:p>
        </w:tc>
        <w:tc>
          <w:tcPr>
            <w:tcW w:w="840" w:type="dxa"/>
            <w:vAlign w:val="bottom"/>
          </w:tcPr>
          <w:p>
            <w:pPr>
              <w:jc w:val="right"/>
              <w:spacing w:after="0"/>
              <w:rPr>
                <w:sz w:val="20"/>
                <w:szCs w:val="20"/>
                <w:color w:val="auto"/>
              </w:rPr>
            </w:pPr>
            <w:r>
              <w:rPr>
                <w:rFonts w:ascii="Arial" w:cs="Arial" w:eastAsia="Arial" w:hAnsi="Arial"/>
                <w:sz w:val="11"/>
                <w:szCs w:val="11"/>
                <w:color w:val="auto"/>
              </w:rPr>
              <w:t>9/18/2017</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+ 5.25%</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86,237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86,682</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6.8%</w:t>
            </w:r>
          </w:p>
        </w:tc>
      </w:tr>
      <w:tr>
        <w:trPr>
          <w:trHeight w:val="151"/>
        </w:trPr>
        <w:tc>
          <w:tcPr>
            <w:tcW w:w="2700" w:type="dxa"/>
            <w:vAlign w:val="bottom"/>
            <w:gridSpan w:val="2"/>
          </w:tcPr>
          <w:p>
            <w:pPr>
              <w:ind w:left="80"/>
              <w:spacing w:after="0" w:line="150" w:lineRule="exact"/>
              <w:rPr>
                <w:sz w:val="20"/>
                <w:szCs w:val="20"/>
                <w:color w:val="auto"/>
              </w:rPr>
            </w:pPr>
            <w:r>
              <w:rPr>
                <w:rFonts w:ascii="Arial" w:cs="Arial" w:eastAsia="Arial" w:hAnsi="Arial"/>
                <w:sz w:val="10"/>
                <w:szCs w:val="10"/>
                <w:color w:val="auto"/>
              </w:rPr>
              <w:t xml:space="preserve">Group, LLC </w:t>
            </w:r>
            <w:r>
              <w:rPr>
                <w:rFonts w:ascii="Arial" w:cs="Arial" w:eastAsia="Arial" w:hAnsi="Arial"/>
                <w:sz w:val="17"/>
                <w:szCs w:val="17"/>
                <w:color w:val="auto"/>
                <w:vertAlign w:val="superscript"/>
              </w:rPr>
              <w:t>(3)</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Illuminate Education,</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($62,725 par, due 8/2022)</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8/25/2017</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+ 6.00%</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7.00%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62,519</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62,882</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4.9%</w:t>
            </w:r>
          </w:p>
        </w:tc>
      </w:tr>
      <w:tr>
        <w:trPr>
          <w:trHeight w:val="149"/>
        </w:trPr>
        <w:tc>
          <w:tcPr>
            <w:tcW w:w="270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(3)(5)</w:t>
            </w: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1"/>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298,624</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299,831</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23.6%</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Financial Services</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AvidXchange, Inc. </w:t>
            </w:r>
            <w:r>
              <w:rPr>
                <w:rFonts w:ascii="Arial" w:cs="Arial" w:eastAsia="Arial" w:hAnsi="Arial"/>
                <w:sz w:val="17"/>
                <w:szCs w:val="17"/>
                <w:color w:val="auto"/>
                <w:vertAlign w:val="superscript"/>
              </w:rPr>
              <w:t>(3)(4)(5)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($11,205 par, due 4/2024)</w:t>
            </w:r>
          </w:p>
        </w:tc>
        <w:tc>
          <w:tcPr>
            <w:tcW w:w="840" w:type="dxa"/>
            <w:vAlign w:val="bottom"/>
          </w:tcPr>
          <w:p>
            <w:pPr>
              <w:jc w:val="right"/>
              <w:spacing w:after="0"/>
              <w:rPr>
                <w:sz w:val="20"/>
                <w:szCs w:val="20"/>
                <w:color w:val="auto"/>
              </w:rPr>
            </w:pPr>
            <w:r>
              <w:rPr>
                <w:rFonts w:ascii="Arial" w:cs="Arial" w:eastAsia="Arial" w:hAnsi="Arial"/>
                <w:sz w:val="11"/>
                <w:szCs w:val="11"/>
                <w:color w:val="auto"/>
              </w:rPr>
              <w:t>10/1/2019</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+ 9.00%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10.00%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11,129</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11,327</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0.9%</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Bear OpCo, LLC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($19,575 par, due 10/2024)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10/10/2019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+ 6.50%</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7.50%</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19,247</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19,428</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BlueSnap, Inc.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($35,000 par, due 10/2024)</w:t>
            </w:r>
          </w:p>
        </w:tc>
        <w:tc>
          <w:tcPr>
            <w:tcW w:w="840" w:type="dxa"/>
            <w:vAlign w:val="bottom"/>
          </w:tcPr>
          <w:p>
            <w:pPr>
              <w:jc w:val="right"/>
              <w:spacing w:after="0"/>
              <w:rPr>
                <w:sz w:val="20"/>
                <w:szCs w:val="20"/>
                <w:color w:val="auto"/>
              </w:rPr>
            </w:pPr>
            <w:r>
              <w:rPr>
                <w:rFonts w:ascii="Arial" w:cs="Arial" w:eastAsia="Arial" w:hAnsi="Arial"/>
                <w:sz w:val="11"/>
                <w:szCs w:val="11"/>
                <w:color w:val="auto"/>
              </w:rPr>
              <w:t>10/25/2019</w:t>
            </w: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+ 6.75%</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7.75%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34,426</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35,475</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2.8%</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G Treasury SS, LLC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($59,318 par, due 4/2023)</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4/9/2018</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L + 8.25%</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9.25%</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58,570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60,479</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4.7%</w:t>
            </w:r>
          </w:p>
        </w:tc>
      </w:tr>
      <w:tr>
        <w:trPr>
          <w:trHeight w:val="251"/>
        </w:trPr>
        <w:tc>
          <w:tcPr>
            <w:tcW w:w="2700" w:type="dxa"/>
            <w:vAlign w:val="bottom"/>
            <w:gridSpan w:val="2"/>
          </w:tcPr>
          <w:p>
            <w:pPr>
              <w:spacing w:after="0"/>
              <w:rPr>
                <w:sz w:val="20"/>
                <w:szCs w:val="20"/>
                <w:color w:val="auto"/>
              </w:rPr>
            </w:pPr>
            <w:r>
              <w:rPr>
                <w:rFonts w:ascii="Arial" w:cs="Arial" w:eastAsia="Arial" w:hAnsi="Arial"/>
                <w:sz w:val="11"/>
                <w:szCs w:val="11"/>
                <w:color w:val="auto"/>
              </w:rPr>
              <w:t xml:space="preserve">Ibis Intermediate Co. </w:t>
            </w:r>
            <w:r>
              <w:rPr>
                <w:rFonts w:ascii="Arial" w:cs="Arial" w:eastAsia="Arial" w:hAnsi="Arial"/>
                <w:sz w:val="19"/>
                <w:szCs w:val="19"/>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($1,542 par, due 5/2027)</w:t>
            </w:r>
          </w:p>
        </w:tc>
        <w:tc>
          <w:tcPr>
            <w:tcW w:w="840" w:type="dxa"/>
            <w:vAlign w:val="bottom"/>
          </w:tcPr>
          <w:p>
            <w:pPr>
              <w:jc w:val="right"/>
              <w:spacing w:after="0"/>
              <w:rPr>
                <w:sz w:val="20"/>
                <w:szCs w:val="20"/>
                <w:color w:val="auto"/>
              </w:rPr>
            </w:pPr>
            <w:r>
              <w:rPr>
                <w:rFonts w:ascii="Arial" w:cs="Arial" w:eastAsia="Arial" w:hAnsi="Arial"/>
                <w:sz w:val="11"/>
                <w:szCs w:val="11"/>
                <w:color w:val="auto"/>
              </w:rPr>
              <w:t>5/28/2021</w:t>
            </w:r>
          </w:p>
        </w:tc>
        <w:tc>
          <w:tcPr>
            <w:tcW w:w="1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L + 5.00%</w:t>
            </w:r>
          </w:p>
        </w:tc>
        <w:tc>
          <w:tcPr>
            <w:tcW w:w="136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1,410</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1,640</w:t>
            </w:r>
          </w:p>
        </w:tc>
        <w:tc>
          <w:tcPr>
            <w:tcW w:w="2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0.1%</w:t>
            </w:r>
          </w:p>
        </w:tc>
      </w:tr>
    </w:tbl>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Initial</w:t>
            </w:r>
          </w:p>
        </w:tc>
        <w:tc>
          <w:tcPr>
            <w:tcW w:w="980" w:type="dxa"/>
            <w:vAlign w:val="bottom"/>
            <w:gridSpan w:val="2"/>
          </w:tcPr>
          <w:p>
            <w:pPr>
              <w:jc w:val="center"/>
              <w:ind w:right="195"/>
              <w:spacing w:after="0"/>
              <w:rPr>
                <w:sz w:val="20"/>
                <w:szCs w:val="20"/>
                <w:color w:val="auto"/>
              </w:rPr>
            </w:pPr>
            <w:r>
              <w:rPr>
                <w:rFonts w:ascii="Arial" w:cs="Arial" w:eastAsia="Arial" w:hAnsi="Arial"/>
                <w:sz w:val="9"/>
                <w:szCs w:val="9"/>
                <w:b w:val="1"/>
                <w:bCs w:val="1"/>
                <w:color w:val="auto"/>
                <w:w w:val="87"/>
              </w:rPr>
              <w:t>Reference</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5"/>
              </w:rPr>
              <w:t>Acquisition</w:t>
            </w:r>
          </w:p>
        </w:tc>
        <w:tc>
          <w:tcPr>
            <w:tcW w:w="980" w:type="dxa"/>
            <w:vAlign w:val="bottom"/>
            <w:gridSpan w:val="2"/>
          </w:tcPr>
          <w:p>
            <w:pPr>
              <w:jc w:val="center"/>
              <w:ind w:right="195"/>
              <w:spacing w:after="0" w:line="95" w:lineRule="exact"/>
              <w:rPr>
                <w:sz w:val="20"/>
                <w:szCs w:val="20"/>
                <w:color w:val="auto"/>
              </w:rPr>
            </w:pPr>
            <w:r>
              <w:rPr>
                <w:rFonts w:ascii="Arial" w:cs="Arial" w:eastAsia="Arial" w:hAnsi="Arial"/>
                <w:sz w:val="9"/>
                <w:szCs w:val="9"/>
                <w:b w:val="1"/>
                <w:bCs w:val="1"/>
                <w:color w:val="auto"/>
                <w:w w:val="89"/>
              </w:rPr>
              <w:t>Rate and</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ind w:left="180"/>
              <w:spacing w:after="0" w:line="95" w:lineRule="exact"/>
              <w:rPr>
                <w:sz w:val="20"/>
                <w:szCs w:val="20"/>
                <w:color w:val="auto"/>
              </w:rPr>
            </w:pPr>
            <w:r>
              <w:rPr>
                <w:rFonts w:ascii="Arial" w:cs="Arial" w:eastAsia="Arial" w:hAnsi="Arial"/>
                <w:sz w:val="9"/>
                <w:szCs w:val="9"/>
                <w:b w:val="1"/>
                <w:bCs w:val="1"/>
                <w:color w:val="auto"/>
              </w:rPr>
              <w:t>Amortized</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203"/>
              <w:spacing w:after="0" w:line="95" w:lineRule="exact"/>
              <w:rPr>
                <w:sz w:val="20"/>
                <w:szCs w:val="20"/>
                <w:color w:val="auto"/>
              </w:rPr>
            </w:pPr>
            <w:r>
              <w:rPr>
                <w:rFonts w:ascii="Arial" w:cs="Arial" w:eastAsia="Arial" w:hAnsi="Arial"/>
                <w:sz w:val="9"/>
                <w:szCs w:val="9"/>
                <w:b w:val="1"/>
                <w:bCs w:val="1"/>
                <w:color w:val="auto"/>
              </w:rPr>
              <w:t>Percentage</w:t>
            </w:r>
          </w:p>
        </w:tc>
      </w:tr>
      <w:tr>
        <w:trPr>
          <w:trHeight w:val="107"/>
        </w:trPr>
        <w:tc>
          <w:tcPr>
            <w:tcW w:w="2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w:t>
            </w:r>
          </w:p>
        </w:tc>
        <w:tc>
          <w:tcPr>
            <w:tcW w:w="100" w:type="dxa"/>
            <w:vAlign w:val="bottom"/>
            <w:tcBorders>
              <w:bottom w:val="single" w:sz="8" w:color="CFF0FC"/>
            </w:tcBorders>
          </w:tcPr>
          <w:p>
            <w:pPr>
              <w:spacing w:after="0"/>
              <w:rPr>
                <w:sz w:val="9"/>
                <w:szCs w:val="9"/>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9"/>
                <w:szCs w:val="9"/>
                <w:b w:val="1"/>
                <w:bCs w:val="1"/>
                <w:color w:val="auto"/>
              </w:rPr>
              <w:t>Investment</w:t>
            </w:r>
          </w:p>
        </w:tc>
        <w:tc>
          <w:tcPr>
            <w:tcW w:w="12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Spread</w:t>
            </w:r>
          </w:p>
        </w:tc>
        <w:tc>
          <w:tcPr>
            <w:tcW w:w="220" w:type="dxa"/>
            <w:vAlign w:val="bottom"/>
            <w:tcBorders>
              <w:bottom w:val="single" w:sz="8" w:color="CFF0FC"/>
            </w:tcBorders>
          </w:tcPr>
          <w:p>
            <w:pPr>
              <w:spacing w:after="0"/>
              <w:rPr>
                <w:sz w:val="9"/>
                <w:szCs w:val="9"/>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9"/>
                <w:szCs w:val="9"/>
                <w:b w:val="1"/>
                <w:bCs w:val="1"/>
                <w:color w:val="auto"/>
              </w:rPr>
              <w:t>Interest Rate</w:t>
            </w:r>
          </w:p>
        </w:tc>
        <w:tc>
          <w:tcPr>
            <w:tcW w:w="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9"/>
                <w:szCs w:val="9"/>
                <w:b w:val="1"/>
                <w:bCs w:val="1"/>
                <w:color w:val="auto"/>
              </w:rPr>
              <w:t xml:space="preserve">Cost </w:t>
            </w:r>
            <w:r>
              <w:rPr>
                <w:rFonts w:ascii="Arial" w:cs="Arial" w:eastAsia="Arial" w:hAnsi="Arial"/>
                <w:sz w:val="7"/>
                <w:szCs w:val="7"/>
                <w:b w:val="1"/>
                <w:bCs w:val="1"/>
                <w:color w:val="auto"/>
              </w:rPr>
              <w:t>(2)(8)</w:t>
            </w: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7"/>
                <w:szCs w:val="7"/>
                <w:b w:val="1"/>
                <w:bCs w:val="1"/>
                <w:color w:val="auto"/>
              </w:rPr>
              <w:t>(10)</w:t>
            </w:r>
          </w:p>
        </w:tc>
        <w:tc>
          <w:tcPr>
            <w:tcW w:w="20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rPr>
              <w:t>of Net Assets</w:t>
            </w:r>
          </w:p>
        </w:tc>
        <w:tc>
          <w:tcPr>
            <w:tcW w:w="120" w:type="dxa"/>
            <w:vAlign w:val="bottom"/>
            <w:tcBorders>
              <w:bottom w:val="single" w:sz="8" w:color="CFF0FC"/>
            </w:tcBorders>
          </w:tcPr>
          <w:p>
            <w:pPr>
              <w:spacing w:after="0"/>
              <w:rPr>
                <w:sz w:val="9"/>
                <w:szCs w:val="9"/>
                <w:color w:val="auto"/>
              </w:rPr>
            </w:pPr>
          </w:p>
        </w:tc>
      </w:tr>
      <w:tr>
        <w:trPr>
          <w:trHeight w:val="141"/>
        </w:trPr>
        <w:tc>
          <w:tcPr>
            <w:tcW w:w="2700" w:type="dxa"/>
            <w:vAlign w:val="bottom"/>
            <w:gridSpan w:val="2"/>
            <w:shd w:val="clear" w:color="auto" w:fill="CFF0FC"/>
          </w:tcPr>
          <w:p>
            <w:pPr>
              <w:spacing w:after="0" w:line="141" w:lineRule="exact"/>
              <w:rPr>
                <w:sz w:val="20"/>
                <w:szCs w:val="20"/>
                <w:color w:val="auto"/>
              </w:rPr>
            </w:pPr>
            <w:r>
              <w:rPr>
                <w:rFonts w:ascii="Arial" w:cs="Arial" w:eastAsia="Arial" w:hAnsi="Arial"/>
                <w:sz w:val="10"/>
                <w:szCs w:val="10"/>
                <w:color w:val="auto"/>
              </w:rPr>
              <w:t xml:space="preserve">Ibis US Blocker Co. </w:t>
            </w:r>
            <w:r>
              <w:rPr>
                <w:rFonts w:ascii="Arial" w:cs="Arial" w:eastAsia="Arial" w:hAnsi="Arial"/>
                <w:sz w:val="16"/>
                <w:szCs w:val="16"/>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($12,669 par, due 5/2028)</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5/28/2021</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4"/>
              </w:rPr>
              <w:t>L + 8.25</w:t>
            </w:r>
          </w:p>
        </w:tc>
        <w:tc>
          <w:tcPr>
            <w:tcW w:w="2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w w:val="74"/>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8.75%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12,393</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12,479</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w:t>
            </w: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Jonas Collections and</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($27,375 par, due 6/2026)</w:t>
            </w:r>
          </w:p>
        </w:tc>
        <w:tc>
          <w:tcPr>
            <w:tcW w:w="840" w:type="dxa"/>
            <w:vAlign w:val="bottom"/>
          </w:tcPr>
          <w:p>
            <w:pPr>
              <w:jc w:val="right"/>
              <w:spacing w:after="0"/>
              <w:rPr>
                <w:sz w:val="20"/>
                <w:szCs w:val="20"/>
                <w:color w:val="auto"/>
              </w:rPr>
            </w:pPr>
            <w:r>
              <w:rPr>
                <w:rFonts w:ascii="Arial" w:cs="Arial" w:eastAsia="Arial" w:hAnsi="Arial"/>
                <w:sz w:val="11"/>
                <w:szCs w:val="11"/>
                <w:color w:val="auto"/>
              </w:rPr>
              <w:t>6/21/2021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+ 5.75%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6.75%</w:t>
            </w:r>
          </w:p>
        </w:tc>
        <w:tc>
          <w:tcPr>
            <w:tcW w:w="760" w:type="dxa"/>
            <w:vAlign w:val="bottom"/>
          </w:tcPr>
          <w:p>
            <w:pPr>
              <w:jc w:val="right"/>
              <w:spacing w:after="0"/>
              <w:rPr>
                <w:sz w:val="20"/>
                <w:szCs w:val="20"/>
                <w:color w:val="auto"/>
              </w:rPr>
            </w:pPr>
            <w:r>
              <w:rPr>
                <w:rFonts w:ascii="Arial" w:cs="Arial" w:eastAsia="Arial" w:hAnsi="Arial"/>
                <w:sz w:val="11"/>
                <w:szCs w:val="11"/>
                <w:color w:val="auto"/>
              </w:rPr>
              <w:t>26,854</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26,964</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2.1%</w:t>
            </w:r>
          </w:p>
        </w:tc>
      </w:tr>
      <w:tr>
        <w:trPr>
          <w:trHeight w:val="151"/>
        </w:trPr>
        <w:tc>
          <w:tcPr>
            <w:tcW w:w="2700" w:type="dxa"/>
            <w:vAlign w:val="bottom"/>
            <w:gridSpan w:val="2"/>
          </w:tcPr>
          <w:p>
            <w:pPr>
              <w:ind w:left="80"/>
              <w:spacing w:after="0" w:line="150" w:lineRule="exact"/>
              <w:rPr>
                <w:sz w:val="20"/>
                <w:szCs w:val="20"/>
                <w:color w:val="auto"/>
              </w:rPr>
            </w:pPr>
            <w:r>
              <w:rPr>
                <w:rFonts w:ascii="Arial" w:cs="Arial" w:eastAsia="Arial" w:hAnsi="Arial"/>
                <w:sz w:val="10"/>
                <w:szCs w:val="10"/>
                <w:color w:val="auto"/>
              </w:rPr>
              <w:t xml:space="preserve">Recovery, Inc. </w:t>
            </w:r>
            <w:r>
              <w:rPr>
                <w:rFonts w:ascii="Arial" w:cs="Arial" w:eastAsia="Arial" w:hAnsi="Arial"/>
                <w:sz w:val="17"/>
                <w:szCs w:val="17"/>
                <w:color w:val="auto"/>
                <w:vertAlign w:val="superscript"/>
              </w:rPr>
              <w:t>(3)(5)</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Kyriba Corp.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($17,412 par, due 4/2025)</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+ 9.00%</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w w:val="96"/>
              </w:rPr>
              <w:t>10.50% (incl. 9.00%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17,163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17,673</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1.4%</w:t>
            </w:r>
          </w:p>
        </w:tc>
      </w:tr>
      <w:tr>
        <w:trPr>
          <w:trHeight w:val="144"/>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(EUR 9,070 par, due 4/2025)</w:t>
            </w:r>
          </w:p>
        </w:tc>
        <w:tc>
          <w:tcPr>
            <w:tcW w:w="840" w:type="dxa"/>
            <w:vAlign w:val="bottom"/>
          </w:tcPr>
          <w:p>
            <w:pPr>
              <w:jc w:val="right"/>
              <w:spacing w:after="0"/>
              <w:rPr>
                <w:sz w:val="20"/>
                <w:szCs w:val="20"/>
                <w:color w:val="auto"/>
              </w:rPr>
            </w:pPr>
            <w:r>
              <w:rPr>
                <w:rFonts w:ascii="Arial" w:cs="Arial" w:eastAsia="Arial" w:hAnsi="Arial"/>
                <w:sz w:val="11"/>
                <w:szCs w:val="11"/>
                <w:color w:val="auto"/>
              </w:rPr>
              <w:t>4/9/2019</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E + 9.00%</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9.00% PIK</w:t>
            </w:r>
          </w:p>
        </w:tc>
        <w:tc>
          <w:tcPr>
            <w:tcW w:w="760" w:type="dxa"/>
            <w:vAlign w:val="bottom"/>
          </w:tcPr>
          <w:p>
            <w:pPr>
              <w:jc w:val="right"/>
              <w:spacing w:after="0"/>
              <w:rPr>
                <w:sz w:val="20"/>
                <w:szCs w:val="20"/>
                <w:color w:val="auto"/>
              </w:rPr>
            </w:pPr>
            <w:r>
              <w:rPr>
                <w:rFonts w:ascii="Arial" w:cs="Arial" w:eastAsia="Arial" w:hAnsi="Arial"/>
                <w:sz w:val="11"/>
                <w:szCs w:val="11"/>
                <w:color w:val="auto"/>
              </w:rPr>
              <w:t>10,070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10,470</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0.8%</w:t>
            </w:r>
          </w:p>
        </w:tc>
      </w:tr>
      <w:tr>
        <w:trPr>
          <w:trHeight w:val="147"/>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1"/>
                <w:szCs w:val="11"/>
                <w:color w:val="auto"/>
              </w:rPr>
              <w:t>(EUR 9,206)</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revolving loan ($1,411 par, due 4/2025)</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+ 7.25%</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1,387</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1,438</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r>
      <w:tr>
        <w:trPr>
          <w:trHeight w:val="144"/>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revolving loan (EUR 336 par, due</w:t>
            </w:r>
          </w:p>
        </w:tc>
        <w:tc>
          <w:tcPr>
            <w:tcW w:w="840" w:type="dxa"/>
            <w:vAlign w:val="bottom"/>
          </w:tcPr>
          <w:p>
            <w:pPr>
              <w:jc w:val="right"/>
              <w:spacing w:after="0"/>
              <w:rPr>
                <w:sz w:val="20"/>
                <w:szCs w:val="20"/>
                <w:color w:val="auto"/>
              </w:rPr>
            </w:pPr>
            <w:r>
              <w:rPr>
                <w:rFonts w:ascii="Arial" w:cs="Arial" w:eastAsia="Arial" w:hAnsi="Arial"/>
                <w:sz w:val="11"/>
                <w:szCs w:val="11"/>
                <w:color w:val="auto"/>
              </w:rPr>
              <w:t>4/9/2019</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E + 7.25%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8.75%</w:t>
            </w:r>
          </w:p>
        </w:tc>
        <w:tc>
          <w:tcPr>
            <w:tcW w:w="760" w:type="dxa"/>
            <w:vAlign w:val="bottom"/>
          </w:tcPr>
          <w:p>
            <w:pPr>
              <w:jc w:val="right"/>
              <w:spacing w:after="0"/>
              <w:rPr>
                <w:sz w:val="20"/>
                <w:szCs w:val="20"/>
                <w:color w:val="auto"/>
              </w:rPr>
            </w:pPr>
            <w:r>
              <w:rPr>
                <w:rFonts w:ascii="Arial" w:cs="Arial" w:eastAsia="Arial" w:hAnsi="Arial"/>
                <w:sz w:val="11"/>
                <w:szCs w:val="11"/>
                <w:color w:val="auto"/>
              </w:rPr>
              <w:t>370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382</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0.0%</w:t>
            </w:r>
          </w:p>
        </w:tc>
      </w:tr>
      <w:tr>
        <w:trPr>
          <w:trHeight w:val="147"/>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20"/>
                <w:szCs w:val="20"/>
                <w:color w:val="auto"/>
              </w:rPr>
            </w:pPr>
            <w:r>
              <w:rPr>
                <w:rFonts w:ascii="Arial" w:cs="Arial" w:eastAsia="Arial" w:hAnsi="Arial"/>
                <w:sz w:val="11"/>
                <w:szCs w:val="11"/>
                <w:color w:val="auto"/>
              </w:rPr>
              <w:t>4/2025)</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1"/>
                <w:szCs w:val="11"/>
                <w:color w:val="auto"/>
              </w:rPr>
              <w:t>(EUR 336)</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Passport Labs, Inc.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($17,018 par, due 4/2026)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4/28/2021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+ 8.25%</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w w:val="96"/>
              </w:rPr>
              <w:t>9.25% (incl. 4.125%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16,721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16,864</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1.3%</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PrimeRevenue, Inc. </w:t>
            </w:r>
            <w:r>
              <w:rPr>
                <w:rFonts w:ascii="Arial" w:cs="Arial" w:eastAsia="Arial" w:hAnsi="Arial"/>
                <w:sz w:val="17"/>
                <w:szCs w:val="17"/>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($22,507 par, due 12/2023)</w:t>
            </w:r>
          </w:p>
        </w:tc>
        <w:tc>
          <w:tcPr>
            <w:tcW w:w="840" w:type="dxa"/>
            <w:vAlign w:val="bottom"/>
          </w:tcPr>
          <w:p>
            <w:pPr>
              <w:jc w:val="right"/>
              <w:spacing w:after="0"/>
              <w:rPr>
                <w:sz w:val="20"/>
                <w:szCs w:val="20"/>
                <w:color w:val="auto"/>
              </w:rPr>
            </w:pPr>
            <w:r>
              <w:rPr>
                <w:rFonts w:ascii="Arial" w:cs="Arial" w:eastAsia="Arial" w:hAnsi="Arial"/>
                <w:sz w:val="11"/>
                <w:szCs w:val="11"/>
                <w:color w:val="auto"/>
              </w:rPr>
              <w:t>12/31/2018</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+ 7.00%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8.50%</w:t>
            </w:r>
          </w:p>
        </w:tc>
        <w:tc>
          <w:tcPr>
            <w:tcW w:w="760" w:type="dxa"/>
            <w:vAlign w:val="bottom"/>
          </w:tcPr>
          <w:p>
            <w:pPr>
              <w:jc w:val="right"/>
              <w:spacing w:after="0"/>
              <w:rPr>
                <w:sz w:val="20"/>
                <w:szCs w:val="20"/>
                <w:color w:val="auto"/>
              </w:rPr>
            </w:pPr>
            <w:r>
              <w:rPr>
                <w:rFonts w:ascii="Arial" w:cs="Arial" w:eastAsia="Arial" w:hAnsi="Arial"/>
                <w:sz w:val="11"/>
                <w:szCs w:val="11"/>
                <w:color w:val="auto"/>
              </w:rPr>
              <w:t>22,365</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23,015</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1.8%</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TradingScreen, Inc.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($45,000 par, due 4/2027)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4/30/2021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+ 6.25%</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7.25%</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43,771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44,325</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3.5%</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275,876</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281,959</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22.0%</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Healthcare</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BCTO Ace Purchaser, Inc.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($53,094 par, due 11/2026)</w:t>
            </w:r>
          </w:p>
        </w:tc>
        <w:tc>
          <w:tcPr>
            <w:tcW w:w="840" w:type="dxa"/>
            <w:vAlign w:val="bottom"/>
          </w:tcPr>
          <w:p>
            <w:pPr>
              <w:jc w:val="right"/>
              <w:spacing w:after="0"/>
              <w:rPr>
                <w:sz w:val="20"/>
                <w:szCs w:val="20"/>
                <w:color w:val="auto"/>
              </w:rPr>
            </w:pPr>
            <w:r>
              <w:rPr>
                <w:rFonts w:ascii="Arial" w:cs="Arial" w:eastAsia="Arial" w:hAnsi="Arial"/>
                <w:sz w:val="11"/>
                <w:szCs w:val="11"/>
                <w:color w:val="auto"/>
              </w:rPr>
              <w:t>11/23/2020</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+ 6.50%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7.50%</w:t>
            </w:r>
          </w:p>
        </w:tc>
        <w:tc>
          <w:tcPr>
            <w:tcW w:w="760" w:type="dxa"/>
            <w:vAlign w:val="bottom"/>
          </w:tcPr>
          <w:p>
            <w:pPr>
              <w:jc w:val="right"/>
              <w:spacing w:after="0"/>
              <w:rPr>
                <w:sz w:val="20"/>
                <w:szCs w:val="20"/>
                <w:color w:val="auto"/>
              </w:rPr>
            </w:pPr>
            <w:r>
              <w:rPr>
                <w:rFonts w:ascii="Arial" w:cs="Arial" w:eastAsia="Arial" w:hAnsi="Arial"/>
                <w:sz w:val="11"/>
                <w:szCs w:val="11"/>
                <w:color w:val="auto"/>
              </w:rPr>
              <w:t>51,815</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53,493</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4.2%</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Caris Life Sciences, Inc.</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($5,000 par, due 9/2023)</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9/21/2018</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11.30%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11.30%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4,925</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5,250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0.4%</w:t>
            </w: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($3,750 par, due 4/2025)</w:t>
            </w:r>
          </w:p>
        </w:tc>
        <w:tc>
          <w:tcPr>
            <w:tcW w:w="840" w:type="dxa"/>
            <w:vAlign w:val="bottom"/>
          </w:tcPr>
          <w:p>
            <w:pPr>
              <w:jc w:val="right"/>
              <w:spacing w:after="0"/>
              <w:rPr>
                <w:sz w:val="20"/>
                <w:szCs w:val="20"/>
                <w:color w:val="auto"/>
              </w:rPr>
            </w:pPr>
            <w:r>
              <w:rPr>
                <w:rFonts w:ascii="Arial" w:cs="Arial" w:eastAsia="Arial" w:hAnsi="Arial"/>
                <w:sz w:val="11"/>
                <w:szCs w:val="11"/>
                <w:color w:val="auto"/>
              </w:rPr>
              <w:t>4/2/2020</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11.30%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11.30%</w:t>
            </w:r>
          </w:p>
        </w:tc>
        <w:tc>
          <w:tcPr>
            <w:tcW w:w="760" w:type="dxa"/>
            <w:vAlign w:val="bottom"/>
          </w:tcPr>
          <w:p>
            <w:pPr>
              <w:jc w:val="right"/>
              <w:spacing w:after="0"/>
              <w:rPr>
                <w:sz w:val="20"/>
                <w:szCs w:val="20"/>
                <w:color w:val="auto"/>
              </w:rPr>
            </w:pPr>
            <w:r>
              <w:rPr>
                <w:rFonts w:ascii="Arial" w:cs="Arial" w:eastAsia="Arial" w:hAnsi="Arial"/>
                <w:sz w:val="11"/>
                <w:szCs w:val="11"/>
                <w:color w:val="auto"/>
              </w:rPr>
              <w:t>3,547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4,031</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0.3%</w:t>
            </w:r>
          </w:p>
        </w:tc>
      </w:tr>
      <w:tr>
        <w:trPr>
          <w:trHeight w:val="153"/>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Convertible note ($2,602 par, due 9/2023)</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9/21/2018</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8.00%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12,230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Clinicient, Inc. </w:t>
            </w:r>
            <w:r>
              <w:rPr>
                <w:rFonts w:ascii="Arial" w:cs="Arial" w:eastAsia="Arial" w:hAnsi="Arial"/>
                <w:sz w:val="17"/>
                <w:szCs w:val="17"/>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($15,000 par, due 5/2024)</w:t>
            </w:r>
          </w:p>
        </w:tc>
        <w:tc>
          <w:tcPr>
            <w:tcW w:w="840" w:type="dxa"/>
            <w:vAlign w:val="bottom"/>
          </w:tcPr>
          <w:p>
            <w:pPr>
              <w:jc w:val="right"/>
              <w:spacing w:after="0"/>
              <w:rPr>
                <w:sz w:val="20"/>
                <w:szCs w:val="20"/>
                <w:color w:val="auto"/>
              </w:rPr>
            </w:pPr>
            <w:r>
              <w:rPr>
                <w:rFonts w:ascii="Arial" w:cs="Arial" w:eastAsia="Arial" w:hAnsi="Arial"/>
                <w:sz w:val="11"/>
                <w:szCs w:val="11"/>
                <w:color w:val="auto"/>
              </w:rPr>
              <w:t>5/31/2019</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+ 7.00%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8.50%</w:t>
            </w:r>
          </w:p>
        </w:tc>
        <w:tc>
          <w:tcPr>
            <w:tcW w:w="760" w:type="dxa"/>
            <w:vAlign w:val="bottom"/>
          </w:tcPr>
          <w:p>
            <w:pPr>
              <w:jc w:val="right"/>
              <w:spacing w:after="0"/>
              <w:rPr>
                <w:sz w:val="20"/>
                <w:szCs w:val="20"/>
                <w:color w:val="auto"/>
              </w:rPr>
            </w:pPr>
            <w:r>
              <w:rPr>
                <w:rFonts w:ascii="Arial" w:cs="Arial" w:eastAsia="Arial" w:hAnsi="Arial"/>
                <w:sz w:val="11"/>
                <w:szCs w:val="11"/>
                <w:color w:val="auto"/>
              </w:rPr>
              <w:t>14,920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15,150</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1.2%</w:t>
            </w:r>
          </w:p>
        </w:tc>
      </w:tr>
      <w:tr>
        <w:trPr>
          <w:trHeight w:val="151"/>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revolving loan ($2,400 par, due 5/2024)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5/31/2019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+ 7.00%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2,440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Homecare Software Solutions,</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($50,000 par, due 10/2026)</w:t>
            </w:r>
          </w:p>
        </w:tc>
        <w:tc>
          <w:tcPr>
            <w:tcW w:w="840" w:type="dxa"/>
            <w:vAlign w:val="bottom"/>
          </w:tcPr>
          <w:p>
            <w:pPr>
              <w:jc w:val="right"/>
              <w:spacing w:after="0"/>
              <w:rPr>
                <w:sz w:val="20"/>
                <w:szCs w:val="20"/>
                <w:color w:val="auto"/>
              </w:rPr>
            </w:pPr>
            <w:r>
              <w:rPr>
                <w:rFonts w:ascii="Arial" w:cs="Arial" w:eastAsia="Arial" w:hAnsi="Arial"/>
                <w:sz w:val="11"/>
                <w:szCs w:val="11"/>
                <w:color w:val="auto"/>
              </w:rPr>
              <w:t>10/6/2021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+ 5.25%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48,891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49,000</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3.8%</w:t>
            </w:r>
          </w:p>
        </w:tc>
      </w:tr>
      <w:tr>
        <w:trPr>
          <w:trHeight w:val="149"/>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Integrated Practice</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($48,688 par, due 10/2024)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6/30/2017</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+ 7.50%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47,578</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49,783</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w:t>
            </w:r>
          </w:p>
        </w:tc>
      </w:tr>
      <w:tr>
        <w:trPr>
          <w:trHeight w:val="151"/>
        </w:trPr>
        <w:tc>
          <w:tcPr>
            <w:tcW w:w="2700" w:type="dxa"/>
            <w:vAlign w:val="bottom"/>
            <w:gridSpan w:val="2"/>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Solutions, Inc. </w:t>
            </w:r>
            <w:r>
              <w:rPr>
                <w:rFonts w:ascii="Arial" w:cs="Arial" w:eastAsia="Arial" w:hAnsi="Arial"/>
                <w:sz w:val="17"/>
                <w:szCs w:val="17"/>
                <w:color w:val="auto"/>
                <w:vertAlign w:val="superscript"/>
              </w:rPr>
              <w:t>(3)(5)</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176,659</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191,377</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15.0%</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Hotel, Gaming and Leisure</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IRGSE Holding Corp. </w:t>
            </w:r>
            <w:r>
              <w:rPr>
                <w:rFonts w:ascii="Arial" w:cs="Arial" w:eastAsia="Arial" w:hAnsi="Arial"/>
                <w:sz w:val="17"/>
                <w:szCs w:val="17"/>
                <w:color w:val="auto"/>
                <w:vertAlign w:val="superscript"/>
              </w:rPr>
              <w:t>(3)(7)</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($30,261 par, due 6/2022)</w:t>
            </w:r>
          </w:p>
        </w:tc>
        <w:tc>
          <w:tcPr>
            <w:tcW w:w="840" w:type="dxa"/>
            <w:vAlign w:val="bottom"/>
          </w:tcPr>
          <w:p>
            <w:pPr>
              <w:jc w:val="right"/>
              <w:spacing w:after="0"/>
              <w:rPr>
                <w:sz w:val="20"/>
                <w:szCs w:val="20"/>
                <w:color w:val="auto"/>
              </w:rPr>
            </w:pPr>
            <w:r>
              <w:rPr>
                <w:rFonts w:ascii="Arial" w:cs="Arial" w:eastAsia="Arial" w:hAnsi="Arial"/>
                <w:sz w:val="11"/>
                <w:szCs w:val="11"/>
                <w:color w:val="auto"/>
              </w:rPr>
              <w:t>9/29/2015</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+ 9.50%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10.00%</w:t>
            </w:r>
          </w:p>
        </w:tc>
        <w:tc>
          <w:tcPr>
            <w:tcW w:w="760" w:type="dxa"/>
            <w:vAlign w:val="bottom"/>
          </w:tcPr>
          <w:p>
            <w:pPr>
              <w:jc w:val="right"/>
              <w:spacing w:after="0"/>
              <w:rPr>
                <w:sz w:val="20"/>
                <w:szCs w:val="20"/>
                <w:color w:val="auto"/>
              </w:rPr>
            </w:pPr>
            <w:r>
              <w:rPr>
                <w:rFonts w:ascii="Arial" w:cs="Arial" w:eastAsia="Arial" w:hAnsi="Arial"/>
                <w:sz w:val="11"/>
                <w:szCs w:val="11"/>
                <w:color w:val="auto"/>
              </w:rPr>
              <w:t>28,594</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30,261</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2.4%</w:t>
            </w:r>
          </w:p>
        </w:tc>
      </w:tr>
      <w:tr>
        <w:trPr>
          <w:trHeight w:val="144"/>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revolving loan ($12,327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9/29/2015</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+ 9.50%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10.00%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12,327</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12,327</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w:t>
            </w:r>
          </w:p>
        </w:tc>
      </w:tr>
      <w:tr>
        <w:trPr>
          <w:trHeight w:val="147"/>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1"/>
                <w:szCs w:val="11"/>
                <w:color w:val="auto"/>
              </w:rPr>
              <w:t>6/2022)</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tcBorders>
              <w:bottom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1"/>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40,921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42,588</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3.4%</w:t>
            </w:r>
          </w:p>
        </w:tc>
      </w:tr>
      <w:tr>
        <w:trPr>
          <w:trHeight w:val="143"/>
        </w:trPr>
        <w:tc>
          <w:tcPr>
            <w:tcW w:w="26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Human Resource Support Services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Axonify, Inc. </w:t>
            </w:r>
            <w:r>
              <w:rPr>
                <w:rFonts w:ascii="Arial" w:cs="Arial" w:eastAsia="Arial" w:hAnsi="Arial"/>
                <w:sz w:val="17"/>
                <w:szCs w:val="17"/>
                <w:color w:val="auto"/>
                <w:vertAlign w:val="superscript"/>
              </w:rPr>
              <w:t>(3)(4)(5)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($31,580 par, due 5/2026)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+ 7.50%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30,807</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31,100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DaySmart Holdings, LLC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($47,999 par, due 10/2025)</w:t>
            </w:r>
          </w:p>
        </w:tc>
        <w:tc>
          <w:tcPr>
            <w:tcW w:w="840" w:type="dxa"/>
            <w:vAlign w:val="bottom"/>
          </w:tcPr>
          <w:p>
            <w:pPr>
              <w:jc w:val="right"/>
              <w:spacing w:after="0"/>
              <w:rPr>
                <w:sz w:val="20"/>
                <w:szCs w:val="20"/>
                <w:color w:val="auto"/>
              </w:rPr>
            </w:pPr>
            <w:r>
              <w:rPr>
                <w:rFonts w:ascii="Arial" w:cs="Arial" w:eastAsia="Arial" w:hAnsi="Arial"/>
                <w:sz w:val="11"/>
                <w:szCs w:val="11"/>
                <w:color w:val="auto"/>
              </w:rPr>
              <w:t>12/18/2020</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+ 7.25%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8.75%</w:t>
            </w:r>
          </w:p>
        </w:tc>
        <w:tc>
          <w:tcPr>
            <w:tcW w:w="760" w:type="dxa"/>
            <w:vAlign w:val="bottom"/>
          </w:tcPr>
          <w:p>
            <w:pPr>
              <w:jc w:val="right"/>
              <w:spacing w:after="0"/>
              <w:rPr>
                <w:sz w:val="20"/>
                <w:szCs w:val="20"/>
                <w:color w:val="auto"/>
              </w:rPr>
            </w:pPr>
            <w:r>
              <w:rPr>
                <w:rFonts w:ascii="Arial" w:cs="Arial" w:eastAsia="Arial" w:hAnsi="Arial"/>
                <w:sz w:val="11"/>
                <w:szCs w:val="11"/>
                <w:color w:val="auto"/>
              </w:rPr>
              <w:t>47,891</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48,262</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3.8%</w:t>
            </w:r>
          </w:p>
        </w:tc>
      </w:tr>
      <w:tr>
        <w:trPr>
          <w:trHeight w:val="144"/>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revolving loan ($3,000 par, due</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12/18/2020</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+ 7.25%</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8.75%</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3,003</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3,015</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r>
      <w:tr>
        <w:trPr>
          <w:trHeight w:val="149"/>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1"/>
                <w:szCs w:val="11"/>
                <w:color w:val="auto"/>
              </w:rPr>
              <w:t>10/2025)</w:t>
            </w: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Employment Hero Holdings Pty</w:t>
            </w:r>
          </w:p>
        </w:tc>
        <w:tc>
          <w:tcPr>
            <w:tcW w:w="2400" w:type="dxa"/>
            <w:vAlign w:val="bottom"/>
            <w:gridSpan w:val="2"/>
          </w:tcPr>
          <w:p>
            <w:pPr>
              <w:spacing w:after="0" w:line="142" w:lineRule="exact"/>
              <w:rPr>
                <w:sz w:val="20"/>
                <w:szCs w:val="20"/>
                <w:color w:val="auto"/>
              </w:rPr>
            </w:pPr>
            <w:r>
              <w:rPr>
                <w:rFonts w:ascii="Arial" w:cs="Arial" w:eastAsia="Arial" w:hAnsi="Arial"/>
                <w:sz w:val="10"/>
                <w:szCs w:val="10"/>
                <w:color w:val="auto"/>
              </w:rPr>
              <w:t xml:space="preserve">First-lien loan (AUD 40,000 par, due 12/2026) </w:t>
            </w:r>
            <w:r>
              <w:rPr>
                <w:rFonts w:ascii="Arial" w:cs="Arial" w:eastAsia="Arial" w:hAnsi="Arial"/>
                <w:sz w:val="16"/>
                <w:szCs w:val="16"/>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1"/>
                <w:szCs w:val="11"/>
                <w:color w:val="auto"/>
              </w:rPr>
              <w:t>12/6/2021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B + 6.50%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7.50%</w:t>
            </w:r>
          </w:p>
        </w:tc>
        <w:tc>
          <w:tcPr>
            <w:tcW w:w="760" w:type="dxa"/>
            <w:vAlign w:val="bottom"/>
          </w:tcPr>
          <w:p>
            <w:pPr>
              <w:jc w:val="right"/>
              <w:spacing w:after="0"/>
              <w:rPr>
                <w:sz w:val="20"/>
                <w:szCs w:val="20"/>
                <w:color w:val="auto"/>
              </w:rPr>
            </w:pPr>
            <w:r>
              <w:rPr>
                <w:rFonts w:ascii="Arial" w:cs="Arial" w:eastAsia="Arial" w:hAnsi="Arial"/>
                <w:sz w:val="11"/>
                <w:szCs w:val="11"/>
                <w:color w:val="auto"/>
              </w:rPr>
              <w:t>27,317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28,166</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2.2%</w:t>
            </w:r>
          </w:p>
        </w:tc>
      </w:tr>
      <w:tr>
        <w:trPr>
          <w:trHeight w:val="151"/>
        </w:trPr>
        <w:tc>
          <w:tcPr>
            <w:tcW w:w="2700" w:type="dxa"/>
            <w:vAlign w:val="bottom"/>
            <w:gridSpan w:val="2"/>
          </w:tcPr>
          <w:p>
            <w:pPr>
              <w:ind w:left="80"/>
              <w:spacing w:after="0" w:line="150" w:lineRule="exact"/>
              <w:rPr>
                <w:sz w:val="20"/>
                <w:szCs w:val="20"/>
                <w:color w:val="auto"/>
              </w:rPr>
            </w:pPr>
            <w:r>
              <w:rPr>
                <w:rFonts w:ascii="Arial" w:cs="Arial" w:eastAsia="Arial" w:hAnsi="Arial"/>
                <w:sz w:val="10"/>
                <w:szCs w:val="10"/>
                <w:color w:val="auto"/>
              </w:rPr>
              <w:t xml:space="preserve">Ltd. </w:t>
            </w:r>
            <w:r>
              <w:rPr>
                <w:rFonts w:ascii="Arial" w:cs="Arial" w:eastAsia="Arial" w:hAnsi="Arial"/>
                <w:sz w:val="17"/>
                <w:szCs w:val="17"/>
                <w:color w:val="auto"/>
                <w:vertAlign w:val="superscript"/>
              </w:rPr>
              <w:t>(4)</w:t>
            </w: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1"/>
                <w:szCs w:val="11"/>
                <w:color w:val="auto"/>
              </w:rPr>
              <w:t>(AUD 38,740)</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Convertible note (AUD 3,000 par, due 6/2027)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12/13/2021</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0.00%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0.00%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2,134</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2,134</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r>
      <w:tr>
        <w:trPr>
          <w:trHeight w:val="151"/>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0"/>
                <w:szCs w:val="10"/>
                <w:color w:val="auto"/>
              </w:rPr>
              <w:t>(13)</w:t>
            </w: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(AUD 2,936)</w:t>
            </w: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2700" w:type="dxa"/>
            <w:vAlign w:val="bottom"/>
            <w:gridSpan w:val="2"/>
          </w:tcPr>
          <w:p>
            <w:pPr>
              <w:spacing w:after="0" w:line="145" w:lineRule="exact"/>
              <w:rPr>
                <w:sz w:val="20"/>
                <w:szCs w:val="20"/>
                <w:color w:val="auto"/>
              </w:rPr>
            </w:pPr>
            <w:r>
              <w:rPr>
                <w:rFonts w:ascii="Arial" w:cs="Arial" w:eastAsia="Arial" w:hAnsi="Arial"/>
                <w:sz w:val="10"/>
                <w:szCs w:val="10"/>
                <w:color w:val="auto"/>
              </w:rPr>
              <w:t xml:space="preserve">PageUp People, Ltd. </w:t>
            </w:r>
            <w:r>
              <w:rPr>
                <w:rFonts w:ascii="Arial" w:cs="Arial" w:eastAsia="Arial" w:hAnsi="Arial"/>
                <w:sz w:val="16"/>
                <w:szCs w:val="16"/>
                <w:color w:val="auto"/>
                <w:vertAlign w:val="superscript"/>
              </w:rPr>
              <w:t>(3)(4)(5)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(AUD 17,400 par, due 12/2025)</w:t>
            </w:r>
          </w:p>
        </w:tc>
        <w:tc>
          <w:tcPr>
            <w:tcW w:w="840" w:type="dxa"/>
            <w:vAlign w:val="bottom"/>
          </w:tcPr>
          <w:p>
            <w:pPr>
              <w:jc w:val="right"/>
              <w:spacing w:after="0"/>
              <w:rPr>
                <w:sz w:val="20"/>
                <w:szCs w:val="20"/>
                <w:color w:val="auto"/>
              </w:rPr>
            </w:pPr>
            <w:r>
              <w:rPr>
                <w:rFonts w:ascii="Arial" w:cs="Arial" w:eastAsia="Arial" w:hAnsi="Arial"/>
                <w:sz w:val="11"/>
                <w:szCs w:val="11"/>
                <w:color w:val="auto"/>
              </w:rPr>
              <w:t>1/11/2018</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B + 5.50%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12,806</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12,115</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0.9%</w:t>
            </w:r>
          </w:p>
        </w:tc>
      </w:tr>
      <w:tr>
        <w:trPr>
          <w:trHeight w:val="145"/>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1"/>
                <w:szCs w:val="11"/>
                <w:color w:val="auto"/>
              </w:rPr>
              <w:t>(AUD 16,664)</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Initial</w:t>
            </w:r>
          </w:p>
        </w:tc>
        <w:tc>
          <w:tcPr>
            <w:tcW w:w="980" w:type="dxa"/>
            <w:vAlign w:val="bottom"/>
            <w:gridSpan w:val="2"/>
          </w:tcPr>
          <w:p>
            <w:pPr>
              <w:jc w:val="center"/>
              <w:ind w:right="195"/>
              <w:spacing w:after="0"/>
              <w:rPr>
                <w:sz w:val="20"/>
                <w:szCs w:val="20"/>
                <w:color w:val="auto"/>
              </w:rPr>
            </w:pPr>
            <w:r>
              <w:rPr>
                <w:rFonts w:ascii="Arial" w:cs="Arial" w:eastAsia="Arial" w:hAnsi="Arial"/>
                <w:sz w:val="9"/>
                <w:szCs w:val="9"/>
                <w:b w:val="1"/>
                <w:bCs w:val="1"/>
                <w:color w:val="auto"/>
                <w:w w:val="87"/>
              </w:rPr>
              <w:t>Reference</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5"/>
              </w:rPr>
              <w:t>Acquisition</w:t>
            </w:r>
          </w:p>
        </w:tc>
        <w:tc>
          <w:tcPr>
            <w:tcW w:w="980" w:type="dxa"/>
            <w:vAlign w:val="bottom"/>
            <w:gridSpan w:val="2"/>
          </w:tcPr>
          <w:p>
            <w:pPr>
              <w:jc w:val="center"/>
              <w:ind w:right="195"/>
              <w:spacing w:after="0" w:line="95" w:lineRule="exact"/>
              <w:rPr>
                <w:sz w:val="20"/>
                <w:szCs w:val="20"/>
                <w:color w:val="auto"/>
              </w:rPr>
            </w:pPr>
            <w:r>
              <w:rPr>
                <w:rFonts w:ascii="Arial" w:cs="Arial" w:eastAsia="Arial" w:hAnsi="Arial"/>
                <w:sz w:val="9"/>
                <w:szCs w:val="9"/>
                <w:b w:val="1"/>
                <w:bCs w:val="1"/>
                <w:color w:val="auto"/>
                <w:w w:val="89"/>
              </w:rPr>
              <w:t>Rate and</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ind w:left="180"/>
              <w:spacing w:after="0" w:line="95" w:lineRule="exact"/>
              <w:rPr>
                <w:sz w:val="20"/>
                <w:szCs w:val="20"/>
                <w:color w:val="auto"/>
              </w:rPr>
            </w:pPr>
            <w:r>
              <w:rPr>
                <w:rFonts w:ascii="Arial" w:cs="Arial" w:eastAsia="Arial" w:hAnsi="Arial"/>
                <w:sz w:val="9"/>
                <w:szCs w:val="9"/>
                <w:b w:val="1"/>
                <w:bCs w:val="1"/>
                <w:color w:val="auto"/>
              </w:rPr>
              <w:t>Amortized</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203"/>
              <w:spacing w:after="0" w:line="95" w:lineRule="exact"/>
              <w:rPr>
                <w:sz w:val="20"/>
                <w:szCs w:val="20"/>
                <w:color w:val="auto"/>
              </w:rPr>
            </w:pPr>
            <w:r>
              <w:rPr>
                <w:rFonts w:ascii="Arial" w:cs="Arial" w:eastAsia="Arial" w:hAnsi="Arial"/>
                <w:sz w:val="9"/>
                <w:szCs w:val="9"/>
                <w:b w:val="1"/>
                <w:bCs w:val="1"/>
                <w:color w:val="auto"/>
              </w:rPr>
              <w:t>Percentage</w:t>
            </w:r>
          </w:p>
        </w:tc>
      </w:tr>
      <w:tr>
        <w:trPr>
          <w:trHeight w:val="107"/>
        </w:trPr>
        <w:tc>
          <w:tcPr>
            <w:tcW w:w="2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w:t>
            </w:r>
          </w:p>
        </w:tc>
        <w:tc>
          <w:tcPr>
            <w:tcW w:w="100" w:type="dxa"/>
            <w:vAlign w:val="bottom"/>
            <w:tcBorders>
              <w:bottom w:val="single" w:sz="8" w:color="CFF0FC"/>
            </w:tcBorders>
          </w:tcPr>
          <w:p>
            <w:pPr>
              <w:spacing w:after="0"/>
              <w:rPr>
                <w:sz w:val="9"/>
                <w:szCs w:val="9"/>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9"/>
                <w:szCs w:val="9"/>
                <w:b w:val="1"/>
                <w:bCs w:val="1"/>
                <w:color w:val="auto"/>
              </w:rPr>
              <w:t>Investment</w:t>
            </w:r>
          </w:p>
        </w:tc>
        <w:tc>
          <w:tcPr>
            <w:tcW w:w="12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Spread</w:t>
            </w:r>
          </w:p>
        </w:tc>
        <w:tc>
          <w:tcPr>
            <w:tcW w:w="220" w:type="dxa"/>
            <w:vAlign w:val="bottom"/>
            <w:tcBorders>
              <w:bottom w:val="single" w:sz="8" w:color="CFF0FC"/>
            </w:tcBorders>
          </w:tcPr>
          <w:p>
            <w:pPr>
              <w:spacing w:after="0"/>
              <w:rPr>
                <w:sz w:val="9"/>
                <w:szCs w:val="9"/>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9"/>
                <w:szCs w:val="9"/>
                <w:b w:val="1"/>
                <w:bCs w:val="1"/>
                <w:color w:val="auto"/>
              </w:rPr>
              <w:t>Interest Rate</w:t>
            </w:r>
          </w:p>
        </w:tc>
        <w:tc>
          <w:tcPr>
            <w:tcW w:w="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9"/>
                <w:szCs w:val="9"/>
                <w:b w:val="1"/>
                <w:bCs w:val="1"/>
                <w:color w:val="auto"/>
              </w:rPr>
              <w:t xml:space="preserve">Cost </w:t>
            </w:r>
            <w:r>
              <w:rPr>
                <w:rFonts w:ascii="Arial" w:cs="Arial" w:eastAsia="Arial" w:hAnsi="Arial"/>
                <w:sz w:val="7"/>
                <w:szCs w:val="7"/>
                <w:b w:val="1"/>
                <w:bCs w:val="1"/>
                <w:color w:val="auto"/>
              </w:rPr>
              <w:t>(2)(8)</w:t>
            </w: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7"/>
                <w:szCs w:val="7"/>
                <w:b w:val="1"/>
                <w:bCs w:val="1"/>
                <w:color w:val="auto"/>
              </w:rPr>
              <w:t>(10)</w:t>
            </w:r>
          </w:p>
        </w:tc>
        <w:tc>
          <w:tcPr>
            <w:tcW w:w="20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rPr>
              <w:t>of Net Assets</w:t>
            </w:r>
          </w:p>
        </w:tc>
        <w:tc>
          <w:tcPr>
            <w:tcW w:w="120" w:type="dxa"/>
            <w:vAlign w:val="bottom"/>
            <w:tcBorders>
              <w:bottom w:val="single" w:sz="8" w:color="CFF0FC"/>
            </w:tcBorders>
          </w:tcPr>
          <w:p>
            <w:pPr>
              <w:spacing w:after="0"/>
              <w:rPr>
                <w:sz w:val="9"/>
                <w:szCs w:val="9"/>
                <w:color w:val="auto"/>
              </w:rPr>
            </w:pPr>
          </w:p>
        </w:tc>
      </w:tr>
      <w:tr>
        <w:trPr>
          <w:trHeight w:val="134"/>
        </w:trPr>
        <w:tc>
          <w:tcPr>
            <w:tcW w:w="2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(GBP 4,723 par, due 12/2025)</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10/28/2021</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1"/>
              </w:rPr>
              <w:t>S + 5.50</w:t>
            </w:r>
          </w:p>
        </w:tc>
        <w:tc>
          <w:tcPr>
            <w:tcW w:w="2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w w:val="74"/>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1"/>
                <w:szCs w:val="11"/>
                <w:color w:val="auto"/>
                <w:w w:val="8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6,499</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6,317</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0.5</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w:t>
            </w:r>
          </w:p>
        </w:tc>
      </w:tr>
      <w:tr>
        <w:trPr>
          <w:trHeight w:val="149"/>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ind w:left="300"/>
              <w:spacing w:after="0"/>
              <w:rPr>
                <w:sz w:val="20"/>
                <w:szCs w:val="20"/>
                <w:color w:val="auto"/>
              </w:rPr>
            </w:pPr>
            <w:r>
              <w:rPr>
                <w:rFonts w:ascii="Arial" w:cs="Arial" w:eastAsia="Arial" w:hAnsi="Arial"/>
                <w:sz w:val="11"/>
                <w:szCs w:val="11"/>
                <w:color w:val="auto"/>
              </w:rPr>
              <w:t>(GBP 4,664)</w:t>
            </w: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($12,989 par, due 12/2025)</w:t>
            </w:r>
          </w:p>
        </w:tc>
        <w:tc>
          <w:tcPr>
            <w:tcW w:w="840" w:type="dxa"/>
            <w:vAlign w:val="bottom"/>
          </w:tcPr>
          <w:p>
            <w:pPr>
              <w:jc w:val="right"/>
              <w:spacing w:after="0"/>
              <w:rPr>
                <w:sz w:val="20"/>
                <w:szCs w:val="20"/>
                <w:color w:val="auto"/>
              </w:rPr>
            </w:pPr>
            <w:r>
              <w:rPr>
                <w:rFonts w:ascii="Arial" w:cs="Arial" w:eastAsia="Arial" w:hAnsi="Arial"/>
                <w:sz w:val="11"/>
                <w:szCs w:val="11"/>
                <w:color w:val="auto"/>
              </w:rPr>
              <w:t>10/28/2021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+ 5.50%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6.25%</w:t>
            </w:r>
          </w:p>
        </w:tc>
        <w:tc>
          <w:tcPr>
            <w:tcW w:w="760" w:type="dxa"/>
            <w:vAlign w:val="bottom"/>
          </w:tcPr>
          <w:p>
            <w:pPr>
              <w:jc w:val="right"/>
              <w:spacing w:after="0"/>
              <w:rPr>
                <w:sz w:val="20"/>
                <w:szCs w:val="20"/>
                <w:color w:val="auto"/>
              </w:rPr>
            </w:pPr>
            <w:r>
              <w:rPr>
                <w:rFonts w:ascii="Arial" w:cs="Arial" w:eastAsia="Arial" w:hAnsi="Arial"/>
                <w:sz w:val="11"/>
                <w:szCs w:val="11"/>
                <w:color w:val="auto"/>
              </w:rPr>
              <w:t>12,970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12,827</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1.0%</w:t>
            </w: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PayScale Holdings, Inc.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($69,475 par, due 5/2024)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5/3/2019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+ 6.00%</w:t>
            </w:r>
          </w:p>
        </w:tc>
        <w:tc>
          <w:tcPr>
            <w:tcW w:w="1420" w:type="dxa"/>
            <w:vAlign w:val="bottom"/>
            <w:gridSpan w:val="2"/>
            <w:shd w:val="clear" w:color="auto" w:fill="CFF0FC"/>
          </w:tcPr>
          <w:p>
            <w:pPr>
              <w:jc w:val="right"/>
              <w:ind w:right="63"/>
              <w:spacing w:after="0"/>
              <w:rPr>
                <w:sz w:val="20"/>
                <w:szCs w:val="20"/>
                <w:color w:val="auto"/>
              </w:rPr>
            </w:pPr>
            <w:r>
              <w:rPr>
                <w:rFonts w:ascii="Arial" w:cs="Arial" w:eastAsia="Arial" w:hAnsi="Arial"/>
                <w:sz w:val="11"/>
                <w:szCs w:val="11"/>
                <w:color w:val="auto"/>
              </w:rPr>
              <w:t>7.00%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68,493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69,822</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5.5%</w:t>
            </w: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PrimePay Intermediate,</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($27,000 par, due 12/2026)</w:t>
            </w:r>
          </w:p>
        </w:tc>
        <w:tc>
          <w:tcPr>
            <w:tcW w:w="840" w:type="dxa"/>
            <w:vAlign w:val="bottom"/>
          </w:tcPr>
          <w:p>
            <w:pPr>
              <w:jc w:val="right"/>
              <w:spacing w:after="0"/>
              <w:rPr>
                <w:sz w:val="20"/>
                <w:szCs w:val="20"/>
                <w:color w:val="auto"/>
              </w:rPr>
            </w:pPr>
            <w:r>
              <w:rPr>
                <w:rFonts w:ascii="Arial" w:cs="Arial" w:eastAsia="Arial" w:hAnsi="Arial"/>
                <w:sz w:val="11"/>
                <w:szCs w:val="11"/>
                <w:color w:val="auto"/>
              </w:rPr>
              <w:t>12/17/2021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+ 7.00%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8.00%</w:t>
            </w:r>
          </w:p>
        </w:tc>
        <w:tc>
          <w:tcPr>
            <w:tcW w:w="760" w:type="dxa"/>
            <w:vAlign w:val="bottom"/>
          </w:tcPr>
          <w:p>
            <w:pPr>
              <w:jc w:val="right"/>
              <w:spacing w:after="0"/>
              <w:rPr>
                <w:sz w:val="20"/>
                <w:szCs w:val="20"/>
                <w:color w:val="auto"/>
              </w:rPr>
            </w:pPr>
            <w:r>
              <w:rPr>
                <w:rFonts w:ascii="Arial" w:cs="Arial" w:eastAsia="Arial" w:hAnsi="Arial"/>
                <w:sz w:val="11"/>
                <w:szCs w:val="11"/>
                <w:color w:val="auto"/>
              </w:rPr>
              <w:t>25,787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25,775</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2.0%</w:t>
            </w:r>
          </w:p>
        </w:tc>
      </w:tr>
      <w:tr>
        <w:trPr>
          <w:trHeight w:val="149"/>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Modern Hire, Inc.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($29,639 par, due 5/2024)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5/15/2019</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+ 7.00%</w:t>
            </w:r>
          </w:p>
        </w:tc>
        <w:tc>
          <w:tcPr>
            <w:tcW w:w="1420" w:type="dxa"/>
            <w:vAlign w:val="bottom"/>
            <w:gridSpan w:val="2"/>
            <w:shd w:val="clear" w:color="auto" w:fill="CFF0FC"/>
          </w:tcPr>
          <w:p>
            <w:pPr>
              <w:jc w:val="right"/>
              <w:ind w:right="63"/>
              <w:spacing w:after="0"/>
              <w:rPr>
                <w:sz w:val="20"/>
                <w:szCs w:val="20"/>
                <w:color w:val="auto"/>
              </w:rPr>
            </w:pPr>
            <w:r>
              <w:rPr>
                <w:rFonts w:ascii="Arial" w:cs="Arial" w:eastAsia="Arial" w:hAnsi="Arial"/>
                <w:sz w:val="11"/>
                <w:szCs w:val="11"/>
                <w:color w:val="auto"/>
              </w:rPr>
              <w:t>8.50%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29,206</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30,232</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2.4%</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Workwell Acquisition Co.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($19,750 par, due 10/2025)</w:t>
            </w:r>
          </w:p>
        </w:tc>
        <w:tc>
          <w:tcPr>
            <w:tcW w:w="840" w:type="dxa"/>
            <w:vAlign w:val="bottom"/>
          </w:tcPr>
          <w:p>
            <w:pPr>
              <w:jc w:val="right"/>
              <w:spacing w:after="0"/>
              <w:rPr>
                <w:sz w:val="20"/>
                <w:szCs w:val="20"/>
                <w:color w:val="auto"/>
              </w:rPr>
            </w:pPr>
            <w:r>
              <w:rPr>
                <w:rFonts w:ascii="Arial" w:cs="Arial" w:eastAsia="Arial" w:hAnsi="Arial"/>
                <w:sz w:val="11"/>
                <w:szCs w:val="11"/>
                <w:color w:val="auto"/>
              </w:rPr>
              <w:t>10/19/2020</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+ 7.50%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8.50%</w:t>
            </w:r>
          </w:p>
        </w:tc>
        <w:tc>
          <w:tcPr>
            <w:tcW w:w="760" w:type="dxa"/>
            <w:vAlign w:val="bottom"/>
          </w:tcPr>
          <w:p>
            <w:pPr>
              <w:jc w:val="right"/>
              <w:spacing w:after="0"/>
              <w:rPr>
                <w:sz w:val="20"/>
                <w:szCs w:val="20"/>
                <w:color w:val="auto"/>
              </w:rPr>
            </w:pPr>
            <w:r>
              <w:rPr>
                <w:rFonts w:ascii="Arial" w:cs="Arial" w:eastAsia="Arial" w:hAnsi="Arial"/>
                <w:sz w:val="11"/>
                <w:szCs w:val="11"/>
                <w:color w:val="auto"/>
              </w:rPr>
              <w:t>19,239</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19,899</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1.6%</w:t>
            </w:r>
          </w:p>
        </w:tc>
      </w:tr>
      <w:tr>
        <w:trPr>
          <w:trHeight w:val="20"/>
        </w:trPr>
        <w:tc>
          <w:tcPr>
            <w:tcW w:w="2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1"/>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286,152</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289,664</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22.7%</w:t>
            </w:r>
          </w:p>
        </w:tc>
      </w:tr>
      <w:tr>
        <w:trPr>
          <w:trHeight w:val="13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Internet Services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Bayshore Intermediate #2,</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($28,772 par, due 10/2028)</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10/1/2021</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+ 7.75%</w:t>
            </w:r>
          </w:p>
        </w:tc>
        <w:tc>
          <w:tcPr>
            <w:tcW w:w="1420" w:type="dxa"/>
            <w:vAlign w:val="bottom"/>
            <w:gridSpan w:val="2"/>
            <w:shd w:val="clear" w:color="auto" w:fill="CFF0FC"/>
          </w:tcPr>
          <w:p>
            <w:pPr>
              <w:jc w:val="right"/>
              <w:ind w:right="163"/>
              <w:spacing w:after="0"/>
              <w:rPr>
                <w:sz w:val="20"/>
                <w:szCs w:val="20"/>
                <w:color w:val="auto"/>
              </w:rPr>
            </w:pPr>
            <w:r>
              <w:rPr>
                <w:rFonts w:ascii="Arial" w:cs="Arial" w:eastAsia="Arial" w:hAnsi="Arial"/>
                <w:sz w:val="11"/>
                <w:szCs w:val="11"/>
                <w:color w:val="auto"/>
              </w:rPr>
              <w:t>8.50%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28,090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28,148</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w:t>
            </w:r>
          </w:p>
        </w:tc>
      </w:tr>
      <w:tr>
        <w:trPr>
          <w:trHeight w:val="151"/>
        </w:trPr>
        <w:tc>
          <w:tcPr>
            <w:tcW w:w="2700" w:type="dxa"/>
            <w:vAlign w:val="bottom"/>
            <w:gridSpan w:val="2"/>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L.P. </w:t>
            </w:r>
            <w:r>
              <w:rPr>
                <w:rFonts w:ascii="Arial" w:cs="Arial" w:eastAsia="Arial" w:hAnsi="Arial"/>
                <w:sz w:val="17"/>
                <w:szCs w:val="17"/>
                <w:color w:val="auto"/>
                <w:vertAlign w:val="superscript"/>
              </w:rPr>
              <w:t>(3)</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Higher Logic, LLC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($57,262 par, due 1/2024)</w:t>
            </w:r>
          </w:p>
        </w:tc>
        <w:tc>
          <w:tcPr>
            <w:tcW w:w="840" w:type="dxa"/>
            <w:vAlign w:val="bottom"/>
          </w:tcPr>
          <w:p>
            <w:pPr>
              <w:jc w:val="right"/>
              <w:spacing w:after="0"/>
              <w:rPr>
                <w:sz w:val="20"/>
                <w:szCs w:val="20"/>
                <w:color w:val="auto"/>
              </w:rPr>
            </w:pPr>
            <w:r>
              <w:rPr>
                <w:rFonts w:ascii="Arial" w:cs="Arial" w:eastAsia="Arial" w:hAnsi="Arial"/>
                <w:sz w:val="11"/>
                <w:szCs w:val="11"/>
                <w:color w:val="auto"/>
              </w:rPr>
              <w:t>6/18/2018</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+ 7.25%</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8.25%</w:t>
            </w:r>
          </w:p>
        </w:tc>
        <w:tc>
          <w:tcPr>
            <w:tcW w:w="760" w:type="dxa"/>
            <w:vAlign w:val="bottom"/>
          </w:tcPr>
          <w:p>
            <w:pPr>
              <w:jc w:val="right"/>
              <w:spacing w:after="0"/>
              <w:rPr>
                <w:sz w:val="20"/>
                <w:szCs w:val="20"/>
                <w:color w:val="auto"/>
              </w:rPr>
            </w:pPr>
            <w:r>
              <w:rPr>
                <w:rFonts w:ascii="Arial" w:cs="Arial" w:eastAsia="Arial" w:hAnsi="Arial"/>
                <w:sz w:val="11"/>
                <w:szCs w:val="11"/>
                <w:color w:val="auto"/>
              </w:rPr>
              <w:t>56,753</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57,835</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4.5%</w:t>
            </w:r>
          </w:p>
        </w:tc>
      </w:tr>
      <w:tr>
        <w:trPr>
          <w:trHeight w:val="142"/>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Lithium Technologies,</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($56,020 par, due 10/2022)</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10/3/2017</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+ 8.00%</w:t>
            </w:r>
          </w:p>
        </w:tc>
        <w:tc>
          <w:tcPr>
            <w:tcW w:w="1420" w:type="dxa"/>
            <w:vAlign w:val="bottom"/>
            <w:gridSpan w:val="2"/>
            <w:shd w:val="clear" w:color="auto" w:fill="CFF0FC"/>
          </w:tcPr>
          <w:p>
            <w:pPr>
              <w:jc w:val="right"/>
              <w:ind w:right="63"/>
              <w:spacing w:after="0"/>
              <w:rPr>
                <w:sz w:val="20"/>
                <w:szCs w:val="20"/>
                <w:color w:val="auto"/>
              </w:rPr>
            </w:pPr>
            <w:r>
              <w:rPr>
                <w:rFonts w:ascii="Arial" w:cs="Arial" w:eastAsia="Arial" w:hAnsi="Arial"/>
                <w:sz w:val="11"/>
                <w:szCs w:val="11"/>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55,783</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55,439</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4.4%</w:t>
            </w:r>
          </w:p>
        </w:tc>
      </w:tr>
      <w:tr>
        <w:trPr>
          <w:trHeight w:val="151"/>
        </w:trPr>
        <w:tc>
          <w:tcPr>
            <w:tcW w:w="2700" w:type="dxa"/>
            <w:vAlign w:val="bottom"/>
            <w:gridSpan w:val="2"/>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LLC </w:t>
            </w:r>
            <w:r>
              <w:rPr>
                <w:rFonts w:ascii="Arial" w:cs="Arial" w:eastAsia="Arial" w:hAnsi="Arial"/>
                <w:sz w:val="17"/>
                <w:szCs w:val="17"/>
                <w:color w:val="auto"/>
                <w:vertAlign w:val="superscript"/>
              </w:rPr>
              <w:t>(3)</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Lucidworks, Inc. </w:t>
            </w:r>
            <w:r>
              <w:rPr>
                <w:rFonts w:ascii="Arial" w:cs="Arial" w:eastAsia="Arial" w:hAnsi="Arial"/>
                <w:sz w:val="17"/>
                <w:szCs w:val="17"/>
                <w:color w:val="auto"/>
                <w:vertAlign w:val="superscript"/>
              </w:rPr>
              <w:t>(9)</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($13,848 par, due 7/2024)</w:t>
            </w:r>
          </w:p>
        </w:tc>
        <w:tc>
          <w:tcPr>
            <w:tcW w:w="840" w:type="dxa"/>
            <w:vAlign w:val="bottom"/>
          </w:tcPr>
          <w:p>
            <w:pPr>
              <w:jc w:val="right"/>
              <w:spacing w:after="0"/>
              <w:rPr>
                <w:sz w:val="20"/>
                <w:szCs w:val="20"/>
                <w:color w:val="auto"/>
              </w:rPr>
            </w:pPr>
            <w:r>
              <w:rPr>
                <w:rFonts w:ascii="Arial" w:cs="Arial" w:eastAsia="Arial" w:hAnsi="Arial"/>
                <w:sz w:val="11"/>
                <w:szCs w:val="11"/>
                <w:color w:val="auto"/>
              </w:rPr>
              <w:t>7/31/2019</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12.00%</w:t>
            </w:r>
          </w:p>
        </w:tc>
        <w:tc>
          <w:tcPr>
            <w:tcW w:w="1420" w:type="dxa"/>
            <w:vAlign w:val="bottom"/>
            <w:gridSpan w:val="2"/>
          </w:tcPr>
          <w:p>
            <w:pPr>
              <w:jc w:val="right"/>
              <w:ind w:right="163"/>
              <w:spacing w:after="0"/>
              <w:rPr>
                <w:sz w:val="20"/>
                <w:szCs w:val="20"/>
                <w:color w:val="auto"/>
              </w:rPr>
            </w:pPr>
            <w:r>
              <w:rPr>
                <w:rFonts w:ascii="Arial" w:cs="Arial" w:eastAsia="Arial" w:hAnsi="Arial"/>
                <w:sz w:val="11"/>
                <w:szCs w:val="11"/>
                <w:color w:val="auto"/>
                <w:w w:val="96"/>
              </w:rPr>
              <w:t>12.00% (incl. 7.00% PIK)</w:t>
            </w:r>
          </w:p>
        </w:tc>
        <w:tc>
          <w:tcPr>
            <w:tcW w:w="760" w:type="dxa"/>
            <w:vAlign w:val="bottom"/>
          </w:tcPr>
          <w:p>
            <w:pPr>
              <w:jc w:val="right"/>
              <w:spacing w:after="0"/>
              <w:rPr>
                <w:sz w:val="20"/>
                <w:szCs w:val="20"/>
                <w:color w:val="auto"/>
              </w:rPr>
            </w:pPr>
            <w:r>
              <w:rPr>
                <w:rFonts w:ascii="Arial" w:cs="Arial" w:eastAsia="Arial" w:hAnsi="Arial"/>
                <w:sz w:val="11"/>
                <w:szCs w:val="11"/>
                <w:color w:val="auto"/>
              </w:rPr>
              <w:t>13,766</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13,917</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1.1%</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Piano Software, Inc.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($49,328 par, due 2/2026)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+ 6.50%</w:t>
            </w:r>
          </w:p>
        </w:tc>
        <w:tc>
          <w:tcPr>
            <w:tcW w:w="1420" w:type="dxa"/>
            <w:vAlign w:val="bottom"/>
            <w:gridSpan w:val="2"/>
            <w:shd w:val="clear" w:color="auto" w:fill="CFF0FC"/>
          </w:tcPr>
          <w:p>
            <w:pPr>
              <w:jc w:val="right"/>
              <w:ind w:right="63"/>
              <w:spacing w:after="0"/>
              <w:rPr>
                <w:sz w:val="20"/>
                <w:szCs w:val="20"/>
                <w:color w:val="auto"/>
              </w:rPr>
            </w:pPr>
            <w:r>
              <w:rPr>
                <w:rFonts w:ascii="Arial" w:cs="Arial" w:eastAsia="Arial" w:hAnsi="Arial"/>
                <w:sz w:val="11"/>
                <w:szCs w:val="11"/>
                <w:color w:val="auto"/>
              </w:rPr>
              <w:t>7.50%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48,292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48,711</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202,684</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204,050</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16.0%</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Marketing Services</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Acoustic, L.P. </w:t>
            </w:r>
            <w:r>
              <w:rPr>
                <w:rFonts w:ascii="Arial" w:cs="Arial" w:eastAsia="Arial" w:hAnsi="Arial"/>
                <w:sz w:val="17"/>
                <w:szCs w:val="17"/>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note ($33,330 par, due 6/2024)</w:t>
            </w:r>
          </w:p>
        </w:tc>
        <w:tc>
          <w:tcPr>
            <w:tcW w:w="840" w:type="dxa"/>
            <w:vAlign w:val="bottom"/>
          </w:tcPr>
          <w:p>
            <w:pPr>
              <w:jc w:val="right"/>
              <w:spacing w:after="0"/>
              <w:rPr>
                <w:sz w:val="20"/>
                <w:szCs w:val="20"/>
                <w:color w:val="auto"/>
              </w:rPr>
            </w:pPr>
            <w:r>
              <w:rPr>
                <w:rFonts w:ascii="Arial" w:cs="Arial" w:eastAsia="Arial" w:hAnsi="Arial"/>
                <w:sz w:val="11"/>
                <w:szCs w:val="11"/>
                <w:color w:val="auto"/>
              </w:rPr>
              <w:t>12/17/2019</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+ 7.00%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8.50%</w:t>
            </w:r>
          </w:p>
        </w:tc>
        <w:tc>
          <w:tcPr>
            <w:tcW w:w="760" w:type="dxa"/>
            <w:vAlign w:val="bottom"/>
          </w:tcPr>
          <w:p>
            <w:pPr>
              <w:jc w:val="right"/>
              <w:spacing w:after="0"/>
              <w:rPr>
                <w:sz w:val="20"/>
                <w:szCs w:val="20"/>
                <w:color w:val="auto"/>
              </w:rPr>
            </w:pPr>
            <w:r>
              <w:rPr>
                <w:rFonts w:ascii="Arial" w:cs="Arial" w:eastAsia="Arial" w:hAnsi="Arial"/>
                <w:sz w:val="11"/>
                <w:szCs w:val="11"/>
                <w:color w:val="auto"/>
              </w:rPr>
              <w:t>32,544</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31,747</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2.5%</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Office Products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USR Parent, Inc.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ABL FILO term loan ($5,732 par, due 9/2022)</w:t>
            </w:r>
          </w:p>
        </w:tc>
        <w:tc>
          <w:tcPr>
            <w:tcW w:w="840" w:type="dxa"/>
            <w:vAlign w:val="bottom"/>
          </w:tcPr>
          <w:p>
            <w:pPr>
              <w:jc w:val="right"/>
              <w:spacing w:after="0"/>
              <w:rPr>
                <w:sz w:val="20"/>
                <w:szCs w:val="20"/>
                <w:color w:val="auto"/>
              </w:rPr>
            </w:pPr>
            <w:r>
              <w:rPr>
                <w:rFonts w:ascii="Arial" w:cs="Arial" w:eastAsia="Arial" w:hAnsi="Arial"/>
                <w:sz w:val="11"/>
                <w:szCs w:val="11"/>
                <w:color w:val="auto"/>
              </w:rPr>
              <w:t>9/12/2017</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+ 7.75%</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8.75%</w:t>
            </w:r>
          </w:p>
        </w:tc>
        <w:tc>
          <w:tcPr>
            <w:tcW w:w="760" w:type="dxa"/>
            <w:vAlign w:val="bottom"/>
          </w:tcPr>
          <w:p>
            <w:pPr>
              <w:jc w:val="right"/>
              <w:spacing w:after="0"/>
              <w:rPr>
                <w:sz w:val="20"/>
                <w:szCs w:val="20"/>
                <w:color w:val="auto"/>
              </w:rPr>
            </w:pPr>
            <w:r>
              <w:rPr>
                <w:rFonts w:ascii="Arial" w:cs="Arial" w:eastAsia="Arial" w:hAnsi="Arial"/>
                <w:sz w:val="11"/>
                <w:szCs w:val="11"/>
                <w:color w:val="auto"/>
              </w:rPr>
              <w:t>5,709</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5,732</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0.4%</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Oil, Gas and Consumable Fuels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MD America Energy,</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($8,775 par, due 12/2024)</w:t>
            </w:r>
          </w:p>
        </w:tc>
        <w:tc>
          <w:tcPr>
            <w:tcW w:w="840" w:type="dxa"/>
            <w:vAlign w:val="bottom"/>
          </w:tcPr>
          <w:p>
            <w:pPr>
              <w:jc w:val="right"/>
              <w:spacing w:after="0"/>
              <w:rPr>
                <w:sz w:val="20"/>
                <w:szCs w:val="20"/>
                <w:color w:val="auto"/>
              </w:rPr>
            </w:pPr>
            <w:r>
              <w:rPr>
                <w:rFonts w:ascii="Arial" w:cs="Arial" w:eastAsia="Arial" w:hAnsi="Arial"/>
                <w:sz w:val="11"/>
                <w:szCs w:val="11"/>
                <w:color w:val="auto"/>
              </w:rPr>
              <w:t>11/14/2018</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+ 7.75%</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9.25%</w:t>
            </w:r>
          </w:p>
        </w:tc>
        <w:tc>
          <w:tcPr>
            <w:tcW w:w="760" w:type="dxa"/>
            <w:vAlign w:val="bottom"/>
          </w:tcPr>
          <w:p>
            <w:pPr>
              <w:jc w:val="right"/>
              <w:spacing w:after="0"/>
              <w:rPr>
                <w:sz w:val="20"/>
                <w:szCs w:val="20"/>
                <w:color w:val="auto"/>
              </w:rPr>
            </w:pPr>
            <w:r>
              <w:rPr>
                <w:rFonts w:ascii="Arial" w:cs="Arial" w:eastAsia="Arial" w:hAnsi="Arial"/>
                <w:sz w:val="11"/>
                <w:szCs w:val="11"/>
                <w:color w:val="auto"/>
              </w:rPr>
              <w:t>8,775</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8,775</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0.7%</w:t>
            </w:r>
          </w:p>
        </w:tc>
      </w:tr>
      <w:tr>
        <w:trPr>
          <w:trHeight w:val="149"/>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(3)(6)</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Mississippi Resources,</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($1,500 par, due 12/2022)</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6/29/2018</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P + 8.00%</w:t>
            </w:r>
          </w:p>
        </w:tc>
        <w:tc>
          <w:tcPr>
            <w:tcW w:w="1420" w:type="dxa"/>
            <w:vAlign w:val="bottom"/>
            <w:gridSpan w:val="2"/>
            <w:shd w:val="clear" w:color="auto" w:fill="CFF0FC"/>
          </w:tcPr>
          <w:p>
            <w:pPr>
              <w:jc w:val="right"/>
              <w:ind w:right="63"/>
              <w:spacing w:after="0"/>
              <w:rPr>
                <w:sz w:val="20"/>
                <w:szCs w:val="20"/>
                <w:color w:val="auto"/>
              </w:rPr>
            </w:pPr>
            <w:r>
              <w:rPr>
                <w:rFonts w:ascii="Arial" w:cs="Arial" w:eastAsia="Arial" w:hAnsi="Arial"/>
                <w:sz w:val="11"/>
                <w:szCs w:val="11"/>
                <w:color w:val="auto"/>
              </w:rPr>
              <w:t>12.00%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1,498</w:t>
            </w:r>
          </w:p>
        </w:tc>
        <w:tc>
          <w:tcPr>
            <w:tcW w:w="20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r>
      <w:tr>
        <w:trPr>
          <w:trHeight w:val="151"/>
        </w:trPr>
        <w:tc>
          <w:tcPr>
            <w:tcW w:w="270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(3)(7)(16)</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TRP Assets, LLC </w:t>
            </w:r>
            <w:r>
              <w:rPr>
                <w:rFonts w:ascii="Arial" w:cs="Arial" w:eastAsia="Arial" w:hAnsi="Arial"/>
                <w:sz w:val="17"/>
                <w:szCs w:val="17"/>
                <w:color w:val="auto"/>
                <w:vertAlign w:val="superscript"/>
              </w:rPr>
              <w:t>(3)</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($42,000 par, due 12/2025)</w:t>
            </w:r>
          </w:p>
        </w:tc>
        <w:tc>
          <w:tcPr>
            <w:tcW w:w="840" w:type="dxa"/>
            <w:vAlign w:val="bottom"/>
          </w:tcPr>
          <w:p>
            <w:pPr>
              <w:jc w:val="right"/>
              <w:spacing w:after="0"/>
              <w:rPr>
                <w:sz w:val="20"/>
                <w:szCs w:val="20"/>
                <w:color w:val="auto"/>
              </w:rPr>
            </w:pPr>
            <w:r>
              <w:rPr>
                <w:rFonts w:ascii="Arial" w:cs="Arial" w:eastAsia="Arial" w:hAnsi="Arial"/>
                <w:sz w:val="11"/>
                <w:szCs w:val="11"/>
                <w:color w:val="auto"/>
              </w:rPr>
              <w:t>12/3/2021</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SOFR + 7.50%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9.76%</w:t>
            </w:r>
          </w:p>
        </w:tc>
        <w:tc>
          <w:tcPr>
            <w:tcW w:w="760" w:type="dxa"/>
            <w:vAlign w:val="bottom"/>
          </w:tcPr>
          <w:p>
            <w:pPr>
              <w:jc w:val="right"/>
              <w:spacing w:after="0"/>
              <w:rPr>
                <w:sz w:val="20"/>
                <w:szCs w:val="20"/>
                <w:color w:val="auto"/>
              </w:rPr>
            </w:pPr>
            <w:r>
              <w:rPr>
                <w:rFonts w:ascii="Arial" w:cs="Arial" w:eastAsia="Arial" w:hAnsi="Arial"/>
                <w:sz w:val="11"/>
                <w:szCs w:val="11"/>
                <w:color w:val="auto"/>
              </w:rPr>
              <w:t>41,003</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40,950</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3.2%</w:t>
            </w:r>
          </w:p>
        </w:tc>
      </w:tr>
      <w:tr>
        <w:trPr>
          <w:trHeight w:val="142"/>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Verdad Resources Intermediate</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($25,233 par, due 10/2024)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4/10/2019</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+ 7.50%</w:t>
            </w:r>
          </w:p>
        </w:tc>
        <w:tc>
          <w:tcPr>
            <w:tcW w:w="1420" w:type="dxa"/>
            <w:vAlign w:val="bottom"/>
            <w:gridSpan w:val="2"/>
            <w:shd w:val="clear" w:color="auto" w:fill="CFF0FC"/>
          </w:tcPr>
          <w:p>
            <w:pPr>
              <w:jc w:val="right"/>
              <w:ind w:right="63"/>
              <w:spacing w:after="0"/>
              <w:rPr>
                <w:sz w:val="20"/>
                <w:szCs w:val="20"/>
                <w:color w:val="auto"/>
              </w:rPr>
            </w:pPr>
            <w:r>
              <w:rPr>
                <w:rFonts w:ascii="Arial" w:cs="Arial" w:eastAsia="Arial" w:hAnsi="Arial"/>
                <w:sz w:val="11"/>
                <w:szCs w:val="11"/>
                <w:color w:val="auto"/>
              </w:rPr>
              <w:t>9.50%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24,925</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25,485</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w:t>
            </w:r>
          </w:p>
        </w:tc>
      </w:tr>
      <w:tr>
        <w:trPr>
          <w:trHeight w:val="151"/>
        </w:trPr>
        <w:tc>
          <w:tcPr>
            <w:tcW w:w="2700" w:type="dxa"/>
            <w:vAlign w:val="bottom"/>
            <w:gridSpan w:val="2"/>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Holdings, LLC </w:t>
            </w:r>
            <w:r>
              <w:rPr>
                <w:rFonts w:ascii="Arial" w:cs="Arial" w:eastAsia="Arial" w:hAnsi="Arial"/>
                <w:sz w:val="17"/>
                <w:szCs w:val="17"/>
                <w:color w:val="auto"/>
                <w:vertAlign w:val="superscript"/>
              </w:rPr>
              <w:t>(3)</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76,201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75,210</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5.9%</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Other</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Omnigo Software, LLC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($33,745 par, due 3/2026)</w:t>
            </w:r>
          </w:p>
        </w:tc>
        <w:tc>
          <w:tcPr>
            <w:tcW w:w="840" w:type="dxa"/>
            <w:vAlign w:val="bottom"/>
          </w:tcPr>
          <w:p>
            <w:pPr>
              <w:jc w:val="right"/>
              <w:spacing w:after="0"/>
              <w:rPr>
                <w:sz w:val="20"/>
                <w:szCs w:val="20"/>
                <w:color w:val="auto"/>
              </w:rPr>
            </w:pPr>
            <w:r>
              <w:rPr>
                <w:rFonts w:ascii="Arial" w:cs="Arial" w:eastAsia="Arial" w:hAnsi="Arial"/>
                <w:sz w:val="11"/>
                <w:szCs w:val="11"/>
                <w:color w:val="auto"/>
              </w:rPr>
              <w:t>3/31/2021</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+ 6.50%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7.50%</w:t>
            </w:r>
          </w:p>
        </w:tc>
        <w:tc>
          <w:tcPr>
            <w:tcW w:w="760" w:type="dxa"/>
            <w:vAlign w:val="bottom"/>
          </w:tcPr>
          <w:p>
            <w:pPr>
              <w:jc w:val="right"/>
              <w:spacing w:after="0"/>
              <w:rPr>
                <w:sz w:val="20"/>
                <w:szCs w:val="20"/>
                <w:color w:val="auto"/>
              </w:rPr>
            </w:pPr>
            <w:r>
              <w:rPr>
                <w:rFonts w:ascii="Arial" w:cs="Arial" w:eastAsia="Arial" w:hAnsi="Arial"/>
                <w:sz w:val="11"/>
                <w:szCs w:val="11"/>
                <w:color w:val="auto"/>
              </w:rPr>
              <w:t>33,067</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33,408</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2.6%</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Pharmaceuticals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Biohaven Pharmaceuticals,</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($41,768 par, due 8/2025)</w:t>
            </w:r>
          </w:p>
        </w:tc>
        <w:tc>
          <w:tcPr>
            <w:tcW w:w="840" w:type="dxa"/>
            <w:vAlign w:val="bottom"/>
          </w:tcPr>
          <w:p>
            <w:pPr>
              <w:jc w:val="right"/>
              <w:spacing w:after="0"/>
              <w:rPr>
                <w:sz w:val="20"/>
                <w:szCs w:val="20"/>
                <w:color w:val="auto"/>
              </w:rPr>
            </w:pPr>
            <w:r>
              <w:rPr>
                <w:rFonts w:ascii="Arial" w:cs="Arial" w:eastAsia="Arial" w:hAnsi="Arial"/>
                <w:sz w:val="11"/>
                <w:szCs w:val="11"/>
                <w:color w:val="auto"/>
              </w:rPr>
              <w:t>8/7/2020</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+ 9.00%</w:t>
            </w:r>
          </w:p>
        </w:tc>
        <w:tc>
          <w:tcPr>
            <w:tcW w:w="1420" w:type="dxa"/>
            <w:vAlign w:val="bottom"/>
            <w:gridSpan w:val="2"/>
          </w:tcPr>
          <w:p>
            <w:pPr>
              <w:jc w:val="right"/>
              <w:ind w:right="163"/>
              <w:spacing w:after="0"/>
              <w:rPr>
                <w:sz w:val="20"/>
                <w:szCs w:val="20"/>
                <w:color w:val="auto"/>
              </w:rPr>
            </w:pPr>
            <w:r>
              <w:rPr>
                <w:rFonts w:ascii="Arial" w:cs="Arial" w:eastAsia="Arial" w:hAnsi="Arial"/>
                <w:sz w:val="11"/>
                <w:szCs w:val="11"/>
                <w:color w:val="auto"/>
                <w:w w:val="96"/>
              </w:rPr>
              <w:t>10.00% (incl. 4.00% PIK)</w:t>
            </w:r>
          </w:p>
        </w:tc>
        <w:tc>
          <w:tcPr>
            <w:tcW w:w="760" w:type="dxa"/>
            <w:vAlign w:val="bottom"/>
          </w:tcPr>
          <w:p>
            <w:pPr>
              <w:jc w:val="right"/>
              <w:spacing w:after="0"/>
              <w:rPr>
                <w:sz w:val="20"/>
                <w:szCs w:val="20"/>
                <w:color w:val="auto"/>
              </w:rPr>
            </w:pPr>
            <w:r>
              <w:rPr>
                <w:rFonts w:ascii="Arial" w:cs="Arial" w:eastAsia="Arial" w:hAnsi="Arial"/>
                <w:sz w:val="11"/>
                <w:szCs w:val="11"/>
                <w:color w:val="auto"/>
              </w:rPr>
              <w:t>50,761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52,782</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4.1%</w:t>
            </w:r>
          </w:p>
        </w:tc>
      </w:tr>
      <w:tr>
        <w:trPr>
          <w:trHeight w:val="149"/>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(3)(4)</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($22,730 par, due 9/2026)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9/30/2021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+ 8.25%</w:t>
            </w:r>
          </w:p>
        </w:tc>
        <w:tc>
          <w:tcPr>
            <w:tcW w:w="1420" w:type="dxa"/>
            <w:vAlign w:val="bottom"/>
            <w:gridSpan w:val="2"/>
            <w:shd w:val="clear" w:color="auto" w:fill="CFF0FC"/>
          </w:tcPr>
          <w:p>
            <w:pPr>
              <w:jc w:val="right"/>
              <w:ind w:right="163"/>
              <w:spacing w:after="0"/>
              <w:rPr>
                <w:sz w:val="20"/>
                <w:szCs w:val="20"/>
                <w:color w:val="auto"/>
              </w:rPr>
            </w:pPr>
            <w:r>
              <w:rPr>
                <w:rFonts w:ascii="Arial" w:cs="Arial" w:eastAsia="Arial" w:hAnsi="Arial"/>
                <w:sz w:val="11"/>
                <w:szCs w:val="11"/>
                <w:color w:val="auto"/>
              </w:rPr>
              <w:t>9.25% (incl. 4.00%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11,903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12,816</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1.0%</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TherapeuticsMD, Inc. </w:t>
            </w:r>
            <w:r>
              <w:rPr>
                <w:rFonts w:ascii="Arial" w:cs="Arial" w:eastAsia="Arial" w:hAnsi="Arial"/>
                <w:sz w:val="17"/>
                <w:szCs w:val="17"/>
                <w:color w:val="auto"/>
                <w:vertAlign w:val="superscript"/>
              </w:rPr>
              <w:t>(3)(4)</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($30,000 par, due 3/2024)</w:t>
            </w:r>
          </w:p>
        </w:tc>
        <w:tc>
          <w:tcPr>
            <w:tcW w:w="840" w:type="dxa"/>
            <w:vAlign w:val="bottom"/>
          </w:tcPr>
          <w:p>
            <w:pPr>
              <w:jc w:val="right"/>
              <w:spacing w:after="0"/>
              <w:rPr>
                <w:sz w:val="20"/>
                <w:szCs w:val="20"/>
                <w:color w:val="auto"/>
              </w:rPr>
            </w:pPr>
            <w:r>
              <w:rPr>
                <w:rFonts w:ascii="Arial" w:cs="Arial" w:eastAsia="Arial" w:hAnsi="Arial"/>
                <w:sz w:val="11"/>
                <w:szCs w:val="11"/>
                <w:color w:val="auto"/>
              </w:rPr>
              <w:t>4/24/2019</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+ 7.75%</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10.45%</w:t>
            </w:r>
          </w:p>
        </w:tc>
        <w:tc>
          <w:tcPr>
            <w:tcW w:w="760" w:type="dxa"/>
            <w:vAlign w:val="bottom"/>
          </w:tcPr>
          <w:p>
            <w:pPr>
              <w:jc w:val="right"/>
              <w:spacing w:after="0"/>
              <w:rPr>
                <w:sz w:val="20"/>
                <w:szCs w:val="20"/>
                <w:color w:val="auto"/>
              </w:rPr>
            </w:pPr>
            <w:r>
              <w:rPr>
                <w:rFonts w:ascii="Arial" w:cs="Arial" w:eastAsia="Arial" w:hAnsi="Arial"/>
                <w:sz w:val="11"/>
                <w:szCs w:val="11"/>
                <w:color w:val="auto"/>
              </w:rPr>
              <w:t>29,068</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30,000</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2.4%</w:t>
            </w:r>
          </w:p>
        </w:tc>
      </w:tr>
      <w:tr>
        <w:trPr>
          <w:trHeight w:val="20"/>
        </w:trPr>
        <w:tc>
          <w:tcPr>
            <w:tcW w:w="2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9"/>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91,732</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95,598</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w:t>
            </w:r>
          </w:p>
        </w:tc>
      </w:tr>
      <w:tr>
        <w:trPr>
          <w:trHeight w:val="143"/>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Retail and Consumer Products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99 Cents Only Stores</w:t>
            </w:r>
          </w:p>
        </w:tc>
        <w:tc>
          <w:tcPr>
            <w:tcW w:w="2400" w:type="dxa"/>
            <w:vAlign w:val="bottom"/>
            <w:gridSpan w:val="2"/>
          </w:tcPr>
          <w:p>
            <w:pPr>
              <w:spacing w:after="0"/>
              <w:rPr>
                <w:sz w:val="20"/>
                <w:szCs w:val="20"/>
                <w:color w:val="auto"/>
              </w:rPr>
            </w:pPr>
            <w:r>
              <w:rPr>
                <w:rFonts w:ascii="Arial" w:cs="Arial" w:eastAsia="Arial" w:hAnsi="Arial"/>
                <w:sz w:val="11"/>
                <w:szCs w:val="11"/>
                <w:color w:val="auto"/>
              </w:rPr>
              <w:t>ABL FILO term loan ($25,000 par, due 5/2025)</w:t>
            </w:r>
          </w:p>
        </w:tc>
        <w:tc>
          <w:tcPr>
            <w:tcW w:w="840" w:type="dxa"/>
            <w:vAlign w:val="bottom"/>
          </w:tcPr>
          <w:p>
            <w:pPr>
              <w:jc w:val="right"/>
              <w:spacing w:after="0"/>
              <w:rPr>
                <w:sz w:val="20"/>
                <w:szCs w:val="20"/>
                <w:color w:val="auto"/>
              </w:rPr>
            </w:pPr>
            <w:r>
              <w:rPr>
                <w:rFonts w:ascii="Arial" w:cs="Arial" w:eastAsia="Arial" w:hAnsi="Arial"/>
                <w:sz w:val="11"/>
                <w:szCs w:val="11"/>
                <w:color w:val="auto"/>
              </w:rPr>
              <w:t>9/6/2017</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+ 8.50%</w:t>
            </w:r>
          </w:p>
        </w:tc>
        <w:tc>
          <w:tcPr>
            <w:tcW w:w="1420" w:type="dxa"/>
            <w:vAlign w:val="bottom"/>
            <w:gridSpan w:val="2"/>
          </w:tcPr>
          <w:p>
            <w:pPr>
              <w:jc w:val="right"/>
              <w:ind w:right="63"/>
              <w:spacing w:after="0"/>
              <w:rPr>
                <w:sz w:val="20"/>
                <w:szCs w:val="20"/>
                <w:color w:val="auto"/>
              </w:rPr>
            </w:pPr>
            <w:r>
              <w:rPr>
                <w:rFonts w:ascii="Arial" w:cs="Arial" w:eastAsia="Arial" w:hAnsi="Arial"/>
                <w:sz w:val="11"/>
                <w:szCs w:val="11"/>
                <w:color w:val="auto"/>
              </w:rPr>
              <w:t>9.50%</w:t>
            </w:r>
          </w:p>
        </w:tc>
        <w:tc>
          <w:tcPr>
            <w:tcW w:w="760" w:type="dxa"/>
            <w:vAlign w:val="bottom"/>
          </w:tcPr>
          <w:p>
            <w:pPr>
              <w:jc w:val="right"/>
              <w:spacing w:after="0"/>
              <w:rPr>
                <w:sz w:val="20"/>
                <w:szCs w:val="20"/>
                <w:color w:val="auto"/>
              </w:rPr>
            </w:pPr>
            <w:r>
              <w:rPr>
                <w:rFonts w:ascii="Arial" w:cs="Arial" w:eastAsia="Arial" w:hAnsi="Arial"/>
                <w:sz w:val="11"/>
                <w:szCs w:val="11"/>
                <w:color w:val="auto"/>
              </w:rPr>
              <w:t>24,704</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25,625</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2.0%</w:t>
            </w:r>
          </w:p>
        </w:tc>
      </w:tr>
      <w:tr>
        <w:trPr>
          <w:trHeight w:val="147"/>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Initial</w:t>
            </w:r>
          </w:p>
        </w:tc>
        <w:tc>
          <w:tcPr>
            <w:tcW w:w="980" w:type="dxa"/>
            <w:vAlign w:val="bottom"/>
            <w:gridSpan w:val="2"/>
          </w:tcPr>
          <w:p>
            <w:pPr>
              <w:jc w:val="center"/>
              <w:ind w:right="195"/>
              <w:spacing w:after="0"/>
              <w:rPr>
                <w:sz w:val="20"/>
                <w:szCs w:val="20"/>
                <w:color w:val="auto"/>
              </w:rPr>
            </w:pPr>
            <w:r>
              <w:rPr>
                <w:rFonts w:ascii="Arial" w:cs="Arial" w:eastAsia="Arial" w:hAnsi="Arial"/>
                <w:sz w:val="9"/>
                <w:szCs w:val="9"/>
                <w:b w:val="1"/>
                <w:bCs w:val="1"/>
                <w:color w:val="auto"/>
                <w:w w:val="87"/>
              </w:rPr>
              <w:t>Reference</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5"/>
              </w:rPr>
              <w:t>Acquisition</w:t>
            </w:r>
          </w:p>
        </w:tc>
        <w:tc>
          <w:tcPr>
            <w:tcW w:w="980" w:type="dxa"/>
            <w:vAlign w:val="bottom"/>
            <w:gridSpan w:val="2"/>
          </w:tcPr>
          <w:p>
            <w:pPr>
              <w:jc w:val="center"/>
              <w:ind w:right="195"/>
              <w:spacing w:after="0" w:line="95" w:lineRule="exact"/>
              <w:rPr>
                <w:sz w:val="20"/>
                <w:szCs w:val="20"/>
                <w:color w:val="auto"/>
              </w:rPr>
            </w:pPr>
            <w:r>
              <w:rPr>
                <w:rFonts w:ascii="Arial" w:cs="Arial" w:eastAsia="Arial" w:hAnsi="Arial"/>
                <w:sz w:val="9"/>
                <w:szCs w:val="9"/>
                <w:b w:val="1"/>
                <w:bCs w:val="1"/>
                <w:color w:val="auto"/>
                <w:w w:val="89"/>
              </w:rPr>
              <w:t>Rate and</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ind w:left="180"/>
              <w:spacing w:after="0" w:line="95" w:lineRule="exact"/>
              <w:rPr>
                <w:sz w:val="20"/>
                <w:szCs w:val="20"/>
                <w:color w:val="auto"/>
              </w:rPr>
            </w:pPr>
            <w:r>
              <w:rPr>
                <w:rFonts w:ascii="Arial" w:cs="Arial" w:eastAsia="Arial" w:hAnsi="Arial"/>
                <w:sz w:val="9"/>
                <w:szCs w:val="9"/>
                <w:b w:val="1"/>
                <w:bCs w:val="1"/>
                <w:color w:val="auto"/>
              </w:rPr>
              <w:t>Amortized</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203"/>
              <w:spacing w:after="0" w:line="95" w:lineRule="exact"/>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07"/>
        </w:trPr>
        <w:tc>
          <w:tcPr>
            <w:tcW w:w="2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w:t>
            </w:r>
          </w:p>
        </w:tc>
        <w:tc>
          <w:tcPr>
            <w:tcW w:w="100" w:type="dxa"/>
            <w:vAlign w:val="bottom"/>
            <w:tcBorders>
              <w:bottom w:val="single" w:sz="8" w:color="CFF0FC"/>
            </w:tcBorders>
          </w:tcPr>
          <w:p>
            <w:pPr>
              <w:spacing w:after="0"/>
              <w:rPr>
                <w:sz w:val="9"/>
                <w:szCs w:val="9"/>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9"/>
                <w:szCs w:val="9"/>
                <w:b w:val="1"/>
                <w:bCs w:val="1"/>
                <w:color w:val="auto"/>
              </w:rPr>
              <w:t>Investment</w:t>
            </w:r>
          </w:p>
        </w:tc>
        <w:tc>
          <w:tcPr>
            <w:tcW w:w="12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Spread</w:t>
            </w:r>
          </w:p>
        </w:tc>
        <w:tc>
          <w:tcPr>
            <w:tcW w:w="220" w:type="dxa"/>
            <w:vAlign w:val="bottom"/>
            <w:tcBorders>
              <w:bottom w:val="single" w:sz="8" w:color="CFF0FC"/>
            </w:tcBorders>
          </w:tcPr>
          <w:p>
            <w:pPr>
              <w:spacing w:after="0"/>
              <w:rPr>
                <w:sz w:val="9"/>
                <w:szCs w:val="9"/>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9"/>
                <w:szCs w:val="9"/>
                <w:b w:val="1"/>
                <w:bCs w:val="1"/>
                <w:color w:val="auto"/>
              </w:rPr>
              <w:t>Interest Rate</w:t>
            </w:r>
          </w:p>
        </w:tc>
        <w:tc>
          <w:tcPr>
            <w:tcW w:w="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9"/>
                <w:szCs w:val="9"/>
                <w:b w:val="1"/>
                <w:bCs w:val="1"/>
                <w:color w:val="auto"/>
              </w:rPr>
              <w:t xml:space="preserve">Cost </w:t>
            </w:r>
            <w:r>
              <w:rPr>
                <w:rFonts w:ascii="Arial" w:cs="Arial" w:eastAsia="Arial" w:hAnsi="Arial"/>
                <w:sz w:val="7"/>
                <w:szCs w:val="7"/>
                <w:b w:val="1"/>
                <w:bCs w:val="1"/>
                <w:color w:val="auto"/>
              </w:rPr>
              <w:t>(2)(8)</w:t>
            </w: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7"/>
                <w:szCs w:val="7"/>
                <w:b w:val="1"/>
                <w:bCs w:val="1"/>
                <w:color w:val="auto"/>
              </w:rPr>
              <w:t>(10)</w:t>
            </w:r>
          </w:p>
        </w:tc>
        <w:tc>
          <w:tcPr>
            <w:tcW w:w="20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9"/>
                <w:szCs w:val="9"/>
                <w:b w:val="1"/>
                <w:bCs w:val="1"/>
                <w:color w:val="auto"/>
              </w:rPr>
              <w:t>of Net Assets</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American Achievement,</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($25,185 par, due 9/2026)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9/30/2015</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ind w:left="360"/>
              <w:spacing w:after="0"/>
              <w:rPr>
                <w:sz w:val="20"/>
                <w:szCs w:val="20"/>
                <w:color w:val="auto"/>
              </w:rPr>
            </w:pPr>
            <w:r>
              <w:rPr>
                <w:rFonts w:ascii="Arial" w:cs="Arial" w:eastAsia="Arial" w:hAnsi="Arial"/>
                <w:sz w:val="11"/>
                <w:szCs w:val="11"/>
                <w:color w:val="auto"/>
                <w:w w:val="94"/>
              </w:rPr>
              <w:t>L + 6.25</w:t>
            </w:r>
          </w:p>
        </w:tc>
        <w:tc>
          <w:tcPr>
            <w:tcW w:w="2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w w:val="74"/>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7.25% (incl. 6.75%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24,259</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18,952</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51"/>
        </w:trPr>
        <w:tc>
          <w:tcPr>
            <w:tcW w:w="2700" w:type="dxa"/>
            <w:vAlign w:val="bottom"/>
            <w:gridSpan w:val="2"/>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Corp. </w:t>
            </w:r>
            <w:r>
              <w:rPr>
                <w:rFonts w:ascii="Arial" w:cs="Arial" w:eastAsia="Arial" w:hAnsi="Arial"/>
                <w:sz w:val="17"/>
                <w:szCs w:val="17"/>
                <w:color w:val="auto"/>
                <w:vertAlign w:val="superscript"/>
              </w:rPr>
              <w:t>(3)</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($1,370 par, due 9/2026) (16)</w:t>
            </w:r>
          </w:p>
        </w:tc>
        <w:tc>
          <w:tcPr>
            <w:tcW w:w="840" w:type="dxa"/>
            <w:vAlign w:val="bottom"/>
          </w:tcPr>
          <w:p>
            <w:pPr>
              <w:jc w:val="right"/>
              <w:spacing w:after="0"/>
              <w:rPr>
                <w:sz w:val="20"/>
                <w:szCs w:val="20"/>
                <w:color w:val="auto"/>
              </w:rPr>
            </w:pPr>
            <w:r>
              <w:rPr>
                <w:rFonts w:ascii="Arial" w:cs="Arial" w:eastAsia="Arial" w:hAnsi="Arial"/>
                <w:sz w:val="11"/>
                <w:szCs w:val="11"/>
                <w:color w:val="auto"/>
              </w:rPr>
              <w:t>6/10/2021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+ 14.00%</w:t>
            </w: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15.00% (incl. 14.50%</w:t>
            </w:r>
          </w:p>
        </w:tc>
        <w:tc>
          <w:tcPr>
            <w:tcW w:w="760" w:type="dxa"/>
            <w:vAlign w:val="bottom"/>
          </w:tcPr>
          <w:p>
            <w:pPr>
              <w:jc w:val="right"/>
              <w:spacing w:after="0"/>
              <w:rPr>
                <w:sz w:val="20"/>
                <w:szCs w:val="20"/>
                <w:color w:val="auto"/>
              </w:rPr>
            </w:pPr>
            <w:r>
              <w:rPr>
                <w:rFonts w:ascii="Arial" w:cs="Arial" w:eastAsia="Arial" w:hAnsi="Arial"/>
                <w:sz w:val="11"/>
                <w:szCs w:val="11"/>
                <w:color w:val="auto"/>
              </w:rPr>
              <w:t>1,370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92</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47"/>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1"/>
                <w:szCs w:val="11"/>
                <w:color w:val="auto"/>
              </w:rPr>
              <w:t>PIK)</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Subordinated note ($4,740 par, due 9/2026) </w:t>
            </w:r>
            <w:r>
              <w:rPr>
                <w:rFonts w:ascii="Arial" w:cs="Arial" w:eastAsia="Arial" w:hAnsi="Arial"/>
                <w:sz w:val="17"/>
                <w:szCs w:val="17"/>
                <w:color w:val="auto"/>
                <w:vertAlign w:val="superscript"/>
              </w:rPr>
              <w:t>(16)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3/16/2021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+ 1.00%</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2.00% PIK</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Designer Brands, Inc. </w:t>
            </w:r>
            <w:r>
              <w:rPr>
                <w:rFonts w:ascii="Arial" w:cs="Arial" w:eastAsia="Arial" w:hAnsi="Arial"/>
                <w:sz w:val="17"/>
                <w:szCs w:val="17"/>
                <w:color w:val="auto"/>
                <w:vertAlign w:val="superscript"/>
              </w:rPr>
              <w:t>(3)(4)</w:t>
            </w:r>
          </w:p>
        </w:tc>
        <w:tc>
          <w:tcPr>
            <w:tcW w:w="2400" w:type="dxa"/>
            <w:vAlign w:val="bottom"/>
            <w:gridSpan w:val="2"/>
          </w:tcPr>
          <w:p>
            <w:pPr>
              <w:spacing w:after="0"/>
              <w:rPr>
                <w:sz w:val="20"/>
                <w:szCs w:val="20"/>
                <w:color w:val="auto"/>
              </w:rPr>
            </w:pPr>
            <w:r>
              <w:rPr>
                <w:rFonts w:ascii="Arial" w:cs="Arial" w:eastAsia="Arial" w:hAnsi="Arial"/>
                <w:sz w:val="11"/>
                <w:szCs w:val="11"/>
                <w:color w:val="auto"/>
              </w:rPr>
              <w:t>ABL First-lien loan ($46,875 par, due 8/2025)</w:t>
            </w:r>
          </w:p>
        </w:tc>
        <w:tc>
          <w:tcPr>
            <w:tcW w:w="840" w:type="dxa"/>
            <w:vAlign w:val="bottom"/>
          </w:tcPr>
          <w:p>
            <w:pPr>
              <w:jc w:val="right"/>
              <w:spacing w:after="0"/>
              <w:rPr>
                <w:sz w:val="20"/>
                <w:szCs w:val="20"/>
                <w:color w:val="auto"/>
              </w:rPr>
            </w:pPr>
            <w:r>
              <w:rPr>
                <w:rFonts w:ascii="Arial" w:cs="Arial" w:eastAsia="Arial" w:hAnsi="Arial"/>
                <w:sz w:val="11"/>
                <w:szCs w:val="11"/>
                <w:color w:val="auto"/>
              </w:rPr>
              <w:t>8/7/2020</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+ 8.50%</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9.75%</w:t>
            </w:r>
          </w:p>
        </w:tc>
        <w:tc>
          <w:tcPr>
            <w:tcW w:w="760" w:type="dxa"/>
            <w:vAlign w:val="bottom"/>
          </w:tcPr>
          <w:p>
            <w:pPr>
              <w:jc w:val="right"/>
              <w:spacing w:after="0"/>
              <w:rPr>
                <w:sz w:val="20"/>
                <w:szCs w:val="20"/>
                <w:color w:val="auto"/>
              </w:rPr>
            </w:pPr>
            <w:r>
              <w:rPr>
                <w:rFonts w:ascii="Arial" w:cs="Arial" w:eastAsia="Arial" w:hAnsi="Arial"/>
                <w:sz w:val="11"/>
                <w:szCs w:val="11"/>
                <w:color w:val="auto"/>
              </w:rPr>
              <w:t>45,974</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48,398</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Moran Foods, LLC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ABL FILO term loan ($33,267 par, due 4/2024)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4/1/2020</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+ 7.50%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9.00%</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32,864</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33,683</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Neuintel, LLC </w:t>
            </w:r>
            <w:r>
              <w:rPr>
                <w:rFonts w:ascii="Arial" w:cs="Arial" w:eastAsia="Arial" w:hAnsi="Arial"/>
                <w:sz w:val="17"/>
                <w:szCs w:val="17"/>
                <w:color w:val="auto"/>
                <w:vertAlign w:val="superscript"/>
              </w:rPr>
              <w:t>(3)(5)</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($52,000 par, due 12/2026)</w:t>
            </w:r>
          </w:p>
        </w:tc>
        <w:tc>
          <w:tcPr>
            <w:tcW w:w="840" w:type="dxa"/>
            <w:vAlign w:val="bottom"/>
          </w:tcPr>
          <w:p>
            <w:pPr>
              <w:jc w:val="right"/>
              <w:spacing w:after="0"/>
              <w:rPr>
                <w:sz w:val="20"/>
                <w:szCs w:val="20"/>
                <w:color w:val="auto"/>
              </w:rPr>
            </w:pPr>
            <w:r>
              <w:rPr>
                <w:rFonts w:ascii="Arial" w:cs="Arial" w:eastAsia="Arial" w:hAnsi="Arial"/>
                <w:sz w:val="11"/>
                <w:szCs w:val="11"/>
                <w:color w:val="auto"/>
              </w:rPr>
              <w:t>12/20/2021</w:t>
            </w:r>
          </w:p>
        </w:tc>
        <w:tc>
          <w:tcPr>
            <w:tcW w:w="100" w:type="dxa"/>
            <w:vAlign w:val="bottom"/>
          </w:tcPr>
          <w:p>
            <w:pPr>
              <w:spacing w:after="0"/>
              <w:rPr>
                <w:sz w:val="13"/>
                <w:szCs w:val="13"/>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+ 6.25%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7.25%</w:t>
            </w:r>
          </w:p>
        </w:tc>
        <w:tc>
          <w:tcPr>
            <w:tcW w:w="760" w:type="dxa"/>
            <w:vAlign w:val="bottom"/>
          </w:tcPr>
          <w:p>
            <w:pPr>
              <w:jc w:val="right"/>
              <w:spacing w:after="0"/>
              <w:rPr>
                <w:sz w:val="20"/>
                <w:szCs w:val="20"/>
                <w:color w:val="auto"/>
              </w:rPr>
            </w:pPr>
            <w:r>
              <w:rPr>
                <w:rFonts w:ascii="Arial" w:cs="Arial" w:eastAsia="Arial" w:hAnsi="Arial"/>
                <w:sz w:val="11"/>
                <w:szCs w:val="11"/>
                <w:color w:val="auto"/>
              </w:rPr>
              <w:t>50,811</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50,700</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Project P Intermediate 2, LLC </w:t>
            </w:r>
            <w:r>
              <w:rPr>
                <w:rFonts w:ascii="Arial" w:cs="Arial" w:eastAsia="Arial" w:hAnsi="Arial"/>
                <w:sz w:val="17"/>
                <w:szCs w:val="17"/>
                <w:color w:val="auto"/>
                <w:vertAlign w:val="superscript"/>
              </w:rPr>
              <w:t>(3)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ABL FILO term loan ($75,000 par, due 5/2026)</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11/8/2021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+ 8.00%</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9.25%</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73,541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74,250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5.8%</w:t>
            </w:r>
          </w:p>
        </w:tc>
        <w:tc>
          <w:tcPr>
            <w:tcW w:w="0" w:type="dxa"/>
            <w:vAlign w:val="bottom"/>
          </w:tcPr>
          <w:p>
            <w:pPr>
              <w:spacing w:after="0"/>
              <w:rPr>
                <w:sz w:val="1"/>
                <w:szCs w:val="1"/>
                <w:color w:val="auto"/>
              </w:rPr>
            </w:pP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Tango Management Consulting,</w:t>
            </w:r>
          </w:p>
        </w:tc>
        <w:tc>
          <w:tcPr>
            <w:tcW w:w="2400" w:type="dxa"/>
            <w:vAlign w:val="bottom"/>
            <w:gridSpan w:val="2"/>
          </w:tcPr>
          <w:p>
            <w:pPr>
              <w:spacing w:after="0"/>
              <w:rPr>
                <w:sz w:val="20"/>
                <w:szCs w:val="20"/>
                <w:color w:val="auto"/>
              </w:rPr>
            </w:pPr>
            <w:r>
              <w:rPr>
                <w:rFonts w:ascii="Arial" w:cs="Arial" w:eastAsia="Arial" w:hAnsi="Arial"/>
                <w:sz w:val="11"/>
                <w:szCs w:val="11"/>
                <w:color w:val="auto"/>
              </w:rPr>
              <w:t>First-lien loan ($32,500 par, due 12/2027)</w:t>
            </w:r>
          </w:p>
        </w:tc>
        <w:tc>
          <w:tcPr>
            <w:tcW w:w="840" w:type="dxa"/>
            <w:vAlign w:val="bottom"/>
          </w:tcPr>
          <w:p>
            <w:pPr>
              <w:jc w:val="right"/>
              <w:spacing w:after="0"/>
              <w:rPr>
                <w:sz w:val="20"/>
                <w:szCs w:val="20"/>
                <w:color w:val="auto"/>
              </w:rPr>
            </w:pPr>
            <w:r>
              <w:rPr>
                <w:rFonts w:ascii="Arial" w:cs="Arial" w:eastAsia="Arial" w:hAnsi="Arial"/>
                <w:sz w:val="11"/>
                <w:szCs w:val="11"/>
                <w:color w:val="auto"/>
              </w:rPr>
              <w:t>12/1/2021</w:t>
            </w:r>
          </w:p>
        </w:tc>
        <w:tc>
          <w:tcPr>
            <w:tcW w:w="100" w:type="dxa"/>
            <w:vAlign w:val="bottom"/>
          </w:tcPr>
          <w:p>
            <w:pPr>
              <w:spacing w:after="0"/>
              <w:rPr>
                <w:sz w:val="12"/>
                <w:szCs w:val="12"/>
                <w:color w:val="auto"/>
              </w:rPr>
            </w:pPr>
          </w:p>
        </w:tc>
        <w:tc>
          <w:tcPr>
            <w:tcW w:w="980" w:type="dxa"/>
            <w:vAlign w:val="bottom"/>
            <w:gridSpan w:val="2"/>
          </w:tcPr>
          <w:p>
            <w:pPr>
              <w:jc w:val="right"/>
              <w:ind w:right="95"/>
              <w:spacing w:after="0"/>
              <w:rPr>
                <w:sz w:val="20"/>
                <w:szCs w:val="20"/>
                <w:color w:val="auto"/>
              </w:rPr>
            </w:pPr>
            <w:r>
              <w:rPr>
                <w:rFonts w:ascii="Arial" w:cs="Arial" w:eastAsia="Arial" w:hAnsi="Arial"/>
                <w:sz w:val="11"/>
                <w:szCs w:val="11"/>
                <w:color w:val="auto"/>
              </w:rPr>
              <w:t>L + 6.75%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7.50%</w:t>
            </w:r>
          </w:p>
        </w:tc>
        <w:tc>
          <w:tcPr>
            <w:tcW w:w="760" w:type="dxa"/>
            <w:vAlign w:val="bottom"/>
          </w:tcPr>
          <w:p>
            <w:pPr>
              <w:jc w:val="right"/>
              <w:spacing w:after="0"/>
              <w:rPr>
                <w:sz w:val="20"/>
                <w:szCs w:val="20"/>
                <w:color w:val="auto"/>
              </w:rPr>
            </w:pPr>
            <w:r>
              <w:rPr>
                <w:rFonts w:ascii="Arial" w:cs="Arial" w:eastAsia="Arial" w:hAnsi="Arial"/>
                <w:sz w:val="11"/>
                <w:szCs w:val="11"/>
                <w:color w:val="auto"/>
              </w:rPr>
              <w:t>31,487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31,459</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9"/>
        </w:trPr>
        <w:tc>
          <w:tcPr>
            <w:tcW w:w="2700" w:type="dxa"/>
            <w:vAlign w:val="bottom"/>
            <w:tcBorders>
              <w:bottom w:val="single" w:sz="8" w:color="CFF0FC"/>
            </w:tcBorders>
            <w:gridSpan w:val="2"/>
          </w:tcPr>
          <w:p>
            <w:pPr>
              <w:ind w:left="80"/>
              <w:spacing w:after="0"/>
              <w:rPr>
                <w:sz w:val="20"/>
                <w:szCs w:val="20"/>
                <w:color w:val="auto"/>
              </w:rPr>
            </w:pPr>
            <w:r>
              <w:rPr>
                <w:rFonts w:ascii="Arial" w:cs="Arial" w:eastAsia="Arial" w:hAnsi="Arial"/>
                <w:sz w:val="11"/>
                <w:szCs w:val="11"/>
                <w:color w:val="auto"/>
              </w:rPr>
              <w:t xml:space="preserve">LLC </w:t>
            </w:r>
            <w:r>
              <w:rPr>
                <w:rFonts w:ascii="Arial" w:cs="Arial" w:eastAsia="Arial" w:hAnsi="Arial"/>
                <w:sz w:val="9"/>
                <w:szCs w:val="9"/>
                <w:color w:val="auto"/>
              </w:rPr>
              <w:t>(3)(5)</w:t>
            </w:r>
          </w:p>
        </w:tc>
        <w:tc>
          <w:tcPr>
            <w:tcW w:w="22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285,555</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283,230</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Transportation</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Project44, Inc. </w:t>
            </w:r>
            <w:r>
              <w:rPr>
                <w:rFonts w:ascii="Arial" w:cs="Arial" w:eastAsia="Arial" w:hAnsi="Arial"/>
                <w:sz w:val="17"/>
                <w:szCs w:val="17"/>
                <w:color w:val="auto"/>
                <w:vertAlign w:val="superscript"/>
              </w:rPr>
              <w:t>(3)(5)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First-lien loan ($35,139 par, due 11/2027)</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11/12/2021</w:t>
            </w: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95"/>
              <w:spacing w:after="0"/>
              <w:rPr>
                <w:sz w:val="20"/>
                <w:szCs w:val="20"/>
                <w:color w:val="auto"/>
              </w:rPr>
            </w:pPr>
            <w:r>
              <w:rPr>
                <w:rFonts w:ascii="Arial" w:cs="Arial" w:eastAsia="Arial" w:hAnsi="Arial"/>
                <w:sz w:val="11"/>
                <w:szCs w:val="11"/>
                <w:color w:val="auto"/>
              </w:rPr>
              <w:t>L + 6.25%</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7.25%</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33,821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33,901</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0"/>
        </w:trPr>
        <w:tc>
          <w:tcPr>
            <w:tcW w:w="2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Total Debt Investments</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70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2,317,552</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2,360,134</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185.0%</w:t>
            </w:r>
          </w:p>
        </w:tc>
        <w:tc>
          <w:tcPr>
            <w:tcW w:w="0" w:type="dxa"/>
            <w:vAlign w:val="bottom"/>
          </w:tcPr>
          <w:p>
            <w:pPr>
              <w:spacing w:after="0"/>
              <w:rPr>
                <w:sz w:val="1"/>
                <w:szCs w:val="1"/>
                <w:color w:val="auto"/>
              </w:rPr>
            </w:pPr>
          </w:p>
        </w:tc>
      </w:tr>
      <w:tr>
        <w:trPr>
          <w:trHeight w:val="143"/>
        </w:trPr>
        <w:tc>
          <w:tcPr>
            <w:tcW w:w="26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Equity and Other Investments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Business Services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tcPr>
          <w:p>
            <w:pPr>
              <w:spacing w:after="0" w:line="145" w:lineRule="exact"/>
              <w:rPr>
                <w:sz w:val="20"/>
                <w:szCs w:val="20"/>
                <w:color w:val="auto"/>
              </w:rPr>
            </w:pPr>
            <w:r>
              <w:rPr>
                <w:rFonts w:ascii="Arial" w:cs="Arial" w:eastAsia="Arial" w:hAnsi="Arial"/>
                <w:sz w:val="10"/>
                <w:szCs w:val="10"/>
                <w:color w:val="auto"/>
              </w:rPr>
              <w:t xml:space="preserve">Dye &amp; Durham, Ltd. </w:t>
            </w:r>
            <w:r>
              <w:rPr>
                <w:rFonts w:ascii="Arial" w:cs="Arial" w:eastAsia="Arial" w:hAnsi="Arial"/>
                <w:sz w:val="16"/>
                <w:szCs w:val="16"/>
                <w:color w:val="auto"/>
                <w:vertAlign w:val="superscript"/>
              </w:rPr>
              <w:t>(4)(12)(14)</w:t>
            </w:r>
          </w:p>
        </w:tc>
        <w:tc>
          <w:tcPr>
            <w:tcW w:w="2400" w:type="dxa"/>
            <w:vAlign w:val="bottom"/>
            <w:gridSpan w:val="2"/>
          </w:tcPr>
          <w:p>
            <w:pPr>
              <w:spacing w:after="0"/>
              <w:rPr>
                <w:sz w:val="20"/>
                <w:szCs w:val="20"/>
                <w:color w:val="auto"/>
              </w:rPr>
            </w:pPr>
            <w:r>
              <w:rPr>
                <w:rFonts w:ascii="Arial" w:cs="Arial" w:eastAsia="Arial" w:hAnsi="Arial"/>
                <w:sz w:val="11"/>
                <w:szCs w:val="11"/>
                <w:color w:val="auto"/>
              </w:rPr>
              <w:t>Common Shares (126,968 shares)</w:t>
            </w:r>
          </w:p>
        </w:tc>
        <w:tc>
          <w:tcPr>
            <w:tcW w:w="840" w:type="dxa"/>
            <w:vAlign w:val="bottom"/>
          </w:tcPr>
          <w:p>
            <w:pPr>
              <w:jc w:val="right"/>
              <w:spacing w:after="0"/>
              <w:rPr>
                <w:sz w:val="20"/>
                <w:szCs w:val="20"/>
                <w:color w:val="auto"/>
              </w:rPr>
            </w:pPr>
            <w:r>
              <w:rPr>
                <w:rFonts w:ascii="Arial" w:cs="Arial" w:eastAsia="Arial" w:hAnsi="Arial"/>
                <w:sz w:val="11"/>
                <w:szCs w:val="11"/>
                <w:color w:val="auto"/>
              </w:rPr>
              <w:t>12/3/2021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3,909</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4,455</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47"/>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280"/>
              <w:spacing w:after="0"/>
              <w:rPr>
                <w:sz w:val="20"/>
                <w:szCs w:val="20"/>
                <w:color w:val="auto"/>
              </w:rPr>
            </w:pPr>
            <w:r>
              <w:rPr>
                <w:rFonts w:ascii="Arial" w:cs="Arial" w:eastAsia="Arial" w:hAnsi="Arial"/>
                <w:sz w:val="11"/>
                <w:szCs w:val="11"/>
                <w:color w:val="auto"/>
              </w:rPr>
              <w:t>(CAD 5,627)</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ReliaQuest, LLC </w:t>
            </w:r>
            <w:r>
              <w:rPr>
                <w:rFonts w:ascii="Arial" w:cs="Arial" w:eastAsia="Arial" w:hAnsi="Arial"/>
                <w:sz w:val="17"/>
                <w:szCs w:val="17"/>
                <w:color w:val="auto"/>
                <w:vertAlign w:val="superscript"/>
              </w:rPr>
              <w:t>(13)(14)(15)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Class A-1 Units (567,683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11/23/2021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1,120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color w:val="auto"/>
              </w:rPr>
              <w:t xml:space="preserve">Sprinklr, Inc. </w:t>
            </w:r>
            <w:r>
              <w:rPr>
                <w:rFonts w:ascii="Arial" w:cs="Arial" w:eastAsia="Arial" w:hAnsi="Arial"/>
                <w:sz w:val="9"/>
                <w:szCs w:val="9"/>
                <w:color w:val="auto"/>
              </w:rPr>
              <w:t>(4)(12)(13)(14)</w:t>
            </w:r>
          </w:p>
        </w:tc>
        <w:tc>
          <w:tcPr>
            <w:tcW w:w="2400" w:type="dxa"/>
            <w:vAlign w:val="bottom"/>
            <w:gridSpan w:val="2"/>
          </w:tcPr>
          <w:p>
            <w:pPr>
              <w:spacing w:after="0"/>
              <w:rPr>
                <w:sz w:val="20"/>
                <w:szCs w:val="20"/>
                <w:color w:val="auto"/>
              </w:rPr>
            </w:pPr>
            <w:r>
              <w:rPr>
                <w:rFonts w:ascii="Arial" w:cs="Arial" w:eastAsia="Arial" w:hAnsi="Arial"/>
                <w:sz w:val="11"/>
                <w:szCs w:val="11"/>
                <w:color w:val="auto"/>
              </w:rPr>
              <w:t>Common Shares (484,700 shares)</w:t>
            </w:r>
          </w:p>
        </w:tc>
        <w:tc>
          <w:tcPr>
            <w:tcW w:w="840" w:type="dxa"/>
            <w:vAlign w:val="bottom"/>
          </w:tcPr>
          <w:p>
            <w:pPr>
              <w:jc w:val="right"/>
              <w:spacing w:after="0"/>
              <w:rPr>
                <w:sz w:val="20"/>
                <w:szCs w:val="20"/>
                <w:color w:val="auto"/>
              </w:rPr>
            </w:pPr>
            <w:r>
              <w:rPr>
                <w:rFonts w:ascii="Arial" w:cs="Arial" w:eastAsia="Arial" w:hAnsi="Arial"/>
                <w:sz w:val="11"/>
                <w:szCs w:val="11"/>
                <w:color w:val="auto"/>
              </w:rPr>
              <w:t>6/24/2021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4,180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7,692</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WideOrbit, Inc. </w:t>
            </w:r>
            <w:r>
              <w:rPr>
                <w:rFonts w:ascii="Arial" w:cs="Arial" w:eastAsia="Arial" w:hAnsi="Arial"/>
                <w:sz w:val="17"/>
                <w:szCs w:val="17"/>
                <w:color w:val="auto"/>
                <w:vertAlign w:val="superscript"/>
              </w:rPr>
              <w:t>(13)</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1,567,807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7/8/2020</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9,536</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13,594</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Communications</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Celtra Technologies, Inc. </w:t>
            </w:r>
            <w:r>
              <w:rPr>
                <w:rFonts w:ascii="Arial" w:cs="Arial" w:eastAsia="Arial" w:hAnsi="Arial"/>
                <w:sz w:val="17"/>
                <w:szCs w:val="17"/>
                <w:color w:val="auto"/>
                <w:vertAlign w:val="superscript"/>
              </w:rPr>
              <w:t>(13)(14)</w:t>
            </w:r>
          </w:p>
        </w:tc>
        <w:tc>
          <w:tcPr>
            <w:tcW w:w="2400" w:type="dxa"/>
            <w:vAlign w:val="bottom"/>
            <w:gridSpan w:val="2"/>
          </w:tcPr>
          <w:p>
            <w:pPr>
              <w:spacing w:after="0"/>
              <w:rPr>
                <w:sz w:val="20"/>
                <w:szCs w:val="20"/>
                <w:color w:val="auto"/>
              </w:rPr>
            </w:pPr>
            <w:r>
              <w:rPr>
                <w:rFonts w:ascii="Arial" w:cs="Arial" w:eastAsia="Arial" w:hAnsi="Arial"/>
                <w:sz w:val="11"/>
                <w:szCs w:val="11"/>
                <w:color w:val="auto"/>
              </w:rPr>
              <w:t>Class A Units (1,250,000 units)</w:t>
            </w:r>
          </w:p>
        </w:tc>
        <w:tc>
          <w:tcPr>
            <w:tcW w:w="840" w:type="dxa"/>
            <w:vAlign w:val="bottom"/>
          </w:tcPr>
          <w:p>
            <w:pPr>
              <w:jc w:val="right"/>
              <w:spacing w:after="0"/>
              <w:rPr>
                <w:sz w:val="20"/>
                <w:szCs w:val="20"/>
                <w:color w:val="auto"/>
              </w:rPr>
            </w:pPr>
            <w:r>
              <w:rPr>
                <w:rFonts w:ascii="Arial" w:cs="Arial" w:eastAsia="Arial" w:hAnsi="Arial"/>
                <w:sz w:val="11"/>
                <w:szCs w:val="11"/>
                <w:color w:val="auto"/>
              </w:rPr>
              <w:t>11/19/2021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1,250</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IntelePeer Holdings, Inc. </w:t>
            </w:r>
            <w:r>
              <w:rPr>
                <w:rFonts w:ascii="Arial" w:cs="Arial" w:eastAsia="Arial" w:hAnsi="Arial"/>
                <w:sz w:val="17"/>
                <w:szCs w:val="17"/>
                <w:color w:val="auto"/>
                <w:vertAlign w:val="superscript"/>
              </w:rPr>
              <w:t>(13)</w:t>
            </w:r>
          </w:p>
        </w:tc>
        <w:tc>
          <w:tcPr>
            <w:tcW w:w="24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Series C Preferred Shares (1,816,295 shares) </w:t>
            </w:r>
            <w:r>
              <w:rPr>
                <w:rFonts w:ascii="Arial" w:cs="Arial" w:eastAsia="Arial" w:hAnsi="Arial"/>
                <w:sz w:val="17"/>
                <w:szCs w:val="17"/>
                <w:color w:val="auto"/>
                <w:vertAlign w:val="superscript"/>
              </w:rPr>
              <w:t>(14)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1,816</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2,829</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Series D Preferred Shares (1,065,916 shares) </w:t>
            </w:r>
            <w:r>
              <w:rPr>
                <w:rFonts w:ascii="Arial" w:cs="Arial" w:eastAsia="Arial" w:hAnsi="Arial"/>
                <w:sz w:val="17"/>
                <w:szCs w:val="17"/>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1"/>
                <w:szCs w:val="11"/>
                <w:color w:val="auto"/>
              </w:rPr>
              <w:t>4/8/2021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1,950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1,950</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1"/>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280,000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2/28/2020</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106,592 Warrants (14)</w:t>
            </w:r>
          </w:p>
        </w:tc>
        <w:tc>
          <w:tcPr>
            <w:tcW w:w="840" w:type="dxa"/>
            <w:vAlign w:val="bottom"/>
          </w:tcPr>
          <w:p>
            <w:pPr>
              <w:jc w:val="right"/>
              <w:spacing w:after="0"/>
              <w:rPr>
                <w:sz w:val="20"/>
                <w:szCs w:val="20"/>
                <w:color w:val="auto"/>
              </w:rPr>
            </w:pPr>
            <w:r>
              <w:rPr>
                <w:rFonts w:ascii="Arial" w:cs="Arial" w:eastAsia="Arial" w:hAnsi="Arial"/>
                <w:sz w:val="11"/>
                <w:szCs w:val="11"/>
                <w:color w:val="auto"/>
              </w:rPr>
              <w:t>4/8/2021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39</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20"/>
        </w:trPr>
        <w:tc>
          <w:tcPr>
            <w:tcW w:w="2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5,199</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6,358</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3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Education</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EMS Linq, Inc. </w:t>
            </w:r>
            <w:r>
              <w:rPr>
                <w:rFonts w:ascii="Arial" w:cs="Arial" w:eastAsia="Arial" w:hAnsi="Arial"/>
                <w:sz w:val="17"/>
                <w:szCs w:val="17"/>
                <w:color w:val="auto"/>
                <w:vertAlign w:val="superscript"/>
              </w:rPr>
              <w:t>(13)(14)</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Class B Units (5,522,526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5,523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5,523</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RMCF IV CIV XXXV,</w:t>
            </w:r>
          </w:p>
        </w:tc>
        <w:tc>
          <w:tcPr>
            <w:tcW w:w="2400" w:type="dxa"/>
            <w:vAlign w:val="bottom"/>
            <w:gridSpan w:val="2"/>
          </w:tcPr>
          <w:p>
            <w:pPr>
              <w:spacing w:after="0"/>
              <w:rPr>
                <w:sz w:val="20"/>
                <w:szCs w:val="20"/>
                <w:color w:val="auto"/>
              </w:rPr>
            </w:pPr>
            <w:r>
              <w:rPr>
                <w:rFonts w:ascii="Arial" w:cs="Arial" w:eastAsia="Arial" w:hAnsi="Arial"/>
                <w:sz w:val="11"/>
                <w:szCs w:val="11"/>
                <w:color w:val="auto"/>
              </w:rPr>
              <w:t>Partnership Interest (11.94% ownership)</w:t>
            </w:r>
          </w:p>
        </w:tc>
        <w:tc>
          <w:tcPr>
            <w:tcW w:w="840" w:type="dxa"/>
            <w:vAlign w:val="bottom"/>
          </w:tcPr>
          <w:p>
            <w:pPr>
              <w:jc w:val="right"/>
              <w:spacing w:after="0"/>
              <w:rPr>
                <w:sz w:val="20"/>
                <w:szCs w:val="20"/>
                <w:color w:val="auto"/>
              </w:rPr>
            </w:pPr>
            <w:r>
              <w:rPr>
                <w:rFonts w:ascii="Arial" w:cs="Arial" w:eastAsia="Arial" w:hAnsi="Arial"/>
                <w:sz w:val="11"/>
                <w:szCs w:val="11"/>
                <w:color w:val="auto"/>
              </w:rPr>
              <w:t>6/8/2021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9"/>
        </w:trPr>
        <w:tc>
          <w:tcPr>
            <w:tcW w:w="2700" w:type="dxa"/>
            <w:vAlign w:val="bottom"/>
            <w:tcBorders>
              <w:bottom w:val="single" w:sz="8" w:color="CFF0FC"/>
            </w:tcBorders>
            <w:gridSpan w:val="2"/>
          </w:tcPr>
          <w:p>
            <w:pPr>
              <w:ind w:left="80"/>
              <w:spacing w:after="0"/>
              <w:rPr>
                <w:sz w:val="20"/>
                <w:szCs w:val="20"/>
                <w:color w:val="auto"/>
              </w:rPr>
            </w:pPr>
            <w:r>
              <w:rPr>
                <w:rFonts w:ascii="Arial" w:cs="Arial" w:eastAsia="Arial" w:hAnsi="Arial"/>
                <w:sz w:val="11"/>
                <w:szCs w:val="11"/>
                <w:color w:val="auto"/>
              </w:rPr>
              <w:t xml:space="preserve">LP. </w:t>
            </w:r>
            <w:r>
              <w:rPr>
                <w:rFonts w:ascii="Arial" w:cs="Arial" w:eastAsia="Arial" w:hAnsi="Arial"/>
                <w:sz w:val="9"/>
                <w:szCs w:val="9"/>
                <w:color w:val="auto"/>
              </w:rPr>
              <w:t>(4)(13)(14)</w:t>
            </w:r>
          </w:p>
        </w:tc>
        <w:tc>
          <w:tcPr>
            <w:tcW w:w="22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7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6,523</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6,523</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3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Financial Services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AvidXchange, Inc. </w:t>
            </w:r>
            <w:r>
              <w:rPr>
                <w:rFonts w:ascii="Arial" w:cs="Arial" w:eastAsia="Arial" w:hAnsi="Arial"/>
                <w:sz w:val="17"/>
                <w:szCs w:val="17"/>
                <w:color w:val="auto"/>
                <w:vertAlign w:val="superscript"/>
              </w:rPr>
              <w:t>(4)(11)(13)(14)</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Shares (200,721 shares)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10/15/2021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1,022</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2,785</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Newport Parent Holdings, LP </w:t>
            </w:r>
            <w:r>
              <w:rPr>
                <w:rFonts w:ascii="Arial" w:cs="Arial" w:eastAsia="Arial" w:hAnsi="Arial"/>
                <w:sz w:val="17"/>
                <w:szCs w:val="17"/>
                <w:color w:val="auto"/>
                <w:vertAlign w:val="superscript"/>
              </w:rPr>
              <w:t>(13)</w:t>
            </w:r>
          </w:p>
        </w:tc>
        <w:tc>
          <w:tcPr>
            <w:tcW w:w="2400" w:type="dxa"/>
            <w:vAlign w:val="bottom"/>
            <w:gridSpan w:val="2"/>
          </w:tcPr>
          <w:p>
            <w:pPr>
              <w:spacing w:after="0"/>
              <w:rPr>
                <w:sz w:val="20"/>
                <w:szCs w:val="20"/>
                <w:color w:val="auto"/>
              </w:rPr>
            </w:pPr>
            <w:r>
              <w:rPr>
                <w:rFonts w:ascii="Arial" w:cs="Arial" w:eastAsia="Arial" w:hAnsi="Arial"/>
                <w:sz w:val="11"/>
                <w:szCs w:val="11"/>
                <w:color w:val="auto"/>
              </w:rPr>
              <w:t>Class A-2 Units (131,569 units)</w:t>
            </w:r>
          </w:p>
        </w:tc>
        <w:tc>
          <w:tcPr>
            <w:tcW w:w="840" w:type="dxa"/>
            <w:vAlign w:val="bottom"/>
          </w:tcPr>
          <w:p>
            <w:pPr>
              <w:jc w:val="right"/>
              <w:spacing w:after="0"/>
              <w:rPr>
                <w:sz w:val="20"/>
                <w:szCs w:val="20"/>
                <w:color w:val="auto"/>
              </w:rPr>
            </w:pPr>
            <w:r>
              <w:rPr>
                <w:rFonts w:ascii="Arial" w:cs="Arial" w:eastAsia="Arial" w:hAnsi="Arial"/>
                <w:sz w:val="11"/>
                <w:szCs w:val="11"/>
                <w:color w:val="auto"/>
              </w:rPr>
              <w:t>12/10/2020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4,177</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2,443</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Oxford Square Capital</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Shares (1,620 shares)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8/5/2015</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70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 xml:space="preserve">Corp. </w:t>
            </w:r>
            <w:r>
              <w:rPr>
                <w:rFonts w:ascii="Arial" w:cs="Arial" w:eastAsia="Arial" w:hAnsi="Arial"/>
                <w:sz w:val="9"/>
                <w:szCs w:val="9"/>
                <w:color w:val="auto"/>
              </w:rPr>
              <w:t>(4)(12)</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Passport Labs, Inc. </w:t>
            </w:r>
            <w:r>
              <w:rPr>
                <w:rFonts w:ascii="Arial" w:cs="Arial" w:eastAsia="Arial" w:hAnsi="Arial"/>
                <w:sz w:val="17"/>
                <w:szCs w:val="17"/>
                <w:color w:val="auto"/>
                <w:vertAlign w:val="superscript"/>
              </w:rPr>
              <w:t>(13)(14)</w:t>
            </w:r>
          </w:p>
        </w:tc>
        <w:tc>
          <w:tcPr>
            <w:tcW w:w="2400" w:type="dxa"/>
            <w:vAlign w:val="bottom"/>
            <w:gridSpan w:val="2"/>
          </w:tcPr>
          <w:p>
            <w:pPr>
              <w:spacing w:after="0"/>
              <w:rPr>
                <w:sz w:val="20"/>
                <w:szCs w:val="20"/>
                <w:color w:val="auto"/>
              </w:rPr>
            </w:pPr>
            <w:r>
              <w:rPr>
                <w:rFonts w:ascii="Arial" w:cs="Arial" w:eastAsia="Arial" w:hAnsi="Arial"/>
                <w:sz w:val="11"/>
                <w:szCs w:val="11"/>
                <w:color w:val="auto"/>
              </w:rPr>
              <w:t>17,534 Warrants</w:t>
            </w:r>
          </w:p>
        </w:tc>
        <w:tc>
          <w:tcPr>
            <w:tcW w:w="840" w:type="dxa"/>
            <w:vAlign w:val="bottom"/>
          </w:tcPr>
          <w:p>
            <w:pPr>
              <w:jc w:val="right"/>
              <w:spacing w:after="0"/>
              <w:rPr>
                <w:sz w:val="20"/>
                <w:szCs w:val="20"/>
                <w:color w:val="auto"/>
              </w:rPr>
            </w:pPr>
            <w:r>
              <w:rPr>
                <w:rFonts w:ascii="Arial" w:cs="Arial" w:eastAsia="Arial" w:hAnsi="Arial"/>
                <w:sz w:val="11"/>
                <w:szCs w:val="11"/>
                <w:color w:val="auto"/>
              </w:rPr>
              <w:t>4/28/2021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192</w:t>
            </w:r>
          </w:p>
        </w:tc>
        <w:tc>
          <w:tcPr>
            <w:tcW w:w="20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0.0%</w:t>
            </w:r>
          </w:p>
        </w:tc>
        <w:tc>
          <w:tcPr>
            <w:tcW w:w="0" w:type="dxa"/>
            <w:vAlign w:val="bottom"/>
          </w:tcPr>
          <w:p>
            <w:pPr>
              <w:spacing w:after="0"/>
              <w:rPr>
                <w:sz w:val="1"/>
                <w:szCs w:val="1"/>
                <w:color w:val="auto"/>
              </w:rPr>
            </w:pP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TradingScreen, Inc. </w:t>
            </w:r>
            <w:r>
              <w:rPr>
                <w:rFonts w:ascii="Arial" w:cs="Arial" w:eastAsia="Arial" w:hAnsi="Arial"/>
                <w:sz w:val="17"/>
                <w:szCs w:val="17"/>
                <w:color w:val="auto"/>
                <w:vertAlign w:val="superscript"/>
              </w:rPr>
              <w:t>(13)(14)(15)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Class A Units (600,000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5/14/2021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5,997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6,027</w:t>
            </w:r>
          </w:p>
        </w:tc>
        <w:tc>
          <w:tcPr>
            <w:tcW w:w="20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3"/>
              </w:rPr>
              <w:t>Initial</w:t>
            </w:r>
          </w:p>
        </w:tc>
        <w:tc>
          <w:tcPr>
            <w:tcW w:w="9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87"/>
              </w:rPr>
              <w:t>Reference</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5"/>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5"/>
              </w:rPr>
              <w:t>Acquisition</w:t>
            </w:r>
          </w:p>
        </w:tc>
        <w:tc>
          <w:tcPr>
            <w:tcW w:w="98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89"/>
              </w:rPr>
              <w:t>Rate and</w:t>
            </w: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2"/>
          </w:tcPr>
          <w:p>
            <w:pPr>
              <w:ind w:left="180"/>
              <w:spacing w:after="0" w:line="95" w:lineRule="exact"/>
              <w:rPr>
                <w:sz w:val="20"/>
                <w:szCs w:val="20"/>
                <w:color w:val="auto"/>
              </w:rPr>
            </w:pPr>
            <w:r>
              <w:rPr>
                <w:rFonts w:ascii="Arial" w:cs="Arial" w:eastAsia="Arial" w:hAnsi="Arial"/>
                <w:sz w:val="9"/>
                <w:szCs w:val="9"/>
                <w:b w:val="1"/>
                <w:bCs w:val="1"/>
                <w:color w:val="auto"/>
              </w:rPr>
              <w:t>Amortized</w:t>
            </w: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center"/>
              <w:ind w:right="120"/>
              <w:spacing w:after="0" w:line="95" w:lineRule="exact"/>
              <w:rPr>
                <w:sz w:val="20"/>
                <w:szCs w:val="20"/>
                <w:color w:val="auto"/>
              </w:rPr>
            </w:pPr>
            <w:r>
              <w:rPr>
                <w:rFonts w:ascii="Arial" w:cs="Arial" w:eastAsia="Arial" w:hAnsi="Arial"/>
                <w:sz w:val="9"/>
                <w:szCs w:val="9"/>
                <w:b w:val="1"/>
                <w:bCs w:val="1"/>
                <w:color w:val="auto"/>
                <w:w w:val="86"/>
              </w:rPr>
              <w:t>Percentage</w:t>
            </w:r>
          </w:p>
        </w:tc>
      </w:tr>
      <w:tr>
        <w:trPr>
          <w:trHeight w:val="107"/>
        </w:trPr>
        <w:tc>
          <w:tcPr>
            <w:tcW w:w="260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w:t>
            </w:r>
          </w:p>
        </w:tc>
        <w:tc>
          <w:tcPr>
            <w:tcW w:w="100" w:type="dxa"/>
            <w:vAlign w:val="bottom"/>
            <w:tcBorders>
              <w:bottom w:val="single" w:sz="8" w:color="CFF0FC"/>
            </w:tcBorders>
          </w:tcPr>
          <w:p>
            <w:pPr>
              <w:spacing w:after="0"/>
              <w:rPr>
                <w:sz w:val="9"/>
                <w:szCs w:val="9"/>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9"/>
                <w:szCs w:val="9"/>
                <w:b w:val="1"/>
                <w:bCs w:val="1"/>
                <w:color w:val="auto"/>
              </w:rPr>
              <w:t>Investment</w:t>
            </w:r>
          </w:p>
        </w:tc>
        <w:tc>
          <w:tcPr>
            <w:tcW w:w="12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0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Spread</w:t>
            </w:r>
          </w:p>
        </w:tc>
        <w:tc>
          <w:tcPr>
            <w:tcW w:w="220" w:type="dxa"/>
            <w:vAlign w:val="bottom"/>
            <w:tcBorders>
              <w:bottom w:val="single" w:sz="8" w:color="CFF0FC"/>
            </w:tcBorders>
          </w:tcPr>
          <w:p>
            <w:pPr>
              <w:spacing w:after="0"/>
              <w:rPr>
                <w:sz w:val="9"/>
                <w:szCs w:val="9"/>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9"/>
                <w:szCs w:val="9"/>
                <w:b w:val="1"/>
                <w:bCs w:val="1"/>
                <w:color w:val="auto"/>
              </w:rPr>
              <w:t>Interest Rate</w:t>
            </w:r>
          </w:p>
        </w:tc>
        <w:tc>
          <w:tcPr>
            <w:tcW w:w="220" w:type="dxa"/>
            <w:vAlign w:val="bottom"/>
            <w:tcBorders>
              <w:bottom w:val="single" w:sz="8" w:color="CFF0FC"/>
            </w:tcBorders>
          </w:tcPr>
          <w:p>
            <w:pPr>
              <w:spacing w:after="0"/>
              <w:rPr>
                <w:sz w:val="9"/>
                <w:szCs w:val="9"/>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9"/>
                <w:szCs w:val="9"/>
                <w:b w:val="1"/>
                <w:bCs w:val="1"/>
                <w:color w:val="auto"/>
              </w:rPr>
              <w:t xml:space="preserve">Cost </w:t>
            </w:r>
            <w:r>
              <w:rPr>
                <w:rFonts w:ascii="Arial" w:cs="Arial" w:eastAsia="Arial" w:hAnsi="Arial"/>
                <w:sz w:val="7"/>
                <w:szCs w:val="7"/>
                <w:b w:val="1"/>
                <w:bCs w:val="1"/>
                <w:color w:val="auto"/>
              </w:rPr>
              <w:t>(2)(8)</w:t>
            </w:r>
          </w:p>
        </w:tc>
        <w:tc>
          <w:tcPr>
            <w:tcW w:w="200" w:type="dxa"/>
            <w:vAlign w:val="bottom"/>
            <w:tcBorders>
              <w:bottom w:val="single" w:sz="8" w:color="CFF0FC"/>
            </w:tcBorders>
          </w:tcPr>
          <w:p>
            <w:pPr>
              <w:spacing w:after="0"/>
              <w:rPr>
                <w:sz w:val="9"/>
                <w:szCs w:val="9"/>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9"/>
                <w:szCs w:val="9"/>
                <w:b w:val="1"/>
                <w:bCs w:val="1"/>
                <w:color w:val="auto"/>
              </w:rPr>
              <w:t xml:space="preserve">Fair Value </w:t>
            </w:r>
            <w:r>
              <w:rPr>
                <w:rFonts w:ascii="Arial" w:cs="Arial" w:eastAsia="Arial" w:hAnsi="Arial"/>
                <w:sz w:val="7"/>
                <w:szCs w:val="7"/>
                <w:b w:val="1"/>
                <w:bCs w:val="1"/>
                <w:color w:val="auto"/>
              </w:rPr>
              <w:t>(10)</w:t>
            </w:r>
          </w:p>
        </w:tc>
        <w:tc>
          <w:tcPr>
            <w:tcW w:w="20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3"/>
              </w:rPr>
              <w:t>of Net Assets</w:t>
            </w:r>
          </w:p>
        </w:tc>
        <w:tc>
          <w:tcPr>
            <w:tcW w:w="120" w:type="dxa"/>
            <w:vAlign w:val="bottom"/>
            <w:tcBorders>
              <w:bottom w:val="single" w:sz="8" w:color="CFF0FC"/>
            </w:tcBorders>
          </w:tcPr>
          <w:p>
            <w:pPr>
              <w:spacing w:after="0"/>
              <w:rPr>
                <w:sz w:val="9"/>
                <w:szCs w:val="9"/>
                <w:color w:val="auto"/>
              </w:rPr>
            </w:pPr>
          </w:p>
        </w:tc>
      </w:tr>
      <w:tr>
        <w:trPr>
          <w:trHeight w:val="14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Healthcare</w:t>
            </w: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Caris Life Sciences, Inc. </w:t>
            </w:r>
            <w:r>
              <w:rPr>
                <w:rFonts w:ascii="Arial" w:cs="Arial" w:eastAsia="Arial" w:hAnsi="Arial"/>
                <w:sz w:val="17"/>
                <w:szCs w:val="17"/>
                <w:color w:val="auto"/>
                <w:vertAlign w:val="superscript"/>
              </w:rPr>
              <w:t>(13)</w:t>
            </w:r>
          </w:p>
        </w:tc>
        <w:tc>
          <w:tcPr>
            <w:tcW w:w="2400" w:type="dxa"/>
            <w:vAlign w:val="bottom"/>
            <w:gridSpan w:val="2"/>
          </w:tcPr>
          <w:p>
            <w:pPr>
              <w:spacing w:after="0"/>
              <w:rPr>
                <w:sz w:val="20"/>
                <w:szCs w:val="20"/>
                <w:color w:val="auto"/>
              </w:rPr>
            </w:pPr>
            <w:r>
              <w:rPr>
                <w:rFonts w:ascii="Arial" w:cs="Arial" w:eastAsia="Arial" w:hAnsi="Arial"/>
                <w:sz w:val="11"/>
                <w:szCs w:val="11"/>
                <w:color w:val="auto"/>
              </w:rPr>
              <w:t>Series C Preferred Shares (362,319 shares)</w:t>
            </w:r>
          </w:p>
        </w:tc>
        <w:tc>
          <w:tcPr>
            <w:tcW w:w="840" w:type="dxa"/>
            <w:vAlign w:val="bottom"/>
          </w:tcPr>
          <w:p>
            <w:pPr>
              <w:jc w:val="right"/>
              <w:spacing w:after="0"/>
              <w:rPr>
                <w:sz w:val="20"/>
                <w:szCs w:val="20"/>
                <w:color w:val="auto"/>
              </w:rPr>
            </w:pPr>
            <w:r>
              <w:rPr>
                <w:rFonts w:ascii="Arial" w:cs="Arial" w:eastAsia="Arial" w:hAnsi="Arial"/>
                <w:sz w:val="11"/>
                <w:szCs w:val="11"/>
                <w:color w:val="auto"/>
              </w:rPr>
              <w:t>10/13/2020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1,000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2,787</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0.2%</w:t>
            </w:r>
          </w:p>
        </w:tc>
      </w:tr>
      <w:tr>
        <w:trPr>
          <w:trHeight w:val="151"/>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Series D Preferred Shares (1,240,740 shares) </w:t>
            </w:r>
            <w:r>
              <w:rPr>
                <w:rFonts w:ascii="Arial" w:cs="Arial" w:eastAsia="Arial" w:hAnsi="Arial"/>
                <w:sz w:val="17"/>
                <w:szCs w:val="17"/>
                <w:color w:val="auto"/>
                <w:vertAlign w:val="superscript"/>
              </w:rPr>
              <w:t>(14)</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5/11/2021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10,050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10,050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0.8%</w:t>
            </w: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2"/>
          </w:tcPr>
          <w:p>
            <w:pPr>
              <w:spacing w:after="0"/>
              <w:rPr>
                <w:sz w:val="20"/>
                <w:szCs w:val="20"/>
                <w:color w:val="auto"/>
              </w:rPr>
            </w:pPr>
            <w:r>
              <w:rPr>
                <w:rFonts w:ascii="Arial" w:cs="Arial" w:eastAsia="Arial" w:hAnsi="Arial"/>
                <w:sz w:val="11"/>
                <w:szCs w:val="11"/>
                <w:color w:val="auto"/>
              </w:rPr>
              <w:t>633,376 Warrants</w:t>
            </w:r>
          </w:p>
        </w:tc>
        <w:tc>
          <w:tcPr>
            <w:tcW w:w="840" w:type="dxa"/>
            <w:vAlign w:val="bottom"/>
          </w:tcPr>
          <w:p>
            <w:pPr>
              <w:jc w:val="right"/>
              <w:spacing w:after="0"/>
              <w:rPr>
                <w:sz w:val="20"/>
                <w:szCs w:val="20"/>
                <w:color w:val="auto"/>
              </w:rPr>
            </w:pPr>
            <w:r>
              <w:rPr>
                <w:rFonts w:ascii="Arial" w:cs="Arial" w:eastAsia="Arial" w:hAnsi="Arial"/>
                <w:sz w:val="11"/>
                <w:szCs w:val="11"/>
                <w:color w:val="auto"/>
              </w:rPr>
              <w:t>9/21/2018</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192</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3,602</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0.3%</w:t>
            </w:r>
          </w:p>
        </w:tc>
      </w:tr>
      <w:tr>
        <w:trPr>
          <w:trHeight w:val="153"/>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569,991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4/2/2020</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250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3,170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r>
      <w:tr>
        <w:trPr>
          <w:trHeight w:val="142"/>
        </w:trPr>
        <w:tc>
          <w:tcPr>
            <w:tcW w:w="2700" w:type="dxa"/>
            <w:vAlign w:val="bottom"/>
            <w:gridSpan w:val="2"/>
          </w:tcPr>
          <w:p>
            <w:pPr>
              <w:spacing w:after="0"/>
              <w:rPr>
                <w:sz w:val="20"/>
                <w:szCs w:val="20"/>
                <w:color w:val="auto"/>
              </w:rPr>
            </w:pPr>
            <w:r>
              <w:rPr>
                <w:rFonts w:ascii="Arial" w:cs="Arial" w:eastAsia="Arial" w:hAnsi="Arial"/>
                <w:sz w:val="11"/>
                <w:szCs w:val="11"/>
                <w:color w:val="auto"/>
              </w:rPr>
              <w:t>Valant Medical Solutions,</w:t>
            </w:r>
          </w:p>
        </w:tc>
        <w:tc>
          <w:tcPr>
            <w:tcW w:w="2400" w:type="dxa"/>
            <w:vAlign w:val="bottom"/>
            <w:gridSpan w:val="2"/>
          </w:tcPr>
          <w:p>
            <w:pPr>
              <w:spacing w:after="0" w:line="142" w:lineRule="exact"/>
              <w:rPr>
                <w:sz w:val="20"/>
                <w:szCs w:val="20"/>
                <w:color w:val="auto"/>
              </w:rPr>
            </w:pPr>
            <w:r>
              <w:rPr>
                <w:rFonts w:ascii="Arial" w:cs="Arial" w:eastAsia="Arial" w:hAnsi="Arial"/>
                <w:sz w:val="10"/>
                <w:szCs w:val="10"/>
                <w:color w:val="auto"/>
              </w:rPr>
              <w:t xml:space="preserve">Class A Units (77,144 units) </w:t>
            </w:r>
            <w:r>
              <w:rPr>
                <w:rFonts w:ascii="Arial" w:cs="Arial" w:eastAsia="Arial" w:hAnsi="Arial"/>
                <w:sz w:val="16"/>
                <w:szCs w:val="16"/>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1"/>
                <w:szCs w:val="11"/>
                <w:color w:val="auto"/>
              </w:rPr>
              <w:t>3/10/2021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77</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118</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r>
      <w:tr>
        <w:trPr>
          <w:trHeight w:val="149"/>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 xml:space="preserve">Inc. </w:t>
            </w:r>
            <w:r>
              <w:rPr>
                <w:rFonts w:ascii="Arial" w:cs="Arial" w:eastAsia="Arial" w:hAnsi="Arial"/>
                <w:sz w:val="9"/>
                <w:szCs w:val="9"/>
                <w:color w:val="auto"/>
              </w:rPr>
              <w:t>(13)(15)</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1"/>
        </w:trPr>
        <w:tc>
          <w:tcPr>
            <w:tcW w:w="2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954,478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4/8/2019</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502</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1"/>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11,850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20,229</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1.5%</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Hotel, Gaming and Leisure</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IRGSE Holding Corp. </w:t>
            </w:r>
            <w:r>
              <w:rPr>
                <w:rFonts w:ascii="Arial" w:cs="Arial" w:eastAsia="Arial" w:hAnsi="Arial"/>
                <w:sz w:val="17"/>
                <w:szCs w:val="17"/>
                <w:color w:val="auto"/>
                <w:vertAlign w:val="superscript"/>
              </w:rPr>
              <w:t>(7)(13)</w:t>
            </w:r>
          </w:p>
        </w:tc>
        <w:tc>
          <w:tcPr>
            <w:tcW w:w="2400" w:type="dxa"/>
            <w:vAlign w:val="bottom"/>
            <w:gridSpan w:val="2"/>
          </w:tcPr>
          <w:p>
            <w:pPr>
              <w:spacing w:after="0"/>
              <w:rPr>
                <w:sz w:val="20"/>
                <w:szCs w:val="20"/>
                <w:color w:val="auto"/>
              </w:rPr>
            </w:pPr>
            <w:r>
              <w:rPr>
                <w:rFonts w:ascii="Arial" w:cs="Arial" w:eastAsia="Arial" w:hAnsi="Arial"/>
                <w:sz w:val="11"/>
                <w:szCs w:val="11"/>
                <w:color w:val="auto"/>
              </w:rPr>
              <w:t>Class A Units (33,790,171 units)</w:t>
            </w:r>
          </w:p>
        </w:tc>
        <w:tc>
          <w:tcPr>
            <w:tcW w:w="840" w:type="dxa"/>
            <w:vAlign w:val="bottom"/>
          </w:tcPr>
          <w:p>
            <w:pPr>
              <w:jc w:val="right"/>
              <w:spacing w:after="0"/>
              <w:rPr>
                <w:sz w:val="20"/>
                <w:szCs w:val="20"/>
                <w:color w:val="auto"/>
              </w:rPr>
            </w:pPr>
            <w:r>
              <w:rPr>
                <w:rFonts w:ascii="Arial" w:cs="Arial" w:eastAsia="Arial" w:hAnsi="Arial"/>
                <w:sz w:val="11"/>
                <w:szCs w:val="11"/>
                <w:color w:val="auto"/>
              </w:rPr>
              <w:t>12/21/2018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21,842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17,148</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1.4%</w:t>
            </w:r>
          </w:p>
        </w:tc>
      </w:tr>
      <w:tr>
        <w:trPr>
          <w:trHeight w:val="149"/>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Class C-1 Units (8,800,000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12/21/2018</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1"/>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21,942</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17,191</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1.4%</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Human Resource Support Services</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color w:val="auto"/>
              </w:rPr>
              <w:t xml:space="preserve">Axonify, Inc. </w:t>
            </w:r>
            <w:r>
              <w:rPr>
                <w:rFonts w:ascii="Arial" w:cs="Arial" w:eastAsia="Arial" w:hAnsi="Arial"/>
                <w:sz w:val="9"/>
                <w:szCs w:val="9"/>
                <w:color w:val="auto"/>
              </w:rPr>
              <w:t>(4)(13)(14)(15)</w:t>
            </w:r>
          </w:p>
        </w:tc>
        <w:tc>
          <w:tcPr>
            <w:tcW w:w="2400" w:type="dxa"/>
            <w:vAlign w:val="bottom"/>
            <w:gridSpan w:val="2"/>
          </w:tcPr>
          <w:p>
            <w:pPr>
              <w:spacing w:after="0"/>
              <w:rPr>
                <w:sz w:val="20"/>
                <w:szCs w:val="20"/>
                <w:color w:val="auto"/>
              </w:rPr>
            </w:pPr>
            <w:r>
              <w:rPr>
                <w:rFonts w:ascii="Arial" w:cs="Arial" w:eastAsia="Arial" w:hAnsi="Arial"/>
                <w:sz w:val="11"/>
                <w:szCs w:val="11"/>
                <w:color w:val="auto"/>
              </w:rPr>
              <w:t>Class A-1 Units (3,780,000 units)</w:t>
            </w:r>
          </w:p>
        </w:tc>
        <w:tc>
          <w:tcPr>
            <w:tcW w:w="840" w:type="dxa"/>
            <w:vAlign w:val="bottom"/>
          </w:tcPr>
          <w:p>
            <w:pPr>
              <w:jc w:val="right"/>
              <w:spacing w:after="0"/>
              <w:rPr>
                <w:sz w:val="20"/>
                <w:szCs w:val="20"/>
                <w:color w:val="auto"/>
              </w:rPr>
            </w:pPr>
            <w:r>
              <w:rPr>
                <w:rFonts w:ascii="Arial" w:cs="Arial" w:eastAsia="Arial" w:hAnsi="Arial"/>
                <w:sz w:val="11"/>
                <w:szCs w:val="11"/>
                <w:color w:val="auto"/>
              </w:rPr>
              <w:t>5/5/2021</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3,780</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3,780</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0.3%</w:t>
            </w:r>
          </w:p>
        </w:tc>
      </w:tr>
      <w:tr>
        <w:trPr>
          <w:trHeight w:val="153"/>
        </w:trPr>
        <w:tc>
          <w:tcPr>
            <w:tcW w:w="2700" w:type="dxa"/>
            <w:vAlign w:val="bottom"/>
            <w:gridSpan w:val="2"/>
            <w:shd w:val="clear" w:color="auto" w:fill="CFF0FC"/>
          </w:tcPr>
          <w:p>
            <w:pPr>
              <w:spacing w:after="0" w:line="154" w:lineRule="exact"/>
              <w:rPr>
                <w:sz w:val="20"/>
                <w:szCs w:val="20"/>
                <w:color w:val="auto"/>
              </w:rPr>
            </w:pPr>
            <w:r>
              <w:rPr>
                <w:rFonts w:ascii="Arial" w:cs="Arial" w:eastAsia="Arial" w:hAnsi="Arial"/>
                <w:sz w:val="10"/>
                <w:szCs w:val="10"/>
                <w:color w:val="auto"/>
              </w:rPr>
              <w:t xml:space="preserve">ClearCompany, LLC </w:t>
            </w:r>
            <w:r>
              <w:rPr>
                <w:rFonts w:ascii="Arial" w:cs="Arial" w:eastAsia="Arial" w:hAnsi="Arial"/>
                <w:sz w:val="17"/>
                <w:szCs w:val="17"/>
                <w:color w:val="auto"/>
                <w:vertAlign w:val="superscript"/>
              </w:rPr>
              <w:t>(13)(15)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Series A Preferred Units (1,429,228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8/24/2018</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2,014</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5,035</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0.4%</w:t>
            </w: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DaySmart Holdings, LLC </w:t>
            </w:r>
            <w:r>
              <w:rPr>
                <w:rFonts w:ascii="Arial" w:cs="Arial" w:eastAsia="Arial" w:hAnsi="Arial"/>
                <w:sz w:val="17"/>
                <w:szCs w:val="17"/>
                <w:color w:val="auto"/>
                <w:vertAlign w:val="superscript"/>
              </w:rPr>
              <w:t>(13)(14)(15)</w:t>
            </w:r>
          </w:p>
        </w:tc>
        <w:tc>
          <w:tcPr>
            <w:tcW w:w="2400" w:type="dxa"/>
            <w:vAlign w:val="bottom"/>
            <w:gridSpan w:val="2"/>
          </w:tcPr>
          <w:p>
            <w:pPr>
              <w:spacing w:after="0"/>
              <w:rPr>
                <w:sz w:val="20"/>
                <w:szCs w:val="20"/>
                <w:color w:val="auto"/>
              </w:rPr>
            </w:pPr>
            <w:r>
              <w:rPr>
                <w:rFonts w:ascii="Arial" w:cs="Arial" w:eastAsia="Arial" w:hAnsi="Arial"/>
                <w:sz w:val="11"/>
                <w:szCs w:val="11"/>
                <w:color w:val="auto"/>
              </w:rPr>
              <w:t>Class A Units (166,811 units)</w:t>
            </w:r>
          </w:p>
        </w:tc>
        <w:tc>
          <w:tcPr>
            <w:tcW w:w="840" w:type="dxa"/>
            <w:vAlign w:val="bottom"/>
          </w:tcPr>
          <w:p>
            <w:pPr>
              <w:jc w:val="right"/>
              <w:spacing w:after="0"/>
              <w:rPr>
                <w:sz w:val="20"/>
                <w:szCs w:val="20"/>
                <w:color w:val="auto"/>
              </w:rPr>
            </w:pPr>
            <w:r>
              <w:rPr>
                <w:rFonts w:ascii="Arial" w:cs="Arial" w:eastAsia="Arial" w:hAnsi="Arial"/>
                <w:sz w:val="11"/>
                <w:szCs w:val="11"/>
                <w:color w:val="auto"/>
              </w:rPr>
              <w:t>10/1/2019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1,347</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2,047</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0.2%</w:t>
            </w:r>
          </w:p>
        </w:tc>
      </w:tr>
      <w:tr>
        <w:trPr>
          <w:trHeight w:val="20"/>
        </w:trPr>
        <w:tc>
          <w:tcPr>
            <w:tcW w:w="2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41"/>
        </w:trPr>
        <w:tc>
          <w:tcPr>
            <w:tcW w:w="2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7,141</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10,862</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0.9%</w:t>
            </w:r>
          </w:p>
        </w:tc>
      </w:tr>
      <w:tr>
        <w:trPr>
          <w:trHeight w:val="13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Internet Services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Bayshore Intermediate #2,</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Common Units (12,330,709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10/1/2021</w:t>
            </w: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12,331</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12,331</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1.0%</w:t>
            </w:r>
          </w:p>
        </w:tc>
      </w:tr>
      <w:tr>
        <w:trPr>
          <w:trHeight w:val="151"/>
        </w:trPr>
        <w:tc>
          <w:tcPr>
            <w:tcW w:w="270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rPr>
              <w:t xml:space="preserve">L.P. </w:t>
            </w:r>
            <w:r>
              <w:rPr>
                <w:rFonts w:ascii="Arial" w:cs="Arial" w:eastAsia="Arial" w:hAnsi="Arial"/>
                <w:sz w:val="9"/>
                <w:szCs w:val="9"/>
                <w:color w:val="auto"/>
              </w:rPr>
              <w:t>(13)(14)(15)</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Lucidworks, Inc. </w:t>
            </w:r>
            <w:r>
              <w:rPr>
                <w:rFonts w:ascii="Arial" w:cs="Arial" w:eastAsia="Arial" w:hAnsi="Arial"/>
                <w:sz w:val="17"/>
                <w:szCs w:val="17"/>
                <w:color w:val="auto"/>
                <w:vertAlign w:val="superscript"/>
              </w:rPr>
              <w:t>(13)</w:t>
            </w:r>
          </w:p>
        </w:tc>
        <w:tc>
          <w:tcPr>
            <w:tcW w:w="2400" w:type="dxa"/>
            <w:vAlign w:val="bottom"/>
            <w:gridSpan w:val="2"/>
          </w:tcPr>
          <w:p>
            <w:pPr>
              <w:spacing w:after="0"/>
              <w:rPr>
                <w:sz w:val="20"/>
                <w:szCs w:val="20"/>
                <w:color w:val="auto"/>
              </w:rPr>
            </w:pPr>
            <w:r>
              <w:rPr>
                <w:rFonts w:ascii="Arial" w:cs="Arial" w:eastAsia="Arial" w:hAnsi="Arial"/>
                <w:sz w:val="11"/>
                <w:szCs w:val="11"/>
                <w:color w:val="auto"/>
              </w:rPr>
              <w:t>Series F Preferred Shares (199,054 shares)</w:t>
            </w:r>
          </w:p>
        </w:tc>
        <w:tc>
          <w:tcPr>
            <w:tcW w:w="840" w:type="dxa"/>
            <w:vAlign w:val="bottom"/>
          </w:tcPr>
          <w:p>
            <w:pPr>
              <w:jc w:val="right"/>
              <w:spacing w:after="0"/>
              <w:rPr>
                <w:sz w:val="20"/>
                <w:szCs w:val="20"/>
                <w:color w:val="auto"/>
              </w:rPr>
            </w:pPr>
            <w:r>
              <w:rPr>
                <w:rFonts w:ascii="Arial" w:cs="Arial" w:eastAsia="Arial" w:hAnsi="Arial"/>
                <w:sz w:val="11"/>
                <w:szCs w:val="11"/>
                <w:color w:val="auto"/>
              </w:rPr>
              <w:t>8/2/2019</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800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820</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Piano Software, Inc. </w:t>
            </w:r>
            <w:r>
              <w:rPr>
                <w:rFonts w:ascii="Arial" w:cs="Arial" w:eastAsia="Arial" w:hAnsi="Arial"/>
                <w:sz w:val="17"/>
                <w:szCs w:val="17"/>
                <w:color w:val="auto"/>
                <w:vertAlign w:val="superscript"/>
              </w:rPr>
              <w:t>(13)(14)</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Series C-1 Preferred Shares (418,527 shares)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12/22/2021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16,131</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16,151</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1.3%</w:t>
            </w:r>
          </w:p>
        </w:tc>
      </w:tr>
      <w:tr>
        <w:trPr>
          <w:trHeight w:val="143"/>
        </w:trPr>
        <w:tc>
          <w:tcPr>
            <w:tcW w:w="2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1"/>
                <w:szCs w:val="11"/>
                <w:b w:val="1"/>
                <w:bCs w:val="1"/>
                <w:color w:val="auto"/>
              </w:rPr>
              <w:t>Marketing Services</w:t>
            </w: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Validity, Inc. </w:t>
            </w:r>
            <w:r>
              <w:rPr>
                <w:rFonts w:ascii="Arial" w:cs="Arial" w:eastAsia="Arial" w:hAnsi="Arial"/>
                <w:sz w:val="17"/>
                <w:szCs w:val="17"/>
                <w:color w:val="auto"/>
                <w:vertAlign w:val="superscript"/>
              </w:rPr>
              <w:t>(13)</w:t>
            </w:r>
          </w:p>
        </w:tc>
        <w:tc>
          <w:tcPr>
            <w:tcW w:w="2400" w:type="dxa"/>
            <w:vAlign w:val="bottom"/>
            <w:gridSpan w:val="2"/>
          </w:tcPr>
          <w:p>
            <w:pPr>
              <w:spacing w:after="0"/>
              <w:rPr>
                <w:sz w:val="20"/>
                <w:szCs w:val="20"/>
                <w:color w:val="auto"/>
              </w:rPr>
            </w:pPr>
            <w:r>
              <w:rPr>
                <w:rFonts w:ascii="Arial" w:cs="Arial" w:eastAsia="Arial" w:hAnsi="Arial"/>
                <w:sz w:val="11"/>
                <w:szCs w:val="11"/>
                <w:color w:val="auto"/>
              </w:rPr>
              <w:t>Series A Preferred Shares (3,840,000 shares)</w:t>
            </w:r>
          </w:p>
        </w:tc>
        <w:tc>
          <w:tcPr>
            <w:tcW w:w="840" w:type="dxa"/>
            <w:vAlign w:val="bottom"/>
          </w:tcPr>
          <w:p>
            <w:pPr>
              <w:jc w:val="right"/>
              <w:spacing w:after="0"/>
              <w:rPr>
                <w:sz w:val="20"/>
                <w:szCs w:val="20"/>
                <w:color w:val="auto"/>
              </w:rPr>
            </w:pPr>
            <w:r>
              <w:rPr>
                <w:rFonts w:ascii="Arial" w:cs="Arial" w:eastAsia="Arial" w:hAnsi="Arial"/>
                <w:sz w:val="11"/>
                <w:szCs w:val="11"/>
                <w:color w:val="auto"/>
              </w:rPr>
              <w:t>5/31/2018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3,840</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13,824</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Oil, Gas and Consumable fuels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SMPA Holdings, LLC </w:t>
            </w:r>
            <w:r>
              <w:rPr>
                <w:rFonts w:ascii="Arial" w:cs="Arial" w:eastAsia="Arial" w:hAnsi="Arial"/>
                <w:sz w:val="17"/>
                <w:szCs w:val="17"/>
                <w:color w:val="auto"/>
                <w:vertAlign w:val="superscript"/>
              </w:rPr>
              <w:t>(6)</w:t>
            </w:r>
          </w:p>
        </w:tc>
        <w:tc>
          <w:tcPr>
            <w:tcW w:w="2400" w:type="dxa"/>
            <w:vAlign w:val="bottom"/>
            <w:gridSpan w:val="2"/>
          </w:tcPr>
          <w:p>
            <w:pPr>
              <w:spacing w:after="0"/>
              <w:rPr>
                <w:sz w:val="20"/>
                <w:szCs w:val="20"/>
                <w:color w:val="auto"/>
              </w:rPr>
            </w:pPr>
            <w:r>
              <w:rPr>
                <w:rFonts w:ascii="Arial" w:cs="Arial" w:eastAsia="Arial" w:hAnsi="Arial"/>
                <w:sz w:val="11"/>
                <w:szCs w:val="11"/>
                <w:color w:val="auto"/>
              </w:rPr>
              <w:t>Common Units (15,000 units)</w:t>
            </w:r>
          </w:p>
        </w:tc>
        <w:tc>
          <w:tcPr>
            <w:tcW w:w="840" w:type="dxa"/>
            <w:vAlign w:val="bottom"/>
          </w:tcPr>
          <w:p>
            <w:pPr>
              <w:jc w:val="right"/>
              <w:spacing w:after="0"/>
              <w:rPr>
                <w:sz w:val="20"/>
                <w:szCs w:val="20"/>
                <w:color w:val="auto"/>
              </w:rPr>
            </w:pPr>
            <w:r>
              <w:rPr>
                <w:rFonts w:ascii="Arial" w:cs="Arial" w:eastAsia="Arial" w:hAnsi="Arial"/>
                <w:sz w:val="11"/>
                <w:szCs w:val="11"/>
                <w:color w:val="auto"/>
              </w:rPr>
              <w:t>12/24/2020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3,892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18,242</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1.4%</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Pharmaceuticals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TherapeuticsMD, Inc. </w:t>
            </w:r>
            <w:r>
              <w:rPr>
                <w:rFonts w:ascii="Arial" w:cs="Arial" w:eastAsia="Arial" w:hAnsi="Arial"/>
                <w:sz w:val="17"/>
                <w:szCs w:val="17"/>
                <w:color w:val="auto"/>
                <w:vertAlign w:val="superscript"/>
              </w:rPr>
              <w:t>(13)</w:t>
            </w:r>
          </w:p>
        </w:tc>
        <w:tc>
          <w:tcPr>
            <w:tcW w:w="2400" w:type="dxa"/>
            <w:vAlign w:val="bottom"/>
            <w:gridSpan w:val="2"/>
          </w:tcPr>
          <w:p>
            <w:pPr>
              <w:spacing w:after="0"/>
              <w:rPr>
                <w:sz w:val="20"/>
                <w:szCs w:val="20"/>
                <w:color w:val="auto"/>
              </w:rPr>
            </w:pPr>
            <w:r>
              <w:rPr>
                <w:rFonts w:ascii="Arial" w:cs="Arial" w:eastAsia="Arial" w:hAnsi="Arial"/>
                <w:sz w:val="11"/>
                <w:szCs w:val="11"/>
                <w:color w:val="auto"/>
              </w:rPr>
              <w:t>712,817 Warrants</w:t>
            </w:r>
          </w:p>
        </w:tc>
        <w:tc>
          <w:tcPr>
            <w:tcW w:w="840" w:type="dxa"/>
            <w:vAlign w:val="bottom"/>
          </w:tcPr>
          <w:p>
            <w:pPr>
              <w:jc w:val="right"/>
              <w:spacing w:after="0"/>
              <w:rPr>
                <w:sz w:val="20"/>
                <w:szCs w:val="20"/>
                <w:color w:val="auto"/>
              </w:rPr>
            </w:pPr>
            <w:r>
              <w:rPr>
                <w:rFonts w:ascii="Arial" w:cs="Arial" w:eastAsia="Arial" w:hAnsi="Arial"/>
                <w:sz w:val="11"/>
                <w:szCs w:val="11"/>
                <w:color w:val="auto"/>
              </w:rPr>
              <w:t>8/5/2020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1,029</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121</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r>
      <w:tr>
        <w:trPr>
          <w:trHeight w:val="151"/>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b w:val="1"/>
                <w:bCs w:val="1"/>
                <w:color w:val="auto"/>
              </w:rPr>
              <w:t>Retail and Consumer Products</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1"/>
        </w:trPr>
        <w:tc>
          <w:tcPr>
            <w:tcW w:w="27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American Achievement, Corp. </w:t>
            </w:r>
            <w:r>
              <w:rPr>
                <w:rFonts w:ascii="Arial" w:cs="Arial" w:eastAsia="Arial" w:hAnsi="Arial"/>
                <w:sz w:val="17"/>
                <w:szCs w:val="17"/>
                <w:color w:val="auto"/>
                <w:vertAlign w:val="superscript"/>
              </w:rPr>
              <w:t>(13)(14)</w:t>
            </w:r>
          </w:p>
        </w:tc>
        <w:tc>
          <w:tcPr>
            <w:tcW w:w="2400" w:type="dxa"/>
            <w:vAlign w:val="bottom"/>
            <w:gridSpan w:val="2"/>
          </w:tcPr>
          <w:p>
            <w:pPr>
              <w:spacing w:after="0"/>
              <w:rPr>
                <w:sz w:val="20"/>
                <w:szCs w:val="20"/>
                <w:color w:val="auto"/>
              </w:rPr>
            </w:pPr>
            <w:r>
              <w:rPr>
                <w:rFonts w:ascii="Arial" w:cs="Arial" w:eastAsia="Arial" w:hAnsi="Arial"/>
                <w:sz w:val="11"/>
                <w:szCs w:val="11"/>
                <w:color w:val="auto"/>
              </w:rPr>
              <w:t>Class A Units (687 units)</w:t>
            </w:r>
          </w:p>
        </w:tc>
        <w:tc>
          <w:tcPr>
            <w:tcW w:w="840" w:type="dxa"/>
            <w:vAlign w:val="bottom"/>
          </w:tcPr>
          <w:p>
            <w:pPr>
              <w:jc w:val="right"/>
              <w:spacing w:after="0"/>
              <w:rPr>
                <w:sz w:val="20"/>
                <w:szCs w:val="20"/>
                <w:color w:val="auto"/>
              </w:rPr>
            </w:pPr>
            <w:r>
              <w:rPr>
                <w:rFonts w:ascii="Arial" w:cs="Arial" w:eastAsia="Arial" w:hAnsi="Arial"/>
                <w:sz w:val="11"/>
                <w:szCs w:val="11"/>
                <w:color w:val="auto"/>
              </w:rPr>
              <w:t>3/16/2021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50</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0.0%</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Copper Bidco, LLC </w:t>
            </w:r>
            <w:r>
              <w:rPr>
                <w:rFonts w:ascii="Arial" w:cs="Arial" w:eastAsia="Arial" w:hAnsi="Arial"/>
                <w:sz w:val="17"/>
                <w:szCs w:val="17"/>
                <w:color w:val="auto"/>
                <w:vertAlign w:val="superscript"/>
              </w:rPr>
              <w:t>(11)</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Trust Certificates (132,928 Certificates)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12/7/2020</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493</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1,562</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0.1%</w:t>
            </w:r>
          </w:p>
        </w:tc>
      </w:tr>
      <w:tr>
        <w:trPr>
          <w:trHeight w:val="15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2"/>
          </w:tcPr>
          <w:p>
            <w:pPr>
              <w:spacing w:after="0" w:line="151" w:lineRule="exact"/>
              <w:rPr>
                <w:sz w:val="20"/>
                <w:szCs w:val="20"/>
                <w:color w:val="auto"/>
              </w:rPr>
            </w:pPr>
            <w:r>
              <w:rPr>
                <w:rFonts w:ascii="Arial" w:cs="Arial" w:eastAsia="Arial" w:hAnsi="Arial"/>
                <w:sz w:val="10"/>
                <w:szCs w:val="10"/>
                <w:color w:val="auto"/>
              </w:rPr>
              <w:t xml:space="preserve">Trust Certificates (996,958 Certificates) </w:t>
            </w:r>
            <w:r>
              <w:rPr>
                <w:rFonts w:ascii="Arial" w:cs="Arial" w:eastAsia="Arial" w:hAnsi="Arial"/>
                <w:sz w:val="17"/>
                <w:szCs w:val="17"/>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1"/>
                <w:szCs w:val="11"/>
                <w:color w:val="auto"/>
              </w:rPr>
              <w:t>1/30/2021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12,792</w:t>
            </w: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21,933</w:t>
            </w:r>
          </w:p>
        </w:tc>
        <w:tc>
          <w:tcPr>
            <w:tcW w:w="200" w:type="dxa"/>
            <w:vAlign w:val="bottom"/>
          </w:tcPr>
          <w:p>
            <w:pPr>
              <w:spacing w:after="0"/>
              <w:rPr>
                <w:sz w:val="13"/>
                <w:szCs w:val="1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1.7%</w:t>
            </w:r>
          </w:p>
        </w:tc>
      </w:tr>
      <w:tr>
        <w:trPr>
          <w:trHeight w:val="151"/>
        </w:trPr>
        <w:tc>
          <w:tcPr>
            <w:tcW w:w="2700" w:type="dxa"/>
            <w:vAlign w:val="bottom"/>
            <w:gridSpan w:val="2"/>
            <w:shd w:val="clear" w:color="auto" w:fill="CFF0FC"/>
          </w:tcPr>
          <w:p>
            <w:pPr>
              <w:spacing w:after="0" w:line="151" w:lineRule="exact"/>
              <w:rPr>
                <w:sz w:val="20"/>
                <w:szCs w:val="20"/>
                <w:color w:val="auto"/>
              </w:rPr>
            </w:pPr>
            <w:r>
              <w:rPr>
                <w:rFonts w:ascii="Arial" w:cs="Arial" w:eastAsia="Arial" w:hAnsi="Arial"/>
                <w:sz w:val="10"/>
                <w:szCs w:val="10"/>
                <w:color w:val="auto"/>
              </w:rPr>
              <w:t xml:space="preserve">Neuintel, LLC </w:t>
            </w:r>
            <w:r>
              <w:rPr>
                <w:rFonts w:ascii="Arial" w:cs="Arial" w:eastAsia="Arial" w:hAnsi="Arial"/>
                <w:sz w:val="17"/>
                <w:szCs w:val="17"/>
                <w:color w:val="auto"/>
                <w:vertAlign w:val="superscript"/>
              </w:rPr>
              <w:t>(13)(14)(15)</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Class A Units (1,176,494 units)</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12/21/2021</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3,000</w:t>
            </w:r>
          </w:p>
        </w:tc>
        <w:tc>
          <w:tcPr>
            <w:tcW w:w="2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0.2%</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16,285</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26,545</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2.0%</w:t>
            </w:r>
          </w:p>
        </w:tc>
      </w:tr>
      <w:tr>
        <w:trPr>
          <w:trHeight w:val="143"/>
        </w:trPr>
        <w:tc>
          <w:tcPr>
            <w:tcW w:w="26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2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2700" w:type="dxa"/>
            <w:vAlign w:val="bottom"/>
            <w:gridSpan w:val="2"/>
          </w:tcPr>
          <w:p>
            <w:pPr>
              <w:spacing w:after="0"/>
              <w:rPr>
                <w:sz w:val="20"/>
                <w:szCs w:val="20"/>
                <w:color w:val="auto"/>
              </w:rPr>
            </w:pPr>
            <w:r>
              <w:rPr>
                <w:rFonts w:ascii="Arial" w:cs="Arial" w:eastAsia="Arial" w:hAnsi="Arial"/>
                <w:sz w:val="11"/>
                <w:szCs w:val="11"/>
                <w:b w:val="1"/>
                <w:bCs w:val="1"/>
                <w:color w:val="auto"/>
              </w:rPr>
              <w:t>Other Investments</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7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Bain Capital Credit CLO Ltd,</w:t>
            </w:r>
          </w:p>
        </w:tc>
        <w:tc>
          <w:tcPr>
            <w:tcW w:w="240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Structured Product ($500 par, due 4/2031)</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10/15/2020</w:t>
            </w:r>
          </w:p>
        </w:tc>
        <w:tc>
          <w:tcPr>
            <w:tcW w:w="1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ind w:left="360"/>
              <w:spacing w:after="0"/>
              <w:rPr>
                <w:sz w:val="20"/>
                <w:szCs w:val="20"/>
                <w:color w:val="auto"/>
              </w:rPr>
            </w:pPr>
            <w:r>
              <w:rPr>
                <w:rFonts w:ascii="Arial" w:cs="Arial" w:eastAsia="Arial" w:hAnsi="Arial"/>
                <w:sz w:val="11"/>
                <w:szCs w:val="11"/>
                <w:color w:val="auto"/>
              </w:rPr>
              <w:t>L + 5.35%</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5.47%</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417</w:t>
            </w: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463</w:t>
            </w:r>
          </w:p>
        </w:tc>
        <w:tc>
          <w:tcPr>
            <w:tcW w:w="20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0.0%</w:t>
            </w:r>
          </w:p>
        </w:tc>
      </w:tr>
      <w:tr>
        <w:trPr>
          <w:trHeight w:val="151"/>
        </w:trPr>
        <w:tc>
          <w:tcPr>
            <w:tcW w:w="2700" w:type="dxa"/>
            <w:vAlign w:val="bottom"/>
            <w:gridSpan w:val="2"/>
            <w:shd w:val="clear" w:color="auto" w:fill="CFF0FC"/>
          </w:tcPr>
          <w:p>
            <w:pPr>
              <w:ind w:left="80"/>
              <w:spacing w:after="0" w:line="150" w:lineRule="exact"/>
              <w:rPr>
                <w:sz w:val="20"/>
                <w:szCs w:val="20"/>
                <w:color w:val="auto"/>
              </w:rPr>
            </w:pPr>
            <w:r>
              <w:rPr>
                <w:rFonts w:ascii="Arial" w:cs="Arial" w:eastAsia="Arial" w:hAnsi="Arial"/>
                <w:sz w:val="10"/>
                <w:szCs w:val="10"/>
                <w:color w:val="auto"/>
              </w:rPr>
              <w:t xml:space="preserve">Series 2018-1A </w:t>
            </w:r>
            <w:r>
              <w:rPr>
                <w:rFonts w:ascii="Arial" w:cs="Arial" w:eastAsia="Arial" w:hAnsi="Arial"/>
                <w:sz w:val="17"/>
                <w:szCs w:val="17"/>
                <w:color w:val="auto"/>
                <w:vertAlign w:val="superscript"/>
              </w:rPr>
              <w:t>(3)(4)(11)</w:t>
            </w: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2700" w:type="dxa"/>
            <w:vAlign w:val="bottom"/>
            <w:gridSpan w:val="2"/>
          </w:tcPr>
          <w:p>
            <w:pPr>
              <w:spacing w:after="0"/>
              <w:rPr>
                <w:sz w:val="20"/>
                <w:szCs w:val="20"/>
                <w:color w:val="auto"/>
              </w:rPr>
            </w:pPr>
            <w:r>
              <w:rPr>
                <w:rFonts w:ascii="Arial" w:cs="Arial" w:eastAsia="Arial" w:hAnsi="Arial"/>
                <w:sz w:val="11"/>
                <w:szCs w:val="11"/>
                <w:color w:val="auto"/>
              </w:rPr>
              <w:t>Carlyle Global Market Strategies</w:t>
            </w:r>
          </w:p>
        </w:tc>
        <w:tc>
          <w:tcPr>
            <w:tcW w:w="2400" w:type="dxa"/>
            <w:vAlign w:val="bottom"/>
            <w:gridSpan w:val="2"/>
          </w:tcPr>
          <w:p>
            <w:pPr>
              <w:spacing w:after="0"/>
              <w:rPr>
                <w:sz w:val="20"/>
                <w:szCs w:val="20"/>
                <w:color w:val="auto"/>
              </w:rPr>
            </w:pPr>
            <w:r>
              <w:rPr>
                <w:rFonts w:ascii="Arial" w:cs="Arial" w:eastAsia="Arial" w:hAnsi="Arial"/>
                <w:sz w:val="11"/>
                <w:szCs w:val="11"/>
                <w:color w:val="auto"/>
              </w:rPr>
              <w:t>Structured Product ($1,550 par, due 4/2031)</w:t>
            </w:r>
          </w:p>
        </w:tc>
        <w:tc>
          <w:tcPr>
            <w:tcW w:w="840" w:type="dxa"/>
            <w:vAlign w:val="bottom"/>
          </w:tcPr>
          <w:p>
            <w:pPr>
              <w:jc w:val="right"/>
              <w:spacing w:after="0"/>
              <w:rPr>
                <w:sz w:val="20"/>
                <w:szCs w:val="20"/>
                <w:color w:val="auto"/>
              </w:rPr>
            </w:pPr>
            <w:r>
              <w:rPr>
                <w:rFonts w:ascii="Arial" w:cs="Arial" w:eastAsia="Arial" w:hAnsi="Arial"/>
                <w:sz w:val="11"/>
                <w:szCs w:val="11"/>
                <w:color w:val="auto"/>
              </w:rPr>
              <w:t>8/11/2020</w:t>
            </w:r>
          </w:p>
        </w:tc>
        <w:tc>
          <w:tcPr>
            <w:tcW w:w="100" w:type="dxa"/>
            <w:vAlign w:val="bottom"/>
          </w:tcPr>
          <w:p>
            <w:pPr>
              <w:spacing w:after="0"/>
              <w:rPr>
                <w:sz w:val="12"/>
                <w:szCs w:val="12"/>
                <w:color w:val="auto"/>
              </w:rPr>
            </w:pPr>
          </w:p>
        </w:tc>
        <w:tc>
          <w:tcPr>
            <w:tcW w:w="980" w:type="dxa"/>
            <w:vAlign w:val="bottom"/>
            <w:gridSpan w:val="2"/>
          </w:tcPr>
          <w:p>
            <w:pPr>
              <w:ind w:left="360"/>
              <w:spacing w:after="0"/>
              <w:rPr>
                <w:sz w:val="20"/>
                <w:szCs w:val="20"/>
                <w:color w:val="auto"/>
              </w:rPr>
            </w:pPr>
            <w:r>
              <w:rPr>
                <w:rFonts w:ascii="Arial" w:cs="Arial" w:eastAsia="Arial" w:hAnsi="Arial"/>
                <w:sz w:val="11"/>
                <w:szCs w:val="11"/>
                <w:color w:val="auto"/>
              </w:rPr>
              <w:t>L + 5.75%</w:t>
            </w:r>
          </w:p>
        </w:tc>
        <w:tc>
          <w:tcPr>
            <w:tcW w:w="1420" w:type="dxa"/>
            <w:vAlign w:val="bottom"/>
            <w:gridSpan w:val="2"/>
          </w:tcPr>
          <w:p>
            <w:pPr>
              <w:jc w:val="right"/>
              <w:ind w:right="120"/>
              <w:spacing w:after="0"/>
              <w:rPr>
                <w:sz w:val="20"/>
                <w:szCs w:val="20"/>
                <w:color w:val="auto"/>
              </w:rPr>
            </w:pPr>
            <w:r>
              <w:rPr>
                <w:rFonts w:ascii="Arial" w:cs="Arial" w:eastAsia="Arial" w:hAnsi="Arial"/>
                <w:sz w:val="11"/>
                <w:szCs w:val="11"/>
                <w:color w:val="auto"/>
              </w:rPr>
              <w:t>5.88%</w:t>
            </w:r>
          </w:p>
        </w:tc>
        <w:tc>
          <w:tcPr>
            <w:tcW w:w="760" w:type="dxa"/>
            <w:vAlign w:val="bottom"/>
          </w:tcPr>
          <w:p>
            <w:pPr>
              <w:jc w:val="right"/>
              <w:spacing w:after="0"/>
              <w:rPr>
                <w:sz w:val="20"/>
                <w:szCs w:val="20"/>
                <w:color w:val="auto"/>
              </w:rPr>
            </w:pPr>
            <w:r>
              <w:rPr>
                <w:rFonts w:ascii="Arial" w:cs="Arial" w:eastAsia="Arial" w:hAnsi="Arial"/>
                <w:sz w:val="11"/>
                <w:szCs w:val="11"/>
                <w:color w:val="auto"/>
              </w:rPr>
              <w:t>1,223</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1,464</w:t>
            </w:r>
          </w:p>
        </w:tc>
        <w:tc>
          <w:tcPr>
            <w:tcW w:w="20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0.1%</w:t>
            </w:r>
          </w:p>
        </w:tc>
      </w:tr>
      <w:tr>
        <w:trPr>
          <w:trHeight w:val="140"/>
        </w:trPr>
        <w:tc>
          <w:tcPr>
            <w:tcW w:w="2700" w:type="dxa"/>
            <w:vAlign w:val="bottom"/>
            <w:gridSpan w:val="2"/>
          </w:tcPr>
          <w:p>
            <w:pPr>
              <w:ind w:left="80"/>
              <w:spacing w:after="0"/>
              <w:rPr>
                <w:sz w:val="20"/>
                <w:szCs w:val="20"/>
                <w:color w:val="auto"/>
              </w:rPr>
            </w:pPr>
            <w:r>
              <w:rPr>
                <w:rFonts w:ascii="Arial" w:cs="Arial" w:eastAsia="Arial" w:hAnsi="Arial"/>
                <w:sz w:val="11"/>
                <w:szCs w:val="11"/>
                <w:color w:val="auto"/>
              </w:rPr>
              <w:t>CLO Ltd, Series 2018-1A</w:t>
            </w: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2"/>
        </w:trPr>
        <w:tc>
          <w:tcPr>
            <w:tcW w:w="2600" w:type="dxa"/>
            <w:vAlign w:val="bottom"/>
          </w:tcPr>
          <w:p>
            <w:pPr>
              <w:ind w:left="80"/>
              <w:spacing w:after="0"/>
              <w:rPr>
                <w:sz w:val="20"/>
                <w:szCs w:val="20"/>
                <w:color w:val="auto"/>
              </w:rPr>
            </w:pPr>
            <w:r>
              <w:rPr>
                <w:rFonts w:ascii="Arial" w:cs="Arial" w:eastAsia="Arial" w:hAnsi="Arial"/>
                <w:sz w:val="10"/>
                <w:szCs w:val="10"/>
                <w:color w:val="auto"/>
              </w:rPr>
              <w:t>(3)(4)(11)</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17" w:name="page18"/>
    <w:bookmarkEnd w:id="17"/>
    <w:tbl>
      <w:tblPr>
        <w:tblLayout w:type="fixed"/>
        <w:tblInd w:w="4" w:type="dxa"/>
        <w:tblCellMar>
          <w:top w:w="0" w:type="dxa"/>
          <w:left w:w="0" w:type="dxa"/>
          <w:bottom w:w="0" w:type="dxa"/>
          <w:right w:w="0" w:type="dxa"/>
        </w:tblCellMar>
      </w:tblPr>
      <w:tr>
        <w:trPr>
          <w:trHeight w:val="103"/>
        </w:trPr>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9"/>
                <w:szCs w:val="9"/>
                <w:b w:val="1"/>
                <w:bCs w:val="1"/>
                <w:color w:val="auto"/>
                <w:w w:val="93"/>
              </w:rPr>
              <w:t>Initial</w:t>
            </w:r>
          </w:p>
        </w:tc>
        <w:tc>
          <w:tcPr>
            <w:tcW w:w="100" w:type="dxa"/>
            <w:vAlign w:val="bottom"/>
          </w:tcPr>
          <w:p>
            <w:pPr>
              <w:spacing w:after="0"/>
              <w:rPr>
                <w:sz w:val="8"/>
                <w:szCs w:val="8"/>
                <w:color w:val="auto"/>
              </w:rPr>
            </w:pPr>
          </w:p>
        </w:tc>
        <w:tc>
          <w:tcPr>
            <w:tcW w:w="980" w:type="dxa"/>
            <w:vAlign w:val="bottom"/>
            <w:gridSpan w:val="3"/>
          </w:tcPr>
          <w:p>
            <w:pPr>
              <w:jc w:val="center"/>
              <w:ind w:right="497"/>
              <w:spacing w:after="0"/>
              <w:rPr>
                <w:sz w:val="20"/>
                <w:szCs w:val="20"/>
                <w:color w:val="auto"/>
              </w:rPr>
            </w:pPr>
            <w:r>
              <w:rPr>
                <w:rFonts w:ascii="Arial" w:cs="Arial" w:eastAsia="Arial" w:hAnsi="Arial"/>
                <w:sz w:val="9"/>
                <w:szCs w:val="9"/>
                <w:b w:val="1"/>
                <w:bCs w:val="1"/>
                <w:color w:val="auto"/>
                <w:w w:val="87"/>
              </w:rPr>
              <w:t>Reference</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3"/>
          </w:tcPr>
          <w:p>
            <w:pPr>
              <w:jc w:val="center"/>
              <w:ind w:right="180"/>
              <w:spacing w:after="0" w:line="95" w:lineRule="exact"/>
              <w:rPr>
                <w:sz w:val="20"/>
                <w:szCs w:val="20"/>
                <w:color w:val="auto"/>
              </w:rPr>
            </w:pPr>
            <w:r>
              <w:rPr>
                <w:rFonts w:ascii="Arial" w:cs="Arial" w:eastAsia="Arial" w:hAnsi="Arial"/>
                <w:sz w:val="9"/>
                <w:szCs w:val="9"/>
                <w:b w:val="1"/>
                <w:bCs w:val="1"/>
                <w:color w:val="auto"/>
                <w:w w:val="85"/>
              </w:rPr>
              <w:t>Acquisition</w:t>
            </w:r>
          </w:p>
        </w:tc>
        <w:tc>
          <w:tcPr>
            <w:tcW w:w="100" w:type="dxa"/>
            <w:vAlign w:val="bottom"/>
          </w:tcPr>
          <w:p>
            <w:pPr>
              <w:spacing w:after="0"/>
              <w:rPr>
                <w:sz w:val="8"/>
                <w:szCs w:val="8"/>
                <w:color w:val="auto"/>
              </w:rPr>
            </w:pPr>
          </w:p>
        </w:tc>
        <w:tc>
          <w:tcPr>
            <w:tcW w:w="980" w:type="dxa"/>
            <w:vAlign w:val="bottom"/>
            <w:gridSpan w:val="3"/>
          </w:tcPr>
          <w:p>
            <w:pPr>
              <w:jc w:val="center"/>
              <w:ind w:right="497"/>
              <w:spacing w:after="0" w:line="95" w:lineRule="exact"/>
              <w:rPr>
                <w:sz w:val="20"/>
                <w:szCs w:val="20"/>
                <w:color w:val="auto"/>
              </w:rPr>
            </w:pPr>
            <w:r>
              <w:rPr>
                <w:rFonts w:ascii="Arial" w:cs="Arial" w:eastAsia="Arial" w:hAnsi="Arial"/>
                <w:sz w:val="9"/>
                <w:szCs w:val="9"/>
                <w:b w:val="1"/>
                <w:bCs w:val="1"/>
                <w:color w:val="auto"/>
                <w:w w:val="89"/>
              </w:rPr>
              <w:t>Rate and</w:t>
            </w: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3"/>
          </w:tcPr>
          <w:p>
            <w:pPr>
              <w:jc w:val="center"/>
              <w:ind w:right="360"/>
              <w:spacing w:after="0" w:line="95" w:lineRule="exact"/>
              <w:rPr>
                <w:sz w:val="20"/>
                <w:szCs w:val="20"/>
                <w:color w:val="auto"/>
              </w:rPr>
            </w:pPr>
            <w:r>
              <w:rPr>
                <w:rFonts w:ascii="Arial" w:cs="Arial" w:eastAsia="Arial" w:hAnsi="Arial"/>
                <w:sz w:val="9"/>
                <w:szCs w:val="9"/>
                <w:b w:val="1"/>
                <w:bCs w:val="1"/>
                <w:color w:val="auto"/>
                <w:w w:val="90"/>
              </w:rPr>
              <w:t>Amortized</w:t>
            </w: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jc w:val="right"/>
              <w:ind w:right="223"/>
              <w:spacing w:after="0" w:line="95" w:lineRule="exact"/>
              <w:rPr>
                <w:sz w:val="20"/>
                <w:szCs w:val="20"/>
                <w:color w:val="auto"/>
              </w:rPr>
            </w:pPr>
            <w:r>
              <w:rPr>
                <w:rFonts w:ascii="Arial" w:cs="Arial" w:eastAsia="Arial" w:hAnsi="Arial"/>
                <w:sz w:val="9"/>
                <w:szCs w:val="9"/>
                <w:b w:val="1"/>
                <w:bCs w:val="1"/>
                <w:color w:val="auto"/>
              </w:rPr>
              <w:t>Percentage</w:t>
            </w:r>
          </w:p>
        </w:tc>
        <w:tc>
          <w:tcPr>
            <w:tcW w:w="0" w:type="dxa"/>
            <w:vAlign w:val="bottom"/>
          </w:tcPr>
          <w:p>
            <w:pPr>
              <w:spacing w:after="0"/>
              <w:rPr>
                <w:sz w:val="1"/>
                <w:szCs w:val="1"/>
                <w:color w:val="auto"/>
              </w:rPr>
            </w:pPr>
          </w:p>
        </w:tc>
      </w:tr>
      <w:tr>
        <w:trPr>
          <w:trHeight w:val="107"/>
        </w:trPr>
        <w:tc>
          <w:tcPr>
            <w:tcW w:w="214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auto"/>
              </w:rPr>
              <w:t xml:space="preserve">Company </w:t>
            </w:r>
            <w:r>
              <w:rPr>
                <w:rFonts w:ascii="Arial" w:cs="Arial" w:eastAsia="Arial" w:hAnsi="Arial"/>
                <w:sz w:val="7"/>
                <w:szCs w:val="7"/>
                <w:b w:val="1"/>
                <w:bCs w:val="1"/>
                <w:color w:val="auto"/>
              </w:rPr>
              <w:t>(1)</w:t>
            </w: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9"/>
                <w:szCs w:val="9"/>
                <w:b w:val="1"/>
                <w:bCs w:val="1"/>
                <w:color w:val="auto"/>
              </w:rPr>
              <w:t>Investment</w:t>
            </w:r>
          </w:p>
        </w:tc>
        <w:tc>
          <w:tcPr>
            <w:tcW w:w="120" w:type="dxa"/>
            <w:vAlign w:val="bottom"/>
            <w:tcBorders>
              <w:bottom w:val="single" w:sz="8" w:color="CFF0FC"/>
            </w:tcBorders>
          </w:tcPr>
          <w:p>
            <w:pPr>
              <w:spacing w:after="0"/>
              <w:rPr>
                <w:sz w:val="9"/>
                <w:szCs w:val="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2"/>
              </w:rPr>
              <w:t>Date</w:t>
            </w:r>
          </w:p>
        </w:tc>
        <w:tc>
          <w:tcPr>
            <w:tcW w:w="160" w:type="dxa"/>
            <w:vAlign w:val="bottom"/>
            <w:tcBorders>
              <w:bottom w:val="single" w:sz="8" w:color="CFF0FC"/>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121"/>
              <w:spacing w:after="0"/>
              <w:rPr>
                <w:sz w:val="20"/>
                <w:szCs w:val="20"/>
                <w:color w:val="auto"/>
              </w:rPr>
            </w:pPr>
            <w:r>
              <w:rPr>
                <w:rFonts w:ascii="Arial" w:cs="Arial" w:eastAsia="Arial" w:hAnsi="Arial"/>
                <w:sz w:val="9"/>
                <w:szCs w:val="9"/>
                <w:b w:val="1"/>
                <w:bCs w:val="1"/>
                <w:color w:val="auto"/>
                <w:w w:val="85"/>
              </w:rPr>
              <w:t>Spread</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9"/>
                <w:szCs w:val="9"/>
                <w:b w:val="1"/>
                <w:bCs w:val="1"/>
                <w:color w:val="auto"/>
              </w:rPr>
              <w:t>Interest Rate</w:t>
            </w:r>
          </w:p>
        </w:tc>
        <w:tc>
          <w:tcPr>
            <w:tcW w:w="20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gridSpan w:val="2"/>
          </w:tcPr>
          <w:p>
            <w:pPr>
              <w:jc w:val="center"/>
              <w:ind w:right="126"/>
              <w:spacing w:after="0"/>
              <w:rPr>
                <w:sz w:val="20"/>
                <w:szCs w:val="20"/>
                <w:color w:val="auto"/>
              </w:rPr>
            </w:pPr>
            <w:r>
              <w:rPr>
                <w:rFonts w:ascii="Arial" w:cs="Arial" w:eastAsia="Arial" w:hAnsi="Arial"/>
                <w:sz w:val="9"/>
                <w:szCs w:val="9"/>
                <w:b w:val="1"/>
                <w:bCs w:val="1"/>
                <w:color w:val="auto"/>
                <w:w w:val="95"/>
              </w:rPr>
              <w:t xml:space="preserve">Cost </w:t>
            </w:r>
            <w:r>
              <w:rPr>
                <w:rFonts w:ascii="Arial" w:cs="Arial" w:eastAsia="Arial" w:hAnsi="Arial"/>
                <w:sz w:val="7"/>
                <w:szCs w:val="7"/>
                <w:b w:val="1"/>
                <w:bCs w:val="1"/>
                <w:color w:val="auto"/>
                <w:w w:val="95"/>
              </w:rPr>
              <w:t>(2)(8)</w:t>
            </w:r>
          </w:p>
        </w:tc>
        <w:tc>
          <w:tcPr>
            <w:tcW w:w="2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9"/>
                <w:szCs w:val="9"/>
                <w:b w:val="1"/>
                <w:bCs w:val="1"/>
                <w:color w:val="auto"/>
                <w:w w:val="93"/>
              </w:rPr>
              <w:t xml:space="preserve">Fair Value </w:t>
            </w:r>
            <w:r>
              <w:rPr>
                <w:rFonts w:ascii="Arial" w:cs="Arial" w:eastAsia="Arial" w:hAnsi="Arial"/>
                <w:sz w:val="7"/>
                <w:szCs w:val="7"/>
                <w:b w:val="1"/>
                <w:bCs w:val="1"/>
                <w:color w:val="auto"/>
                <w:w w:val="93"/>
              </w:rPr>
              <w:t>(10)</w:t>
            </w:r>
          </w:p>
        </w:tc>
        <w:tc>
          <w:tcPr>
            <w:tcW w:w="200" w:type="dxa"/>
            <w:vAlign w:val="bottom"/>
            <w:tcBorders>
              <w:bottom w:val="single" w:sz="8" w:color="CFF0FC"/>
            </w:tcBorders>
          </w:tcPr>
          <w:p>
            <w:pPr>
              <w:spacing w:after="0"/>
              <w:rPr>
                <w:sz w:val="9"/>
                <w:szCs w:val="9"/>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9"/>
                <w:szCs w:val="9"/>
                <w:b w:val="1"/>
                <w:bCs w:val="1"/>
                <w:color w:val="auto"/>
              </w:rPr>
              <w:t>of Net Assets</w:t>
            </w:r>
          </w:p>
        </w:tc>
        <w:tc>
          <w:tcPr>
            <w:tcW w:w="14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140" w:type="dxa"/>
            <w:vAlign w:val="bottom"/>
            <w:shd w:val="clear" w:color="auto" w:fill="CFF0FC"/>
          </w:tcPr>
          <w:p>
            <w:pPr>
              <w:spacing w:after="0"/>
              <w:rPr>
                <w:sz w:val="20"/>
                <w:szCs w:val="20"/>
                <w:color w:val="auto"/>
              </w:rPr>
            </w:pPr>
            <w:r>
              <w:rPr>
                <w:rFonts w:ascii="Arial" w:cs="Arial" w:eastAsia="Arial" w:hAnsi="Arial"/>
                <w:sz w:val="11"/>
                <w:szCs w:val="11"/>
                <w:color w:val="auto"/>
              </w:rPr>
              <w:t>Carlyle Global Market Strategies</w:t>
            </w: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80" w:type="dxa"/>
            <w:vAlign w:val="bottom"/>
            <w:gridSpan w:val="5"/>
            <w:shd w:val="clear" w:color="auto" w:fill="CFF0FC"/>
          </w:tcPr>
          <w:p>
            <w:pPr>
              <w:spacing w:after="0"/>
              <w:rPr>
                <w:sz w:val="20"/>
                <w:szCs w:val="20"/>
                <w:color w:val="auto"/>
              </w:rPr>
            </w:pPr>
            <w:r>
              <w:rPr>
                <w:rFonts w:ascii="Arial" w:cs="Arial" w:eastAsia="Arial" w:hAnsi="Arial"/>
                <w:sz w:val="11"/>
                <w:szCs w:val="11"/>
                <w:color w:val="auto"/>
              </w:rPr>
              <w:t>Structured Product ($4,150 par, due 1/2030)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9/3/2020</w:t>
            </w:r>
          </w:p>
        </w:tc>
        <w:tc>
          <w:tcPr>
            <w:tcW w:w="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ind w:left="200"/>
              <w:spacing w:after="0"/>
              <w:rPr>
                <w:sz w:val="20"/>
                <w:szCs w:val="20"/>
                <w:color w:val="auto"/>
              </w:rPr>
            </w:pPr>
            <w:r>
              <w:rPr>
                <w:rFonts w:ascii="Arial" w:cs="Arial" w:eastAsia="Arial" w:hAnsi="Arial"/>
                <w:sz w:val="11"/>
                <w:szCs w:val="11"/>
                <w:color w:val="auto"/>
                <w:w w:val="94"/>
              </w:rPr>
              <w:t>L + 6.15</w:t>
            </w:r>
          </w:p>
        </w:tc>
        <w:tc>
          <w:tcPr>
            <w:tcW w:w="220" w:type="dxa"/>
            <w:vAlign w:val="bottom"/>
            <w:shd w:val="clear" w:color="auto" w:fill="CFF0FC"/>
          </w:tcPr>
          <w:p>
            <w:pPr>
              <w:jc w:val="right"/>
              <w:ind w:right="95"/>
              <w:spacing w:after="0"/>
              <w:rPr>
                <w:sz w:val="20"/>
                <w:szCs w:val="20"/>
                <w:color w:val="auto"/>
              </w:rPr>
            </w:pPr>
            <w:r>
              <w:rPr>
                <w:rFonts w:ascii="Arial" w:cs="Arial" w:eastAsia="Arial" w:hAnsi="Arial"/>
                <w:sz w:val="9"/>
                <w:szCs w:val="9"/>
                <w:color w:val="auto"/>
                <w:w w:val="74"/>
              </w:rPr>
              <w:t>%</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6.27</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9"/>
                <w:szCs w:val="9"/>
                <w:color w:val="auto"/>
                <w:w w:val="74"/>
              </w:rPr>
              <w:t>%</w:t>
            </w:r>
          </w:p>
        </w:tc>
        <w:tc>
          <w:tcPr>
            <w:tcW w:w="160" w:type="dxa"/>
            <w:vAlign w:val="bottom"/>
            <w:tcBorders>
              <w:right w:val="single" w:sz="8" w:color="CFF0FC"/>
            </w:tcBorders>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3,455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3,865</w:t>
            </w: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140" w:type="dxa"/>
            <w:vAlign w:val="bottom"/>
            <w:tcBorders>
              <w:lef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40"/>
        </w:trPr>
        <w:tc>
          <w:tcPr>
            <w:tcW w:w="2140" w:type="dxa"/>
            <w:vAlign w:val="bottom"/>
            <w:shd w:val="clear" w:color="auto" w:fill="CFF0FC"/>
          </w:tcPr>
          <w:p>
            <w:pPr>
              <w:ind w:left="80"/>
              <w:spacing w:after="0"/>
              <w:rPr>
                <w:sz w:val="20"/>
                <w:szCs w:val="20"/>
                <w:color w:val="auto"/>
              </w:rPr>
            </w:pPr>
            <w:r>
              <w:rPr>
                <w:rFonts w:ascii="Arial" w:cs="Arial" w:eastAsia="Arial" w:hAnsi="Arial"/>
                <w:sz w:val="11"/>
                <w:szCs w:val="11"/>
                <w:color w:val="auto"/>
              </w:rPr>
              <w:t>CLO Ltd, Series 2017-4A</w:t>
            </w:r>
          </w:p>
        </w:tc>
        <w:tc>
          <w:tcPr>
            <w:tcW w:w="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tcBorders>
              <w:lef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1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0"/>
                <w:szCs w:val="10"/>
                <w:color w:val="auto"/>
              </w:rPr>
              <w:t>(3)(4)(11)</w:t>
            </w:r>
          </w:p>
        </w:tc>
        <w:tc>
          <w:tcPr>
            <w:tcW w:w="4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08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right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5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right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left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5,095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5,792</w:t>
            </w:r>
          </w:p>
        </w:tc>
        <w:tc>
          <w:tcPr>
            <w:tcW w:w="2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Total Equity and Other</w:t>
            </w: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140" w:type="dxa"/>
            <w:vAlign w:val="bottom"/>
            <w:vMerge w:val="continue"/>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114,460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161,459</w:t>
            </w:r>
          </w:p>
        </w:tc>
        <w:tc>
          <w:tcPr>
            <w:tcW w:w="20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12.6%</w:t>
            </w:r>
          </w:p>
        </w:tc>
        <w:tc>
          <w:tcPr>
            <w:tcW w:w="0" w:type="dxa"/>
            <w:vAlign w:val="bottom"/>
          </w:tcPr>
          <w:p>
            <w:pPr>
              <w:spacing w:after="0"/>
              <w:rPr>
                <w:sz w:val="1"/>
                <w:szCs w:val="1"/>
                <w:color w:val="auto"/>
              </w:rPr>
            </w:pPr>
          </w:p>
        </w:tc>
      </w:tr>
      <w:tr>
        <w:trPr>
          <w:trHeight w:val="151"/>
        </w:trPr>
        <w:tc>
          <w:tcPr>
            <w:tcW w:w="2140" w:type="dxa"/>
            <w:vAlign w:val="bottom"/>
            <w:shd w:val="clear" w:color="auto" w:fill="CFF0FC"/>
          </w:tcPr>
          <w:p>
            <w:pPr>
              <w:ind w:left="80"/>
              <w:spacing w:after="0"/>
              <w:rPr>
                <w:sz w:val="20"/>
                <w:szCs w:val="20"/>
                <w:color w:val="auto"/>
              </w:rPr>
            </w:pPr>
            <w:r>
              <w:rPr>
                <w:rFonts w:ascii="Arial" w:cs="Arial" w:eastAsia="Arial" w:hAnsi="Arial"/>
                <w:sz w:val="11"/>
                <w:szCs w:val="11"/>
                <w:b w:val="1"/>
                <w:bCs w:val="1"/>
                <w:color w:val="auto"/>
              </w:rPr>
              <w:t>Investments</w:t>
            </w: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tcBorders>
              <w:bottom w:val="single" w:sz="8" w:color="auto"/>
              <w:right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20"/>
                <w:szCs w:val="20"/>
                <w:color w:val="auto"/>
              </w:rPr>
            </w:pPr>
            <w:r>
              <w:rPr>
                <w:rFonts w:ascii="Arial" w:cs="Arial" w:eastAsia="Arial" w:hAnsi="Arial"/>
                <w:sz w:val="11"/>
                <w:szCs w:val="11"/>
                <w:b w:val="1"/>
                <w:bCs w:val="1"/>
                <w:color w:val="auto"/>
              </w:rPr>
              <w:t>Total Investments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1"/>
                <w:szCs w:val="11"/>
                <w:b w:val="1"/>
                <w:bCs w:val="1"/>
                <w:color w:val="auto"/>
              </w:rPr>
              <w:t>2,432,012</w:t>
            </w:r>
          </w:p>
        </w:tc>
        <w:tc>
          <w:tcPr>
            <w:tcW w:w="2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1"/>
                <w:szCs w:val="11"/>
                <w:b w:val="1"/>
                <w:bCs w:val="1"/>
                <w:color w:val="auto"/>
              </w:rPr>
              <w:t>2,521,593</w:t>
            </w:r>
          </w:p>
        </w:tc>
        <w:tc>
          <w:tcPr>
            <w:tcW w:w="1040" w:type="dxa"/>
            <w:vAlign w:val="bottom"/>
            <w:gridSpan w:val="3"/>
          </w:tcPr>
          <w:p>
            <w:pPr>
              <w:jc w:val="right"/>
              <w:spacing w:after="0"/>
              <w:rPr>
                <w:sz w:val="20"/>
                <w:szCs w:val="20"/>
                <w:color w:val="auto"/>
              </w:rPr>
            </w:pPr>
            <w:r>
              <w:rPr>
                <w:rFonts w:ascii="Arial" w:cs="Arial" w:eastAsia="Arial" w:hAnsi="Arial"/>
                <w:sz w:val="11"/>
                <w:szCs w:val="11"/>
                <w:b w:val="1"/>
                <w:bCs w:val="1"/>
                <w:color w:val="auto"/>
              </w:rPr>
              <w:t>197.6%</w:t>
            </w: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center"/>
              <w:ind w:left="474"/>
              <w:spacing w:after="0"/>
              <w:rPr>
                <w:sz w:val="20"/>
                <w:szCs w:val="20"/>
                <w:color w:val="auto"/>
              </w:rPr>
            </w:pPr>
            <w:r>
              <w:rPr>
                <w:rFonts w:ascii="Arial" w:cs="Arial" w:eastAsia="Arial" w:hAnsi="Arial"/>
                <w:sz w:val="10"/>
                <w:szCs w:val="10"/>
                <w:b w:val="1"/>
                <w:bCs w:val="1"/>
                <w:color w:val="auto"/>
                <w:w w:val="89"/>
              </w:rPr>
              <w:t>Interest Rate Swaps as of December 31, 2021</w:t>
            </w: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gridSpan w:val="3"/>
          </w:tcPr>
          <w:p>
            <w:pPr>
              <w:jc w:val="center"/>
              <w:ind w:right="340"/>
              <w:spacing w:after="0" w:line="97" w:lineRule="exact"/>
              <w:rPr>
                <w:sz w:val="20"/>
                <w:szCs w:val="20"/>
                <w:color w:val="auto"/>
              </w:rPr>
            </w:pPr>
            <w:r>
              <w:rPr>
                <w:rFonts w:ascii="Arial" w:cs="Arial" w:eastAsia="Arial" w:hAnsi="Arial"/>
                <w:sz w:val="10"/>
                <w:szCs w:val="10"/>
                <w:b w:val="1"/>
                <w:bCs w:val="1"/>
                <w:color w:val="auto"/>
                <w:w w:val="97"/>
              </w:rPr>
              <w:t>Fair</w:t>
            </w:r>
          </w:p>
        </w:tc>
        <w:tc>
          <w:tcPr>
            <w:tcW w:w="160" w:type="dxa"/>
            <w:vAlign w:val="bottom"/>
          </w:tcPr>
          <w:p>
            <w:pPr>
              <w:spacing w:after="0"/>
              <w:rPr>
                <w:sz w:val="8"/>
                <w:szCs w:val="8"/>
                <w:color w:val="auto"/>
              </w:rPr>
            </w:pPr>
          </w:p>
        </w:tc>
        <w:tc>
          <w:tcPr>
            <w:tcW w:w="780" w:type="dxa"/>
            <w:vAlign w:val="bottom"/>
            <w:gridSpan w:val="3"/>
          </w:tcPr>
          <w:p>
            <w:pPr>
              <w:jc w:val="center"/>
              <w:ind w:left="266"/>
              <w:spacing w:after="0" w:line="97" w:lineRule="exact"/>
              <w:rPr>
                <w:sz w:val="20"/>
                <w:szCs w:val="20"/>
                <w:color w:val="auto"/>
              </w:rPr>
            </w:pPr>
            <w:r>
              <w:rPr>
                <w:rFonts w:ascii="Arial" w:cs="Arial" w:eastAsia="Arial" w:hAnsi="Arial"/>
                <w:sz w:val="10"/>
                <w:szCs w:val="10"/>
                <w:b w:val="1"/>
                <w:bCs w:val="1"/>
                <w:color w:val="auto"/>
                <w:w w:val="94"/>
              </w:rPr>
              <w:t>Upfront</w:t>
            </w: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center"/>
              <w:ind w:right="85"/>
              <w:spacing w:after="0" w:line="97" w:lineRule="exact"/>
              <w:rPr>
                <w:sz w:val="20"/>
                <w:szCs w:val="20"/>
                <w:color w:val="auto"/>
              </w:rPr>
            </w:pPr>
            <w:r>
              <w:rPr>
                <w:rFonts w:ascii="Arial" w:cs="Arial" w:eastAsia="Arial" w:hAnsi="Arial"/>
                <w:sz w:val="10"/>
                <w:szCs w:val="10"/>
                <w:b w:val="1"/>
                <w:bCs w:val="1"/>
                <w:color w:val="auto"/>
                <w:w w:val="90"/>
              </w:rPr>
              <w:t>Change in</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40" w:type="dxa"/>
            <w:vAlign w:val="bottom"/>
          </w:tcPr>
          <w:p>
            <w:pPr>
              <w:spacing w:after="0"/>
              <w:rPr>
                <w:sz w:val="9"/>
                <w:szCs w:val="9"/>
                <w:color w:val="auto"/>
              </w:rPr>
            </w:pPr>
          </w:p>
        </w:tc>
        <w:tc>
          <w:tcPr>
            <w:tcW w:w="1300" w:type="dxa"/>
            <w:vAlign w:val="bottom"/>
            <w:gridSpan w:val="4"/>
          </w:tcPr>
          <w:p>
            <w:pPr>
              <w:jc w:val="center"/>
              <w:ind w:right="240"/>
              <w:spacing w:after="0" w:line="104" w:lineRule="exact"/>
              <w:rPr>
                <w:sz w:val="20"/>
                <w:szCs w:val="20"/>
                <w:color w:val="auto"/>
              </w:rPr>
            </w:pPr>
            <w:r>
              <w:rPr>
                <w:rFonts w:ascii="Arial" w:cs="Arial" w:eastAsia="Arial" w:hAnsi="Arial"/>
                <w:sz w:val="10"/>
                <w:szCs w:val="10"/>
                <w:b w:val="1"/>
                <w:bCs w:val="1"/>
                <w:color w:val="auto"/>
                <w:w w:val="92"/>
              </w:rPr>
              <w:t>Company</w:t>
            </w:r>
          </w:p>
        </w:tc>
        <w:tc>
          <w:tcPr>
            <w:tcW w:w="1540" w:type="dxa"/>
            <w:vAlign w:val="bottom"/>
            <w:gridSpan w:val="3"/>
          </w:tcPr>
          <w:p>
            <w:pPr>
              <w:jc w:val="center"/>
              <w:ind w:right="440"/>
              <w:spacing w:after="0" w:line="104" w:lineRule="exact"/>
              <w:rPr>
                <w:sz w:val="20"/>
                <w:szCs w:val="20"/>
                <w:color w:val="auto"/>
              </w:rPr>
            </w:pPr>
            <w:r>
              <w:rPr>
                <w:rFonts w:ascii="Arial" w:cs="Arial" w:eastAsia="Arial" w:hAnsi="Arial"/>
                <w:sz w:val="10"/>
                <w:szCs w:val="10"/>
                <w:b w:val="1"/>
                <w:bCs w:val="1"/>
                <w:color w:val="auto"/>
                <w:w w:val="92"/>
              </w:rPr>
              <w:t>Company</w:t>
            </w: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tcPr>
          <w:p>
            <w:pPr>
              <w:jc w:val="center"/>
              <w:ind w:right="37"/>
              <w:spacing w:after="0" w:line="104" w:lineRule="exact"/>
              <w:rPr>
                <w:sz w:val="20"/>
                <w:szCs w:val="20"/>
                <w:color w:val="auto"/>
              </w:rPr>
            </w:pPr>
            <w:r>
              <w:rPr>
                <w:rFonts w:ascii="Arial" w:cs="Arial" w:eastAsia="Arial" w:hAnsi="Arial"/>
                <w:sz w:val="10"/>
                <w:szCs w:val="10"/>
                <w:b w:val="1"/>
                <w:bCs w:val="1"/>
                <w:color w:val="auto"/>
                <w:w w:val="89"/>
              </w:rPr>
              <w:t>Notional</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gridSpan w:val="3"/>
          </w:tcPr>
          <w:p>
            <w:pPr>
              <w:jc w:val="center"/>
              <w:ind w:right="360"/>
              <w:spacing w:after="0" w:line="104" w:lineRule="exact"/>
              <w:rPr>
                <w:sz w:val="20"/>
                <w:szCs w:val="20"/>
                <w:color w:val="auto"/>
              </w:rPr>
            </w:pPr>
            <w:r>
              <w:rPr>
                <w:rFonts w:ascii="Arial" w:cs="Arial" w:eastAsia="Arial" w:hAnsi="Arial"/>
                <w:sz w:val="10"/>
                <w:szCs w:val="10"/>
                <w:b w:val="1"/>
                <w:bCs w:val="1"/>
                <w:color w:val="auto"/>
                <w:w w:val="99"/>
              </w:rPr>
              <w:t>Market</w:t>
            </w:r>
          </w:p>
        </w:tc>
        <w:tc>
          <w:tcPr>
            <w:tcW w:w="160" w:type="dxa"/>
            <w:vAlign w:val="bottom"/>
          </w:tcPr>
          <w:p>
            <w:pPr>
              <w:spacing w:after="0"/>
              <w:rPr>
                <w:sz w:val="9"/>
                <w:szCs w:val="9"/>
                <w:color w:val="auto"/>
              </w:rPr>
            </w:pPr>
          </w:p>
        </w:tc>
        <w:tc>
          <w:tcPr>
            <w:tcW w:w="1100" w:type="dxa"/>
            <w:vAlign w:val="bottom"/>
            <w:gridSpan w:val="4"/>
          </w:tcPr>
          <w:p>
            <w:pPr>
              <w:jc w:val="center"/>
              <w:spacing w:after="0" w:line="104" w:lineRule="exact"/>
              <w:rPr>
                <w:sz w:val="20"/>
                <w:szCs w:val="20"/>
                <w:color w:val="auto"/>
              </w:rPr>
            </w:pPr>
            <w:r>
              <w:rPr>
                <w:rFonts w:ascii="Arial" w:cs="Arial" w:eastAsia="Arial" w:hAnsi="Arial"/>
                <w:sz w:val="10"/>
                <w:szCs w:val="10"/>
                <w:b w:val="1"/>
                <w:bCs w:val="1"/>
                <w:color w:val="auto"/>
                <w:w w:val="90"/>
              </w:rPr>
              <w:t>(Payments) /</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3"/>
          </w:tcPr>
          <w:p>
            <w:pPr>
              <w:jc w:val="center"/>
              <w:ind w:right="243"/>
              <w:spacing w:after="0" w:line="104" w:lineRule="exact"/>
              <w:rPr>
                <w:sz w:val="20"/>
                <w:szCs w:val="20"/>
                <w:color w:val="auto"/>
              </w:rPr>
            </w:pPr>
            <w:r>
              <w:rPr>
                <w:rFonts w:ascii="Arial" w:cs="Arial" w:eastAsia="Arial" w:hAnsi="Arial"/>
                <w:sz w:val="10"/>
                <w:szCs w:val="10"/>
                <w:b w:val="1"/>
                <w:bCs w:val="1"/>
                <w:color w:val="auto"/>
                <w:w w:val="90"/>
              </w:rPr>
              <w:t>Unrealized</w:t>
            </w:r>
          </w:p>
        </w:tc>
        <w:tc>
          <w:tcPr>
            <w:tcW w:w="0" w:type="dxa"/>
            <w:vAlign w:val="bottom"/>
          </w:tcPr>
          <w:p>
            <w:pPr>
              <w:spacing w:after="0"/>
              <w:rPr>
                <w:sz w:val="1"/>
                <w:szCs w:val="1"/>
                <w:color w:val="auto"/>
              </w:rPr>
            </w:pPr>
          </w:p>
        </w:tc>
      </w:tr>
      <w:tr>
        <w:trPr>
          <w:trHeight w:val="119"/>
        </w:trPr>
        <w:tc>
          <w:tcPr>
            <w:tcW w:w="2140" w:type="dxa"/>
            <w:vAlign w:val="bottom"/>
            <w:tcBorders>
              <w:bottom w:val="single" w:sz="8" w:color="CFF0FC"/>
            </w:tcBorders>
          </w:tcPr>
          <w:p>
            <w:pPr>
              <w:spacing w:after="0"/>
              <w:rPr>
                <w:sz w:val="10"/>
                <w:szCs w:val="10"/>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7"/>
              </w:rPr>
              <w:t>Receives</w:t>
            </w:r>
          </w:p>
        </w:tc>
        <w:tc>
          <w:tcPr>
            <w:tcW w:w="240" w:type="dxa"/>
            <w:vAlign w:val="bottom"/>
            <w:tcBorders>
              <w:bottom w:val="single" w:sz="8" w:color="CFF0FC"/>
            </w:tcBorders>
          </w:tcPr>
          <w:p>
            <w:pPr>
              <w:spacing w:after="0"/>
              <w:rPr>
                <w:sz w:val="10"/>
                <w:szCs w:val="1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Pays</w:t>
            </w:r>
          </w:p>
        </w:tc>
        <w:tc>
          <w:tcPr>
            <w:tcW w:w="240" w:type="dxa"/>
            <w:vAlign w:val="bottom"/>
            <w:tcBorders>
              <w:bottom w:val="single" w:sz="8" w:color="CFF0FC"/>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Maturity Date</w:t>
            </w: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0"/>
                <w:szCs w:val="10"/>
                <w:b w:val="1"/>
                <w:bCs w:val="1"/>
                <w:color w:val="auto"/>
                <w:w w:val="95"/>
              </w:rPr>
              <w:t>Amount</w:t>
            </w:r>
          </w:p>
        </w:tc>
        <w:tc>
          <w:tcPr>
            <w:tcW w:w="240" w:type="dxa"/>
            <w:vAlign w:val="bottom"/>
            <w:tcBorders>
              <w:bottom w:val="single" w:sz="8" w:color="CFF0FC"/>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89"/>
              </w:rPr>
              <w:t>Value</w:t>
            </w:r>
          </w:p>
        </w:tc>
        <w:tc>
          <w:tcPr>
            <w:tcW w:w="160" w:type="dxa"/>
            <w:vAlign w:val="bottom"/>
            <w:tcBorders>
              <w:bottom w:val="single" w:sz="8" w:color="CFF0FC"/>
            </w:tcBorders>
          </w:tcPr>
          <w:p>
            <w:pPr>
              <w:spacing w:after="0"/>
              <w:rPr>
                <w:sz w:val="10"/>
                <w:szCs w:val="10"/>
                <w:color w:val="auto"/>
              </w:rPr>
            </w:pPr>
          </w:p>
        </w:tc>
        <w:tc>
          <w:tcPr>
            <w:tcW w:w="780" w:type="dxa"/>
            <w:vAlign w:val="bottom"/>
            <w:tcBorders>
              <w:bottom w:val="single" w:sz="8" w:color="auto"/>
            </w:tcBorders>
            <w:gridSpan w:val="3"/>
          </w:tcPr>
          <w:p>
            <w:pPr>
              <w:jc w:val="center"/>
              <w:ind w:left="286"/>
              <w:spacing w:after="0"/>
              <w:rPr>
                <w:sz w:val="20"/>
                <w:szCs w:val="20"/>
                <w:color w:val="auto"/>
              </w:rPr>
            </w:pPr>
            <w:r>
              <w:rPr>
                <w:rFonts w:ascii="Arial" w:cs="Arial" w:eastAsia="Arial" w:hAnsi="Arial"/>
                <w:sz w:val="10"/>
                <w:szCs w:val="10"/>
                <w:b w:val="1"/>
                <w:bCs w:val="1"/>
                <w:color w:val="auto"/>
                <w:w w:val="86"/>
              </w:rPr>
              <w:t>Receipts</w:t>
            </w: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center"/>
              <w:ind w:right="105"/>
              <w:spacing w:after="0"/>
              <w:rPr>
                <w:sz w:val="20"/>
                <w:szCs w:val="20"/>
                <w:color w:val="auto"/>
              </w:rPr>
            </w:pPr>
            <w:r>
              <w:rPr>
                <w:rFonts w:ascii="Arial" w:cs="Arial" w:eastAsia="Arial" w:hAnsi="Arial"/>
                <w:sz w:val="10"/>
                <w:szCs w:val="10"/>
                <w:b w:val="1"/>
                <w:bCs w:val="1"/>
                <w:color w:val="auto"/>
                <w:w w:val="85"/>
              </w:rPr>
              <w:t>Gains / (Losses)</w:t>
            </w:r>
          </w:p>
        </w:tc>
        <w:tc>
          <w:tcPr>
            <w:tcW w:w="14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46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center"/>
              <w:ind w:right="720"/>
              <w:spacing w:after="0"/>
              <w:rPr>
                <w:sz w:val="20"/>
                <w:szCs w:val="20"/>
                <w:color w:val="auto"/>
              </w:rPr>
            </w:pPr>
            <w:r>
              <w:rPr>
                <w:rFonts w:ascii="Arial" w:cs="Arial" w:eastAsia="Arial" w:hAnsi="Arial"/>
                <w:sz w:val="13"/>
                <w:szCs w:val="13"/>
                <w:color w:val="auto"/>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0.16%</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7/30/2022</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13,440</w:t>
            </w:r>
          </w:p>
        </w:tc>
        <w:tc>
          <w:tcPr>
            <w:tcW w:w="520" w:type="dxa"/>
            <w:vAlign w:val="bottom"/>
            <w:gridSpan w:val="2"/>
            <w:shd w:val="clear" w:color="auto" w:fill="CFF0FC"/>
          </w:tcPr>
          <w:p>
            <w:pPr>
              <w:jc w:val="right"/>
              <w:ind w:right="173"/>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13</w:t>
            </w:r>
          </w:p>
        </w:tc>
        <w:tc>
          <w:tcPr>
            <w:tcW w:w="600" w:type="dxa"/>
            <w:vAlign w:val="bottom"/>
            <w:gridSpan w:val="2"/>
            <w:shd w:val="clear" w:color="auto" w:fill="CFF0FC"/>
          </w:tcPr>
          <w:p>
            <w:pPr>
              <w:jc w:val="center"/>
              <w:ind w:right="146"/>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gridSpan w:val="3"/>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3"/>
                <w:szCs w:val="13"/>
                <w:color w:val="auto"/>
                <w:w w:val="88"/>
              </w:rPr>
              <w:t>L + 2.37%</w:t>
            </w: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8/1/2022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115,000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1,192</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right"/>
              <w:ind w:right="3"/>
              <w:spacing w:after="0"/>
              <w:rPr>
                <w:sz w:val="20"/>
                <w:szCs w:val="20"/>
                <w:color w:val="auto"/>
              </w:rPr>
            </w:pPr>
            <w:r>
              <w:rPr>
                <w:rFonts w:ascii="Arial" w:cs="Arial" w:eastAsia="Arial" w:hAnsi="Arial"/>
                <w:sz w:val="13"/>
                <w:szCs w:val="13"/>
                <w:color w:val="auto"/>
              </w:rPr>
              <w:t>(2,287)</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gridSpan w:val="3"/>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1540" w:type="dxa"/>
            <w:vAlign w:val="bottom"/>
            <w:gridSpan w:val="3"/>
            <w:shd w:val="clear" w:color="auto" w:fill="CFF0FC"/>
          </w:tcPr>
          <w:p>
            <w:pPr>
              <w:jc w:val="center"/>
              <w:ind w:right="460"/>
              <w:spacing w:after="0"/>
              <w:rPr>
                <w:sz w:val="20"/>
                <w:szCs w:val="20"/>
                <w:color w:val="auto"/>
              </w:rPr>
            </w:pPr>
            <w:r>
              <w:rPr>
                <w:rFonts w:ascii="Arial" w:cs="Arial" w:eastAsia="Arial" w:hAnsi="Arial"/>
                <w:sz w:val="13"/>
                <w:szCs w:val="13"/>
                <w:color w:val="auto"/>
                <w:w w:val="88"/>
              </w:rPr>
              <w:t>L + 1.59%</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8/1/2022</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751</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3"/>
              <w:spacing w:after="0"/>
              <w:rPr>
                <w:sz w:val="20"/>
                <w:szCs w:val="20"/>
                <w:color w:val="auto"/>
              </w:rPr>
            </w:pPr>
            <w:r>
              <w:rPr>
                <w:rFonts w:ascii="Arial" w:cs="Arial" w:eastAsia="Arial" w:hAnsi="Arial"/>
                <w:sz w:val="13"/>
                <w:szCs w:val="13"/>
                <w:color w:val="auto"/>
              </w:rPr>
              <w:t>(1,390)</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gridSpan w:val="3"/>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3"/>
                <w:szCs w:val="13"/>
                <w:color w:val="auto"/>
                <w:w w:val="88"/>
              </w:rPr>
              <w:t>L + 1.60%</w:t>
            </w: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8/1/2022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7,500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112</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right"/>
              <w:ind w:right="3"/>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300" w:type="dxa"/>
            <w:vAlign w:val="bottom"/>
            <w:gridSpan w:val="4"/>
            <w:shd w:val="clear" w:color="auto" w:fill="CFF0FC"/>
          </w:tcPr>
          <w:p>
            <w:pPr>
              <w:jc w:val="center"/>
              <w:ind w:right="240"/>
              <w:spacing w:after="0"/>
              <w:rPr>
                <w:sz w:val="20"/>
                <w:szCs w:val="20"/>
                <w:color w:val="auto"/>
              </w:rPr>
            </w:pPr>
            <w:r>
              <w:rPr>
                <w:rFonts w:ascii="Arial" w:cs="Arial" w:eastAsia="Arial" w:hAnsi="Arial"/>
                <w:sz w:val="13"/>
                <w:szCs w:val="13"/>
                <w:color w:val="auto"/>
                <w:w w:val="91"/>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8/1/2022</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27,531</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(328)</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1,252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621</w:t>
            </w: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300" w:type="dxa"/>
            <w:vAlign w:val="bottom"/>
            <w:gridSpan w:val="4"/>
          </w:tcPr>
          <w:p>
            <w:pPr>
              <w:jc w:val="center"/>
              <w:ind w:right="240"/>
              <w:spacing w:after="0"/>
              <w:rPr>
                <w:sz w:val="20"/>
                <w:szCs w:val="20"/>
                <w:color w:val="auto"/>
              </w:rPr>
            </w:pPr>
            <w:r>
              <w:rPr>
                <w:rFonts w:ascii="Arial" w:cs="Arial" w:eastAsia="Arial" w:hAnsi="Arial"/>
                <w:sz w:val="13"/>
                <w:szCs w:val="13"/>
                <w:color w:val="auto"/>
                <w:w w:val="91"/>
              </w:rPr>
              <w:t>L + 2.11%</w:t>
            </w: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8/1/2022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2,160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(26)</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96</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300" w:type="dxa"/>
            <w:vAlign w:val="bottom"/>
            <w:gridSpan w:val="4"/>
            <w:shd w:val="clear" w:color="auto" w:fill="CFF0FC"/>
          </w:tcPr>
          <w:p>
            <w:pPr>
              <w:jc w:val="center"/>
              <w:ind w:right="240"/>
              <w:spacing w:after="0"/>
              <w:rPr>
                <w:sz w:val="20"/>
                <w:szCs w:val="20"/>
                <w:color w:val="auto"/>
              </w:rPr>
            </w:pPr>
            <w:r>
              <w:rPr>
                <w:rFonts w:ascii="Arial" w:cs="Arial" w:eastAsia="Arial" w:hAnsi="Arial"/>
                <w:sz w:val="13"/>
                <w:szCs w:val="13"/>
                <w:color w:val="auto"/>
                <w:w w:val="91"/>
              </w:rPr>
              <w:t>L + 2.11%</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8/1/2022</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42,819</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(510)</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904</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394</w:t>
            </w: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w:t>
            </w:r>
          </w:p>
        </w:tc>
        <w:tc>
          <w:tcPr>
            <w:tcW w:w="1060" w:type="dxa"/>
            <w:vAlign w:val="bottom"/>
            <w:gridSpan w:val="3"/>
          </w:tcPr>
          <w:p>
            <w:pPr>
              <w:jc w:val="center"/>
              <w:spacing w:after="0"/>
              <w:rPr>
                <w:sz w:val="20"/>
                <w:szCs w:val="20"/>
                <w:color w:val="auto"/>
              </w:rPr>
            </w:pPr>
            <w:r>
              <w:rPr>
                <w:rFonts w:ascii="Arial" w:cs="Arial" w:eastAsia="Arial" w:hAnsi="Arial"/>
                <w:sz w:val="13"/>
                <w:szCs w:val="13"/>
                <w:color w:val="auto"/>
                <w:w w:val="86"/>
              </w:rPr>
              <w:t>4.50%</w:t>
            </w:r>
          </w:p>
        </w:tc>
        <w:tc>
          <w:tcPr>
            <w:tcW w:w="240" w:type="dxa"/>
            <w:vAlign w:val="bottom"/>
          </w:tcPr>
          <w:p>
            <w:pPr>
              <w:spacing w:after="0"/>
              <w:rPr>
                <w:sz w:val="13"/>
                <w:szCs w:val="13"/>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3"/>
                <w:szCs w:val="13"/>
                <w:color w:val="auto"/>
                <w:w w:val="88"/>
              </w:rPr>
              <w:t>L + 1.99%</w:t>
            </w: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1/22/2023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150,000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3,061</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right"/>
              <w:ind w:right="3"/>
              <w:spacing w:after="0"/>
              <w:rPr>
                <w:sz w:val="20"/>
                <w:szCs w:val="20"/>
                <w:color w:val="auto"/>
              </w:rPr>
            </w:pPr>
            <w:r>
              <w:rPr>
                <w:rFonts w:ascii="Arial" w:cs="Arial" w:eastAsia="Arial" w:hAnsi="Arial"/>
                <w:sz w:val="13"/>
                <w:szCs w:val="13"/>
                <w:color w:val="auto"/>
              </w:rPr>
              <w:t>(3,994)</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(a)(e)</w:t>
            </w:r>
          </w:p>
        </w:tc>
        <w:tc>
          <w:tcPr>
            <w:tcW w:w="1300" w:type="dxa"/>
            <w:vAlign w:val="bottom"/>
            <w:gridSpan w:val="4"/>
            <w:shd w:val="clear" w:color="auto" w:fill="CFF0FC"/>
          </w:tcPr>
          <w:p>
            <w:pPr>
              <w:jc w:val="center"/>
              <w:ind w:right="240"/>
              <w:spacing w:after="0"/>
              <w:rPr>
                <w:sz w:val="20"/>
                <w:szCs w:val="20"/>
                <w:color w:val="auto"/>
              </w:rPr>
            </w:pPr>
            <w:r>
              <w:rPr>
                <w:rFonts w:ascii="Arial" w:cs="Arial" w:eastAsia="Arial" w:hAnsi="Arial"/>
                <w:sz w:val="13"/>
                <w:szCs w:val="13"/>
                <w:color w:val="auto"/>
                <w:w w:val="91"/>
              </w:rPr>
              <w:t>L + 2.28%</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3.875%</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11/1/2024</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6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(a)(b)</w:t>
            </w:r>
          </w:p>
        </w:tc>
        <w:tc>
          <w:tcPr>
            <w:tcW w:w="460" w:type="dxa"/>
            <w:vAlign w:val="bottom"/>
          </w:tcPr>
          <w:p>
            <w:pPr>
              <w:spacing w:after="0"/>
              <w:rPr>
                <w:sz w:val="13"/>
                <w:szCs w:val="13"/>
                <w:color w:val="auto"/>
              </w:rPr>
            </w:pPr>
          </w:p>
        </w:tc>
        <w:tc>
          <w:tcPr>
            <w:tcW w:w="840" w:type="dxa"/>
            <w:vAlign w:val="bottom"/>
            <w:gridSpan w:val="3"/>
          </w:tcPr>
          <w:p>
            <w:pPr>
              <w:jc w:val="center"/>
              <w:ind w:right="720"/>
              <w:spacing w:after="0"/>
              <w:rPr>
                <w:sz w:val="20"/>
                <w:szCs w:val="20"/>
                <w:color w:val="auto"/>
              </w:rPr>
            </w:pPr>
            <w:r>
              <w:rPr>
                <w:rFonts w:ascii="Arial" w:cs="Arial" w:eastAsia="Arial" w:hAnsi="Arial"/>
                <w:sz w:val="13"/>
                <w:szCs w:val="13"/>
                <w:color w:val="auto"/>
              </w:rPr>
              <w:t>L</w:t>
            </w: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1.47%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7/30/2021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89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(a)(b)</w:t>
            </w:r>
          </w:p>
        </w:tc>
        <w:tc>
          <w:tcPr>
            <w:tcW w:w="46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center"/>
              <w:ind w:right="720"/>
              <w:spacing w:after="0"/>
              <w:rPr>
                <w:sz w:val="20"/>
                <w:szCs w:val="20"/>
                <w:color w:val="auto"/>
              </w:rPr>
            </w:pPr>
            <w:r>
              <w:rPr>
                <w:rFonts w:ascii="Arial" w:cs="Arial" w:eastAsia="Arial" w:hAnsi="Arial"/>
                <w:sz w:val="13"/>
                <w:szCs w:val="13"/>
                <w:color w:val="auto"/>
              </w:rPr>
              <w:t>L</w:t>
            </w:r>
          </w:p>
        </w:tc>
        <w:tc>
          <w:tcPr>
            <w:tcW w:w="10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0.326%</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6/9/2023</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36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40" w:type="dxa"/>
            <w:vAlign w:val="bottom"/>
          </w:tcPr>
          <w:p>
            <w:pPr>
              <w:spacing w:after="0"/>
              <w:rPr>
                <w:sz w:val="20"/>
                <w:szCs w:val="20"/>
                <w:color w:val="auto"/>
              </w:rPr>
            </w:pPr>
            <w:r>
              <w:rPr>
                <w:rFonts w:ascii="Arial" w:cs="Arial" w:eastAsia="Arial" w:hAnsi="Arial"/>
                <w:sz w:val="13"/>
                <w:szCs w:val="13"/>
                <w:color w:val="auto"/>
              </w:rPr>
              <w:t>Total</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410,950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4,265</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2,380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right"/>
              <w:ind w:right="3"/>
              <w:spacing w:after="0"/>
              <w:rPr>
                <w:sz w:val="20"/>
                <w:szCs w:val="20"/>
                <w:color w:val="auto"/>
              </w:rPr>
            </w:pPr>
            <w:r>
              <w:rPr>
                <w:rFonts w:ascii="Arial" w:cs="Arial" w:eastAsia="Arial" w:hAnsi="Arial"/>
                <w:sz w:val="13"/>
                <w:szCs w:val="13"/>
                <w:color w:val="auto"/>
              </w:rPr>
              <w:t>(6,699)</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13"/>
                <w:szCs w:val="13"/>
                <w:color w:val="auto"/>
              </w:rPr>
            </w:pPr>
          </w:p>
        </w:tc>
        <w:tc>
          <w:tcPr>
            <w:tcW w:w="1060" w:type="dxa"/>
            <w:vAlign w:val="bottom"/>
            <w:gridSpan w:val="3"/>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3"/>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(a)(c)(d)</w:t>
            </w:r>
          </w:p>
        </w:tc>
        <w:tc>
          <w:tcPr>
            <w:tcW w:w="1060" w:type="dxa"/>
            <w:vAlign w:val="bottom"/>
            <w:gridSpan w:val="3"/>
          </w:tcPr>
          <w:p>
            <w:pPr>
              <w:jc w:val="center"/>
              <w:spacing w:after="0"/>
              <w:rPr>
                <w:sz w:val="20"/>
                <w:szCs w:val="20"/>
                <w:color w:val="auto"/>
              </w:rPr>
            </w:pPr>
            <w:r>
              <w:rPr>
                <w:rFonts w:ascii="Arial" w:cs="Arial" w:eastAsia="Arial" w:hAnsi="Arial"/>
                <w:sz w:val="13"/>
                <w:szCs w:val="13"/>
                <w:color w:val="auto"/>
                <w:w w:val="86"/>
              </w:rPr>
              <w:t>3.875%</w:t>
            </w:r>
          </w:p>
        </w:tc>
        <w:tc>
          <w:tcPr>
            <w:tcW w:w="240" w:type="dxa"/>
            <w:vAlign w:val="bottom"/>
          </w:tcPr>
          <w:p>
            <w:pPr>
              <w:spacing w:after="0"/>
              <w:rPr>
                <w:sz w:val="13"/>
                <w:szCs w:val="13"/>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3"/>
                <w:szCs w:val="13"/>
                <w:color w:val="auto"/>
                <w:w w:val="88"/>
              </w:rPr>
              <w:t>L + 2.25%</w:t>
            </w: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11/1/2024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3,996</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right"/>
              <w:ind w:right="3"/>
              <w:spacing w:after="0"/>
              <w:rPr>
                <w:sz w:val="20"/>
                <w:szCs w:val="20"/>
                <w:color w:val="auto"/>
              </w:rPr>
            </w:pPr>
            <w:r>
              <w:rPr>
                <w:rFonts w:ascii="Arial" w:cs="Arial" w:eastAsia="Arial" w:hAnsi="Arial"/>
                <w:sz w:val="13"/>
                <w:szCs w:val="13"/>
                <w:color w:val="auto"/>
              </w:rPr>
              <w:t>(10,720)</w:t>
            </w:r>
          </w:p>
        </w:tc>
        <w:tc>
          <w:tcPr>
            <w:tcW w:w="0" w:type="dxa"/>
            <w:vAlign w:val="bottom"/>
          </w:tcPr>
          <w:p>
            <w:pPr>
              <w:spacing w:after="0"/>
              <w:rPr>
                <w:sz w:val="1"/>
                <w:szCs w:val="1"/>
                <w:color w:val="auto"/>
              </w:rPr>
            </w:pPr>
          </w:p>
        </w:tc>
      </w:tr>
      <w:tr>
        <w:trPr>
          <w:trHeight w:val="161"/>
        </w:trPr>
        <w:tc>
          <w:tcPr>
            <w:tcW w:w="214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(a)(c)(d)</w:t>
            </w:r>
          </w:p>
        </w:tc>
        <w:tc>
          <w:tcPr>
            <w:tcW w:w="1060" w:type="dxa"/>
            <w:vAlign w:val="bottom"/>
            <w:gridSpan w:val="3"/>
            <w:shd w:val="clear" w:color="auto" w:fill="CFF0FC"/>
          </w:tcPr>
          <w:p>
            <w:pPr>
              <w:jc w:val="center"/>
              <w:spacing w:after="0"/>
              <w:rPr>
                <w:sz w:val="20"/>
                <w:szCs w:val="20"/>
                <w:color w:val="auto"/>
              </w:rPr>
            </w:pPr>
            <w:r>
              <w:rPr>
                <w:rFonts w:ascii="Arial" w:cs="Arial" w:eastAsia="Arial" w:hAnsi="Arial"/>
                <w:sz w:val="13"/>
                <w:szCs w:val="13"/>
                <w:color w:val="auto"/>
                <w:w w:val="86"/>
              </w:rPr>
              <w:t>3.875%</w:t>
            </w:r>
          </w:p>
        </w:tc>
        <w:tc>
          <w:tcPr>
            <w:tcW w:w="240" w:type="dxa"/>
            <w:vAlign w:val="bottom"/>
            <w:shd w:val="clear" w:color="auto" w:fill="CFF0FC"/>
          </w:tcPr>
          <w:p>
            <w:pPr>
              <w:spacing w:after="0"/>
              <w:rPr>
                <w:sz w:val="13"/>
                <w:szCs w:val="13"/>
                <w:color w:val="auto"/>
              </w:rPr>
            </w:pPr>
          </w:p>
        </w:tc>
        <w:tc>
          <w:tcPr>
            <w:tcW w:w="1540" w:type="dxa"/>
            <w:vAlign w:val="bottom"/>
            <w:gridSpan w:val="3"/>
            <w:shd w:val="clear" w:color="auto" w:fill="CFF0FC"/>
          </w:tcPr>
          <w:p>
            <w:pPr>
              <w:jc w:val="center"/>
              <w:ind w:right="460"/>
              <w:spacing w:after="0"/>
              <w:rPr>
                <w:sz w:val="20"/>
                <w:szCs w:val="20"/>
                <w:color w:val="auto"/>
              </w:rPr>
            </w:pPr>
            <w:r>
              <w:rPr>
                <w:rFonts w:ascii="Arial" w:cs="Arial" w:eastAsia="Arial" w:hAnsi="Arial"/>
                <w:sz w:val="13"/>
                <w:szCs w:val="13"/>
                <w:color w:val="auto"/>
                <w:w w:val="88"/>
              </w:rPr>
              <w:t>L + 2.46%</w:t>
            </w: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11/1/2024</w:t>
            </w: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50,000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377</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3"/>
              <w:spacing w:after="0"/>
              <w:rPr>
                <w:sz w:val="20"/>
                <w:szCs w:val="20"/>
                <w:color w:val="auto"/>
              </w:rPr>
            </w:pPr>
            <w:r>
              <w:rPr>
                <w:rFonts w:ascii="Arial" w:cs="Arial" w:eastAsia="Arial" w:hAnsi="Arial"/>
                <w:sz w:val="13"/>
                <w:szCs w:val="13"/>
                <w:color w:val="auto"/>
              </w:rPr>
              <w:t>(1,676)</w:t>
            </w:r>
          </w:p>
        </w:tc>
        <w:tc>
          <w:tcPr>
            <w:tcW w:w="0" w:type="dxa"/>
            <w:vAlign w:val="bottom"/>
          </w:tcPr>
          <w:p>
            <w:pPr>
              <w:spacing w:after="0"/>
              <w:rPr>
                <w:sz w:val="1"/>
                <w:szCs w:val="1"/>
                <w:color w:val="auto"/>
              </w:rPr>
            </w:pPr>
          </w:p>
        </w:tc>
      </w:tr>
      <w:tr>
        <w:trPr>
          <w:trHeight w:val="161"/>
        </w:trPr>
        <w:tc>
          <w:tcPr>
            <w:tcW w:w="2140" w:type="dxa"/>
            <w:vAlign w:val="bottom"/>
          </w:tcPr>
          <w:p>
            <w:pPr>
              <w:spacing w:after="0"/>
              <w:rPr>
                <w:sz w:val="20"/>
                <w:szCs w:val="20"/>
                <w:color w:val="auto"/>
              </w:rPr>
            </w:pPr>
            <w:r>
              <w:rPr>
                <w:rFonts w:ascii="Arial" w:cs="Arial" w:eastAsia="Arial" w:hAnsi="Arial"/>
                <w:sz w:val="13"/>
                <w:szCs w:val="13"/>
                <w:color w:val="auto"/>
              </w:rPr>
              <w:t xml:space="preserve">Interest rate swap </w:t>
            </w:r>
            <w:r>
              <w:rPr>
                <w:rFonts w:ascii="Arial" w:cs="Arial" w:eastAsia="Arial" w:hAnsi="Arial"/>
                <w:sz w:val="10"/>
                <w:szCs w:val="10"/>
                <w:color w:val="auto"/>
              </w:rPr>
              <w:t>(a)(c)</w:t>
            </w:r>
          </w:p>
        </w:tc>
        <w:tc>
          <w:tcPr>
            <w:tcW w:w="1060" w:type="dxa"/>
            <w:vAlign w:val="bottom"/>
            <w:gridSpan w:val="3"/>
          </w:tcPr>
          <w:p>
            <w:pPr>
              <w:jc w:val="center"/>
              <w:spacing w:after="0"/>
              <w:rPr>
                <w:sz w:val="20"/>
                <w:szCs w:val="20"/>
                <w:color w:val="auto"/>
              </w:rPr>
            </w:pPr>
            <w:r>
              <w:rPr>
                <w:rFonts w:ascii="Arial" w:cs="Arial" w:eastAsia="Arial" w:hAnsi="Arial"/>
                <w:sz w:val="13"/>
                <w:szCs w:val="13"/>
                <w:color w:val="auto"/>
                <w:w w:val="86"/>
              </w:rPr>
              <w:t>2.50%</w:t>
            </w:r>
          </w:p>
        </w:tc>
        <w:tc>
          <w:tcPr>
            <w:tcW w:w="240" w:type="dxa"/>
            <w:vAlign w:val="bottom"/>
          </w:tcPr>
          <w:p>
            <w:pPr>
              <w:spacing w:after="0"/>
              <w:rPr>
                <w:sz w:val="13"/>
                <w:szCs w:val="13"/>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3"/>
                <w:szCs w:val="13"/>
                <w:color w:val="auto"/>
                <w:w w:val="88"/>
              </w:rPr>
              <w:t>L + 1.91%</w:t>
            </w: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8/1/2026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300,000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3"/>
                <w:szCs w:val="13"/>
                <w:color w:val="auto"/>
              </w:rPr>
              <w:t>(10,239)</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right"/>
              <w:ind w:right="3"/>
              <w:spacing w:after="0"/>
              <w:rPr>
                <w:sz w:val="20"/>
                <w:szCs w:val="20"/>
                <w:color w:val="auto"/>
              </w:rPr>
            </w:pPr>
            <w:r>
              <w:rPr>
                <w:rFonts w:ascii="Arial" w:cs="Arial" w:eastAsia="Arial" w:hAnsi="Arial"/>
                <w:sz w:val="13"/>
                <w:szCs w:val="13"/>
                <w:color w:val="auto"/>
              </w:rPr>
              <w:t>(10,239)</w:t>
            </w: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w:t>
            </w:r>
          </w:p>
        </w:tc>
        <w:tc>
          <w:tcPr>
            <w:tcW w:w="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Borders>
              <w:right w:val="single" w:sz="8" w:color="CFF0FC"/>
            </w:tcBorders>
            <w:gridSpan w:val="3"/>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140" w:type="dxa"/>
            <w:vAlign w:val="bottom"/>
            <w:vMerge w:val="continue"/>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650,000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tcBorders>
              <w:right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(5,866)</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3"/>
              <w:spacing w:after="0"/>
              <w:rPr>
                <w:sz w:val="20"/>
                <w:szCs w:val="20"/>
                <w:color w:val="auto"/>
              </w:rPr>
            </w:pPr>
            <w:r>
              <w:rPr>
                <w:rFonts w:ascii="Arial" w:cs="Arial" w:eastAsia="Arial" w:hAnsi="Arial"/>
                <w:sz w:val="13"/>
                <w:szCs w:val="13"/>
                <w:color w:val="auto"/>
              </w:rPr>
              <w:t>(22,635)</w:t>
            </w:r>
          </w:p>
        </w:tc>
        <w:tc>
          <w:tcPr>
            <w:tcW w:w="0" w:type="dxa"/>
            <w:vAlign w:val="bottom"/>
          </w:tcPr>
          <w:p>
            <w:pPr>
              <w:spacing w:after="0"/>
              <w:rPr>
                <w:sz w:val="1"/>
                <w:szCs w:val="1"/>
                <w:color w:val="auto"/>
              </w:rPr>
            </w:pPr>
          </w:p>
        </w:tc>
      </w:tr>
      <w:tr>
        <w:trPr>
          <w:trHeight w:val="161"/>
        </w:trPr>
        <w:tc>
          <w:tcPr>
            <w:tcW w:w="21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collateral</w:t>
            </w:r>
          </w:p>
        </w:tc>
        <w:tc>
          <w:tcPr>
            <w:tcW w:w="4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color w:val="auto"/>
              </w:rPr>
              <w:t>4,185</w:t>
            </w:r>
          </w:p>
        </w:tc>
        <w:tc>
          <w:tcPr>
            <w:tcW w:w="16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40" w:type="dxa"/>
            <w:vAlign w:val="bottom"/>
            <w:shd w:val="clear" w:color="auto" w:fill="CFF0FC"/>
          </w:tcPr>
          <w:p>
            <w:pPr>
              <w:ind w:left="160"/>
              <w:spacing w:after="0"/>
              <w:rPr>
                <w:sz w:val="20"/>
                <w:szCs w:val="20"/>
                <w:color w:val="auto"/>
              </w:rPr>
            </w:pPr>
            <w:r>
              <w:rPr>
                <w:rFonts w:ascii="Arial" w:cs="Arial" w:eastAsia="Arial" w:hAnsi="Arial"/>
                <w:sz w:val="13"/>
                <w:szCs w:val="13"/>
                <w:b w:val="1"/>
                <w:bCs w:val="1"/>
                <w:color w:val="auto"/>
              </w:rPr>
              <w:t>Total derivatives</w:t>
            </w:r>
          </w:p>
        </w:tc>
        <w:tc>
          <w:tcPr>
            <w:tcW w:w="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1,060,950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73"/>
              <w:spacing w:after="0"/>
              <w:rPr>
                <w:sz w:val="20"/>
                <w:szCs w:val="20"/>
                <w:color w:val="auto"/>
              </w:rPr>
            </w:pPr>
            <w:r>
              <w:rPr>
                <w:rFonts w:ascii="Arial" w:cs="Arial" w:eastAsia="Arial" w:hAnsi="Arial"/>
                <w:sz w:val="9"/>
                <w:szCs w:val="9"/>
                <w:color w:val="auto"/>
                <w:w w:val="78"/>
              </w:rPr>
              <w:t>$</w:t>
            </w:r>
          </w:p>
        </w:tc>
        <w:tc>
          <w:tcPr>
            <w:tcW w:w="8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2,584</w:t>
            </w: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jc w:val="center"/>
              <w:ind w:right="306"/>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2,380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040" w:type="dxa"/>
            <w:vAlign w:val="bottom"/>
            <w:gridSpan w:val="3"/>
            <w:shd w:val="clear" w:color="auto" w:fill="CFF0FC"/>
          </w:tcPr>
          <w:p>
            <w:pPr>
              <w:jc w:val="right"/>
              <w:ind w:right="3"/>
              <w:spacing w:after="0"/>
              <w:rPr>
                <w:sz w:val="20"/>
                <w:szCs w:val="20"/>
                <w:color w:val="auto"/>
              </w:rPr>
            </w:pPr>
            <w:r>
              <w:rPr>
                <w:rFonts w:ascii="Arial" w:cs="Arial" w:eastAsia="Arial" w:hAnsi="Arial"/>
                <w:sz w:val="13"/>
                <w:szCs w:val="13"/>
                <w:color w:val="auto"/>
              </w:rPr>
              <w:t>(29,334)</w:t>
            </w:r>
          </w:p>
        </w:tc>
        <w:tc>
          <w:tcPr>
            <w:tcW w:w="0" w:type="dxa"/>
            <w:vAlign w:val="bottom"/>
          </w:tcPr>
          <w:p>
            <w:pPr>
              <w:spacing w:after="0"/>
              <w:rPr>
                <w:sz w:val="1"/>
                <w:szCs w:val="1"/>
                <w:color w:val="auto"/>
              </w:rPr>
            </w:pPr>
          </w:p>
        </w:tc>
      </w:tr>
      <w:tr>
        <w:trPr>
          <w:trHeight w:val="28"/>
        </w:trPr>
        <w:tc>
          <w:tcPr>
            <w:tcW w:w="214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CFF0FC"/>
            </w:tcBorders>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024" w:hanging="514"/>
        <w:spacing w:after="0"/>
        <w:tabs>
          <w:tab w:leader="none" w:pos="1024" w:val="left"/>
        </w:tabs>
        <w:numPr>
          <w:ilvl w:val="1"/>
          <w:numId w:val="10"/>
        </w:numPr>
        <w:rPr>
          <w:rFonts w:ascii="Arial" w:cs="Arial" w:eastAsia="Arial" w:hAnsi="Arial"/>
          <w:sz w:val="13"/>
          <w:szCs w:val="13"/>
          <w:color w:val="auto"/>
        </w:rPr>
      </w:pPr>
      <w:r>
        <w:rPr>
          <w:rFonts w:ascii="Arial" w:cs="Arial" w:eastAsia="Arial" w:hAnsi="Arial"/>
          <w:sz w:val="13"/>
          <w:szCs w:val="13"/>
          <w:color w:val="auto"/>
        </w:rPr>
        <w:t>Contains a variable rate structure. Bears interest at a rate determined by three-month LIBOR.</w:t>
      </w:r>
    </w:p>
    <w:p>
      <w:pPr>
        <w:spacing w:after="0" w:line="10" w:lineRule="exact"/>
        <w:rPr>
          <w:rFonts w:ascii="Arial" w:cs="Arial" w:eastAsia="Arial" w:hAnsi="Arial"/>
          <w:sz w:val="13"/>
          <w:szCs w:val="13"/>
          <w:color w:val="auto"/>
        </w:rPr>
      </w:pPr>
    </w:p>
    <w:p>
      <w:pPr>
        <w:ind w:left="1024" w:hanging="514"/>
        <w:spacing w:after="0"/>
        <w:tabs>
          <w:tab w:leader="none" w:pos="1024" w:val="left"/>
        </w:tabs>
        <w:numPr>
          <w:ilvl w:val="1"/>
          <w:numId w:val="10"/>
        </w:numPr>
        <w:rPr>
          <w:rFonts w:ascii="Arial" w:cs="Arial" w:eastAsia="Arial" w:hAnsi="Arial"/>
          <w:sz w:val="13"/>
          <w:szCs w:val="13"/>
          <w:color w:val="auto"/>
        </w:rPr>
      </w:pPr>
      <w:r>
        <w:rPr>
          <w:rFonts w:ascii="Arial" w:cs="Arial" w:eastAsia="Arial" w:hAnsi="Arial"/>
          <w:sz w:val="13"/>
          <w:szCs w:val="13"/>
          <w:color w:val="auto"/>
        </w:rPr>
        <w:t>Interest rate swap was terminated or matured during the period.</w:t>
      </w:r>
    </w:p>
    <w:p>
      <w:pPr>
        <w:spacing w:after="0" w:line="1" w:lineRule="exact"/>
        <w:rPr>
          <w:rFonts w:ascii="Arial" w:cs="Arial" w:eastAsia="Arial" w:hAnsi="Arial"/>
          <w:sz w:val="13"/>
          <w:szCs w:val="13"/>
          <w:color w:val="auto"/>
        </w:rPr>
      </w:pPr>
    </w:p>
    <w:p>
      <w:pPr>
        <w:ind w:left="1024" w:hanging="514"/>
        <w:spacing w:after="0"/>
        <w:tabs>
          <w:tab w:leader="none" w:pos="1024" w:val="left"/>
        </w:tabs>
        <w:numPr>
          <w:ilvl w:val="1"/>
          <w:numId w:val="10"/>
        </w:numPr>
        <w:rPr>
          <w:rFonts w:ascii="Arial" w:cs="Arial" w:eastAsia="Arial" w:hAnsi="Arial"/>
          <w:sz w:val="12"/>
          <w:szCs w:val="12"/>
          <w:color w:val="auto"/>
        </w:rPr>
      </w:pPr>
      <w:r>
        <w:rPr>
          <w:rFonts w:ascii="Arial" w:cs="Arial" w:eastAsia="Arial" w:hAnsi="Arial"/>
          <w:sz w:val="12"/>
          <w:szCs w:val="12"/>
          <w:color w:val="auto"/>
        </w:rPr>
        <w:t>Instrument is used in a hedge accounting relationship. The associated change in fair value is recorded along with the change in fair value of the hedged item within interest expense.</w:t>
      </w:r>
    </w:p>
    <w:p>
      <w:pPr>
        <w:spacing w:after="0" w:line="13" w:lineRule="exact"/>
        <w:rPr>
          <w:rFonts w:ascii="Arial" w:cs="Arial" w:eastAsia="Arial" w:hAnsi="Arial"/>
          <w:sz w:val="12"/>
          <w:szCs w:val="12"/>
          <w:color w:val="auto"/>
        </w:rPr>
      </w:pPr>
    </w:p>
    <w:p>
      <w:pPr>
        <w:ind w:left="1024" w:right="100" w:hanging="514"/>
        <w:spacing w:after="0" w:line="242" w:lineRule="auto"/>
        <w:tabs>
          <w:tab w:leader="none" w:pos="1024" w:val="left"/>
        </w:tabs>
        <w:numPr>
          <w:ilvl w:val="1"/>
          <w:numId w:val="10"/>
        </w:numPr>
        <w:rPr>
          <w:rFonts w:ascii="Arial" w:cs="Arial" w:eastAsia="Arial" w:hAnsi="Arial"/>
          <w:sz w:val="13"/>
          <w:szCs w:val="13"/>
          <w:color w:val="auto"/>
        </w:rPr>
      </w:pPr>
      <w:r>
        <w:rPr>
          <w:rFonts w:ascii="Arial" w:cs="Arial" w:eastAsia="Arial" w:hAnsi="Arial"/>
          <w:sz w:val="13"/>
          <w:szCs w:val="13"/>
          <w:color w:val="auto"/>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Arial" w:cs="Arial" w:eastAsia="Arial" w:hAnsi="Arial"/>
          <w:sz w:val="13"/>
          <w:szCs w:val="13"/>
          <w:color w:val="auto"/>
        </w:rPr>
      </w:pPr>
    </w:p>
    <w:p>
      <w:pPr>
        <w:ind w:left="1024" w:hanging="514"/>
        <w:spacing w:after="0"/>
        <w:tabs>
          <w:tab w:leader="none" w:pos="1024" w:val="left"/>
        </w:tabs>
        <w:numPr>
          <w:ilvl w:val="1"/>
          <w:numId w:val="10"/>
        </w:numPr>
        <w:rPr>
          <w:rFonts w:ascii="Arial" w:cs="Arial" w:eastAsia="Arial" w:hAnsi="Arial"/>
          <w:sz w:val="12"/>
          <w:szCs w:val="12"/>
          <w:color w:val="auto"/>
        </w:rPr>
      </w:pPr>
      <w:r>
        <w:rPr>
          <w:rFonts w:ascii="Arial" w:cs="Arial" w:eastAsia="Arial" w:hAnsi="Arial"/>
          <w:sz w:val="12"/>
          <w:szCs w:val="12"/>
          <w:color w:val="auto"/>
        </w:rPr>
        <w:t>The fair market value of this instrument is presented net with the $2.5 million in aggregate notional value of instruments no longer designated as instruments in a hedge accounting relationship.</w:t>
      </w:r>
    </w:p>
    <w:p>
      <w:pPr>
        <w:spacing w:after="0" w:line="89" w:lineRule="exact"/>
        <w:rPr>
          <w:rFonts w:ascii="Arial" w:cs="Arial" w:eastAsia="Arial" w:hAnsi="Arial"/>
          <w:sz w:val="12"/>
          <w:szCs w:val="12"/>
          <w:color w:val="auto"/>
        </w:rPr>
      </w:pPr>
    </w:p>
    <w:p>
      <w:pPr>
        <w:ind w:left="504" w:hanging="504"/>
        <w:spacing w:after="0"/>
        <w:tabs>
          <w:tab w:leader="none" w:pos="5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Certain portfolio company investments are subject to contractual restrictions on sales.</w:t>
      </w:r>
    </w:p>
    <w:p>
      <w:pPr>
        <w:spacing w:after="0" w:line="10" w:lineRule="exact"/>
        <w:rPr>
          <w:rFonts w:ascii="Arial" w:cs="Arial" w:eastAsia="Arial" w:hAnsi="Arial"/>
          <w:sz w:val="13"/>
          <w:szCs w:val="13"/>
          <w:color w:val="auto"/>
        </w:rPr>
      </w:pPr>
    </w:p>
    <w:p>
      <w:pPr>
        <w:ind w:left="504" w:hanging="504"/>
        <w:spacing w:after="0"/>
        <w:tabs>
          <w:tab w:leader="none" w:pos="5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3"/>
          <w:szCs w:val="13"/>
          <w:color w:val="auto"/>
        </w:rPr>
      </w:pPr>
    </w:p>
    <w:p>
      <w:pPr>
        <w:ind w:left="504" w:right="20" w:hanging="504"/>
        <w:spacing w:after="0" w:line="242" w:lineRule="auto"/>
        <w:tabs>
          <w:tab w:leader="none" w:pos="5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Bank Bill Swap Bid Rate (“BBSY” or “B”), Sterling Overnight Interbank Average Rate (“SONIA” or “S”) or an alternate base rate (which can include the Federal Funds Effective Rate or the Prime Rate or “P”), all of which can include one-, two-, three- or six-month tenor, at the borrower’s option, which reset periodically based on the terms of the credit agreement. For investments with multiple interest rate contracts, the interest rate shown is the weighted average interest rate in effect at December 31, 2021.</w:t>
      </w:r>
    </w:p>
    <w:p>
      <w:pPr>
        <w:spacing w:after="0" w:line="2" w:lineRule="exact"/>
        <w:rPr>
          <w:rFonts w:ascii="Arial" w:cs="Arial" w:eastAsia="Arial" w:hAnsi="Arial"/>
          <w:sz w:val="13"/>
          <w:szCs w:val="13"/>
          <w:color w:val="auto"/>
        </w:rPr>
      </w:pPr>
    </w:p>
    <w:p>
      <w:pPr>
        <w:ind w:left="504" w:right="120" w:hanging="504"/>
        <w:spacing w:after="0" w:line="245" w:lineRule="auto"/>
        <w:tabs>
          <w:tab w:leader="none" w:pos="504"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portfolio company is not a qualifying asset under Section 55(a) of the Investment Company Act of 1940, as amended (the “1940 Act”). Under the 1940 Act, the Company may not acquire any non-qualifying asset unless, at the time such acquisition is</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78" w:right="299" w:bottom="1440" w:gutter="0" w:footer="0" w:header="0"/>
        </w:sectPr>
      </w:pPr>
    </w:p>
    <w:bookmarkStart w:id="18" w:name="page19"/>
    <w:bookmarkEnd w:id="18"/>
    <w:p>
      <w:pPr>
        <w:ind w:left="504"/>
        <w:spacing w:after="0"/>
        <w:rPr>
          <w:sz w:val="20"/>
          <w:szCs w:val="20"/>
          <w:color w:val="auto"/>
        </w:rPr>
      </w:pPr>
      <w:r>
        <w:rPr>
          <w:rFonts w:ascii="Arial" w:cs="Arial" w:eastAsia="Arial" w:hAnsi="Arial"/>
          <w:sz w:val="13"/>
          <w:szCs w:val="13"/>
          <w:color w:val="auto"/>
        </w:rPr>
        <w:t>made, qualifying assets represent at least 70% of total assets. Non-qualifying assets represented 14.8% of total assets as of December 31, 2021.</w:t>
      </w:r>
    </w:p>
    <w:p>
      <w:pPr>
        <w:spacing w:after="0" w:line="11" w:lineRule="exact"/>
        <w:rPr>
          <w:sz w:val="20"/>
          <w:szCs w:val="20"/>
          <w:color w:val="auto"/>
        </w:rPr>
      </w:pPr>
    </w:p>
    <w:p>
      <w:pPr>
        <w:ind w:left="504" w:right="220" w:hanging="504"/>
        <w:spacing w:after="0" w:line="242" w:lineRule="auto"/>
        <w:tabs>
          <w:tab w:leader="none" w:pos="504"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3"/>
          <w:szCs w:val="13"/>
          <w:color w:val="auto"/>
        </w:rPr>
      </w:pPr>
    </w:p>
    <w:p>
      <w:pPr>
        <w:ind w:left="504" w:right="100" w:hanging="504"/>
        <w:spacing w:after="0" w:line="245" w:lineRule="auto"/>
        <w:tabs>
          <w:tab w:leader="none" w:pos="504" w:val="left"/>
        </w:tabs>
        <w:numPr>
          <w:ilvl w:val="0"/>
          <w:numId w:val="12"/>
        </w:numPr>
        <w:rPr>
          <w:rFonts w:ascii="Arial" w:cs="Arial" w:eastAsia="Arial" w:hAnsi="Arial"/>
          <w:sz w:val="13"/>
          <w:szCs w:val="13"/>
          <w:color w:val="auto"/>
        </w:rPr>
      </w:pPr>
      <w:r>
        <w:rPr>
          <w:rFonts w:ascii="Arial" w:cs="Arial" w:eastAsia="Arial" w:hAnsi="Arial"/>
          <w:sz w:val="13"/>
          <w:szCs w:val="13"/>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2021 in which the Company was an Affiliated Person of the portfolio company are as follows:</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u w:val="single" w:color="auto"/>
          <w:color w:val="auto"/>
        </w:rPr>
        <w:t>Non-controlled, Affiliated Investments during the year ended December 31, 2021</w:t>
      </w:r>
    </w:p>
    <w:p>
      <w:pPr>
        <w:spacing w:after="0" w:line="102"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Fair</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Fair</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4"/>
        </w:trPr>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93"/>
              </w:rPr>
              <w:t>Value at</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380"/>
              <w:spacing w:after="0" w:line="104" w:lineRule="exact"/>
              <w:rPr>
                <w:sz w:val="20"/>
                <w:szCs w:val="20"/>
                <w:color w:val="auto"/>
              </w:rPr>
            </w:pPr>
            <w:r>
              <w:rPr>
                <w:rFonts w:ascii="Arial" w:cs="Arial" w:eastAsia="Arial" w:hAnsi="Arial"/>
                <w:sz w:val="10"/>
                <w:szCs w:val="10"/>
                <w:b w:val="1"/>
                <w:bCs w:val="1"/>
                <w:color w:val="auto"/>
                <w:w w:val="89"/>
              </w:rPr>
              <w:t>Net Change</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3"/>
              </w:rPr>
              <w:t>Value at</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4"/>
        </w:trPr>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9"/>
                <w:szCs w:val="9"/>
                <w:color w:val="auto"/>
              </w:rPr>
            </w:pPr>
          </w:p>
        </w:tc>
        <w:tc>
          <w:tcPr>
            <w:tcW w:w="94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89"/>
              </w:rPr>
              <w:t>Gross</w:t>
            </w:r>
          </w:p>
        </w:tc>
        <w:tc>
          <w:tcPr>
            <w:tcW w:w="80" w:type="dxa"/>
            <w:vAlign w:val="bottom"/>
          </w:tcPr>
          <w:p>
            <w:pPr>
              <w:spacing w:after="0"/>
              <w:rPr>
                <w:sz w:val="9"/>
                <w:szCs w:val="9"/>
                <w:color w:val="auto"/>
              </w:rPr>
            </w:pPr>
          </w:p>
        </w:tc>
        <w:tc>
          <w:tcPr>
            <w:tcW w:w="96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82"/>
              </w:rPr>
              <w:t>Gross</w:t>
            </w:r>
          </w:p>
        </w:tc>
        <w:tc>
          <w:tcPr>
            <w:tcW w:w="120" w:type="dxa"/>
            <w:vAlign w:val="bottom"/>
          </w:tcPr>
          <w:p>
            <w:pPr>
              <w:spacing w:after="0"/>
              <w:rPr>
                <w:sz w:val="9"/>
                <w:szCs w:val="9"/>
                <w:color w:val="auto"/>
              </w:rPr>
            </w:pPr>
          </w:p>
        </w:tc>
        <w:tc>
          <w:tcPr>
            <w:tcW w:w="1080" w:type="dxa"/>
            <w:vAlign w:val="bottom"/>
            <w:gridSpan w:val="2"/>
          </w:tcPr>
          <w:p>
            <w:pPr>
              <w:jc w:val="center"/>
              <w:ind w:right="360"/>
              <w:spacing w:after="0" w:line="104" w:lineRule="exact"/>
              <w:rPr>
                <w:sz w:val="20"/>
                <w:szCs w:val="20"/>
                <w:color w:val="auto"/>
              </w:rPr>
            </w:pPr>
            <w:r>
              <w:rPr>
                <w:rFonts w:ascii="Arial" w:cs="Arial" w:eastAsia="Arial" w:hAnsi="Arial"/>
                <w:sz w:val="10"/>
                <w:szCs w:val="10"/>
                <w:b w:val="1"/>
                <w:bCs w:val="1"/>
                <w:color w:val="auto"/>
                <w:w w:val="96"/>
              </w:rPr>
              <w:t>In Unrealized</w:t>
            </w:r>
          </w:p>
        </w:tc>
        <w:tc>
          <w:tcPr>
            <w:tcW w:w="60" w:type="dxa"/>
            <w:vAlign w:val="bottom"/>
          </w:tcPr>
          <w:p>
            <w:pPr>
              <w:spacing w:after="0"/>
              <w:rPr>
                <w:sz w:val="9"/>
                <w:szCs w:val="9"/>
                <w:color w:val="auto"/>
              </w:rPr>
            </w:pPr>
          </w:p>
        </w:tc>
        <w:tc>
          <w:tcPr>
            <w:tcW w:w="96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3"/>
              </w:rPr>
              <w:t>Realized</w:t>
            </w: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9"/>
              </w:rPr>
              <w:t>December 31,</w:t>
            </w:r>
          </w:p>
        </w:tc>
        <w:tc>
          <w:tcPr>
            <w:tcW w:w="120" w:type="dxa"/>
            <w:vAlign w:val="bottom"/>
          </w:tcPr>
          <w:p>
            <w:pPr>
              <w:spacing w:after="0"/>
              <w:rPr>
                <w:sz w:val="9"/>
                <w:szCs w:val="9"/>
                <w:color w:val="auto"/>
              </w:rPr>
            </w:pPr>
          </w:p>
        </w:tc>
        <w:tc>
          <w:tcPr>
            <w:tcW w:w="720" w:type="dxa"/>
            <w:vAlign w:val="bottom"/>
            <w:gridSpan w:val="2"/>
          </w:tcPr>
          <w:p>
            <w:pPr>
              <w:ind w:left="60"/>
              <w:spacing w:after="0" w:line="104" w:lineRule="exact"/>
              <w:rPr>
                <w:sz w:val="20"/>
                <w:szCs w:val="20"/>
                <w:color w:val="auto"/>
              </w:rPr>
            </w:pPr>
            <w:r>
              <w:rPr>
                <w:rFonts w:ascii="Arial" w:cs="Arial" w:eastAsia="Arial" w:hAnsi="Arial"/>
                <w:sz w:val="10"/>
                <w:szCs w:val="10"/>
                <w:b w:val="1"/>
                <w:bCs w:val="1"/>
                <w:color w:val="auto"/>
              </w:rPr>
              <w:t>Other</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Interest</w:t>
            </w:r>
          </w:p>
        </w:tc>
      </w:tr>
      <w:tr>
        <w:trPr>
          <w:trHeight w:val="119"/>
        </w:trPr>
        <w:tc>
          <w:tcPr>
            <w:tcW w:w="234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Company</w:t>
            </w:r>
          </w:p>
        </w:tc>
        <w:tc>
          <w:tcPr>
            <w:tcW w:w="12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9"/>
              </w:rPr>
              <w:t>2020</w:t>
            </w:r>
          </w:p>
        </w:tc>
        <w:tc>
          <w:tcPr>
            <w:tcW w:w="24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w w:val="94"/>
              </w:rPr>
              <w:t>Additions (a)</w:t>
            </w:r>
          </w:p>
        </w:tc>
        <w:tc>
          <w:tcPr>
            <w:tcW w:w="22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1"/>
              </w:rPr>
              <w:t>Reductions (b)</w:t>
            </w:r>
          </w:p>
        </w:tc>
        <w:tc>
          <w:tcPr>
            <w:tcW w:w="24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85"/>
              <w:spacing w:after="0"/>
              <w:rPr>
                <w:sz w:val="20"/>
                <w:szCs w:val="20"/>
                <w:color w:val="auto"/>
              </w:rPr>
            </w:pPr>
            <w:r>
              <w:rPr>
                <w:rFonts w:ascii="Arial" w:cs="Arial" w:eastAsia="Arial" w:hAnsi="Arial"/>
                <w:sz w:val="10"/>
                <w:szCs w:val="10"/>
                <w:b w:val="1"/>
                <w:bCs w:val="1"/>
                <w:color w:val="auto"/>
                <w:w w:val="90"/>
              </w:rPr>
              <w:t>Gain/(Loss)</w:t>
            </w:r>
          </w:p>
        </w:tc>
        <w:tc>
          <w:tcPr>
            <w:tcW w:w="240" w:type="dxa"/>
            <w:vAlign w:val="bottom"/>
            <w:tcBorders>
              <w:bottom w:val="single" w:sz="8" w:color="CFF0FC"/>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91"/>
              </w:rPr>
              <w:t>Gain/(Loss)(d)</w:t>
            </w:r>
          </w:p>
        </w:tc>
        <w:tc>
          <w:tcPr>
            <w:tcW w:w="220" w:type="dxa"/>
            <w:vAlign w:val="bottom"/>
            <w:tcBorders>
              <w:bottom w:val="single" w:sz="8" w:color="CFF0FC"/>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Transfers</w:t>
            </w: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5"/>
              <w:spacing w:after="0"/>
              <w:rPr>
                <w:sz w:val="20"/>
                <w:szCs w:val="20"/>
                <w:color w:val="auto"/>
              </w:rPr>
            </w:pPr>
            <w:r>
              <w:rPr>
                <w:rFonts w:ascii="Arial" w:cs="Arial" w:eastAsia="Arial" w:hAnsi="Arial"/>
                <w:sz w:val="10"/>
                <w:szCs w:val="10"/>
                <w:b w:val="1"/>
                <w:bCs w:val="1"/>
                <w:color w:val="auto"/>
                <w:w w:val="89"/>
              </w:rPr>
              <w:t>2021</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w w:val="96"/>
              </w:rPr>
              <w:t>Income</w:t>
            </w:r>
          </w:p>
        </w:tc>
        <w:tc>
          <w:tcPr>
            <w:tcW w:w="220" w:type="dxa"/>
            <w:vAlign w:val="bottom"/>
            <w:tcBorders>
              <w:bottom w:val="single" w:sz="8" w:color="CFF0FC"/>
            </w:tcBorders>
          </w:tcPr>
          <w:p>
            <w:pPr>
              <w:spacing w:after="0"/>
              <w:rPr>
                <w:sz w:val="10"/>
                <w:szCs w:val="10"/>
                <w:color w:val="auto"/>
              </w:rPr>
            </w:pPr>
          </w:p>
        </w:tc>
        <w:tc>
          <w:tcPr>
            <w:tcW w:w="20" w:type="dxa"/>
            <w:vAlign w:val="bottom"/>
            <w:tcBorders>
              <w:bottom w:val="single" w:sz="8" w:color="CFF0FC"/>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Income</w:t>
            </w:r>
          </w:p>
        </w:tc>
        <w:tc>
          <w:tcPr>
            <w:tcW w:w="60" w:type="dxa"/>
            <w:vAlign w:val="bottom"/>
            <w:tcBorders>
              <w:bottom w:val="single" w:sz="8" w:color="CFF0FC"/>
            </w:tcBorders>
          </w:tcPr>
          <w:p>
            <w:pPr>
              <w:spacing w:after="0"/>
              <w:rPr>
                <w:sz w:val="10"/>
                <w:szCs w:val="10"/>
                <w:color w:val="auto"/>
              </w:rPr>
            </w:pPr>
          </w:p>
        </w:tc>
      </w:tr>
      <w:tr>
        <w:trPr>
          <w:trHeight w:val="141"/>
        </w:trPr>
        <w:tc>
          <w:tcPr>
            <w:tcW w:w="2460" w:type="dxa"/>
            <w:vAlign w:val="bottom"/>
            <w:gridSpan w:val="2"/>
            <w:shd w:val="clear" w:color="auto" w:fill="CFF0FC"/>
          </w:tcPr>
          <w:p>
            <w:pPr>
              <w:spacing w:after="0" w:line="141" w:lineRule="exact"/>
              <w:rPr>
                <w:sz w:val="20"/>
                <w:szCs w:val="20"/>
                <w:color w:val="auto"/>
              </w:rPr>
            </w:pPr>
            <w:r>
              <w:rPr>
                <w:rFonts w:ascii="Arial" w:cs="Arial" w:eastAsia="Arial" w:hAnsi="Arial"/>
                <w:sz w:val="13"/>
                <w:szCs w:val="13"/>
                <w:color w:val="auto"/>
              </w:rPr>
              <w:t>MD America Energy,</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0"/>
        </w:trPr>
        <w:tc>
          <w:tcPr>
            <w:tcW w:w="24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 xml:space="preserve">LLC </w:t>
            </w:r>
            <w:r>
              <w:rPr>
                <w:rFonts w:ascii="Arial" w:cs="Arial" w:eastAsia="Arial" w:hAnsi="Arial"/>
                <w:sz w:val="10"/>
                <w:szCs w:val="10"/>
                <w:color w:val="auto"/>
              </w:rPr>
              <w:t>(c)</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12,892</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FF0FC"/>
          </w:tcPr>
          <w:p>
            <w:pPr>
              <w:ind w:left="58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FF0FC"/>
          </w:tcPr>
          <w:p>
            <w:pPr>
              <w:ind w:left="480"/>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14,350</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532"/>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27,017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w:t>
            </w:r>
          </w:p>
        </w:tc>
        <w:tc>
          <w:tcPr>
            <w:tcW w:w="220" w:type="dxa"/>
            <w:vAlign w:val="bottom"/>
            <w:shd w:val="clear" w:color="auto" w:fill="CFF0FC"/>
          </w:tcPr>
          <w:p>
            <w:pPr>
              <w:spacing w:after="0"/>
              <w:rPr>
                <w:sz w:val="13"/>
                <w:szCs w:val="13"/>
                <w:color w:val="auto"/>
              </w:rPr>
            </w:pPr>
          </w:p>
        </w:tc>
        <w:tc>
          <w:tcPr>
            <w:tcW w:w="80" w:type="dxa"/>
            <w:vAlign w:val="bottom"/>
            <w:gridSpan w:val="2"/>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838</w:t>
            </w:r>
          </w:p>
        </w:tc>
        <w:tc>
          <w:tcPr>
            <w:tcW w:w="60" w:type="dxa"/>
            <w:vAlign w:val="bottom"/>
            <w:shd w:val="clear" w:color="auto" w:fill="CFF0FC"/>
          </w:tcPr>
          <w:p>
            <w:pPr>
              <w:spacing w:after="0"/>
              <w:rPr>
                <w:sz w:val="13"/>
                <w:szCs w:val="13"/>
                <w:color w:val="auto"/>
              </w:rPr>
            </w:pPr>
          </w:p>
        </w:tc>
      </w:tr>
      <w:tr>
        <w:trPr>
          <w:trHeight w:val="159"/>
        </w:trPr>
        <w:tc>
          <w:tcPr>
            <w:tcW w:w="246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12,892</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b w:val="1"/>
                <w:bCs w:val="1"/>
                <w:color w:val="auto"/>
                <w:w w:val="72"/>
              </w:rPr>
              <w:t>(225)</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14,350</w:t>
            </w:r>
          </w:p>
        </w:tc>
        <w:tc>
          <w:tcPr>
            <w:tcW w:w="24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9"/>
                <w:szCs w:val="9"/>
                <w:b w:val="1"/>
                <w:bCs w:val="1"/>
                <w:color w:val="auto"/>
                <w:w w:val="78"/>
              </w:rPr>
              <w:t>$</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w w:val="76"/>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27,017</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740</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838</w:t>
            </w:r>
          </w:p>
        </w:tc>
        <w:tc>
          <w:tcPr>
            <w:tcW w:w="60" w:type="dxa"/>
            <w:vAlign w:val="bottom"/>
          </w:tcPr>
          <w:p>
            <w:pPr>
              <w:spacing w:after="0"/>
              <w:rPr>
                <w:sz w:val="13"/>
                <w:szCs w:val="13"/>
                <w:color w:val="auto"/>
              </w:rPr>
            </w:pPr>
          </w:p>
        </w:tc>
      </w:tr>
    </w:tbl>
    <w:p>
      <w:pPr>
        <w:spacing w:after="0" w:line="161" w:lineRule="exact"/>
        <w:rPr>
          <w:sz w:val="20"/>
          <w:szCs w:val="20"/>
          <w:color w:val="auto"/>
        </w:rPr>
      </w:pPr>
    </w:p>
    <w:p>
      <w:pPr>
        <w:ind w:left="1024" w:right="240" w:hanging="514"/>
        <w:spacing w:after="0" w:line="250" w:lineRule="auto"/>
        <w:tabs>
          <w:tab w:leader="none" w:pos="1024" w:val="left"/>
        </w:tabs>
        <w:numPr>
          <w:ilvl w:val="1"/>
          <w:numId w:val="13"/>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investments, payment-in-kind interest or dividends, the amortization of any unearned income or discounts on debt investments, as applicable.</w:t>
      </w:r>
    </w:p>
    <w:p>
      <w:pPr>
        <w:ind w:left="1024" w:right="600" w:hanging="514"/>
        <w:spacing w:after="0" w:line="286" w:lineRule="auto"/>
        <w:tabs>
          <w:tab w:leader="none" w:pos="1024" w:val="left"/>
        </w:tabs>
        <w:numPr>
          <w:ilvl w:val="1"/>
          <w:numId w:val="13"/>
        </w:numPr>
        <w:rPr>
          <w:rFonts w:ascii="Arial" w:cs="Arial" w:eastAsia="Arial" w:hAnsi="Arial"/>
          <w:sz w:val="11"/>
          <w:szCs w:val="11"/>
          <w:color w:val="auto"/>
        </w:rPr>
      </w:pPr>
      <w:r>
        <w:rPr>
          <w:rFonts w:ascii="Arial" w:cs="Arial" w:eastAsia="Arial" w:hAnsi="Arial"/>
          <w:sz w:val="11"/>
          <w:szCs w:val="11"/>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1"/>
          <w:szCs w:val="11"/>
          <w:color w:val="auto"/>
        </w:rPr>
      </w:pPr>
    </w:p>
    <w:p>
      <w:pPr>
        <w:ind w:left="1024" w:hanging="514"/>
        <w:spacing w:after="0"/>
        <w:tabs>
          <w:tab w:leader="none" w:pos="1024" w:val="left"/>
        </w:tabs>
        <w:numPr>
          <w:ilvl w:val="1"/>
          <w:numId w:val="13"/>
        </w:numPr>
        <w:rPr>
          <w:rFonts w:ascii="Arial" w:cs="Arial" w:eastAsia="Arial" w:hAnsi="Arial"/>
          <w:sz w:val="13"/>
          <w:szCs w:val="13"/>
          <w:color w:val="auto"/>
        </w:rPr>
      </w:pPr>
      <w:r>
        <w:rPr>
          <w:rFonts w:ascii="Arial" w:cs="Arial" w:eastAsia="Arial" w:hAnsi="Arial"/>
          <w:sz w:val="13"/>
          <w:szCs w:val="13"/>
          <w:color w:val="auto"/>
        </w:rPr>
        <w:t>Includes investment in SMPA Holdings, LLC of 15,000 common equity units.</w:t>
      </w:r>
    </w:p>
    <w:p>
      <w:pPr>
        <w:spacing w:after="0" w:line="1" w:lineRule="exact"/>
        <w:rPr>
          <w:rFonts w:ascii="Arial" w:cs="Arial" w:eastAsia="Arial" w:hAnsi="Arial"/>
          <w:sz w:val="13"/>
          <w:szCs w:val="13"/>
          <w:color w:val="auto"/>
        </w:rPr>
      </w:pPr>
    </w:p>
    <w:p>
      <w:pPr>
        <w:ind w:left="1024" w:right="520" w:hanging="466"/>
        <w:spacing w:after="0" w:line="245" w:lineRule="auto"/>
        <w:tabs>
          <w:tab w:leader="none" w:pos="862" w:val="left"/>
        </w:tabs>
        <w:numPr>
          <w:ilvl w:val="2"/>
          <w:numId w:val="13"/>
        </w:numPr>
        <w:rPr>
          <w:rFonts w:ascii="Arial" w:cs="Arial" w:eastAsia="Arial" w:hAnsi="Arial"/>
          <w:sz w:val="13"/>
          <w:szCs w:val="13"/>
          <w:color w:val="auto"/>
        </w:rPr>
      </w:pPr>
      <w:r>
        <w:rPr>
          <w:rFonts w:ascii="Arial" w:cs="Arial" w:eastAsia="Arial" w:hAnsi="Arial"/>
          <w:sz w:val="13"/>
          <w:szCs w:val="13"/>
          <w:color w:val="auto"/>
        </w:rPr>
        <w:t>In the consolidated statement of operations for the three months ended March 31, 2021, there is a realized loss on non-controlled, affiliated investments of $33 related to an escrow receivable for an investment in AFS Technologies, Inc. that is no longer held.</w:t>
      </w:r>
    </w:p>
    <w:p>
      <w:pPr>
        <w:spacing w:after="0" w:line="63" w:lineRule="exact"/>
        <w:rPr>
          <w:rFonts w:ascii="Arial" w:cs="Arial" w:eastAsia="Arial" w:hAnsi="Arial"/>
          <w:sz w:val="13"/>
          <w:szCs w:val="13"/>
          <w:color w:val="auto"/>
        </w:rPr>
      </w:pPr>
    </w:p>
    <w:p>
      <w:pPr>
        <w:ind w:left="504" w:right="20" w:hanging="504"/>
        <w:spacing w:after="0" w:line="282" w:lineRule="auto"/>
        <w:tabs>
          <w:tab w:leader="none" w:pos="504" w:val="left"/>
        </w:tabs>
        <w:numPr>
          <w:ilvl w:val="0"/>
          <w:numId w:val="14"/>
        </w:numPr>
        <w:rPr>
          <w:rFonts w:ascii="Arial" w:cs="Arial" w:eastAsia="Arial" w:hAnsi="Arial"/>
          <w:sz w:val="12"/>
          <w:szCs w:val="12"/>
          <w:color w:val="auto"/>
        </w:rPr>
      </w:pPr>
      <w:r>
        <w:rPr>
          <w:rFonts w:ascii="Arial" w:cs="Arial" w:eastAsia="Arial" w:hAnsi="Arial"/>
          <w:sz w:val="12"/>
          <w:szCs w:val="12"/>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2021 in which the Company was an Affiliated Person of and was deemed to Control a portfolio company are as follows: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u w:val="single" w:color="auto"/>
          <w:color w:val="auto"/>
        </w:rPr>
        <w:t>Controlled, Affiliated Investments during the year ended December 31, 2021</w:t>
      </w:r>
    </w:p>
    <w:p>
      <w:pPr>
        <w:spacing w:after="0" w:line="102"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7"/>
              </w:rPr>
              <w:t>Fair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7"/>
              </w:rPr>
              <w:t>Fair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0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3"/>
              </w:rPr>
              <w:t>Value at</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340"/>
              <w:spacing w:after="0" w:line="104" w:lineRule="exact"/>
              <w:rPr>
                <w:sz w:val="20"/>
                <w:szCs w:val="20"/>
                <w:color w:val="auto"/>
              </w:rPr>
            </w:pPr>
            <w:r>
              <w:rPr>
                <w:rFonts w:ascii="Arial" w:cs="Arial" w:eastAsia="Arial" w:hAnsi="Arial"/>
                <w:sz w:val="10"/>
                <w:szCs w:val="10"/>
                <w:b w:val="1"/>
                <w:bCs w:val="1"/>
                <w:color w:val="auto"/>
                <w:w w:val="93"/>
              </w:rPr>
              <w:t>Net Change</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93"/>
              </w:rPr>
              <w:t>Value at</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4"/>
        </w:trPr>
        <w:tc>
          <w:tcPr>
            <w:tcW w:w="2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9"/>
              </w:rPr>
              <w:t>December 31,</w:t>
            </w:r>
          </w:p>
        </w:tc>
        <w:tc>
          <w:tcPr>
            <w:tcW w:w="100" w:type="dxa"/>
            <w:vAlign w:val="bottom"/>
          </w:tcPr>
          <w:p>
            <w:pPr>
              <w:spacing w:after="0"/>
              <w:rPr>
                <w:sz w:val="9"/>
                <w:szCs w:val="9"/>
                <w:color w:val="auto"/>
              </w:rPr>
            </w:pPr>
          </w:p>
        </w:tc>
        <w:tc>
          <w:tcPr>
            <w:tcW w:w="900" w:type="dxa"/>
            <w:vAlign w:val="bottom"/>
            <w:gridSpan w:val="2"/>
          </w:tcPr>
          <w:p>
            <w:pPr>
              <w:ind w:left="180"/>
              <w:spacing w:after="0" w:line="104" w:lineRule="exact"/>
              <w:rPr>
                <w:sz w:val="20"/>
                <w:szCs w:val="20"/>
                <w:color w:val="auto"/>
              </w:rPr>
            </w:pPr>
            <w:r>
              <w:rPr>
                <w:rFonts w:ascii="Arial" w:cs="Arial" w:eastAsia="Arial" w:hAnsi="Arial"/>
                <w:sz w:val="10"/>
                <w:szCs w:val="10"/>
                <w:b w:val="1"/>
                <w:bCs w:val="1"/>
                <w:color w:val="auto"/>
              </w:rPr>
              <w:t>Gross</w:t>
            </w:r>
          </w:p>
        </w:tc>
        <w:tc>
          <w:tcPr>
            <w:tcW w:w="60" w:type="dxa"/>
            <w:vAlign w:val="bottom"/>
          </w:tcPr>
          <w:p>
            <w:pPr>
              <w:spacing w:after="0"/>
              <w:rPr>
                <w:sz w:val="9"/>
                <w:szCs w:val="9"/>
                <w:color w:val="auto"/>
              </w:rPr>
            </w:pPr>
          </w:p>
        </w:tc>
        <w:tc>
          <w:tcPr>
            <w:tcW w:w="94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9"/>
                <w:szCs w:val="9"/>
                <w:color w:val="auto"/>
              </w:rPr>
            </w:pPr>
          </w:p>
        </w:tc>
        <w:tc>
          <w:tcPr>
            <w:tcW w:w="1060" w:type="dxa"/>
            <w:vAlign w:val="bottom"/>
            <w:gridSpan w:val="2"/>
          </w:tcPr>
          <w:p>
            <w:pPr>
              <w:jc w:val="center"/>
              <w:ind w:right="340"/>
              <w:spacing w:after="0" w:line="104" w:lineRule="exact"/>
              <w:rPr>
                <w:sz w:val="20"/>
                <w:szCs w:val="20"/>
                <w:color w:val="auto"/>
              </w:rPr>
            </w:pPr>
            <w:r>
              <w:rPr>
                <w:rFonts w:ascii="Arial" w:cs="Arial" w:eastAsia="Arial" w:hAnsi="Arial"/>
                <w:sz w:val="10"/>
                <w:szCs w:val="10"/>
                <w:b w:val="1"/>
                <w:bCs w:val="1"/>
                <w:color w:val="auto"/>
                <w:w w:val="96"/>
              </w:rPr>
              <w:t>In Unrealized</w:t>
            </w:r>
          </w:p>
        </w:tc>
        <w:tc>
          <w:tcPr>
            <w:tcW w:w="80" w:type="dxa"/>
            <w:vAlign w:val="bottom"/>
          </w:tcPr>
          <w:p>
            <w:pPr>
              <w:spacing w:after="0"/>
              <w:rPr>
                <w:sz w:val="9"/>
                <w:szCs w:val="9"/>
                <w:color w:val="auto"/>
              </w:rPr>
            </w:pPr>
          </w:p>
        </w:tc>
        <w:tc>
          <w:tcPr>
            <w:tcW w:w="720" w:type="dxa"/>
            <w:vAlign w:val="bottom"/>
          </w:tcPr>
          <w:p>
            <w:pPr>
              <w:jc w:val="center"/>
              <w:ind w:right="42"/>
              <w:spacing w:after="0" w:line="104" w:lineRule="exact"/>
              <w:rPr>
                <w:sz w:val="20"/>
                <w:szCs w:val="20"/>
                <w:color w:val="auto"/>
              </w:rPr>
            </w:pPr>
            <w:r>
              <w:rPr>
                <w:rFonts w:ascii="Arial" w:cs="Arial" w:eastAsia="Arial" w:hAnsi="Arial"/>
                <w:sz w:val="10"/>
                <w:szCs w:val="10"/>
                <w:b w:val="1"/>
                <w:bCs w:val="1"/>
                <w:color w:val="auto"/>
                <w:w w:val="93"/>
              </w:rPr>
              <w:t>Realized</w:t>
            </w: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89"/>
              </w:rPr>
              <w:t>December 31,</w:t>
            </w:r>
          </w:p>
        </w:tc>
        <w:tc>
          <w:tcPr>
            <w:tcW w:w="120" w:type="dxa"/>
            <w:vAlign w:val="bottom"/>
          </w:tcPr>
          <w:p>
            <w:pPr>
              <w:spacing w:after="0"/>
              <w:rPr>
                <w:sz w:val="9"/>
                <w:szCs w:val="9"/>
                <w:color w:val="auto"/>
              </w:rPr>
            </w:pPr>
          </w:p>
        </w:tc>
        <w:tc>
          <w:tcPr>
            <w:tcW w:w="720" w:type="dxa"/>
            <w:vAlign w:val="bottom"/>
            <w:gridSpan w:val="2"/>
          </w:tcPr>
          <w:p>
            <w:pPr>
              <w:ind w:left="80"/>
              <w:spacing w:after="0" w:line="104"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680" w:type="dxa"/>
            <w:vAlign w:val="bottom"/>
            <w:gridSpan w:val="2"/>
          </w:tcPr>
          <w:p>
            <w:pPr>
              <w:jc w:val="right"/>
              <w:ind w:right="300"/>
              <w:spacing w:after="0" w:line="104" w:lineRule="exact"/>
              <w:rPr>
                <w:sz w:val="20"/>
                <w:szCs w:val="20"/>
                <w:color w:val="auto"/>
              </w:rPr>
            </w:pPr>
            <w:r>
              <w:rPr>
                <w:rFonts w:ascii="Arial" w:cs="Arial" w:eastAsia="Arial" w:hAnsi="Arial"/>
                <w:sz w:val="10"/>
                <w:szCs w:val="10"/>
                <w:b w:val="1"/>
                <w:bCs w:val="1"/>
                <w:color w:val="auto"/>
                <w:w w:val="99"/>
              </w:rPr>
              <w:t>Interest</w:t>
            </w:r>
          </w:p>
        </w:tc>
      </w:tr>
      <w:tr>
        <w:trPr>
          <w:trHeight w:val="119"/>
        </w:trPr>
        <w:tc>
          <w:tcPr>
            <w:tcW w:w="240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Company</w:t>
            </w:r>
          </w:p>
        </w:tc>
        <w:tc>
          <w:tcPr>
            <w:tcW w:w="1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4"/>
              <w:spacing w:after="0"/>
              <w:rPr>
                <w:sz w:val="20"/>
                <w:szCs w:val="20"/>
                <w:color w:val="auto"/>
              </w:rPr>
            </w:pPr>
            <w:r>
              <w:rPr>
                <w:rFonts w:ascii="Arial" w:cs="Arial" w:eastAsia="Arial" w:hAnsi="Arial"/>
                <w:sz w:val="10"/>
                <w:szCs w:val="10"/>
                <w:b w:val="1"/>
                <w:bCs w:val="1"/>
                <w:color w:val="auto"/>
                <w:w w:val="89"/>
              </w:rPr>
              <w:t>2020</w:t>
            </w:r>
          </w:p>
        </w:tc>
        <w:tc>
          <w:tcPr>
            <w:tcW w:w="20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1"/>
              </w:rPr>
              <w:t>Additions (a)</w:t>
            </w:r>
          </w:p>
        </w:tc>
        <w:tc>
          <w:tcPr>
            <w:tcW w:w="200" w:type="dxa"/>
            <w:vAlign w:val="bottom"/>
            <w:tcBorders>
              <w:bottom w:val="single" w:sz="8" w:color="CFF0FC"/>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8"/>
              </w:rPr>
              <w:t>Reductions (b)</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83"/>
              <w:spacing w:after="0"/>
              <w:rPr>
                <w:sz w:val="20"/>
                <w:szCs w:val="20"/>
                <w:color w:val="auto"/>
              </w:rPr>
            </w:pPr>
            <w:r>
              <w:rPr>
                <w:rFonts w:ascii="Arial" w:cs="Arial" w:eastAsia="Arial" w:hAnsi="Arial"/>
                <w:sz w:val="10"/>
                <w:szCs w:val="10"/>
                <w:b w:val="1"/>
                <w:bCs w:val="1"/>
                <w:color w:val="auto"/>
                <w:w w:val="94"/>
              </w:rPr>
              <w:t>Gain/(Loss)</w:t>
            </w: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87"/>
              </w:rPr>
              <w:t>Gain/(Losses)</w:t>
            </w:r>
          </w:p>
        </w:tc>
        <w:tc>
          <w:tcPr>
            <w:tcW w:w="200" w:type="dxa"/>
            <w:vAlign w:val="bottom"/>
            <w:tcBorders>
              <w:bottom w:val="single" w:sz="8" w:color="CFF0FC"/>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Transfers</w:t>
            </w: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CFF0FC"/>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0"/>
                <w:szCs w:val="10"/>
                <w:b w:val="1"/>
                <w:bCs w:val="1"/>
                <w:color w:val="auto"/>
                <w:w w:val="89"/>
              </w:rPr>
              <w:t>2021</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w w:val="96"/>
              </w:rPr>
              <w:t>Income</w:t>
            </w:r>
          </w:p>
        </w:tc>
        <w:tc>
          <w:tcPr>
            <w:tcW w:w="2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b w:val="1"/>
                <w:bCs w:val="1"/>
                <w:color w:val="auto"/>
              </w:rPr>
              <w:t>Income</w:t>
            </w:r>
          </w:p>
        </w:tc>
        <w:tc>
          <w:tcPr>
            <w:tcW w:w="140" w:type="dxa"/>
            <w:vAlign w:val="bottom"/>
            <w:tcBorders>
              <w:bottom w:val="single" w:sz="8" w:color="CFF0FC"/>
            </w:tcBorders>
          </w:tcPr>
          <w:p>
            <w:pPr>
              <w:spacing w:after="0"/>
              <w:rPr>
                <w:sz w:val="10"/>
                <w:szCs w:val="10"/>
                <w:color w:val="auto"/>
              </w:rPr>
            </w:pPr>
          </w:p>
        </w:tc>
      </w:tr>
      <w:tr>
        <w:trPr>
          <w:trHeight w:val="150"/>
        </w:trPr>
        <w:tc>
          <w:tcPr>
            <w:tcW w:w="25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36,676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5,653</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FF0FC"/>
          </w:tcPr>
          <w:p>
            <w:pPr>
              <w:ind w:left="6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17,450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ind w:left="580"/>
              <w:spacing w:after="0"/>
              <w:rPr>
                <w:sz w:val="20"/>
                <w:szCs w:val="20"/>
                <w:color w:val="auto"/>
              </w:rPr>
            </w:pPr>
            <w:r>
              <w:rPr>
                <w:rFonts w:ascii="Arial" w:cs="Arial" w:eastAsia="Arial" w:hAnsi="Arial"/>
                <w:sz w:val="13"/>
                <w:szCs w:val="13"/>
                <w:color w:val="auto"/>
                <w:w w:val="91"/>
              </w:rPr>
              <w:t>—</w:t>
            </w:r>
          </w:p>
        </w:tc>
        <w:tc>
          <w:tcPr>
            <w:tcW w:w="820" w:type="dxa"/>
            <w:vAlign w:val="bottom"/>
            <w:gridSpan w:val="2"/>
            <w:shd w:val="clear" w:color="auto" w:fill="CFF0FC"/>
          </w:tcPr>
          <w:p>
            <w:pPr>
              <w:jc w:val="right"/>
              <w:ind w:right="511"/>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ind w:left="4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59,779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4,039</w:t>
            </w:r>
          </w:p>
        </w:tc>
        <w:tc>
          <w:tcPr>
            <w:tcW w:w="140" w:type="dxa"/>
            <w:vAlign w:val="bottom"/>
            <w:shd w:val="clear" w:color="auto" w:fill="CFF0FC"/>
          </w:tcPr>
          <w:p>
            <w:pPr>
              <w:spacing w:after="0"/>
              <w:rPr>
                <w:sz w:val="13"/>
                <w:szCs w:val="13"/>
                <w:color w:val="auto"/>
              </w:rPr>
            </w:pPr>
          </w:p>
        </w:tc>
      </w:tr>
      <w:tr>
        <w:trPr>
          <w:trHeight w:val="152"/>
        </w:trPr>
        <w:tc>
          <w:tcPr>
            <w:tcW w:w="2500" w:type="dxa"/>
            <w:vAlign w:val="bottom"/>
            <w:gridSpan w:val="2"/>
          </w:tcPr>
          <w:p>
            <w:pPr>
              <w:spacing w:after="0"/>
              <w:rPr>
                <w:sz w:val="20"/>
                <w:szCs w:val="20"/>
                <w:color w:val="auto"/>
              </w:rPr>
            </w:pPr>
            <w:r>
              <w:rPr>
                <w:rFonts w:ascii="Arial" w:cs="Arial" w:eastAsia="Arial" w:hAnsi="Arial"/>
                <w:sz w:val="13"/>
                <w:szCs w:val="13"/>
                <w:color w:val="auto"/>
              </w:rPr>
              <w:t>Mississippi Resources,</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0"/>
        </w:trPr>
        <w:tc>
          <w:tcPr>
            <w:tcW w:w="2500" w:type="dxa"/>
            <w:vAlign w:val="bottom"/>
            <w:gridSpan w:val="2"/>
          </w:tcPr>
          <w:p>
            <w:pPr>
              <w:ind w:left="100"/>
              <w:spacing w:after="0"/>
              <w:rPr>
                <w:sz w:val="20"/>
                <w:szCs w:val="20"/>
                <w:color w:val="auto"/>
              </w:rPr>
            </w:pPr>
            <w:r>
              <w:rPr>
                <w:rFonts w:ascii="Arial" w:cs="Arial" w:eastAsia="Arial" w:hAnsi="Arial"/>
                <w:sz w:val="13"/>
                <w:szCs w:val="13"/>
                <w:color w:val="auto"/>
              </w:rPr>
              <w:t>LLC</w:t>
            </w:r>
          </w:p>
        </w:tc>
        <w:tc>
          <w:tcPr>
            <w:tcW w:w="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94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20" w:type="dxa"/>
            <w:vAlign w:val="bottom"/>
          </w:tcPr>
          <w:p>
            <w:pPr>
              <w:ind w:left="58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r>
      <w:tr>
        <w:trPr>
          <w:trHeight w:val="159"/>
        </w:trPr>
        <w:tc>
          <w:tcPr>
            <w:tcW w:w="25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36,676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5,653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40" w:type="dxa"/>
            <w:vAlign w:val="bottom"/>
            <w:tcBorders>
              <w:top w:val="single" w:sz="8" w:color="auto"/>
              <w:bottom w:val="single" w:sz="8" w:color="auto"/>
            </w:tcBorders>
            <w:shd w:val="clear" w:color="auto" w:fill="CFF0FC"/>
          </w:tcPr>
          <w:p>
            <w:pPr>
              <w:ind w:left="60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17,450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11"/>
              <w:spacing w:after="0"/>
              <w:rPr>
                <w:sz w:val="20"/>
                <w:szCs w:val="20"/>
                <w:color w:val="auto"/>
              </w:rPr>
            </w:pPr>
            <w:r>
              <w:rPr>
                <w:rFonts w:ascii="Arial" w:cs="Arial" w:eastAsia="Arial" w:hAnsi="Arial"/>
                <w:sz w:val="9"/>
                <w:szCs w:val="9"/>
                <w:b w:val="1"/>
                <w:bCs w:val="1"/>
                <w:color w:val="auto"/>
                <w:w w:val="78"/>
              </w:rPr>
              <w:t>$</w:t>
            </w:r>
          </w:p>
        </w:tc>
        <w:tc>
          <w:tcPr>
            <w:tcW w:w="18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59,779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17</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4,039</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95" w:lineRule="exact"/>
        <w:rPr>
          <w:sz w:val="20"/>
          <w:szCs w:val="20"/>
          <w:color w:val="auto"/>
        </w:rPr>
      </w:pPr>
    </w:p>
    <w:p>
      <w:pPr>
        <w:ind w:left="1024" w:right="240" w:hanging="514"/>
        <w:spacing w:after="0" w:line="250" w:lineRule="auto"/>
        <w:tabs>
          <w:tab w:leader="none" w:pos="1024" w:val="left"/>
        </w:tabs>
        <w:numPr>
          <w:ilvl w:val="1"/>
          <w:numId w:val="15"/>
        </w:numPr>
        <w:rPr>
          <w:rFonts w:ascii="Arial" w:cs="Arial" w:eastAsia="Arial" w:hAnsi="Arial"/>
          <w:sz w:val="13"/>
          <w:szCs w:val="13"/>
          <w:color w:val="auto"/>
        </w:rPr>
      </w:pPr>
      <w:r>
        <w:rPr>
          <w:rFonts w:ascii="Arial" w:cs="Arial" w:eastAsia="Arial" w:hAnsi="Arial"/>
          <w:sz w:val="13"/>
          <w:szCs w:val="13"/>
          <w:color w:val="auto"/>
        </w:rPr>
        <w:t>Gross additions include increases in the cost basis of investments resulting from new investments, payment-in-kind interest or dividends, the amortization of any unearned income or discounts on debt investments, as applicable.</w:t>
      </w:r>
    </w:p>
    <w:p>
      <w:pPr>
        <w:ind w:left="1024" w:right="600" w:hanging="514"/>
        <w:spacing w:after="0" w:line="334" w:lineRule="auto"/>
        <w:tabs>
          <w:tab w:leader="none" w:pos="1024" w:val="left"/>
        </w:tabs>
        <w:numPr>
          <w:ilvl w:val="1"/>
          <w:numId w:val="15"/>
        </w:numPr>
        <w:rPr>
          <w:rFonts w:ascii="Arial" w:cs="Arial" w:eastAsia="Arial" w:hAnsi="Arial"/>
          <w:sz w:val="11"/>
          <w:szCs w:val="11"/>
          <w:color w:val="auto"/>
        </w:rPr>
      </w:pPr>
      <w:r>
        <w:rPr>
          <w:rFonts w:ascii="Arial" w:cs="Arial" w:eastAsia="Arial" w:hAnsi="Arial"/>
          <w:sz w:val="11"/>
          <w:szCs w:val="11"/>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26" w:lineRule="exact"/>
        <w:rPr>
          <w:rFonts w:ascii="Arial" w:cs="Arial" w:eastAsia="Arial" w:hAnsi="Arial"/>
          <w:sz w:val="11"/>
          <w:szCs w:val="11"/>
          <w:color w:val="auto"/>
        </w:rPr>
      </w:pPr>
    </w:p>
    <w:p>
      <w:pPr>
        <w:ind w:left="504" w:hanging="504"/>
        <w:spacing w:after="0"/>
        <w:tabs>
          <w:tab w:leader="none" w:pos="504" w:val="left"/>
        </w:tabs>
        <w:numPr>
          <w:ilvl w:val="0"/>
          <w:numId w:val="16"/>
        </w:numPr>
        <w:rPr>
          <w:rFonts w:ascii="Arial" w:cs="Arial" w:eastAsia="Arial" w:hAnsi="Arial"/>
          <w:sz w:val="11"/>
          <w:szCs w:val="11"/>
          <w:color w:val="auto"/>
        </w:rPr>
      </w:pPr>
      <w:r>
        <w:rPr>
          <w:rFonts w:ascii="Arial" w:cs="Arial" w:eastAsia="Arial" w:hAnsi="Arial"/>
          <w:sz w:val="11"/>
          <w:szCs w:val="11"/>
          <w:color w:val="auto"/>
        </w:rPr>
        <w:t>As of December 31, 2021, the estimated cost basis of investments for U.S. federal tax purposes was $2,445,863, resulting in estimated gross unrealized gains and losses of $156,819 and $79,599, respectively.</w:t>
      </w:r>
    </w:p>
    <w:p>
      <w:pPr>
        <w:spacing w:after="0" w:line="33" w:lineRule="exact"/>
        <w:rPr>
          <w:rFonts w:ascii="Arial" w:cs="Arial" w:eastAsia="Arial" w:hAnsi="Arial"/>
          <w:sz w:val="11"/>
          <w:szCs w:val="11"/>
          <w:color w:val="auto"/>
        </w:rPr>
      </w:pPr>
    </w:p>
    <w:p>
      <w:pPr>
        <w:ind w:left="504" w:right="140" w:hanging="504"/>
        <w:spacing w:after="0" w:line="245" w:lineRule="auto"/>
        <w:tabs>
          <w:tab w:leader="none" w:pos="5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These investments contain a fixed rate structure. The Company entered into an interest rate swap agreement to swap to a floating rate. Refer to Note 5 for further information related to the Company’s interest rate swaps on investments.</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82" w:right="299" w:bottom="1440" w:gutter="0" w:footer="0" w:header="0"/>
        </w:sectPr>
      </w:pPr>
    </w:p>
    <w:bookmarkStart w:id="19" w:name="page20"/>
    <w:bookmarkEnd w:id="19"/>
    <w:p>
      <w:pPr>
        <w:ind w:left="504" w:hanging="504"/>
        <w:spacing w:after="0" w:line="270" w:lineRule="auto"/>
        <w:tabs>
          <w:tab w:leader="none" w:pos="504" w:val="left"/>
        </w:tabs>
        <w:numPr>
          <w:ilvl w:val="0"/>
          <w:numId w:val="17"/>
        </w:numPr>
        <w:rPr>
          <w:rFonts w:ascii="Arial" w:cs="Arial" w:eastAsia="Arial" w:hAnsi="Arial"/>
          <w:sz w:val="12"/>
          <w:szCs w:val="12"/>
          <w:color w:val="auto"/>
        </w:rPr>
      </w:pPr>
      <w:r>
        <w:rPr>
          <w:rFonts w:ascii="Arial" w:cs="Arial" w:eastAsia="Arial" w:hAnsi="Arial"/>
          <w:sz w:val="12"/>
          <w:szCs w:val="12"/>
          <w:color w:val="auto"/>
        </w:rPr>
        <w:t xml:space="preserve">In accordance with Financial Accounting Standards Board Accounting Standards Codification Topic 820,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(“Topic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2"/>
          <w:szCs w:val="12"/>
          <w:color w:val="auto"/>
        </w:rPr>
      </w:pPr>
    </w:p>
    <w:p>
      <w:pPr>
        <w:ind w:left="504" w:hanging="504"/>
        <w:spacing w:after="0"/>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investment is valued using observable inputs and is considered a Level 2 investment. See Note 6 for further information related to investments at fair value.</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investment is valued using observable inputs and is considered a Level 1 investment. See Note 6 for further information related to investments at fair value.</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This investment is non-income producing.</w:t>
      </w:r>
    </w:p>
    <w:p>
      <w:pPr>
        <w:spacing w:after="0" w:line="1" w:lineRule="exact"/>
        <w:rPr>
          <w:rFonts w:ascii="Arial" w:cs="Arial" w:eastAsia="Arial" w:hAnsi="Arial"/>
          <w:sz w:val="13"/>
          <w:szCs w:val="13"/>
          <w:color w:val="auto"/>
        </w:rPr>
      </w:pPr>
    </w:p>
    <w:p>
      <w:pPr>
        <w:ind w:left="504" w:right="40" w:hanging="504"/>
        <w:spacing w:after="0" w:line="242" w:lineRule="auto"/>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All or a portion of this security was acquired in transaction exempt from registration under the Securities Act of 1933, and may be deemed to be “restricted securities” under the Securities Act. As of December 31, 2021, the aggregate fair value of these securities is $83,839, or 6.6% of the Company’s net assets.</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Ownership of equity investments may occur through a holding company or partnership.</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Investment is on non-accrual status as of December 31, 2021.</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3"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4"/>
          </w:cols>
          <w:pgMar w:left="296" w:top="282" w:right="339" w:bottom="1440" w:gutter="0" w:footer="0" w:header="0"/>
        </w:sectPr>
      </w:pPr>
    </w:p>
    <w:bookmarkStart w:id="20" w:name="page21"/>
    <w:bookmarkEnd w:id="20"/>
    <w:p>
      <w:pPr>
        <w:jc w:val="center"/>
        <w:ind w:right="-3"/>
        <w:spacing w:after="0"/>
        <w:rPr>
          <w:sz w:val="20"/>
          <w:szCs w:val="20"/>
          <w:color w:val="auto"/>
        </w:rPr>
      </w:pPr>
      <w:r>
        <w:rPr>
          <w:rFonts w:ascii="Arial" w:cs="Arial" w:eastAsia="Arial" w:hAnsi="Arial"/>
          <w:sz w:val="13"/>
          <w:szCs w:val="13"/>
          <w:b w:val="1"/>
          <w:bCs w:val="1"/>
          <w:color w:val="auto"/>
        </w:rPr>
        <w:t>Sixth Street Specialty Lending, Inc.</w:t>
      </w:r>
    </w:p>
    <w:p>
      <w:pPr>
        <w:spacing w:after="0" w:line="153"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Consolidated Statements of Changes in Net Assets</w:t>
      </w:r>
    </w:p>
    <w:p>
      <w:pPr>
        <w:spacing w:after="0" w:line="15"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(Amounts in thousands, except share amounts)</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(Unaudited)</w:t>
      </w:r>
    </w:p>
    <w:p>
      <w:pPr>
        <w:spacing w:after="0" w:line="157"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4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8"/>
          </w:tcPr>
          <w:p>
            <w:pPr>
              <w:ind w:left="260"/>
              <w:spacing w:after="0"/>
              <w:rPr>
                <w:sz w:val="20"/>
                <w:szCs w:val="20"/>
                <w:color w:val="auto"/>
              </w:rPr>
            </w:pPr>
            <w:r>
              <w:rPr>
                <w:rFonts w:ascii="Arial" w:cs="Arial" w:eastAsia="Arial" w:hAnsi="Arial"/>
                <w:sz w:val="10"/>
                <w:szCs w:val="10"/>
                <w:b w:val="1"/>
                <w:bCs w:val="1"/>
                <w:color w:val="auto"/>
              </w:rPr>
              <w:t>Common Stock</w:t>
            </w:r>
          </w:p>
        </w:tc>
        <w:tc>
          <w:tcPr>
            <w:tcW w:w="40" w:type="dxa"/>
            <w:vAlign w:val="bottom"/>
          </w:tcPr>
          <w:p>
            <w:pPr>
              <w:spacing w:after="0"/>
              <w:rPr>
                <w:sz w:val="10"/>
                <w:szCs w:val="10"/>
                <w:color w:val="auto"/>
              </w:rPr>
            </w:pPr>
          </w:p>
        </w:tc>
        <w:tc>
          <w:tcPr>
            <w:tcW w:w="1220" w:type="dxa"/>
            <w:vAlign w:val="bottom"/>
            <w:gridSpan w:val="8"/>
          </w:tcPr>
          <w:p>
            <w:pPr>
              <w:jc w:val="right"/>
              <w:ind w:right="360"/>
              <w:spacing w:after="0"/>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vMerge w:val="restart"/>
          </w:tcPr>
          <w:p>
            <w:pPr>
              <w:jc w:val="right"/>
              <w:ind w:right="660"/>
              <w:spacing w:after="0"/>
              <w:rPr>
                <w:sz w:val="20"/>
                <w:szCs w:val="20"/>
                <w:color w:val="auto"/>
              </w:rPr>
            </w:pPr>
            <w:r>
              <w:rPr>
                <w:rFonts w:ascii="Arial" w:cs="Arial" w:eastAsia="Arial" w:hAnsi="Arial"/>
                <w:sz w:val="10"/>
                <w:szCs w:val="10"/>
                <w:b w:val="1"/>
                <w:bCs w:val="1"/>
                <w:color w:val="auto"/>
              </w:rPr>
              <w:t>Paid in Capital in</w:t>
            </w:r>
          </w:p>
        </w:tc>
        <w:tc>
          <w:tcPr>
            <w:tcW w:w="60" w:type="dxa"/>
            <w:vAlign w:val="bottom"/>
          </w:tcPr>
          <w:p>
            <w:pPr>
              <w:spacing w:after="0"/>
              <w:rPr>
                <w:sz w:val="10"/>
                <w:szCs w:val="10"/>
                <w:color w:val="auto"/>
              </w:rPr>
            </w:pPr>
          </w:p>
        </w:tc>
        <w:tc>
          <w:tcPr>
            <w:tcW w:w="820" w:type="dxa"/>
            <w:vAlign w:val="bottom"/>
            <w:gridSpan w:val="5"/>
            <w:vMerge w:val="restart"/>
          </w:tcPr>
          <w:p>
            <w:pPr>
              <w:jc w:val="right"/>
              <w:ind w:right="240"/>
              <w:spacing w:after="0"/>
              <w:rPr>
                <w:sz w:val="20"/>
                <w:szCs w:val="20"/>
                <w:color w:val="auto"/>
              </w:rPr>
            </w:pPr>
            <w:r>
              <w:rPr>
                <w:rFonts w:ascii="Arial" w:cs="Arial" w:eastAsia="Arial" w:hAnsi="Arial"/>
                <w:sz w:val="10"/>
                <w:szCs w:val="10"/>
                <w:b w:val="1"/>
                <w:bCs w:val="1"/>
                <w:color w:val="auto"/>
                <w:w w:val="91"/>
              </w:rPr>
              <w:t>Distributable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vMerge w:val="restart"/>
          </w:tcPr>
          <w:p>
            <w:pPr>
              <w:jc w:val="right"/>
              <w:ind w:right="300"/>
              <w:spacing w:after="0"/>
              <w:rPr>
                <w:sz w:val="20"/>
                <w:szCs w:val="20"/>
                <w:color w:val="auto"/>
              </w:rPr>
            </w:pPr>
            <w:r>
              <w:rPr>
                <w:rFonts w:ascii="Arial" w:cs="Arial" w:eastAsia="Arial" w:hAnsi="Arial"/>
                <w:sz w:val="10"/>
                <w:szCs w:val="10"/>
                <w:b w:val="1"/>
                <w:bCs w:val="1"/>
                <w:color w:val="auto"/>
                <w:w w:val="88"/>
              </w:rPr>
              <w:t>Total Net</w:t>
            </w:r>
          </w:p>
        </w:tc>
        <w:tc>
          <w:tcPr>
            <w:tcW w:w="0" w:type="dxa"/>
            <w:vAlign w:val="bottom"/>
          </w:tcPr>
          <w:p>
            <w:pPr>
              <w:spacing w:after="0"/>
              <w:rPr>
                <w:sz w:val="1"/>
                <w:szCs w:val="1"/>
                <w:color w:val="auto"/>
              </w:rPr>
            </w:pPr>
          </w:p>
        </w:tc>
      </w:tr>
      <w:tr>
        <w:trPr>
          <w:trHeight w:val="88"/>
        </w:trPr>
        <w:tc>
          <w:tcPr>
            <w:tcW w:w="496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jc w:val="center"/>
              <w:ind w:right="50"/>
              <w:spacing w:after="0" w:line="89" w:lineRule="exact"/>
              <w:rPr>
                <w:sz w:val="20"/>
                <w:szCs w:val="20"/>
                <w:color w:val="auto"/>
              </w:rPr>
            </w:pPr>
            <w:r>
              <w:rPr>
                <w:rFonts w:ascii="Arial" w:cs="Arial" w:eastAsia="Arial" w:hAnsi="Arial"/>
                <w:sz w:val="10"/>
                <w:szCs w:val="10"/>
                <w:b w:val="1"/>
                <w:bCs w:val="1"/>
                <w:color w:val="auto"/>
                <w:w w:val="86"/>
              </w:rPr>
              <w:t>Par</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9"/>
              </w:rPr>
              <w:t>Amount</w:t>
            </w:r>
          </w:p>
        </w:tc>
        <w:tc>
          <w:tcPr>
            <w:tcW w:w="40" w:type="dxa"/>
            <w:vAlign w:val="bottom"/>
          </w:tcPr>
          <w:p>
            <w:pPr>
              <w:spacing w:after="0"/>
              <w:rPr>
                <w:sz w:val="10"/>
                <w:szCs w:val="1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w w:val="80"/>
              </w:rPr>
              <w:t>Cost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tcPr>
          <w:p>
            <w:pPr>
              <w:jc w:val="right"/>
              <w:ind w:right="760"/>
              <w:spacing w:after="0"/>
              <w:rPr>
                <w:sz w:val="20"/>
                <w:szCs w:val="20"/>
                <w:color w:val="auto"/>
              </w:rPr>
            </w:pPr>
            <w:r>
              <w:rPr>
                <w:rFonts w:ascii="Arial" w:cs="Arial" w:eastAsia="Arial" w:hAnsi="Arial"/>
                <w:sz w:val="10"/>
                <w:szCs w:val="10"/>
                <w:b w:val="1"/>
                <w:bCs w:val="1"/>
                <w:color w:val="auto"/>
              </w:rPr>
              <w:t>Excess of Par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w w:val="93"/>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0"/>
                <w:szCs w:val="10"/>
                <w:b w:val="1"/>
                <w:bCs w:val="1"/>
                <w:color w:val="auto"/>
                <w:w w:val="97"/>
              </w:rPr>
              <w:t>Assets</w:t>
            </w:r>
          </w:p>
        </w:tc>
        <w:tc>
          <w:tcPr>
            <w:tcW w:w="0" w:type="dxa"/>
            <w:vAlign w:val="bottom"/>
          </w:tcPr>
          <w:p>
            <w:pPr>
              <w:spacing w:after="0"/>
              <w:rPr>
                <w:sz w:val="1"/>
                <w:szCs w:val="1"/>
                <w:color w:val="auto"/>
              </w:rPr>
            </w:pPr>
          </w:p>
        </w:tc>
      </w:tr>
      <w:tr>
        <w:trPr>
          <w:trHeight w:val="103"/>
        </w:trPr>
        <w:tc>
          <w:tcPr>
            <w:tcW w:w="5020" w:type="dxa"/>
            <w:vAlign w:val="bottom"/>
            <w:tcBorders>
              <w:top w:val="single" w:sz="8" w:color="CFF0FC"/>
            </w:tcBorders>
            <w:gridSpan w:val="2"/>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Balance at December 31, 2021</w:t>
            </w:r>
          </w:p>
        </w:tc>
        <w:tc>
          <w:tcPr>
            <w:tcW w:w="56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75,771,542</w:t>
            </w:r>
          </w:p>
        </w:tc>
        <w:tc>
          <w:tcPr>
            <w:tcW w:w="200" w:type="dxa"/>
            <w:vAlign w:val="bottom"/>
            <w:tcBorders>
              <w:top w:val="single" w:sz="8" w:color="CFF0FC"/>
            </w:tcBorders>
            <w:shd w:val="clear" w:color="auto" w:fill="CFF0FC"/>
          </w:tcPr>
          <w:p>
            <w:pPr>
              <w:spacing w:after="0"/>
              <w:rPr>
                <w:sz w:val="8"/>
                <w:szCs w:val="8"/>
                <w:color w:val="auto"/>
              </w:rPr>
            </w:pPr>
          </w:p>
        </w:tc>
        <w:tc>
          <w:tcPr>
            <w:tcW w:w="2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line="103"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761</w:t>
            </w:r>
          </w:p>
        </w:tc>
        <w:tc>
          <w:tcPr>
            <w:tcW w:w="2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44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296,044</w:t>
            </w:r>
          </w:p>
        </w:tc>
        <w:tc>
          <w:tcPr>
            <w:tcW w:w="6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w w:val="81"/>
              </w:rPr>
              <w:t>(4,291)</w:t>
            </w:r>
          </w:p>
        </w:tc>
        <w:tc>
          <w:tcPr>
            <w:tcW w:w="10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jc w:val="right"/>
              <w:ind w:right="30"/>
              <w:spacing w:after="0" w:line="103" w:lineRule="exact"/>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FF0FC"/>
          </w:tcPr>
          <w:p>
            <w:pPr>
              <w:spacing w:after="0"/>
              <w:rPr>
                <w:sz w:val="8"/>
                <w:szCs w:val="8"/>
                <w:color w:val="auto"/>
              </w:rPr>
            </w:pPr>
          </w:p>
        </w:tc>
        <w:tc>
          <w:tcPr>
            <w:tcW w:w="13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1,189,275</w:t>
            </w:r>
          </w:p>
        </w:tc>
        <w:tc>
          <w:tcPr>
            <w:tcW w:w="10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90,103</w:t>
            </w:r>
          </w:p>
        </w:tc>
        <w:tc>
          <w:tcPr>
            <w:tcW w:w="80" w:type="dxa"/>
            <w:vAlign w:val="bottom"/>
            <w:tcBorders>
              <w:top w:val="single" w:sz="8" w:color="CFF0FC"/>
            </w:tcBorders>
            <w:shd w:val="clear" w:color="auto" w:fill="CFF0FC"/>
          </w:tcPr>
          <w:p>
            <w:pPr>
              <w:spacing w:after="0"/>
              <w:rPr>
                <w:sz w:val="8"/>
                <w:szCs w:val="8"/>
                <w:color w:val="auto"/>
              </w:rPr>
            </w:pPr>
          </w:p>
        </w:tc>
        <w:tc>
          <w:tcPr>
            <w:tcW w:w="8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1,275,848</w:t>
            </w:r>
          </w:p>
        </w:tc>
        <w:tc>
          <w:tcPr>
            <w:tcW w:w="6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020" w:type="dxa"/>
            <w:vAlign w:val="bottom"/>
            <w:gridSpan w:val="2"/>
          </w:tcPr>
          <w:p>
            <w:pPr>
              <w:ind w:left="80"/>
              <w:spacing w:after="0" w:line="114" w:lineRule="exact"/>
              <w:rPr>
                <w:sz w:val="20"/>
                <w:szCs w:val="20"/>
                <w:color w:val="auto"/>
              </w:rPr>
            </w:pPr>
            <w:r>
              <w:rPr>
                <w:rFonts w:ascii="Arial" w:cs="Arial" w:eastAsia="Arial" w:hAnsi="Arial"/>
                <w:sz w:val="10"/>
                <w:szCs w:val="10"/>
                <w:color w:val="auto"/>
              </w:rPr>
              <w:t>Net increase in net assets resulting from operations:</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20" w:type="dxa"/>
            <w:vAlign w:val="bottom"/>
            <w:gridSpan w:val="2"/>
            <w:shd w:val="clear" w:color="auto" w:fill="CFF0FC"/>
          </w:tcPr>
          <w:p>
            <w:pPr>
              <w:ind w:left="160"/>
              <w:spacing w:after="0" w:line="114" w:lineRule="exact"/>
              <w:rPr>
                <w:sz w:val="20"/>
                <w:szCs w:val="20"/>
                <w:color w:val="auto"/>
              </w:rPr>
            </w:pPr>
            <w:r>
              <w:rPr>
                <w:rFonts w:ascii="Arial" w:cs="Arial" w:eastAsia="Arial" w:hAnsi="Arial"/>
                <w:sz w:val="10"/>
                <w:szCs w:val="10"/>
                <w:color w:val="auto"/>
              </w:rPr>
              <w:t>Net investment income</w:t>
            </w:r>
          </w:p>
        </w:tc>
        <w:tc>
          <w:tcPr>
            <w:tcW w:w="560" w:type="dxa"/>
            <w:vAlign w:val="bottom"/>
            <w:gridSpan w:val="2"/>
            <w:shd w:val="clear" w:color="auto" w:fill="CFF0FC"/>
          </w:tcPr>
          <w:p>
            <w:pPr>
              <w:jc w:val="right"/>
              <w:spacing w:after="0" w:line="114" w:lineRule="exact"/>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gridSpan w:val="3"/>
            <w:shd w:val="clear" w:color="auto" w:fill="CFF0FC"/>
          </w:tcPr>
          <w:p>
            <w:pPr>
              <w:jc w:val="right"/>
              <w:ind w:right="20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80" w:type="dxa"/>
            <w:vAlign w:val="bottom"/>
            <w:gridSpan w:val="3"/>
            <w:shd w:val="clear" w:color="auto" w:fill="CFF0FC"/>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560" w:type="dxa"/>
            <w:vAlign w:val="bottom"/>
            <w:gridSpan w:val="3"/>
            <w:shd w:val="clear" w:color="auto" w:fill="CFF0FC"/>
          </w:tcPr>
          <w:p>
            <w:pPr>
              <w:jc w:val="right"/>
              <w:ind w:right="20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35,712</w:t>
            </w: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35,712</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020" w:type="dxa"/>
            <w:vAlign w:val="bottom"/>
            <w:gridSpan w:val="2"/>
          </w:tcPr>
          <w:p>
            <w:pPr>
              <w:ind w:left="160"/>
              <w:spacing w:after="0" w:line="101" w:lineRule="exact"/>
              <w:rPr>
                <w:sz w:val="20"/>
                <w:szCs w:val="20"/>
                <w:color w:val="auto"/>
              </w:rPr>
            </w:pPr>
            <w:r>
              <w:rPr>
                <w:rFonts w:ascii="Arial" w:cs="Arial" w:eastAsia="Arial" w:hAnsi="Arial"/>
                <w:sz w:val="10"/>
                <w:szCs w:val="10"/>
                <w:color w:val="auto"/>
              </w:rPr>
              <w:t>Net change in unrealized (losses) on investments and</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tcPr>
          <w:p>
            <w:pPr>
              <w:ind w:left="240"/>
              <w:spacing w:after="0"/>
              <w:rPr>
                <w:sz w:val="20"/>
                <w:szCs w:val="20"/>
                <w:color w:val="auto"/>
              </w:rPr>
            </w:pPr>
            <w:r>
              <w:rPr>
                <w:rFonts w:ascii="Arial" w:cs="Arial" w:eastAsia="Arial" w:hAnsi="Arial"/>
                <w:sz w:val="10"/>
                <w:szCs w:val="10"/>
                <w:color w:val="auto"/>
              </w:rPr>
              <w:t>foreign currency translation</w:t>
            </w:r>
          </w:p>
        </w:tc>
        <w:tc>
          <w:tcPr>
            <w:tcW w:w="5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0"/>
                <w:szCs w:val="10"/>
                <w:color w:val="auto"/>
              </w:rPr>
              <w:t>(8,495)</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0"/>
                <w:szCs w:val="10"/>
                <w:color w:val="auto"/>
              </w:rPr>
              <w:t>(8,495)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020" w:type="dxa"/>
            <w:vAlign w:val="bottom"/>
            <w:gridSpan w:val="2"/>
            <w:shd w:val="clear" w:color="auto" w:fill="CFF0FC"/>
          </w:tcPr>
          <w:p>
            <w:pPr>
              <w:ind w:left="160"/>
              <w:spacing w:after="0" w:line="101" w:lineRule="exact"/>
              <w:rPr>
                <w:sz w:val="20"/>
                <w:szCs w:val="20"/>
                <w:color w:val="auto"/>
              </w:rPr>
            </w:pPr>
            <w:r>
              <w:rPr>
                <w:rFonts w:ascii="Arial" w:cs="Arial" w:eastAsia="Arial" w:hAnsi="Arial"/>
                <w:sz w:val="10"/>
                <w:szCs w:val="10"/>
                <w:color w:val="auto"/>
              </w:rPr>
              <w:t>Net realized gains on investments and foreign</w:t>
            </w: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rPr>
              <w:t>currency transactions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560" w:type="dxa"/>
            <w:vAlign w:val="bottom"/>
            <w:gridSpan w:val="3"/>
            <w:shd w:val="clear" w:color="auto" w:fill="CFF0FC"/>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13,668</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13,668</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020" w:type="dxa"/>
            <w:vAlign w:val="bottom"/>
            <w:gridSpan w:val="2"/>
          </w:tcPr>
          <w:p>
            <w:pPr>
              <w:ind w:left="80"/>
              <w:spacing w:after="0" w:line="114" w:lineRule="exact"/>
              <w:rPr>
                <w:sz w:val="20"/>
                <w:szCs w:val="20"/>
                <w:color w:val="auto"/>
              </w:rPr>
            </w:pPr>
            <w:r>
              <w:rPr>
                <w:rFonts w:ascii="Arial" w:cs="Arial" w:eastAsia="Arial" w:hAnsi="Arial"/>
                <w:sz w:val="10"/>
                <w:szCs w:val="10"/>
                <w:color w:val="auto"/>
              </w:rPr>
              <w:t>Dividends to stockholders:</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20" w:type="dxa"/>
            <w:vAlign w:val="bottom"/>
            <w:gridSpan w:val="2"/>
            <w:shd w:val="clear" w:color="auto" w:fill="CFF0FC"/>
          </w:tcPr>
          <w:p>
            <w:pPr>
              <w:ind w:left="160"/>
              <w:spacing w:after="0" w:line="114" w:lineRule="exact"/>
              <w:rPr>
                <w:sz w:val="20"/>
                <w:szCs w:val="20"/>
                <w:color w:val="auto"/>
              </w:rPr>
            </w:pPr>
            <w:r>
              <w:rPr>
                <w:rFonts w:ascii="Arial" w:cs="Arial" w:eastAsia="Arial" w:hAnsi="Arial"/>
                <w:sz w:val="10"/>
                <w:szCs w:val="10"/>
                <w:color w:val="auto"/>
              </w:rPr>
              <w:t>Stock issued in connection with dividend reinvestment plan</w:t>
            </w:r>
          </w:p>
        </w:tc>
        <w:tc>
          <w:tcPr>
            <w:tcW w:w="560" w:type="dxa"/>
            <w:vAlign w:val="bottom"/>
            <w:gridSpan w:val="2"/>
            <w:shd w:val="clear" w:color="auto" w:fill="CFF0FC"/>
          </w:tcPr>
          <w:p>
            <w:pPr>
              <w:jc w:val="right"/>
              <w:spacing w:after="0" w:line="114" w:lineRule="exact"/>
              <w:rPr>
                <w:sz w:val="20"/>
                <w:szCs w:val="20"/>
                <w:color w:val="auto"/>
              </w:rPr>
            </w:pPr>
            <w:r>
              <w:rPr>
                <w:rFonts w:ascii="Arial" w:cs="Arial" w:eastAsia="Arial" w:hAnsi="Arial"/>
                <w:sz w:val="10"/>
                <w:szCs w:val="10"/>
                <w:color w:val="auto"/>
              </w:rPr>
              <w:t>299,138</w:t>
            </w: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3</w:t>
            </w: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80" w:type="dxa"/>
            <w:vAlign w:val="bottom"/>
            <w:gridSpan w:val="3"/>
            <w:shd w:val="clear" w:color="auto" w:fill="CFF0FC"/>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6,771</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20" w:type="dxa"/>
            <w:vAlign w:val="bottom"/>
            <w:gridSpan w:val="3"/>
            <w:shd w:val="clear" w:color="auto" w:fill="CFF0FC"/>
          </w:tcPr>
          <w:p>
            <w:pPr>
              <w:jc w:val="right"/>
              <w:ind w:right="18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6,774</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20" w:type="dxa"/>
            <w:vAlign w:val="bottom"/>
            <w:gridSpan w:val="2"/>
          </w:tcPr>
          <w:p>
            <w:pPr>
              <w:ind w:left="160"/>
              <w:spacing w:after="0" w:line="114" w:lineRule="exact"/>
              <w:rPr>
                <w:sz w:val="20"/>
                <w:szCs w:val="20"/>
                <w:color w:val="auto"/>
              </w:rPr>
            </w:pPr>
            <w:r>
              <w:rPr>
                <w:rFonts w:ascii="Arial" w:cs="Arial" w:eastAsia="Arial" w:hAnsi="Arial"/>
                <w:sz w:val="10"/>
                <w:szCs w:val="10"/>
                <w:color w:val="auto"/>
              </w:rPr>
              <w:t>Dividends declared from net investment income</w:t>
            </w:r>
          </w:p>
        </w:tc>
        <w:tc>
          <w:tcPr>
            <w:tcW w:w="56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3"/>
          </w:tcPr>
          <w:p>
            <w:pPr>
              <w:jc w:val="right"/>
              <w:ind w:right="20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6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jc w:val="right"/>
              <w:ind w:right="160"/>
              <w:spacing w:after="0" w:line="11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3"/>
          </w:tcPr>
          <w:p>
            <w:pPr>
              <w:jc w:val="right"/>
              <w:ind w:right="200"/>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60"/>
              <w:spacing w:after="0" w:line="114" w:lineRule="exact"/>
              <w:rPr>
                <w:sz w:val="20"/>
                <w:szCs w:val="20"/>
                <w:color w:val="auto"/>
              </w:rPr>
            </w:pPr>
            <w:r>
              <w:rPr>
                <w:rFonts w:ascii="Arial" w:cs="Arial" w:eastAsia="Arial" w:hAnsi="Arial"/>
                <w:sz w:val="10"/>
                <w:szCs w:val="10"/>
                <w:color w:val="auto"/>
              </w:rPr>
              <w:t>(39,522)</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ind w:right="20"/>
              <w:spacing w:after="0" w:line="114" w:lineRule="exact"/>
              <w:rPr>
                <w:sz w:val="20"/>
                <w:szCs w:val="20"/>
                <w:color w:val="auto"/>
              </w:rPr>
            </w:pPr>
            <w:r>
              <w:rPr>
                <w:rFonts w:ascii="Arial" w:cs="Arial" w:eastAsia="Arial" w:hAnsi="Arial"/>
                <w:sz w:val="10"/>
                <w:szCs w:val="10"/>
                <w:color w:val="auto"/>
              </w:rPr>
              <w:t>(39,522)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020" w:type="dxa"/>
            <w:vAlign w:val="bottom"/>
            <w:gridSpan w:val="2"/>
            <w:shd w:val="clear" w:color="auto" w:fill="CFF0FC"/>
          </w:tcPr>
          <w:p>
            <w:pPr>
              <w:ind w:left="80"/>
              <w:spacing w:after="0" w:line="101" w:lineRule="exact"/>
              <w:rPr>
                <w:sz w:val="20"/>
                <w:szCs w:val="20"/>
                <w:color w:val="auto"/>
              </w:rPr>
            </w:pPr>
            <w:r>
              <w:rPr>
                <w:rFonts w:ascii="Arial" w:cs="Arial" w:eastAsia="Arial" w:hAnsi="Arial"/>
                <w:sz w:val="10"/>
                <w:szCs w:val="10"/>
                <w:color w:val="auto"/>
              </w:rPr>
              <w:t>Tax reclassification of stockholders' equity in accordance with</w:t>
            </w: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shd w:val="clear" w:color="auto" w:fill="CFF0FC"/>
          </w:tcPr>
          <w:p>
            <w:pPr>
              <w:ind w:left="160"/>
              <w:spacing w:after="0"/>
              <w:rPr>
                <w:sz w:val="20"/>
                <w:szCs w:val="20"/>
                <w:color w:val="auto"/>
              </w:rPr>
            </w:pPr>
            <w:r>
              <w:rPr>
                <w:rFonts w:ascii="Arial" w:cs="Arial" w:eastAsia="Arial" w:hAnsi="Arial"/>
                <w:sz w:val="10"/>
                <w:szCs w:val="10"/>
                <w:color w:val="auto"/>
              </w:rPr>
              <w:t xml:space="preserve">GAAP </w:t>
            </w:r>
            <w:r>
              <w:rPr>
                <w:rFonts w:ascii="Arial" w:cs="Arial" w:eastAsia="Arial" w:hAnsi="Arial"/>
                <w:sz w:val="8"/>
                <w:szCs w:val="8"/>
                <w:color w:val="auto"/>
              </w:rPr>
              <w:t>(1)</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3"/>
            <w:shd w:val="clear" w:color="auto" w:fill="CFF0FC"/>
          </w:tcPr>
          <w:p>
            <w:pPr>
              <w:jc w:val="right"/>
              <w:ind w:right="20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80" w:type="dxa"/>
            <w:vAlign w:val="bottom"/>
            <w:gridSpan w:val="3"/>
            <w:shd w:val="clear" w:color="auto" w:fill="CFF0FC"/>
          </w:tcPr>
          <w:p>
            <w:pPr>
              <w:jc w:val="right"/>
              <w:ind w:right="1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(351)</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351</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00" w:type="dxa"/>
            <w:vAlign w:val="bottom"/>
            <w:gridSpan w:val="3"/>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5020" w:type="dxa"/>
            <w:vAlign w:val="bottom"/>
            <w:gridSpan w:val="2"/>
          </w:tcPr>
          <w:p>
            <w:pPr>
              <w:spacing w:after="0" w:line="103" w:lineRule="exact"/>
              <w:rPr>
                <w:sz w:val="20"/>
                <w:szCs w:val="20"/>
                <w:color w:val="auto"/>
              </w:rPr>
            </w:pPr>
            <w:r>
              <w:rPr>
                <w:rFonts w:ascii="Arial" w:cs="Arial" w:eastAsia="Arial" w:hAnsi="Arial"/>
                <w:sz w:val="10"/>
                <w:szCs w:val="10"/>
                <w:b w:val="1"/>
                <w:bCs w:val="1"/>
                <w:color w:val="auto"/>
              </w:rPr>
              <w:t>Balance at March 31, 2022</w:t>
            </w:r>
          </w:p>
        </w:tc>
        <w:tc>
          <w:tcPr>
            <w:tcW w:w="56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Arial" w:cs="Arial" w:eastAsia="Arial" w:hAnsi="Arial"/>
                <w:sz w:val="10"/>
                <w:szCs w:val="10"/>
                <w:b w:val="1"/>
                <w:bCs w:val="1"/>
                <w:color w:val="auto"/>
              </w:rPr>
              <w:t>76,070,680</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line="103" w:lineRule="exact"/>
              <w:rPr>
                <w:sz w:val="20"/>
                <w:szCs w:val="20"/>
                <w:color w:val="auto"/>
              </w:rPr>
            </w:pPr>
            <w:r>
              <w:rPr>
                <w:rFonts w:ascii="Arial" w:cs="Arial" w:eastAsia="Arial" w:hAnsi="Arial"/>
                <w:sz w:val="10"/>
                <w:szCs w:val="10"/>
                <w:b w:val="1"/>
                <w:bCs w:val="1"/>
                <w:color w:val="auto"/>
              </w:rPr>
              <w:t>$</w:t>
            </w:r>
          </w:p>
        </w:tc>
        <w:tc>
          <w:tcPr>
            <w:tcW w:w="32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764</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Borders>
              <w:top w:val="single" w:sz="8" w:color="auto"/>
              <w:bottom w:val="single" w:sz="8" w:color="auto"/>
            </w:tcBorders>
            <w:gridSpan w:val="2"/>
          </w:tcPr>
          <w:p>
            <w:pPr>
              <w:jc w:val="right"/>
              <w:spacing w:after="0" w:line="103" w:lineRule="exact"/>
              <w:rPr>
                <w:sz w:val="20"/>
                <w:szCs w:val="20"/>
                <w:color w:val="auto"/>
              </w:rPr>
            </w:pPr>
            <w:r>
              <w:rPr>
                <w:rFonts w:ascii="Arial" w:cs="Arial" w:eastAsia="Arial" w:hAnsi="Arial"/>
                <w:sz w:val="10"/>
                <w:szCs w:val="10"/>
                <w:b w:val="1"/>
                <w:bCs w:val="1"/>
                <w:color w:val="auto"/>
              </w:rPr>
              <w:t>296,044</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w w:val="71"/>
              </w:rPr>
              <w:t>$</w:t>
            </w:r>
          </w:p>
        </w:tc>
        <w:tc>
          <w:tcPr>
            <w:tcW w:w="4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w w:val="91"/>
              </w:rPr>
              <w:t>(4,291</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10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0"/>
              <w:spacing w:after="0" w:line="103" w:lineRule="exact"/>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spacing w:after="0"/>
              <w:rPr>
                <w:sz w:val="9"/>
                <w:szCs w:val="9"/>
                <w:color w:val="auto"/>
              </w:rPr>
            </w:pPr>
          </w:p>
        </w:tc>
        <w:tc>
          <w:tcPr>
            <w:tcW w:w="13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1,195,695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91,817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5"/>
                <w:szCs w:val="5"/>
                <w:b w:val="1"/>
                <w:bCs w:val="1"/>
                <w:color w:val="auto"/>
                <w:w w:val="70"/>
              </w:rPr>
              <w:t>$</w:t>
            </w:r>
          </w:p>
        </w:tc>
        <w:tc>
          <w:tcPr>
            <w:tcW w:w="4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1,283,985</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4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8"/>
          </w:tcPr>
          <w:p>
            <w:pPr>
              <w:ind w:left="240"/>
              <w:spacing w:after="0"/>
              <w:rPr>
                <w:sz w:val="20"/>
                <w:szCs w:val="20"/>
                <w:color w:val="auto"/>
              </w:rPr>
            </w:pPr>
            <w:r>
              <w:rPr>
                <w:rFonts w:ascii="Arial" w:cs="Arial" w:eastAsia="Arial" w:hAnsi="Arial"/>
                <w:sz w:val="10"/>
                <w:szCs w:val="10"/>
                <w:b w:val="1"/>
                <w:bCs w:val="1"/>
                <w:color w:val="auto"/>
              </w:rPr>
              <w:t>Common Stock</w:t>
            </w:r>
          </w:p>
        </w:tc>
        <w:tc>
          <w:tcPr>
            <w:tcW w:w="40" w:type="dxa"/>
            <w:vAlign w:val="bottom"/>
          </w:tcPr>
          <w:p>
            <w:pPr>
              <w:spacing w:after="0"/>
              <w:rPr>
                <w:sz w:val="24"/>
                <w:szCs w:val="24"/>
                <w:color w:val="auto"/>
              </w:rPr>
            </w:pPr>
          </w:p>
        </w:tc>
        <w:tc>
          <w:tcPr>
            <w:tcW w:w="1220" w:type="dxa"/>
            <w:vAlign w:val="bottom"/>
            <w:gridSpan w:val="8"/>
          </w:tcPr>
          <w:p>
            <w:pPr>
              <w:jc w:val="right"/>
              <w:ind w:right="300"/>
              <w:spacing w:after="0"/>
              <w:rPr>
                <w:sz w:val="20"/>
                <w:szCs w:val="20"/>
                <w:color w:val="auto"/>
              </w:rPr>
            </w:pPr>
            <w:r>
              <w:rPr>
                <w:rFonts w:ascii="Arial" w:cs="Arial" w:eastAsia="Arial" w:hAnsi="Arial"/>
                <w:sz w:val="10"/>
                <w:szCs w:val="10"/>
                <w:b w:val="1"/>
                <w:bCs w:val="1"/>
                <w:color w:val="auto"/>
              </w:rPr>
              <w:t>Treasury Stock</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3"/>
            <w:vMerge w:val="restart"/>
          </w:tcPr>
          <w:p>
            <w:pPr>
              <w:jc w:val="right"/>
              <w:ind w:right="540"/>
              <w:spacing w:after="0"/>
              <w:rPr>
                <w:sz w:val="20"/>
                <w:szCs w:val="20"/>
                <w:color w:val="auto"/>
              </w:rPr>
            </w:pPr>
            <w:r>
              <w:rPr>
                <w:rFonts w:ascii="Arial" w:cs="Arial" w:eastAsia="Arial" w:hAnsi="Arial"/>
                <w:sz w:val="10"/>
                <w:szCs w:val="10"/>
                <w:b w:val="1"/>
                <w:bCs w:val="1"/>
                <w:color w:val="auto"/>
              </w:rPr>
              <w:t>Paid in Capital in</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91"/>
              </w:rPr>
              <w:t>Distributable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0"/>
                <w:szCs w:val="10"/>
                <w:b w:val="1"/>
                <w:bCs w:val="1"/>
                <w:color w:val="auto"/>
              </w:rPr>
              <w:t>Total Net</w:t>
            </w:r>
          </w:p>
        </w:tc>
        <w:tc>
          <w:tcPr>
            <w:tcW w:w="0" w:type="dxa"/>
            <w:vAlign w:val="bottom"/>
          </w:tcPr>
          <w:p>
            <w:pPr>
              <w:spacing w:after="0"/>
              <w:rPr>
                <w:sz w:val="1"/>
                <w:szCs w:val="1"/>
                <w:color w:val="auto"/>
              </w:rPr>
            </w:pPr>
          </w:p>
        </w:tc>
      </w:tr>
      <w:tr>
        <w:trPr>
          <w:trHeight w:val="88"/>
        </w:trPr>
        <w:tc>
          <w:tcPr>
            <w:tcW w:w="49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gridSpan w:val="2"/>
          </w:tcPr>
          <w:p>
            <w:pPr>
              <w:jc w:val="center"/>
              <w:ind w:right="120"/>
              <w:spacing w:after="0" w:line="89" w:lineRule="exact"/>
              <w:rPr>
                <w:sz w:val="20"/>
                <w:szCs w:val="20"/>
                <w:color w:val="auto"/>
              </w:rPr>
            </w:pPr>
            <w:r>
              <w:rPr>
                <w:rFonts w:ascii="Arial" w:cs="Arial" w:eastAsia="Arial" w:hAnsi="Arial"/>
                <w:sz w:val="10"/>
                <w:szCs w:val="10"/>
                <w:b w:val="1"/>
                <w:bCs w:val="1"/>
                <w:color w:val="auto"/>
                <w:w w:val="86"/>
              </w:rPr>
              <w:t>Par</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9"/>
              </w:rPr>
              <w:t>Amount</w:t>
            </w:r>
          </w:p>
        </w:tc>
        <w:tc>
          <w:tcPr>
            <w:tcW w:w="40" w:type="dxa"/>
            <w:vAlign w:val="bottom"/>
          </w:tcPr>
          <w:p>
            <w:pPr>
              <w:spacing w:after="0"/>
              <w:rPr>
                <w:sz w:val="10"/>
                <w:szCs w:val="1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0"/>
                <w:szCs w:val="10"/>
                <w:b w:val="1"/>
                <w:bCs w:val="1"/>
                <w:color w:val="auto"/>
              </w:rPr>
              <w:t>Cost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tcPr>
          <w:p>
            <w:pPr>
              <w:jc w:val="right"/>
              <w:ind w:right="640"/>
              <w:spacing w:after="0"/>
              <w:rPr>
                <w:sz w:val="20"/>
                <w:szCs w:val="20"/>
                <w:color w:val="auto"/>
              </w:rPr>
            </w:pPr>
            <w:r>
              <w:rPr>
                <w:rFonts w:ascii="Arial" w:cs="Arial" w:eastAsia="Arial" w:hAnsi="Arial"/>
                <w:sz w:val="10"/>
                <w:szCs w:val="10"/>
                <w:b w:val="1"/>
                <w:bCs w:val="1"/>
                <w:color w:val="auto"/>
              </w:rPr>
              <w:t>Excess of Par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03"/>
        </w:trPr>
        <w:tc>
          <w:tcPr>
            <w:tcW w:w="496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Balance at December 31, 2020</w:t>
            </w:r>
          </w:p>
        </w:tc>
        <w:tc>
          <w:tcPr>
            <w:tcW w:w="60" w:type="dxa"/>
            <w:vAlign w:val="bottom"/>
            <w:tcBorders>
              <w:top w:val="single" w:sz="8" w:color="auto"/>
            </w:tcBorders>
            <w:shd w:val="clear" w:color="auto" w:fill="CFF0FC"/>
          </w:tcPr>
          <w:p>
            <w:pPr>
              <w:spacing w:after="0"/>
              <w:rPr>
                <w:sz w:val="8"/>
                <w:szCs w:val="8"/>
                <w:color w:val="auto"/>
              </w:rPr>
            </w:pPr>
          </w:p>
        </w:tc>
        <w:tc>
          <w:tcPr>
            <w:tcW w:w="5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w w:val="99"/>
              </w:rPr>
              <w:t>67,684,209</w:t>
            </w:r>
          </w:p>
        </w:tc>
        <w:tc>
          <w:tcPr>
            <w:tcW w:w="40" w:type="dxa"/>
            <w:vAlign w:val="bottom"/>
            <w:tcBorders>
              <w:top w:val="single" w:sz="8" w:color="CFF0FC"/>
            </w:tcBorders>
            <w:shd w:val="clear" w:color="auto" w:fill="CFF0FC"/>
          </w:tcPr>
          <w:p>
            <w:pPr>
              <w:spacing w:after="0"/>
              <w:rPr>
                <w:sz w:val="8"/>
                <w:szCs w:val="8"/>
                <w:color w:val="auto"/>
              </w:rPr>
            </w:pPr>
          </w:p>
        </w:tc>
        <w:tc>
          <w:tcPr>
            <w:tcW w:w="20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auto"/>
            </w:tcBorders>
            <w:gridSpan w:val="2"/>
            <w:shd w:val="clear" w:color="auto" w:fill="CFF0FC"/>
          </w:tcPr>
          <w:p>
            <w:pPr>
              <w:spacing w:after="0" w:line="103" w:lineRule="exact"/>
              <w:rPr>
                <w:sz w:val="20"/>
                <w:szCs w:val="20"/>
                <w:color w:val="auto"/>
              </w:rPr>
            </w:pPr>
            <w:r>
              <w:rPr>
                <w:rFonts w:ascii="Arial" w:cs="Arial" w:eastAsia="Arial" w:hAnsi="Arial"/>
                <w:sz w:val="10"/>
                <w:szCs w:val="10"/>
                <w:color w:val="auto"/>
              </w:rPr>
              <w:t>$</w:t>
            </w:r>
          </w:p>
        </w:tc>
        <w:tc>
          <w:tcPr>
            <w:tcW w:w="3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680</w:t>
            </w:r>
          </w:p>
        </w:tc>
        <w:tc>
          <w:tcPr>
            <w:tcW w:w="20" w:type="dxa"/>
            <w:vAlign w:val="bottom"/>
            <w:tcBorders>
              <w:top w:val="single" w:sz="8" w:color="auto"/>
            </w:tcBorders>
            <w:shd w:val="clear" w:color="auto" w:fill="CFF0FC"/>
          </w:tcPr>
          <w:p>
            <w:pPr>
              <w:spacing w:after="0"/>
              <w:rPr>
                <w:sz w:val="8"/>
                <w:szCs w:val="8"/>
                <w:color w:val="auto"/>
              </w:rPr>
            </w:pPr>
          </w:p>
        </w:tc>
        <w:tc>
          <w:tcPr>
            <w:tcW w:w="18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CFF0FC"/>
            </w:tcBorders>
            <w:shd w:val="clear" w:color="auto" w:fill="CFF0FC"/>
          </w:tcPr>
          <w:p>
            <w:pPr>
              <w:spacing w:after="0"/>
              <w:rPr>
                <w:sz w:val="8"/>
                <w:szCs w:val="8"/>
                <w:color w:val="auto"/>
              </w:rPr>
            </w:pPr>
          </w:p>
        </w:tc>
        <w:tc>
          <w:tcPr>
            <w:tcW w:w="46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296,044</w:t>
            </w:r>
          </w:p>
        </w:tc>
        <w:tc>
          <w:tcPr>
            <w:tcW w:w="240" w:type="dxa"/>
            <w:vAlign w:val="bottom"/>
            <w:tcBorders>
              <w:top w:val="single" w:sz="8" w:color="CFF0FC"/>
            </w:tcBorders>
            <w:gridSpan w:val="2"/>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(4,291)</w:t>
            </w:r>
          </w:p>
        </w:tc>
        <w:tc>
          <w:tcPr>
            <w:tcW w:w="10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5"/>
                <w:szCs w:val="5"/>
                <w:color w:val="auto"/>
                <w:w w:val="70"/>
              </w:rPr>
              <w:t>$</w:t>
            </w:r>
          </w:p>
        </w:tc>
        <w:tc>
          <w:tcPr>
            <w:tcW w:w="146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1,025,676</w:t>
            </w:r>
          </w:p>
        </w:tc>
        <w:tc>
          <w:tcPr>
            <w:tcW w:w="10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6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139,250</w:t>
            </w:r>
          </w:p>
        </w:tc>
        <w:tc>
          <w:tcPr>
            <w:tcW w:w="80" w:type="dxa"/>
            <w:vAlign w:val="bottom"/>
            <w:tcBorders>
              <w:top w:val="single" w:sz="8" w:color="CFF0FC"/>
            </w:tcBorders>
            <w:shd w:val="clear" w:color="auto" w:fill="CFF0FC"/>
          </w:tcPr>
          <w:p>
            <w:pPr>
              <w:spacing w:after="0"/>
              <w:rPr>
                <w:sz w:val="8"/>
                <w:szCs w:val="8"/>
                <w:color w:val="auto"/>
              </w:rPr>
            </w:pPr>
          </w:p>
        </w:tc>
        <w:tc>
          <w:tcPr>
            <w:tcW w:w="140" w:type="dxa"/>
            <w:vAlign w:val="bottom"/>
            <w:tcBorders>
              <w:top w:val="single" w:sz="8" w:color="CFF0FC"/>
            </w:tcBorders>
            <w:gridSpan w:val="2"/>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color w:val="auto"/>
              </w:rPr>
              <w:t>1,161,315</w:t>
            </w:r>
          </w:p>
        </w:tc>
        <w:tc>
          <w:tcPr>
            <w:tcW w:w="6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5020" w:type="dxa"/>
            <w:vAlign w:val="bottom"/>
            <w:gridSpan w:val="2"/>
          </w:tcPr>
          <w:p>
            <w:pPr>
              <w:ind w:left="80"/>
              <w:spacing w:after="0" w:line="101" w:lineRule="exact"/>
              <w:rPr>
                <w:sz w:val="20"/>
                <w:szCs w:val="20"/>
                <w:color w:val="auto"/>
              </w:rPr>
            </w:pPr>
            <w:r>
              <w:rPr>
                <w:rFonts w:ascii="Arial" w:cs="Arial" w:eastAsia="Arial" w:hAnsi="Arial"/>
                <w:sz w:val="10"/>
                <w:szCs w:val="10"/>
                <w:color w:val="auto"/>
              </w:rPr>
              <w:t>Cumulative effect adjustment for the adoption of ASU</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960" w:type="dxa"/>
            <w:vAlign w:val="bottom"/>
          </w:tcPr>
          <w:p>
            <w:pPr>
              <w:ind w:left="160"/>
              <w:spacing w:after="0"/>
              <w:rPr>
                <w:sz w:val="20"/>
                <w:szCs w:val="20"/>
                <w:color w:val="auto"/>
              </w:rPr>
            </w:pPr>
            <w:r>
              <w:rPr>
                <w:rFonts w:ascii="Arial" w:cs="Arial" w:eastAsia="Arial" w:hAnsi="Arial"/>
                <w:sz w:val="10"/>
                <w:szCs w:val="10"/>
                <w:color w:val="auto"/>
              </w:rPr>
              <w:t xml:space="preserve">2020-06 </w:t>
            </w:r>
            <w:r>
              <w:rPr>
                <w:rFonts w:ascii="Arial" w:cs="Arial" w:eastAsia="Arial" w:hAnsi="Arial"/>
                <w:sz w:val="8"/>
                <w:szCs w:val="8"/>
                <w:color w:val="auto"/>
              </w:rPr>
              <w:t>(2)</w:t>
            </w:r>
          </w:p>
        </w:tc>
        <w:tc>
          <w:tcPr>
            <w:tcW w:w="60" w:type="dxa"/>
            <w:vAlign w:val="bottom"/>
          </w:tcPr>
          <w:p>
            <w:pPr>
              <w:spacing w:after="0"/>
              <w:rPr>
                <w:sz w:val="10"/>
                <w:szCs w:val="1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0"/>
                <w:szCs w:val="10"/>
                <w:color w:val="auto"/>
              </w:rPr>
              <w:t>(457)</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172</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113"/>
        </w:trPr>
        <w:tc>
          <w:tcPr>
            <w:tcW w:w="5020" w:type="dxa"/>
            <w:vAlign w:val="bottom"/>
            <w:gridSpan w:val="2"/>
            <w:shd w:val="clear" w:color="auto" w:fill="CFF0FC"/>
          </w:tcPr>
          <w:p>
            <w:pPr>
              <w:ind w:left="80"/>
              <w:spacing w:after="0" w:line="114" w:lineRule="exact"/>
              <w:rPr>
                <w:sz w:val="20"/>
                <w:szCs w:val="20"/>
                <w:color w:val="auto"/>
              </w:rPr>
            </w:pPr>
            <w:r>
              <w:rPr>
                <w:rFonts w:ascii="Arial" w:cs="Arial" w:eastAsia="Arial" w:hAnsi="Arial"/>
                <w:sz w:val="10"/>
                <w:szCs w:val="10"/>
                <w:color w:val="auto"/>
              </w:rPr>
              <w:t>Net increase in net assets resulting from operations:</w:t>
            </w: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20" w:type="dxa"/>
            <w:vAlign w:val="bottom"/>
            <w:gridSpan w:val="2"/>
          </w:tcPr>
          <w:p>
            <w:pPr>
              <w:ind w:left="160"/>
              <w:spacing w:after="0" w:line="114" w:lineRule="exact"/>
              <w:rPr>
                <w:sz w:val="20"/>
                <w:szCs w:val="20"/>
                <w:color w:val="auto"/>
              </w:rPr>
            </w:pPr>
            <w:r>
              <w:rPr>
                <w:rFonts w:ascii="Arial" w:cs="Arial" w:eastAsia="Arial" w:hAnsi="Arial"/>
                <w:sz w:val="10"/>
                <w:szCs w:val="10"/>
                <w:color w:val="auto"/>
              </w:rPr>
              <w:t>Net investment income</w:t>
            </w:r>
          </w:p>
        </w:tc>
        <w:tc>
          <w:tcPr>
            <w:tcW w:w="560" w:type="dxa"/>
            <w:vAlign w:val="bottom"/>
            <w:gridSpan w:val="2"/>
          </w:tcPr>
          <w:p>
            <w:pPr>
              <w:jc w:val="right"/>
              <w:ind w:right="40"/>
              <w:spacing w:after="0" w:line="114"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3"/>
          </w:tcPr>
          <w:p>
            <w:pPr>
              <w:ind w:left="22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6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gridSpan w:val="3"/>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32,310</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32,310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020" w:type="dxa"/>
            <w:vAlign w:val="bottom"/>
            <w:gridSpan w:val="2"/>
            <w:shd w:val="clear" w:color="auto" w:fill="CFF0FC"/>
          </w:tcPr>
          <w:p>
            <w:pPr>
              <w:ind w:left="160"/>
              <w:spacing w:after="0" w:line="101" w:lineRule="exact"/>
              <w:rPr>
                <w:sz w:val="20"/>
                <w:szCs w:val="20"/>
                <w:color w:val="auto"/>
              </w:rPr>
            </w:pPr>
            <w:r>
              <w:rPr>
                <w:rFonts w:ascii="Arial" w:cs="Arial" w:eastAsia="Arial" w:hAnsi="Arial"/>
                <w:sz w:val="10"/>
                <w:szCs w:val="10"/>
                <w:color w:val="auto"/>
              </w:rPr>
              <w:t>Net change in unrealized gains on investments and</w:t>
            </w: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shd w:val="clear" w:color="auto" w:fill="CFF0FC"/>
          </w:tcPr>
          <w:p>
            <w:pPr>
              <w:ind w:left="240"/>
              <w:spacing w:after="0"/>
              <w:rPr>
                <w:sz w:val="20"/>
                <w:szCs w:val="20"/>
                <w:color w:val="auto"/>
              </w:rPr>
            </w:pPr>
            <w:r>
              <w:rPr>
                <w:rFonts w:ascii="Arial" w:cs="Arial" w:eastAsia="Arial" w:hAnsi="Arial"/>
                <w:sz w:val="10"/>
                <w:szCs w:val="10"/>
                <w:color w:val="auto"/>
              </w:rPr>
              <w:t>foreign currency translation</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gridSpan w:val="3"/>
            <w:shd w:val="clear" w:color="auto" w:fill="CFF0FC"/>
          </w:tcPr>
          <w:p>
            <w:pPr>
              <w:ind w:left="220"/>
              <w:spacing w:after="0"/>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10"/>
                <w:szCs w:val="10"/>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80" w:type="dxa"/>
            <w:vAlign w:val="bottom"/>
            <w:gridSpan w:val="3"/>
            <w:shd w:val="clear" w:color="auto" w:fill="CFF0FC"/>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560" w:type="dxa"/>
            <w:vAlign w:val="bottom"/>
            <w:gridSpan w:val="3"/>
            <w:shd w:val="clear" w:color="auto" w:fill="CFF0FC"/>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9,755</w:t>
            </w: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0"/>
                <w:szCs w:val="10"/>
                <w:color w:val="auto"/>
              </w:rPr>
              <w:t>9,755</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020" w:type="dxa"/>
            <w:vAlign w:val="bottom"/>
            <w:gridSpan w:val="2"/>
          </w:tcPr>
          <w:p>
            <w:pPr>
              <w:ind w:left="160"/>
              <w:spacing w:after="0" w:line="101" w:lineRule="exact"/>
              <w:rPr>
                <w:sz w:val="20"/>
                <w:szCs w:val="20"/>
                <w:color w:val="auto"/>
              </w:rPr>
            </w:pPr>
            <w:r>
              <w:rPr>
                <w:rFonts w:ascii="Arial" w:cs="Arial" w:eastAsia="Arial" w:hAnsi="Arial"/>
                <w:sz w:val="10"/>
                <w:szCs w:val="10"/>
                <w:color w:val="auto"/>
              </w:rPr>
              <w:t>Net realized gains on investments and foreign</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tcPr>
          <w:p>
            <w:pPr>
              <w:ind w:left="240"/>
              <w:spacing w:after="0"/>
              <w:rPr>
                <w:sz w:val="20"/>
                <w:szCs w:val="20"/>
                <w:color w:val="auto"/>
              </w:rPr>
            </w:pPr>
            <w:r>
              <w:rPr>
                <w:rFonts w:ascii="Arial" w:cs="Arial" w:eastAsia="Arial" w:hAnsi="Arial"/>
                <w:sz w:val="10"/>
                <w:szCs w:val="10"/>
                <w:color w:val="auto"/>
              </w:rPr>
              <w:t>currency transactions</w:t>
            </w: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14,587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14,587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020" w:type="dxa"/>
            <w:vAlign w:val="bottom"/>
            <w:gridSpan w:val="2"/>
            <w:shd w:val="clear" w:color="auto" w:fill="CFF0FC"/>
          </w:tcPr>
          <w:p>
            <w:pPr>
              <w:ind w:left="80"/>
              <w:spacing w:after="0" w:line="101" w:lineRule="exact"/>
              <w:rPr>
                <w:sz w:val="20"/>
                <w:szCs w:val="20"/>
                <w:color w:val="auto"/>
              </w:rPr>
            </w:pPr>
            <w:r>
              <w:rPr>
                <w:rFonts w:ascii="Arial" w:cs="Arial" w:eastAsia="Arial" w:hAnsi="Arial"/>
                <w:sz w:val="10"/>
                <w:szCs w:val="10"/>
                <w:color w:val="auto"/>
              </w:rPr>
              <w:t>Increase in Net Assets Resulting from Capital Share</w:t>
            </w:r>
          </w:p>
        </w:tc>
        <w:tc>
          <w:tcPr>
            <w:tcW w:w="52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shd w:val="clear" w:color="auto" w:fill="CFF0FC"/>
          </w:tcPr>
          <w:p>
            <w:pPr>
              <w:ind w:left="160"/>
              <w:spacing w:after="0"/>
              <w:rPr>
                <w:sz w:val="20"/>
                <w:szCs w:val="20"/>
                <w:color w:val="auto"/>
              </w:rPr>
            </w:pPr>
            <w:r>
              <w:rPr>
                <w:rFonts w:ascii="Arial" w:cs="Arial" w:eastAsia="Arial" w:hAnsi="Arial"/>
                <w:sz w:val="10"/>
                <w:szCs w:val="10"/>
                <w:color w:val="auto"/>
              </w:rPr>
              <w:t>Transactions:</w:t>
            </w:r>
          </w:p>
        </w:tc>
        <w:tc>
          <w:tcPr>
            <w:tcW w:w="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5020" w:type="dxa"/>
            <w:vAlign w:val="bottom"/>
            <w:gridSpan w:val="2"/>
          </w:tcPr>
          <w:p>
            <w:pPr>
              <w:ind w:left="160"/>
              <w:spacing w:after="0" w:line="101" w:lineRule="exact"/>
              <w:rPr>
                <w:sz w:val="20"/>
                <w:szCs w:val="20"/>
                <w:color w:val="auto"/>
              </w:rPr>
            </w:pPr>
            <w:r>
              <w:rPr>
                <w:rFonts w:ascii="Arial" w:cs="Arial" w:eastAsia="Arial" w:hAnsi="Arial"/>
                <w:sz w:val="10"/>
                <w:szCs w:val="10"/>
                <w:color w:val="auto"/>
              </w:rPr>
              <w:t>Issuance of common stock, net of offering and</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tcPr>
          <w:p>
            <w:pPr>
              <w:ind w:left="240"/>
              <w:spacing w:after="0"/>
              <w:rPr>
                <w:sz w:val="20"/>
                <w:szCs w:val="20"/>
                <w:color w:val="auto"/>
              </w:rPr>
            </w:pPr>
            <w:r>
              <w:rPr>
                <w:rFonts w:ascii="Arial" w:cs="Arial" w:eastAsia="Arial" w:hAnsi="Arial"/>
                <w:sz w:val="10"/>
                <w:szCs w:val="10"/>
                <w:color w:val="auto"/>
              </w:rPr>
              <w:t>underwriting costs</w:t>
            </w:r>
          </w:p>
        </w:tc>
        <w:tc>
          <w:tcPr>
            <w:tcW w:w="520" w:type="dxa"/>
            <w:vAlign w:val="bottom"/>
          </w:tcPr>
          <w:p>
            <w:pPr>
              <w:jc w:val="right"/>
              <w:spacing w:after="0"/>
              <w:rPr>
                <w:sz w:val="20"/>
                <w:szCs w:val="20"/>
                <w:color w:val="auto"/>
              </w:rPr>
            </w:pPr>
            <w:r>
              <w:rPr>
                <w:rFonts w:ascii="Arial" w:cs="Arial" w:eastAsia="Arial" w:hAnsi="Arial"/>
                <w:sz w:val="10"/>
                <w:szCs w:val="10"/>
                <w:color w:val="auto"/>
              </w:rPr>
              <w:t>4,049,689</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Arial" w:cs="Arial" w:eastAsia="Arial" w:hAnsi="Arial"/>
                <w:sz w:val="10"/>
                <w:szCs w:val="10"/>
                <w:color w:val="auto"/>
              </w:rPr>
              <w:t>41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right"/>
              <w:spacing w:after="0"/>
              <w:rPr>
                <w:sz w:val="20"/>
                <w:szCs w:val="20"/>
                <w:color w:val="auto"/>
              </w:rPr>
            </w:pPr>
            <w:r>
              <w:rPr>
                <w:rFonts w:ascii="Arial" w:cs="Arial" w:eastAsia="Arial" w:hAnsi="Arial"/>
                <w:sz w:val="10"/>
                <w:szCs w:val="10"/>
                <w:color w:val="auto"/>
              </w:rPr>
              <w:t>85,904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85,945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020" w:type="dxa"/>
            <w:vAlign w:val="bottom"/>
            <w:gridSpan w:val="2"/>
            <w:shd w:val="clear" w:color="auto" w:fill="CFF0FC"/>
          </w:tcPr>
          <w:p>
            <w:pPr>
              <w:ind w:left="80"/>
              <w:spacing w:after="0" w:line="114" w:lineRule="exact"/>
              <w:rPr>
                <w:sz w:val="20"/>
                <w:szCs w:val="20"/>
                <w:color w:val="auto"/>
              </w:rPr>
            </w:pPr>
            <w:r>
              <w:rPr>
                <w:rFonts w:ascii="Arial" w:cs="Arial" w:eastAsia="Arial" w:hAnsi="Arial"/>
                <w:sz w:val="10"/>
                <w:szCs w:val="10"/>
                <w:color w:val="auto"/>
              </w:rPr>
              <w:t>Dividends to stockholders:</w:t>
            </w:r>
          </w:p>
        </w:tc>
        <w:tc>
          <w:tcPr>
            <w:tcW w:w="5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20" w:type="dxa"/>
            <w:vAlign w:val="bottom"/>
            <w:gridSpan w:val="2"/>
          </w:tcPr>
          <w:p>
            <w:pPr>
              <w:ind w:left="160"/>
              <w:spacing w:after="0" w:line="114" w:lineRule="exact"/>
              <w:rPr>
                <w:sz w:val="20"/>
                <w:szCs w:val="20"/>
                <w:color w:val="auto"/>
              </w:rPr>
            </w:pPr>
            <w:r>
              <w:rPr>
                <w:rFonts w:ascii="Arial" w:cs="Arial" w:eastAsia="Arial" w:hAnsi="Arial"/>
                <w:sz w:val="10"/>
                <w:szCs w:val="10"/>
                <w:color w:val="auto"/>
              </w:rPr>
              <w:t>Stock issued in connection with dividend reinvestment plan</w:t>
            </w:r>
          </w:p>
        </w:tc>
        <w:tc>
          <w:tcPr>
            <w:tcW w:w="520" w:type="dxa"/>
            <w:vAlign w:val="bottom"/>
          </w:tcPr>
          <w:p>
            <w:pPr>
              <w:jc w:val="right"/>
              <w:spacing w:after="0" w:line="114" w:lineRule="exact"/>
              <w:rPr>
                <w:sz w:val="20"/>
                <w:szCs w:val="20"/>
                <w:color w:val="auto"/>
              </w:rPr>
            </w:pPr>
            <w:r>
              <w:rPr>
                <w:rFonts w:ascii="Arial" w:cs="Arial" w:eastAsia="Arial" w:hAnsi="Arial"/>
                <w:sz w:val="10"/>
                <w:szCs w:val="10"/>
                <w:color w:val="auto"/>
              </w:rPr>
              <w:t>236,100</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2</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gridSpan w:val="3"/>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4,707</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3"/>
          </w:tcPr>
          <w:p>
            <w:pPr>
              <w:jc w:val="right"/>
              <w:ind w:right="80"/>
              <w:spacing w:after="0" w:line="114"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right"/>
              <w:spacing w:after="0" w:line="114" w:lineRule="exact"/>
              <w:rPr>
                <w:sz w:val="20"/>
                <w:szCs w:val="20"/>
                <w:color w:val="auto"/>
              </w:rPr>
            </w:pPr>
            <w:r>
              <w:rPr>
                <w:rFonts w:ascii="Arial" w:cs="Arial" w:eastAsia="Arial" w:hAnsi="Arial"/>
                <w:sz w:val="10"/>
                <w:szCs w:val="10"/>
                <w:color w:val="auto"/>
              </w:rPr>
              <w:t>4,709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5020" w:type="dxa"/>
            <w:vAlign w:val="bottom"/>
            <w:gridSpan w:val="2"/>
            <w:shd w:val="clear" w:color="auto" w:fill="CFF0FC"/>
          </w:tcPr>
          <w:p>
            <w:pPr>
              <w:ind w:left="160"/>
              <w:spacing w:after="0" w:line="114" w:lineRule="exact"/>
              <w:rPr>
                <w:sz w:val="20"/>
                <w:szCs w:val="20"/>
                <w:color w:val="auto"/>
              </w:rPr>
            </w:pPr>
            <w:r>
              <w:rPr>
                <w:rFonts w:ascii="Arial" w:cs="Arial" w:eastAsia="Arial" w:hAnsi="Arial"/>
                <w:sz w:val="10"/>
                <w:szCs w:val="10"/>
                <w:color w:val="auto"/>
              </w:rPr>
              <w:t>Dividends declared from net investment income</w:t>
            </w:r>
          </w:p>
        </w:tc>
        <w:tc>
          <w:tcPr>
            <w:tcW w:w="560" w:type="dxa"/>
            <w:vAlign w:val="bottom"/>
            <w:gridSpan w:val="2"/>
            <w:shd w:val="clear" w:color="auto" w:fill="CFF0FC"/>
          </w:tcPr>
          <w:p>
            <w:pPr>
              <w:jc w:val="right"/>
              <w:ind w:right="40"/>
              <w:spacing w:after="0" w:line="114" w:lineRule="exact"/>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gridSpan w:val="3"/>
            <w:shd w:val="clear" w:color="auto" w:fill="CFF0FC"/>
          </w:tcPr>
          <w:p>
            <w:pPr>
              <w:ind w:left="220"/>
              <w:spacing w:after="0" w:line="114" w:lineRule="exact"/>
              <w:rPr>
                <w:sz w:val="20"/>
                <w:szCs w:val="20"/>
                <w:color w:val="auto"/>
              </w:rPr>
            </w:pPr>
            <w:r>
              <w:rPr>
                <w:rFonts w:ascii="Arial" w:cs="Arial" w:eastAsia="Arial" w:hAnsi="Arial"/>
                <w:sz w:val="10"/>
                <w:szCs w:val="10"/>
                <w:color w:val="auto"/>
              </w:rPr>
              <w:t>—</w:t>
            </w:r>
          </w:p>
        </w:tc>
        <w:tc>
          <w:tcPr>
            <w:tcW w:w="40" w:type="dxa"/>
            <w:vAlign w:val="bottom"/>
            <w:shd w:val="clear" w:color="auto" w:fill="CFF0FC"/>
          </w:tcPr>
          <w:p>
            <w:pPr>
              <w:spacing w:after="0"/>
              <w:rPr>
                <w:sz w:val="9"/>
                <w:szCs w:val="9"/>
                <w:color w:val="auto"/>
              </w:rPr>
            </w:pPr>
          </w:p>
        </w:tc>
        <w:tc>
          <w:tcPr>
            <w:tcW w:w="460" w:type="dxa"/>
            <w:vAlign w:val="bottom"/>
            <w:gridSpan w:val="2"/>
            <w:shd w:val="clear" w:color="auto" w:fill="CFF0FC"/>
          </w:tcPr>
          <w:p>
            <w:pPr>
              <w:jc w:val="right"/>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480" w:type="dxa"/>
            <w:vAlign w:val="bottom"/>
            <w:gridSpan w:val="3"/>
            <w:shd w:val="clear" w:color="auto" w:fill="CFF0FC"/>
          </w:tcPr>
          <w:p>
            <w:pPr>
              <w:jc w:val="right"/>
              <w:ind w:right="60"/>
              <w:spacing w:after="0" w:line="114" w:lineRule="exact"/>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560" w:type="dxa"/>
            <w:vAlign w:val="bottom"/>
            <w:gridSpan w:val="3"/>
            <w:shd w:val="clear" w:color="auto" w:fill="CFF0FC"/>
          </w:tcPr>
          <w:p>
            <w:pPr>
              <w:jc w:val="right"/>
              <w:ind w:right="100"/>
              <w:spacing w:after="0" w:line="114" w:lineRule="exact"/>
              <w:rPr>
                <w:sz w:val="20"/>
                <w:szCs w:val="20"/>
                <w:color w:val="auto"/>
              </w:rPr>
            </w:pPr>
            <w:r>
              <w:rPr>
                <w:rFonts w:ascii="Arial" w:cs="Arial" w:eastAsia="Arial" w:hAnsi="Arial"/>
                <w:sz w:val="10"/>
                <w:szCs w:val="10"/>
                <w:color w:val="auto"/>
              </w:rPr>
              <w:t>—</w:t>
            </w: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20" w:type="dxa"/>
            <w:vAlign w:val="bottom"/>
            <w:gridSpan w:val="3"/>
            <w:shd w:val="clear" w:color="auto" w:fill="CFF0FC"/>
          </w:tcPr>
          <w:p>
            <w:pPr>
              <w:jc w:val="right"/>
              <w:ind w:right="40"/>
              <w:spacing w:after="0" w:line="114" w:lineRule="exact"/>
              <w:rPr>
                <w:sz w:val="20"/>
                <w:szCs w:val="20"/>
                <w:color w:val="auto"/>
              </w:rPr>
            </w:pPr>
            <w:r>
              <w:rPr>
                <w:rFonts w:ascii="Arial" w:cs="Arial" w:eastAsia="Arial" w:hAnsi="Arial"/>
                <w:sz w:val="10"/>
                <w:szCs w:val="10"/>
                <w:color w:val="auto"/>
              </w:rPr>
              <w:t>(123,004)</w:t>
            </w:r>
          </w:p>
        </w:tc>
        <w:tc>
          <w:tcPr>
            <w:tcW w:w="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00" w:type="dxa"/>
            <w:vAlign w:val="bottom"/>
            <w:gridSpan w:val="3"/>
            <w:shd w:val="clear" w:color="auto" w:fill="CFF0FC"/>
          </w:tcPr>
          <w:p>
            <w:pPr>
              <w:jc w:val="right"/>
              <w:ind w:right="20"/>
              <w:spacing w:after="0" w:line="114" w:lineRule="exact"/>
              <w:rPr>
                <w:sz w:val="20"/>
                <w:szCs w:val="20"/>
                <w:color w:val="auto"/>
              </w:rPr>
            </w:pPr>
            <w:r>
              <w:rPr>
                <w:rFonts w:ascii="Arial" w:cs="Arial" w:eastAsia="Arial" w:hAnsi="Arial"/>
                <w:sz w:val="10"/>
                <w:szCs w:val="10"/>
                <w:color w:val="auto"/>
              </w:rPr>
              <w:t>(123,004)</w:t>
            </w:r>
          </w:p>
        </w:tc>
        <w:tc>
          <w:tcPr>
            <w:tcW w:w="0" w:type="dxa"/>
            <w:vAlign w:val="bottom"/>
          </w:tcPr>
          <w:p>
            <w:pPr>
              <w:spacing w:after="0"/>
              <w:rPr>
                <w:sz w:val="1"/>
                <w:szCs w:val="1"/>
                <w:color w:val="auto"/>
              </w:rPr>
            </w:pPr>
          </w:p>
        </w:tc>
      </w:tr>
      <w:tr>
        <w:trPr>
          <w:trHeight w:val="101"/>
        </w:trPr>
        <w:tc>
          <w:tcPr>
            <w:tcW w:w="5020" w:type="dxa"/>
            <w:vAlign w:val="bottom"/>
            <w:gridSpan w:val="2"/>
          </w:tcPr>
          <w:p>
            <w:pPr>
              <w:ind w:left="80"/>
              <w:spacing w:after="0" w:line="101" w:lineRule="exact"/>
              <w:rPr>
                <w:sz w:val="20"/>
                <w:szCs w:val="20"/>
                <w:color w:val="auto"/>
              </w:rPr>
            </w:pPr>
            <w:r>
              <w:rPr>
                <w:rFonts w:ascii="Arial" w:cs="Arial" w:eastAsia="Arial" w:hAnsi="Arial"/>
                <w:sz w:val="10"/>
                <w:szCs w:val="10"/>
                <w:color w:val="auto"/>
              </w:rPr>
              <w:t>Tax reclassification of stockholders' equity in accordance with</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5020" w:type="dxa"/>
            <w:vAlign w:val="bottom"/>
            <w:gridSpan w:val="2"/>
          </w:tcPr>
          <w:p>
            <w:pPr>
              <w:ind w:left="160"/>
              <w:spacing w:after="0"/>
              <w:rPr>
                <w:sz w:val="20"/>
                <w:szCs w:val="20"/>
                <w:color w:val="auto"/>
              </w:rPr>
            </w:pPr>
            <w:r>
              <w:rPr>
                <w:rFonts w:ascii="Arial" w:cs="Arial" w:eastAsia="Arial" w:hAnsi="Arial"/>
                <w:sz w:val="10"/>
                <w:szCs w:val="10"/>
                <w:color w:val="auto"/>
              </w:rPr>
              <w:t xml:space="preserve">GAAP </w:t>
            </w:r>
            <w:r>
              <w:rPr>
                <w:rFonts w:ascii="Arial" w:cs="Arial" w:eastAsia="Arial" w:hAnsi="Arial"/>
                <w:sz w:val="8"/>
                <w:szCs w:val="8"/>
                <w:color w:val="auto"/>
              </w:rPr>
              <w:t>(1)</w:t>
            </w:r>
          </w:p>
        </w:tc>
        <w:tc>
          <w:tcPr>
            <w:tcW w:w="5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tcPr>
          <w:p>
            <w:pPr>
              <w:ind w:left="22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46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0"/>
                <w:szCs w:val="10"/>
                <w:color w:val="auto"/>
              </w:rPr>
              <w:t>(460)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spacing w:after="0"/>
              <w:rPr>
                <w:sz w:val="20"/>
                <w:szCs w:val="20"/>
                <w:color w:val="auto"/>
              </w:rPr>
            </w:pPr>
            <w:r>
              <w:rPr>
                <w:rFonts w:ascii="Arial" w:cs="Arial" w:eastAsia="Arial" w:hAnsi="Arial"/>
                <w:sz w:val="10"/>
                <w:szCs w:val="10"/>
                <w:color w:val="auto"/>
              </w:rPr>
              <w:t>460</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4960" w:type="dxa"/>
            <w:vAlign w:val="bottom"/>
            <w:tcBorders>
              <w:top w:val="single" w:sz="8" w:color="CFF0FC"/>
              <w:bottom w:val="single" w:sz="8" w:color="CFF0FC"/>
            </w:tcBorders>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Balance at March 31, 2021</w:t>
            </w:r>
          </w:p>
        </w:tc>
        <w:tc>
          <w:tcPr>
            <w:tcW w:w="60" w:type="dxa"/>
            <w:vAlign w:val="bottom"/>
            <w:tcBorders>
              <w:top w:val="single" w:sz="8" w:color="auto"/>
              <w:bottom w:val="single" w:sz="8" w:color="auto"/>
            </w:tcBorders>
            <w:shd w:val="clear" w:color="auto" w:fill="CFF0FC"/>
          </w:tcPr>
          <w:p>
            <w:pPr>
              <w:spacing w:after="0"/>
              <w:rPr>
                <w:sz w:val="9"/>
                <w:szCs w:val="9"/>
                <w:color w:val="auto"/>
              </w:rPr>
            </w:pPr>
          </w:p>
        </w:tc>
        <w:tc>
          <w:tcPr>
            <w:tcW w:w="52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w w:val="99"/>
              </w:rPr>
              <w:t>71,969,998</w:t>
            </w: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gridSpan w:val="2"/>
            <w:shd w:val="clear" w:color="auto" w:fill="CFF0FC"/>
          </w:tcPr>
          <w:p>
            <w:pPr>
              <w:spacing w:after="0" w:line="103" w:lineRule="exact"/>
              <w:rPr>
                <w:sz w:val="20"/>
                <w:szCs w:val="20"/>
                <w:color w:val="auto"/>
              </w:rPr>
            </w:pPr>
            <w:r>
              <w:rPr>
                <w:rFonts w:ascii="Arial" w:cs="Arial" w:eastAsia="Arial" w:hAnsi="Arial"/>
                <w:sz w:val="10"/>
                <w:szCs w:val="10"/>
                <w:b w:val="1"/>
                <w:bCs w:val="1"/>
                <w:color w:val="auto"/>
              </w:rPr>
              <w:t>$</w:t>
            </w:r>
          </w:p>
        </w:tc>
        <w:tc>
          <w:tcPr>
            <w:tcW w:w="320" w:type="dxa"/>
            <w:vAlign w:val="bottom"/>
            <w:tcBorders>
              <w:top w:val="single" w:sz="8" w:color="auto"/>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rPr>
              <w:t>723</w:t>
            </w:r>
          </w:p>
        </w:tc>
        <w:tc>
          <w:tcPr>
            <w:tcW w:w="20" w:type="dxa"/>
            <w:vAlign w:val="bottom"/>
            <w:tcBorders>
              <w:top w:val="single" w:sz="8" w:color="auto"/>
              <w:bottom w:val="single" w:sz="8" w:color="auto"/>
            </w:tcBorders>
            <w:shd w:val="clear" w:color="auto" w:fill="CFF0FC"/>
          </w:tcPr>
          <w:p>
            <w:pPr>
              <w:spacing w:after="0"/>
              <w:rPr>
                <w:sz w:val="9"/>
                <w:szCs w:val="9"/>
                <w:color w:val="auto"/>
              </w:rPr>
            </w:pPr>
          </w:p>
        </w:tc>
        <w:tc>
          <w:tcPr>
            <w:tcW w:w="18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CFF0FC"/>
              <w:bottom w:val="single" w:sz="8" w:color="CFF0FC"/>
            </w:tcBorders>
            <w:shd w:val="clear" w:color="auto" w:fill="CFF0FC"/>
          </w:tcPr>
          <w:p>
            <w:pPr>
              <w:spacing w:after="0"/>
              <w:rPr>
                <w:sz w:val="9"/>
                <w:szCs w:val="9"/>
                <w:color w:val="auto"/>
              </w:rPr>
            </w:pPr>
          </w:p>
        </w:tc>
        <w:tc>
          <w:tcPr>
            <w:tcW w:w="460" w:type="dxa"/>
            <w:vAlign w:val="bottom"/>
            <w:tcBorders>
              <w:top w:val="single" w:sz="8" w:color="auto"/>
              <w:bottom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rPr>
              <w:t>296,044</w:t>
            </w:r>
          </w:p>
        </w:tc>
        <w:tc>
          <w:tcPr>
            <w:tcW w:w="240" w:type="dxa"/>
            <w:vAlign w:val="bottom"/>
            <w:tcBorders>
              <w:top w:val="single" w:sz="8" w:color="CFF0FC"/>
              <w:bottom w:val="single" w:sz="8" w:color="CFF0FC"/>
            </w:tcBorders>
            <w:gridSpan w:val="2"/>
            <w:shd w:val="clear" w:color="auto" w:fill="CFF0FC"/>
          </w:tcPr>
          <w:p>
            <w:pPr>
              <w:spacing w:after="0"/>
              <w:rPr>
                <w:sz w:val="9"/>
                <w:szCs w:val="9"/>
                <w:color w:val="auto"/>
              </w:rPr>
            </w:pPr>
          </w:p>
        </w:tc>
        <w:tc>
          <w:tcPr>
            <w:tcW w:w="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380" w:type="dxa"/>
            <w:vAlign w:val="bottom"/>
            <w:tcBorders>
              <w:top w:val="single" w:sz="8" w:color="auto"/>
              <w:bottom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rPr>
              <w:t>(4,291</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5"/>
                <w:szCs w:val="5"/>
                <w:b w:val="1"/>
                <w:bCs w:val="1"/>
                <w:color w:val="auto"/>
                <w:w w:val="70"/>
              </w:rPr>
              <w:t>$</w:t>
            </w:r>
          </w:p>
        </w:tc>
        <w:tc>
          <w:tcPr>
            <w:tcW w:w="1460" w:type="dxa"/>
            <w:vAlign w:val="bottom"/>
            <w:tcBorders>
              <w:top w:val="single" w:sz="8" w:color="auto"/>
              <w:bottom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rPr>
              <w:t>1,115,370</w:t>
            </w: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rPr>
              <w:t>73,530</w:t>
            </w:r>
          </w:p>
        </w:tc>
        <w:tc>
          <w:tcPr>
            <w:tcW w:w="80" w:type="dxa"/>
            <w:vAlign w:val="bottom"/>
            <w:tcBorders>
              <w:top w:val="single" w:sz="8" w:color="CFF0FC"/>
              <w:bottom w:val="single" w:sz="8" w:color="CFF0FC"/>
            </w:tcBorders>
            <w:shd w:val="clear" w:color="auto" w:fill="CFF0FC"/>
          </w:tcPr>
          <w:p>
            <w:pPr>
              <w:spacing w:after="0"/>
              <w:rPr>
                <w:sz w:val="9"/>
                <w:szCs w:val="9"/>
                <w:color w:val="auto"/>
              </w:rPr>
            </w:pPr>
          </w:p>
        </w:tc>
        <w:tc>
          <w:tcPr>
            <w:tcW w:w="140" w:type="dxa"/>
            <w:vAlign w:val="bottom"/>
            <w:tcBorders>
              <w:top w:val="single" w:sz="8" w:color="CFF0FC"/>
              <w:bottom w:val="single" w:sz="8" w:color="CFF0FC"/>
            </w:tcBorders>
            <w:gridSpan w:val="2"/>
            <w:shd w:val="clear" w:color="auto" w:fill="CFF0FC"/>
          </w:tcPr>
          <w:p>
            <w:pPr>
              <w:spacing w:after="0"/>
              <w:rPr>
                <w:sz w:val="9"/>
                <w:szCs w:val="9"/>
                <w:color w:val="auto"/>
              </w:rPr>
            </w:pPr>
          </w:p>
        </w:tc>
        <w:tc>
          <w:tcPr>
            <w:tcW w:w="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gridSpan w:val="2"/>
            <w:shd w:val="clear" w:color="auto" w:fill="CFF0FC"/>
          </w:tcPr>
          <w:p>
            <w:pPr>
              <w:jc w:val="right"/>
              <w:spacing w:after="0" w:line="103" w:lineRule="exact"/>
              <w:rPr>
                <w:sz w:val="20"/>
                <w:szCs w:val="20"/>
                <w:color w:val="auto"/>
              </w:rPr>
            </w:pPr>
            <w:r>
              <w:rPr>
                <w:rFonts w:ascii="Arial" w:cs="Arial" w:eastAsia="Arial" w:hAnsi="Arial"/>
                <w:sz w:val="10"/>
                <w:szCs w:val="10"/>
                <w:b w:val="1"/>
                <w:bCs w:val="1"/>
                <w:color w:val="auto"/>
              </w:rPr>
              <w:t>1,185,332</w:t>
            </w: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04" w:hanging="504"/>
        <w:spacing w:after="0"/>
        <w:tabs>
          <w:tab w:leader="none" w:pos="504"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Company’s tax year end is March 31</w:t>
      </w:r>
      <w:r>
        <w:rPr>
          <w:rFonts w:ascii="Arial" w:cs="Arial" w:eastAsia="Arial" w:hAnsi="Arial"/>
          <w:sz w:val="10"/>
          <w:szCs w:val="10"/>
          <w:color w:val="auto"/>
        </w:rPr>
        <w:t>st</w:t>
      </w:r>
      <w:r>
        <w:rPr>
          <w:rFonts w:ascii="Arial" w:cs="Arial" w:eastAsia="Arial" w:hAnsi="Arial"/>
          <w:sz w:val="13"/>
          <w:szCs w:val="13"/>
          <w:color w:val="auto"/>
        </w:rPr>
        <w:t>.</w:t>
      </w:r>
    </w:p>
    <w:p>
      <w:pPr>
        <w:spacing w:after="0" w:line="10" w:lineRule="exact"/>
        <w:rPr>
          <w:rFonts w:ascii="Arial" w:cs="Arial" w:eastAsia="Arial" w:hAnsi="Arial"/>
          <w:sz w:val="13"/>
          <w:szCs w:val="13"/>
          <w:color w:val="auto"/>
        </w:rPr>
      </w:pPr>
    </w:p>
    <w:p>
      <w:pPr>
        <w:ind w:left="504" w:hanging="504"/>
        <w:spacing w:after="0"/>
        <w:tabs>
          <w:tab w:leader="none" w:pos="504"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Note 2 for further information related to the adoption of ASU 2020-06.</w:t>
      </w:r>
    </w:p>
    <w:p>
      <w:pPr>
        <w:spacing w:after="0" w:line="15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78" w:right="29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3"/>
          <w:szCs w:val="13"/>
          <w:b w:val="1"/>
          <w:bCs w:val="1"/>
          <w:color w:val="auto"/>
        </w:rPr>
        <w:t>Sixth Street Specialty Lending, Inc.</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(Amounts in thousands)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Three Months Ended</w:t>
            </w:r>
          </w:p>
        </w:tc>
        <w:tc>
          <w:tcPr>
            <w:tcW w:w="240" w:type="dxa"/>
            <w:vAlign w:val="bottom"/>
          </w:tcPr>
          <w:p>
            <w:pPr>
              <w:spacing w:after="0"/>
              <w:rPr>
                <w:sz w:val="10"/>
                <w:szCs w:val="1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0"/>
                <w:szCs w:val="10"/>
                <w:b w:val="1"/>
                <w:bCs w:val="1"/>
                <w:color w:val="auto"/>
              </w:rPr>
              <w:t>March 31, 2022</w:t>
            </w:r>
          </w:p>
        </w:tc>
        <w:tc>
          <w:tcPr>
            <w:tcW w:w="240" w:type="dxa"/>
            <w:vAlign w:val="bottom"/>
          </w:tcPr>
          <w:p>
            <w:pPr>
              <w:spacing w:after="0"/>
              <w:rPr>
                <w:sz w:val="10"/>
                <w:szCs w:val="10"/>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March 31, 2021</w:t>
            </w:r>
          </w:p>
        </w:tc>
        <w:tc>
          <w:tcPr>
            <w:tcW w:w="0" w:type="dxa"/>
            <w:vAlign w:val="bottom"/>
          </w:tcPr>
          <w:p>
            <w:pPr>
              <w:spacing w:after="0"/>
              <w:rPr>
                <w:sz w:val="1"/>
                <w:szCs w:val="1"/>
                <w:color w:val="auto"/>
              </w:rPr>
            </w:pPr>
          </w:p>
        </w:tc>
      </w:tr>
      <w:tr>
        <w:trPr>
          <w:trHeight w:val="150"/>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6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20"/>
                <w:szCs w:val="20"/>
                <w:color w:val="auto"/>
              </w:rPr>
            </w:pPr>
            <w:r>
              <w:rPr>
                <w:rFonts w:ascii="Arial" w:cs="Arial" w:eastAsia="Arial" w:hAnsi="Arial"/>
                <w:sz w:val="13"/>
                <w:szCs w:val="13"/>
                <w:color w:val="auto"/>
              </w:rPr>
              <w:t>Increase in net assets resulting from operations</w:t>
            </w:r>
          </w:p>
        </w:tc>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40,885</w:t>
            </w:r>
          </w:p>
        </w:tc>
        <w:tc>
          <w:tcPr>
            <w:tcW w:w="28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56,652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increase in net assets resulting from operations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720" w:type="dxa"/>
            <w:vAlign w:val="bottom"/>
            <w:shd w:val="clear" w:color="auto" w:fill="CFF0FC"/>
          </w:tcPr>
          <w:p>
            <w:pPr>
              <w:ind w:left="100"/>
              <w:spacing w:after="0"/>
              <w:rPr>
                <w:sz w:val="20"/>
                <w:szCs w:val="20"/>
                <w:color w:val="auto"/>
              </w:rPr>
            </w:pPr>
            <w:r>
              <w:rPr>
                <w:rFonts w:ascii="Arial" w:cs="Arial" w:eastAsia="Arial" w:hAnsi="Arial"/>
                <w:sz w:val="13"/>
                <w:szCs w:val="13"/>
                <w:color w:val="auto"/>
              </w:rPr>
              <w:t>to net cash provided by (used in) operating activities: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Net change in unrealized (gains) losses on investments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3,752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3"/>
                <w:szCs w:val="13"/>
                <w:color w:val="auto"/>
              </w:rPr>
              <w:t>(11,444)</w:t>
            </w: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Net change in unrealized (gains) losses on foreign currency transactions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Net change in unrealized losses on interest rate swaps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2,943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1,822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Net realized (gains) on investments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(13,681)</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(14,586)</w:t>
            </w: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Net realized (gains) losses on foreign currency transactions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(32)</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Net amortization of discount on investments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(4,764)</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(7,026)</w:t>
            </w: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Amortization of deferred financing costs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1,443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1,347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Amortization of discount on debt</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Purchases and originations of investments, net</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(84,222)</w:t>
            </w: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3"/>
                <w:szCs w:val="13"/>
                <w:color w:val="auto"/>
              </w:rPr>
              <w:t>(170,432)</w:t>
            </w: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Proceeds from investments, net</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17,572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Repayments on investments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154,284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87,984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Paid-in-kind interest</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(3,096)</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(2,125)</w:t>
            </w:r>
          </w:p>
        </w:tc>
        <w:tc>
          <w:tcPr>
            <w:tcW w:w="0" w:type="dxa"/>
            <w:vAlign w:val="bottom"/>
          </w:tcPr>
          <w:p>
            <w:pPr>
              <w:spacing w:after="0"/>
              <w:rPr>
                <w:sz w:val="1"/>
                <w:szCs w:val="1"/>
                <w:color w:val="auto"/>
              </w:rPr>
            </w:pPr>
          </w:p>
        </w:tc>
      </w:tr>
      <w:tr>
        <w:trPr>
          <w:trHeight w:val="161"/>
        </w:trPr>
        <w:tc>
          <w:tcPr>
            <w:tcW w:w="5720" w:type="dxa"/>
            <w:vAlign w:val="bottom"/>
          </w:tcPr>
          <w:p>
            <w:pPr>
              <w:ind w:left="160"/>
              <w:spacing w:after="0"/>
              <w:rPr>
                <w:sz w:val="20"/>
                <w:szCs w:val="20"/>
                <w:color w:val="auto"/>
              </w:rPr>
            </w:pPr>
            <w:r>
              <w:rPr>
                <w:rFonts w:ascii="Arial" w:cs="Arial" w:eastAsia="Arial" w:hAnsi="Arial"/>
                <w:sz w:val="13"/>
                <w:szCs w:val="13"/>
                <w:color w:val="auto"/>
              </w:rPr>
              <w:t>Changes in operating assets and liabilities: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Interest receivable</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(922)</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(2,260)</w:t>
            </w: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Interest receivable paid-in-kind</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Prepaid expenses and other assets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(626)</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12,410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Management fees payable to affiliate</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(50)</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Incentive fees on net investment income payable to affiliate</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(1,912)</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Incentive fees on net capital gains accrued to affiliate</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1,423</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4,515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Payable to affiliate</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(206)</w:t>
            </w: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Other liabilities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(33,651)</w:t>
            </w: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3"/>
                <w:szCs w:val="13"/>
                <w:color w:val="auto"/>
              </w:rPr>
              <w:t>(17,688)</w:t>
            </w:r>
          </w:p>
        </w:tc>
        <w:tc>
          <w:tcPr>
            <w:tcW w:w="0" w:type="dxa"/>
            <w:vAlign w:val="bottom"/>
          </w:tcPr>
          <w:p>
            <w:pPr>
              <w:spacing w:after="0"/>
              <w:rPr>
                <w:sz w:val="1"/>
                <w:szCs w:val="1"/>
                <w:color w:val="auto"/>
              </w:rPr>
            </w:pPr>
          </w:p>
        </w:tc>
      </w:tr>
      <w:tr>
        <w:trPr>
          <w:trHeight w:val="20"/>
        </w:trPr>
        <w:tc>
          <w:tcPr>
            <w:tcW w:w="5720" w:type="dxa"/>
            <w:vAlign w:val="bottom"/>
            <w:vMerge w:val="restart"/>
            <w:shd w:val="clear" w:color="auto" w:fill="CFF0FC"/>
          </w:tcPr>
          <w:p>
            <w:pPr>
              <w:ind w:left="340"/>
              <w:spacing w:after="0"/>
              <w:rPr>
                <w:sz w:val="20"/>
                <w:szCs w:val="20"/>
                <w:color w:val="auto"/>
              </w:rPr>
            </w:pPr>
            <w:r>
              <w:rPr>
                <w:rFonts w:ascii="Arial" w:cs="Arial" w:eastAsia="Arial" w:hAnsi="Arial"/>
                <w:sz w:val="13"/>
                <w:szCs w:val="13"/>
                <w:b w:val="1"/>
                <w:bCs w:val="1"/>
                <w:color w:val="auto"/>
              </w:rPr>
              <w:t>Net Cash Provided by (Used in) Operating Activities</w:t>
            </w:r>
          </w:p>
        </w:tc>
        <w:tc>
          <w:tcPr>
            <w:tcW w:w="1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20" w:type="dxa"/>
            <w:vAlign w:val="bottom"/>
            <w:vMerge w:val="continue"/>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81,150</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(25,849)</w:t>
            </w:r>
          </w:p>
        </w:tc>
        <w:tc>
          <w:tcPr>
            <w:tcW w:w="0" w:type="dxa"/>
            <w:vAlign w:val="bottom"/>
          </w:tcPr>
          <w:p>
            <w:pPr>
              <w:spacing w:after="0"/>
              <w:rPr>
                <w:sz w:val="1"/>
                <w:szCs w:val="1"/>
                <w:color w:val="auto"/>
              </w:rPr>
            </w:pPr>
          </w:p>
        </w:tc>
      </w:tr>
      <w:tr>
        <w:trPr>
          <w:trHeight w:val="150"/>
        </w:trPr>
        <w:tc>
          <w:tcPr>
            <w:tcW w:w="57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6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Borrowings on debt</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134,530</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404,159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20"/>
                <w:szCs w:val="20"/>
                <w:color w:val="auto"/>
              </w:rPr>
            </w:pPr>
            <w:r>
              <w:rPr>
                <w:rFonts w:ascii="Arial" w:cs="Arial" w:eastAsia="Arial" w:hAnsi="Arial"/>
                <w:sz w:val="13"/>
                <w:szCs w:val="13"/>
                <w:color w:val="auto"/>
              </w:rPr>
              <w:t>Repayments on debt</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(175,589)</w:t>
            </w:r>
          </w:p>
        </w:tc>
        <w:tc>
          <w:tcPr>
            <w:tcW w:w="240" w:type="dxa"/>
            <w:vAlign w:val="bottom"/>
          </w:tcPr>
          <w:p>
            <w:pPr>
              <w:spacing w:after="0"/>
              <w:rPr>
                <w:sz w:val="13"/>
                <w:szCs w:val="13"/>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3"/>
                <w:szCs w:val="13"/>
                <w:color w:val="auto"/>
              </w:rPr>
              <w:t>(423,092)</w:t>
            </w: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Deferred financing costs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(52)</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(7,832)</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20"/>
                <w:szCs w:val="20"/>
                <w:color w:val="auto"/>
              </w:rPr>
            </w:pPr>
            <w:r>
              <w:rPr>
                <w:rFonts w:ascii="Arial" w:cs="Arial" w:eastAsia="Arial" w:hAnsi="Arial"/>
                <w:sz w:val="13"/>
                <w:szCs w:val="13"/>
                <w:color w:val="auto"/>
              </w:rPr>
              <w:t>Proceeds from issuance of common stock, net of offering and underwriting costs</w:t>
            </w: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85,945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Dividends paid to stockholders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(32,512)</w:t>
            </w:r>
          </w:p>
        </w:tc>
        <w:tc>
          <w:tcPr>
            <w:tcW w:w="240" w:type="dxa"/>
            <w:vAlign w:val="bottom"/>
            <w:shd w:val="clear" w:color="auto" w:fill="CFF0FC"/>
          </w:tcPr>
          <w:p>
            <w:pPr>
              <w:spacing w:after="0"/>
              <w:rPr>
                <w:sz w:val="13"/>
                <w:szCs w:val="13"/>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(26,613)</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72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3"/>
                <w:szCs w:val="13"/>
                <w:color w:val="auto"/>
              </w:rPr>
              <w:t>(73,623)</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32,567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2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164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7,527</w:t>
            </w:r>
          </w:p>
        </w:tc>
        <w:tc>
          <w:tcPr>
            <w:tcW w:w="2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6,718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beginning of period</w:t>
            </w:r>
          </w:p>
        </w:tc>
        <w:tc>
          <w:tcPr>
            <w:tcW w:w="16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15,967</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13,274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b w:val="1"/>
                <w:bCs w:val="1"/>
                <w:color w:val="auto"/>
              </w:rPr>
              <w:t>Cash, Cash Equivalents, and Restricted Cash, End of Period</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23,494</w:t>
            </w: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Borders>
              <w:top w:val="single" w:sz="8" w:color="CFF0FC"/>
            </w:tcBorders>
          </w:tcPr>
          <w:p>
            <w:pPr>
              <w:spacing w:after="0"/>
              <w:rPr>
                <w:sz w:val="20"/>
                <w:szCs w:val="20"/>
                <w:color w:val="auto"/>
              </w:rPr>
            </w:pPr>
            <w:r>
              <w:rPr>
                <w:rFonts w:ascii="Arial" w:cs="Arial" w:eastAsia="Arial" w:hAnsi="Arial"/>
                <w:sz w:val="13"/>
                <w:szCs w:val="13"/>
                <w:color w:val="auto"/>
              </w:rPr>
              <w:t>Supplemental Information:</w:t>
            </w:r>
          </w:p>
        </w:tc>
        <w:tc>
          <w:tcPr>
            <w:tcW w:w="164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Interest paid during the period</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9,724</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Excise and other taxes paid during the period</w:t>
            </w:r>
          </w:p>
        </w:tc>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1,200</w:t>
            </w:r>
          </w:p>
        </w:tc>
        <w:tc>
          <w:tcPr>
            <w:tcW w:w="28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4,200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340"/>
              <w:spacing w:after="0"/>
              <w:rPr>
                <w:sz w:val="20"/>
                <w:szCs w:val="20"/>
                <w:color w:val="auto"/>
              </w:rPr>
            </w:pPr>
            <w:r>
              <w:rPr>
                <w:rFonts w:ascii="Arial" w:cs="Arial" w:eastAsia="Arial" w:hAnsi="Arial"/>
                <w:sz w:val="13"/>
                <w:szCs w:val="13"/>
                <w:color w:val="auto"/>
              </w:rPr>
              <w:t>Dividends declared during the period</w:t>
            </w:r>
          </w:p>
        </w:tc>
        <w:tc>
          <w:tcPr>
            <w:tcW w:w="1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39,522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123,004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Non-Cash Financing Activities:</w:t>
            </w:r>
          </w:p>
        </w:tc>
        <w:tc>
          <w:tcPr>
            <w:tcW w:w="16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tcPr>
          <w:p>
            <w:pPr>
              <w:ind w:left="340"/>
              <w:spacing w:after="0"/>
              <w:rPr>
                <w:sz w:val="20"/>
                <w:szCs w:val="20"/>
                <w:color w:val="auto"/>
              </w:rPr>
            </w:pPr>
            <w:r>
              <w:rPr>
                <w:rFonts w:ascii="Arial" w:cs="Arial" w:eastAsia="Arial" w:hAnsi="Arial"/>
                <w:sz w:val="13"/>
                <w:szCs w:val="13"/>
                <w:color w:val="auto"/>
              </w:rPr>
              <w:t>Reinvestment of dividends during the period</w:t>
            </w:r>
          </w:p>
        </w:tc>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6,774</w:t>
            </w:r>
          </w:p>
        </w:tc>
        <w:tc>
          <w:tcPr>
            <w:tcW w:w="280" w:type="dxa"/>
            <w:vAlign w:val="bottom"/>
          </w:tcPr>
          <w:p>
            <w:pPr>
              <w:spacing w:after="0"/>
              <w:rPr>
                <w:sz w:val="13"/>
                <w:szCs w:val="13"/>
                <w:color w:val="auto"/>
              </w:rPr>
            </w:pPr>
          </w:p>
        </w:tc>
        <w:tc>
          <w:tcPr>
            <w:tcW w:w="240" w:type="dxa"/>
            <w:vAlign w:val="bottom"/>
          </w:tcPr>
          <w:p>
            <w:pPr>
              <w:jc w:val="right"/>
              <w:ind w:right="133"/>
              <w:spacing w:after="0"/>
              <w:rPr>
                <w:sz w:val="20"/>
                <w:szCs w:val="20"/>
                <w:color w:val="auto"/>
              </w:rPr>
            </w:pPr>
            <w:r>
              <w:rPr>
                <w:rFonts w:ascii="Arial" w:cs="Arial" w:eastAsia="Arial" w:hAnsi="Arial"/>
                <w:sz w:val="9"/>
                <w:szCs w:val="9"/>
                <w:color w:val="auto"/>
                <w:w w:val="78"/>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4,709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8" w:right="29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3"/>
          <w:szCs w:val="13"/>
          <w:b w:val="1"/>
          <w:bCs w:val="1"/>
          <w:color w:val="auto"/>
        </w:rPr>
        <w:t>Sixth Street Specialty Lending,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(Amounts in thousands, unless otherwise indicated)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 and Basis of Presentation</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Organization</w:t>
      </w:r>
    </w:p>
    <w:p>
      <w:pPr>
        <w:spacing w:after="0" w:line="77" w:lineRule="exact"/>
        <w:rPr>
          <w:sz w:val="20"/>
          <w:szCs w:val="20"/>
          <w:color w:val="auto"/>
        </w:rPr>
      </w:pPr>
    </w:p>
    <w:p>
      <w:pPr>
        <w:ind w:right="140" w:firstLine="256"/>
        <w:spacing w:after="0" w:line="270" w:lineRule="auto"/>
        <w:rPr>
          <w:sz w:val="20"/>
          <w:szCs w:val="20"/>
          <w:color w:val="auto"/>
        </w:rPr>
      </w:pPr>
      <w:r>
        <w:rPr>
          <w:rFonts w:ascii="Arial" w:cs="Arial" w:eastAsia="Arial" w:hAnsi="Arial"/>
          <w:sz w:val="12"/>
          <w:szCs w:val="12"/>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March 21, 2014, the Company completed its initial public offering (“IPO”) and the Company’s shares began trading on the New York Stock Exchange (“NYSE”) under the symbol “TSLX.”</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of Presentation</w:t>
      </w:r>
    </w:p>
    <w:p>
      <w:pPr>
        <w:spacing w:after="0" w:line="77" w:lineRule="exact"/>
        <w:rPr>
          <w:sz w:val="20"/>
          <w:szCs w:val="20"/>
          <w:color w:val="auto"/>
        </w:rPr>
      </w:pPr>
    </w:p>
    <w:p>
      <w:pPr>
        <w:ind w:right="40" w:firstLine="256"/>
        <w:spacing w:after="0" w:line="282" w:lineRule="auto"/>
        <w:rPr>
          <w:sz w:val="20"/>
          <w:szCs w:val="20"/>
          <w:color w:val="auto"/>
        </w:rPr>
      </w:pPr>
      <w:r>
        <w:rPr>
          <w:rFonts w:ascii="Arial" w:cs="Arial" w:eastAsia="Arial" w:hAnsi="Arial"/>
          <w:sz w:val="12"/>
          <w:szCs w:val="12"/>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19" w:lineRule="exact"/>
        <w:rPr>
          <w:sz w:val="20"/>
          <w:szCs w:val="20"/>
          <w:color w:val="auto"/>
        </w:rPr>
      </w:pPr>
    </w:p>
    <w:p>
      <w:pPr>
        <w:ind w:right="300" w:firstLine="256"/>
        <w:spacing w:after="0" w:line="282" w:lineRule="auto"/>
        <w:rPr>
          <w:sz w:val="20"/>
          <w:szCs w:val="20"/>
          <w:color w:val="auto"/>
        </w:rPr>
      </w:pPr>
      <w:r>
        <w:rPr>
          <w:rFonts w:ascii="Arial" w:cs="Arial" w:eastAsia="Arial" w:hAnsi="Arial"/>
          <w:sz w:val="12"/>
          <w:szCs w:val="12"/>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2021, which was filed with the Securities and Exchange Commission (“SEC”), on February 17, 2022.</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1"/>
          <w:szCs w:val="11"/>
          <w:i w:val="1"/>
          <w:iCs w:val="1"/>
          <w:color w:val="auto"/>
        </w:rPr>
        <w:t>Financial Services – Investment Companies.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Fiscal Year End</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fiscal year ends on December 31.</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Use of Estimates</w:t>
      </w:r>
    </w:p>
    <w:p>
      <w:pPr>
        <w:spacing w:after="0" w:line="77" w:lineRule="exact"/>
        <w:rPr>
          <w:sz w:val="20"/>
          <w:szCs w:val="20"/>
          <w:color w:val="auto"/>
        </w:rPr>
      </w:pPr>
    </w:p>
    <w:p>
      <w:pPr>
        <w:ind w:right="280" w:firstLine="256"/>
        <w:spacing w:after="0" w:line="260"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i w:val="1"/>
          <w:iCs w:val="1"/>
          <w:color w:val="auto"/>
        </w:rPr>
        <w:t>Cash and Cash Equivalents</w:t>
      </w:r>
    </w:p>
    <w:p>
      <w:pPr>
        <w:spacing w:after="0" w:line="77" w:lineRule="exact"/>
        <w:rPr>
          <w:sz w:val="20"/>
          <w:szCs w:val="20"/>
          <w:color w:val="auto"/>
        </w:rPr>
      </w:pPr>
    </w:p>
    <w:p>
      <w:pPr>
        <w:ind w:right="120" w:firstLine="256"/>
        <w:spacing w:after="0" w:line="282" w:lineRule="auto"/>
        <w:rPr>
          <w:sz w:val="20"/>
          <w:szCs w:val="20"/>
          <w:color w:val="auto"/>
        </w:rPr>
      </w:pPr>
      <w:r>
        <w:rPr>
          <w:rFonts w:ascii="Arial" w:cs="Arial" w:eastAsia="Arial" w:hAnsi="Arial"/>
          <w:sz w:val="12"/>
          <w:szCs w:val="12"/>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Investments at Fair Value</w:t>
      </w:r>
    </w:p>
    <w:p>
      <w:pPr>
        <w:spacing w:after="0" w:line="77" w:lineRule="exact"/>
        <w:rPr>
          <w:sz w:val="20"/>
          <w:szCs w:val="20"/>
          <w:color w:val="auto"/>
        </w:rPr>
      </w:pPr>
    </w:p>
    <w:p>
      <w:pPr>
        <w:ind w:firstLine="256"/>
        <w:spacing w:after="0" w:line="248" w:lineRule="auto"/>
        <w:rPr>
          <w:sz w:val="20"/>
          <w:szCs w:val="20"/>
          <w:color w:val="auto"/>
        </w:rPr>
      </w:pPr>
      <w:r>
        <w:rPr>
          <w:rFonts w:ascii="Arial" w:cs="Arial" w:eastAsia="Arial" w:hAnsi="Arial"/>
          <w:sz w:val="13"/>
          <w:szCs w:val="13"/>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38" w:lineRule="exact"/>
        <w:rPr>
          <w:sz w:val="20"/>
          <w:szCs w:val="20"/>
          <w:color w:val="auto"/>
        </w:rPr>
      </w:pPr>
    </w:p>
    <w:p>
      <w:pPr>
        <w:jc w:val="both"/>
        <w:ind w:right="20" w:firstLine="256"/>
        <w:spacing w:after="0" w:line="248" w:lineRule="auto"/>
        <w:rPr>
          <w:sz w:val="20"/>
          <w:szCs w:val="20"/>
          <w:color w:val="auto"/>
        </w:rPr>
      </w:pPr>
      <w:r>
        <w:rPr>
          <w:rFonts w:ascii="Arial" w:cs="Arial" w:eastAsia="Arial" w:hAnsi="Arial"/>
          <w:sz w:val="13"/>
          <w:szCs w:val="13"/>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38" w:lineRule="exact"/>
        <w:rPr>
          <w:sz w:val="20"/>
          <w:szCs w:val="20"/>
          <w:color w:val="auto"/>
        </w:rPr>
      </w:pPr>
    </w:p>
    <w:p>
      <w:pPr>
        <w:jc w:val="both"/>
        <w:ind w:right="20" w:firstLine="256"/>
        <w:spacing w:after="0" w:line="247" w:lineRule="auto"/>
        <w:rPr>
          <w:sz w:val="20"/>
          <w:szCs w:val="20"/>
          <w:color w:val="auto"/>
        </w:rPr>
      </w:pPr>
      <w:r>
        <w:rPr>
          <w:rFonts w:ascii="Arial" w:cs="Arial" w:eastAsia="Arial" w:hAnsi="Arial"/>
          <w:sz w:val="13"/>
          <w:szCs w:val="13"/>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Board undertakes a multi-step valuation process, which includes, among other procedures, the following:</w:t>
      </w:r>
    </w:p>
    <w:p>
      <w:pPr>
        <w:spacing w:after="0" w:line="77" w:lineRule="exact"/>
        <w:rPr>
          <w:sz w:val="20"/>
          <w:szCs w:val="20"/>
          <w:color w:val="auto"/>
        </w:rPr>
      </w:pPr>
    </w:p>
    <w:p>
      <w:pPr>
        <w:ind w:left="500" w:hanging="249"/>
        <w:spacing w:after="0"/>
        <w:tabs>
          <w:tab w:leader="none" w:pos="5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valuation process begins with each investment being initially valued by the investment professionals responsible for the portfolio investment in conjunction with the portfolio management team.</w:t>
      </w:r>
    </w:p>
    <w:p>
      <w:pPr>
        <w:spacing w:after="0" w:line="88" w:lineRule="exact"/>
        <w:rPr>
          <w:rFonts w:ascii="Arial" w:cs="Arial" w:eastAsia="Arial" w:hAnsi="Arial"/>
          <w:sz w:val="12"/>
          <w:szCs w:val="12"/>
          <w:color w:val="auto"/>
        </w:rPr>
      </w:pPr>
    </w:p>
    <w:p>
      <w:pPr>
        <w:ind w:left="500" w:hanging="249"/>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Adviser’s management reviews the preliminary valuations with the investment professionals. Agreed upon valuation recommendations are presented to the Audit Committee.</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Audit Committee reviews the valuations presented and recommends values for each investment to the Board.</w:t>
      </w:r>
    </w:p>
    <w:p>
      <w:pPr>
        <w:spacing w:after="0" w:line="77" w:lineRule="exact"/>
        <w:rPr>
          <w:rFonts w:ascii="Arial" w:cs="Arial" w:eastAsia="Arial" w:hAnsi="Arial"/>
          <w:sz w:val="13"/>
          <w:szCs w:val="13"/>
          <w:color w:val="auto"/>
        </w:rPr>
      </w:pPr>
    </w:p>
    <w:p>
      <w:pPr>
        <w:ind w:left="500" w:hanging="249"/>
        <w:spacing w:after="0" w:line="301" w:lineRule="auto"/>
        <w:tabs>
          <w:tab w:leader="none" w:pos="50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conducts this valuation process on a quarterly basis.</w:t>
      </w:r>
    </w:p>
    <w:p>
      <w:pPr>
        <w:spacing w:after="0" w:line="153" w:lineRule="exact"/>
        <w:rPr>
          <w:sz w:val="20"/>
          <w:szCs w:val="20"/>
          <w:color w:val="auto"/>
        </w:rPr>
      </w:pPr>
    </w:p>
    <w:p>
      <w:pPr>
        <w:jc w:val="both"/>
        <w:ind w:right="80" w:firstLine="256"/>
        <w:spacing w:after="0" w:line="251" w:lineRule="auto"/>
        <w:rPr>
          <w:sz w:val="20"/>
          <w:szCs w:val="20"/>
          <w:color w:val="auto"/>
        </w:rPr>
      </w:pPr>
      <w:r>
        <w:rPr>
          <w:rFonts w:ascii="Arial" w:cs="Arial" w:eastAsia="Arial" w:hAnsi="Arial"/>
          <w:sz w:val="13"/>
          <w:szCs w:val="13"/>
          <w:color w:val="auto"/>
        </w:rPr>
        <w:t>The Board has engaged independent third-party valuation firms to perform certain limited procedures that the Board has identified and requested them to perform in connection with the valuation process. At March 31, 2022,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24" w:name="page25"/>
    <w:bookmarkEnd w:id="24"/>
    <w:p>
      <w:pPr>
        <w:ind w:right="40" w:firstLine="256"/>
        <w:spacing w:after="0" w:line="303" w:lineRule="auto"/>
        <w:rPr>
          <w:sz w:val="20"/>
          <w:szCs w:val="20"/>
          <w:color w:val="auto"/>
        </w:rPr>
      </w:pPr>
      <w:r>
        <w:rPr>
          <w:rFonts w:ascii="Arial" w:cs="Arial" w:eastAsia="Arial" w:hAnsi="Arial"/>
          <w:sz w:val="11"/>
          <w:szCs w:val="11"/>
          <w:color w:val="auto"/>
        </w:rPr>
        <w:t xml:space="preserve">The Company applies Financial Accounting Standards Board Accounting Standards Codification Topic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Level 1—Valuations based on quoted prices in active markets for identical assets or liabilities that the Company has the ability to access.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Level 2—Valuations based on quoted prices in markets that are not active or for which all significant inputs are observable, either directly or indirectly.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Level 3—Valuations based on inputs that are unobservable and significant to the overall fair value measurement.</w:t>
      </w:r>
    </w:p>
    <w:p>
      <w:pPr>
        <w:spacing w:after="0" w:line="153" w:lineRule="exact"/>
        <w:rPr>
          <w:sz w:val="20"/>
          <w:szCs w:val="20"/>
          <w:color w:val="auto"/>
        </w:rPr>
      </w:pPr>
    </w:p>
    <w:p>
      <w:pPr>
        <w:ind w:firstLine="256"/>
        <w:spacing w:after="0" w:line="270" w:lineRule="auto"/>
        <w:rPr>
          <w:sz w:val="20"/>
          <w:szCs w:val="20"/>
          <w:color w:val="auto"/>
        </w:rPr>
      </w:pPr>
      <w:r>
        <w:rPr>
          <w:rFonts w:ascii="Arial" w:cs="Arial" w:eastAsia="Arial" w:hAnsi="Arial"/>
          <w:sz w:val="12"/>
          <w:szCs w:val="12"/>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27" w:lineRule="exact"/>
        <w:rPr>
          <w:sz w:val="20"/>
          <w:szCs w:val="20"/>
          <w:color w:val="auto"/>
        </w:rPr>
      </w:pPr>
    </w:p>
    <w:p>
      <w:pPr>
        <w:ind w:firstLine="256"/>
        <w:spacing w:after="0" w:line="275" w:lineRule="auto"/>
        <w:rPr>
          <w:sz w:val="20"/>
          <w:szCs w:val="20"/>
          <w:color w:val="auto"/>
        </w:rPr>
      </w:pPr>
      <w:r>
        <w:rPr>
          <w:rFonts w:ascii="Arial" w:cs="Arial" w:eastAsia="Arial" w:hAnsi="Arial"/>
          <w:sz w:val="12"/>
          <w:szCs w:val="12"/>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24" w:lineRule="exact"/>
        <w:rPr>
          <w:sz w:val="20"/>
          <w:szCs w:val="20"/>
          <w:color w:val="auto"/>
        </w:rPr>
      </w:pPr>
    </w:p>
    <w:p>
      <w:pPr>
        <w:ind w:right="260" w:firstLine="256"/>
        <w:spacing w:after="0" w:line="260" w:lineRule="auto"/>
        <w:rPr>
          <w:sz w:val="20"/>
          <w:szCs w:val="20"/>
          <w:color w:val="auto"/>
        </w:rPr>
      </w:pPr>
      <w:r>
        <w:rPr>
          <w:rFonts w:ascii="Arial" w:cs="Arial" w:eastAsia="Arial" w:hAnsi="Arial"/>
          <w:sz w:val="13"/>
          <w:szCs w:val="13"/>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Financial and Derivative Instruments</w:t>
      </w:r>
    </w:p>
    <w:p>
      <w:pPr>
        <w:spacing w:after="0" w:line="77" w:lineRule="exact"/>
        <w:rPr>
          <w:sz w:val="20"/>
          <w:szCs w:val="20"/>
          <w:color w:val="auto"/>
        </w:rPr>
      </w:pPr>
    </w:p>
    <w:p>
      <w:pPr>
        <w:ind w:right="80" w:firstLine="256"/>
        <w:spacing w:after="0" w:line="246" w:lineRule="auto"/>
        <w:rPr>
          <w:sz w:val="20"/>
          <w:szCs w:val="20"/>
          <w:color w:val="auto"/>
        </w:rPr>
      </w:pPr>
      <w:r>
        <w:rPr>
          <w:rFonts w:ascii="Arial" w:cs="Arial" w:eastAsia="Arial" w:hAnsi="Arial"/>
          <w:sz w:val="13"/>
          <w:szCs w:val="13"/>
          <w:color w:val="auto"/>
        </w:rPr>
        <w:t xml:space="preserve">The Company recognizes all derivative instruments as assets or liabilities at fair value in its consolidated financial statements, pursuant to ASC Topic 815 </w:t>
      </w:r>
      <w:r>
        <w:rPr>
          <w:rFonts w:ascii="Arial" w:cs="Arial" w:eastAsia="Arial" w:hAnsi="Arial"/>
          <w:sz w:val="13"/>
          <w:szCs w:val="13"/>
          <w:i w:val="1"/>
          <w:iCs w:val="1"/>
          <w:color w:val="auto"/>
        </w:rPr>
        <w:t>Derivatives and Hedgin</w:t>
      </w:r>
      <w:r>
        <w:rPr>
          <w:rFonts w:ascii="Arial" w:cs="Arial" w:eastAsia="Arial" w:hAnsi="Arial"/>
          <w:sz w:val="13"/>
          <w:szCs w:val="13"/>
          <w:color w:val="auto"/>
        </w:rPr>
        <w:t xml:space="preserve">g, further clarified by the FASB’s issuance of the Accounting Standards Update (“ASU”) No. 2017-12, </w:t>
      </w:r>
      <w:r>
        <w:rPr>
          <w:rFonts w:ascii="Arial" w:cs="Arial" w:eastAsia="Arial" w:hAnsi="Arial"/>
          <w:sz w:val="13"/>
          <w:szCs w:val="13"/>
          <w:i w:val="1"/>
          <w:iCs w:val="1"/>
          <w:color w:val="auto"/>
        </w:rPr>
        <w:t>Derivatives and Hedging</w:t>
      </w:r>
      <w:r>
        <w:rPr>
          <w:rFonts w:ascii="Arial" w:cs="Arial" w:eastAsia="Arial" w:hAnsi="Arial"/>
          <w:sz w:val="13"/>
          <w:szCs w:val="13"/>
          <w:color w:val="auto"/>
        </w:rPr>
        <w:t>,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139" w:lineRule="exact"/>
        <w:rPr>
          <w:sz w:val="20"/>
          <w:szCs w:val="20"/>
          <w:color w:val="auto"/>
        </w:rPr>
      </w:pPr>
    </w:p>
    <w:p>
      <w:pPr>
        <w:ind w:right="80" w:firstLine="256"/>
        <w:spacing w:after="0" w:line="248" w:lineRule="auto"/>
        <w:rPr>
          <w:sz w:val="20"/>
          <w:szCs w:val="20"/>
          <w:color w:val="auto"/>
        </w:rPr>
      </w:pPr>
      <w:r>
        <w:rPr>
          <w:rFonts w:ascii="Arial" w:cs="Arial" w:eastAsia="Arial" w:hAnsi="Arial"/>
          <w:sz w:val="13"/>
          <w:szCs w:val="13"/>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Derivatives, including the Company’s interest rate swaps, for which broker quotes are available are typically valued at those broker quotes.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433"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i w:val="1"/>
          <w:iCs w:val="1"/>
          <w:color w:val="auto"/>
        </w:rPr>
        <w:t>Offsetting Assets and Liabilities</w:t>
      </w:r>
    </w:p>
    <w:p>
      <w:pPr>
        <w:spacing w:after="0" w:line="77" w:lineRule="exact"/>
        <w:rPr>
          <w:sz w:val="20"/>
          <w:szCs w:val="20"/>
          <w:color w:val="auto"/>
        </w:rPr>
      </w:pPr>
    </w:p>
    <w:p>
      <w:pPr>
        <w:jc w:val="both"/>
        <w:ind w:firstLine="256"/>
        <w:spacing w:after="0" w:line="251" w:lineRule="auto"/>
        <w:rPr>
          <w:sz w:val="20"/>
          <w:szCs w:val="20"/>
          <w:color w:val="auto"/>
        </w:rPr>
      </w:pPr>
      <w:r>
        <w:rPr>
          <w:rFonts w:ascii="Arial" w:cs="Arial" w:eastAsia="Arial" w:hAnsi="Arial"/>
          <w:sz w:val="13"/>
          <w:szCs w:val="13"/>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Foreign Currency</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Foreign currency amounts are translated into U.S. dollars on the following basis:</w:t>
      </w:r>
    </w:p>
    <w:p>
      <w:pPr>
        <w:spacing w:after="0" w:line="77" w:lineRule="exact"/>
        <w:rPr>
          <w:sz w:val="20"/>
          <w:szCs w:val="20"/>
          <w:color w:val="auto"/>
        </w:rPr>
      </w:pPr>
    </w:p>
    <w:p>
      <w:pPr>
        <w:ind w:left="500" w:hanging="249"/>
        <w:spacing w:after="0"/>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cash and cash equivalents, market value of investments, outstanding debt on revolving credit facilities, other assets and liabilities: at the spot exchange rate on the last business day of the period; and</w:t>
      </w:r>
    </w:p>
    <w:p>
      <w:pPr>
        <w:spacing w:after="0" w:line="88" w:lineRule="exact"/>
        <w:rPr>
          <w:rFonts w:ascii="Arial" w:cs="Arial" w:eastAsia="Arial" w:hAnsi="Arial"/>
          <w:sz w:val="12"/>
          <w:szCs w:val="12"/>
          <w:color w:val="auto"/>
        </w:rPr>
      </w:pPr>
    </w:p>
    <w:p>
      <w:pPr>
        <w:ind w:left="500" w:hanging="249"/>
        <w:spacing w:after="0"/>
        <w:tabs>
          <w:tab w:leader="none" w:pos="5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purchases and sales of investments, borrowings and repayments of such borrowings, income and expenses: at the rates of exchange prevailing on the respective dates of such transactions.</w:t>
      </w:r>
    </w:p>
    <w:p>
      <w:pPr>
        <w:spacing w:after="0" w:line="165" w:lineRule="exact"/>
        <w:rPr>
          <w:sz w:val="20"/>
          <w:szCs w:val="20"/>
          <w:color w:val="auto"/>
        </w:rPr>
      </w:pPr>
    </w:p>
    <w:p>
      <w:pPr>
        <w:ind w:firstLine="256"/>
        <w:spacing w:after="0" w:line="247" w:lineRule="auto"/>
        <w:rPr>
          <w:sz w:val="20"/>
          <w:szCs w:val="20"/>
          <w:color w:val="auto"/>
        </w:rPr>
      </w:pPr>
      <w:r>
        <w:rPr>
          <w:rFonts w:ascii="Arial" w:cs="Arial" w:eastAsia="Arial" w:hAnsi="Arial"/>
          <w:sz w:val="13"/>
          <w:szCs w:val="13"/>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38"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Equity Offering Expenses</w:t>
      </w:r>
    </w:p>
    <w:p>
      <w:pPr>
        <w:spacing w:after="0" w:line="77" w:lineRule="exact"/>
        <w:rPr>
          <w:sz w:val="20"/>
          <w:szCs w:val="20"/>
          <w:color w:val="auto"/>
        </w:rPr>
      </w:pPr>
    </w:p>
    <w:p>
      <w:pPr>
        <w:ind w:right="440" w:firstLine="256"/>
        <w:spacing w:after="0" w:line="260" w:lineRule="auto"/>
        <w:rPr>
          <w:sz w:val="20"/>
          <w:szCs w:val="20"/>
          <w:color w:val="auto"/>
        </w:rPr>
      </w:pPr>
      <w:r>
        <w:rPr>
          <w:rFonts w:ascii="Arial" w:cs="Arial" w:eastAsia="Arial" w:hAnsi="Arial"/>
          <w:sz w:val="13"/>
          <w:szCs w:val="13"/>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Debt Issuance Costs</w:t>
      </w:r>
    </w:p>
    <w:p>
      <w:pPr>
        <w:spacing w:after="0" w:line="77" w:lineRule="exact"/>
        <w:rPr>
          <w:sz w:val="20"/>
          <w:szCs w:val="20"/>
          <w:color w:val="auto"/>
        </w:rPr>
      </w:pPr>
    </w:p>
    <w:p>
      <w:pPr>
        <w:ind w:right="380" w:firstLine="256"/>
        <w:spacing w:after="0" w:line="260" w:lineRule="auto"/>
        <w:rPr>
          <w:sz w:val="20"/>
          <w:szCs w:val="20"/>
          <w:color w:val="auto"/>
        </w:rPr>
      </w:pPr>
      <w:r>
        <w:rPr>
          <w:rFonts w:ascii="Arial" w:cs="Arial" w:eastAsia="Arial" w:hAnsi="Arial"/>
          <w:sz w:val="13"/>
          <w:szCs w:val="13"/>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Interest and Dividend Income Recognition</w:t>
      </w:r>
    </w:p>
    <w:p>
      <w:pPr>
        <w:spacing w:after="0" w:line="77" w:lineRule="exact"/>
        <w:rPr>
          <w:sz w:val="20"/>
          <w:szCs w:val="20"/>
          <w:color w:val="auto"/>
        </w:rPr>
      </w:pPr>
    </w:p>
    <w:p>
      <w:pPr>
        <w:ind w:right="180" w:firstLine="256"/>
        <w:spacing w:after="0" w:line="351" w:lineRule="auto"/>
        <w:rPr>
          <w:sz w:val="20"/>
          <w:szCs w:val="20"/>
          <w:color w:val="auto"/>
        </w:rPr>
      </w:pPr>
      <w:r>
        <w:rPr>
          <w:rFonts w:ascii="Arial" w:cs="Arial" w:eastAsia="Arial" w:hAnsi="Arial"/>
          <w:sz w:val="11"/>
          <w:szCs w:val="11"/>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84"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30" w:lineRule="exact"/>
        <w:rPr>
          <w:sz w:val="20"/>
          <w:szCs w:val="20"/>
          <w:color w:val="auto"/>
        </w:rPr>
      </w:pPr>
    </w:p>
    <w:p>
      <w:pPr>
        <w:ind w:right="140" w:firstLine="256"/>
        <w:spacing w:after="0" w:line="308" w:lineRule="auto"/>
        <w:rPr>
          <w:sz w:val="20"/>
          <w:szCs w:val="20"/>
          <w:color w:val="auto"/>
        </w:rPr>
      </w:pPr>
      <w:r>
        <w:rPr>
          <w:rFonts w:ascii="Arial" w:cs="Arial" w:eastAsia="Arial" w:hAnsi="Arial"/>
          <w:sz w:val="11"/>
          <w:szCs w:val="11"/>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07" w:lineRule="exact"/>
        <w:rPr>
          <w:sz w:val="20"/>
          <w:szCs w:val="20"/>
          <w:color w:val="auto"/>
        </w:rPr>
      </w:pPr>
    </w:p>
    <w:p>
      <w:pPr>
        <w:ind w:right="20" w:firstLine="256"/>
        <w:spacing w:after="0" w:line="260" w:lineRule="auto"/>
        <w:rPr>
          <w:sz w:val="20"/>
          <w:szCs w:val="20"/>
          <w:color w:val="auto"/>
        </w:rPr>
      </w:pPr>
      <w:r>
        <w:rPr>
          <w:rFonts w:ascii="Arial" w:cs="Arial" w:eastAsia="Arial" w:hAnsi="Arial"/>
          <w:sz w:val="13"/>
          <w:szCs w:val="13"/>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509"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i w:val="1"/>
          <w:iCs w:val="1"/>
          <w:color w:val="auto"/>
        </w:rPr>
        <w:t>Other Income</w:t>
      </w:r>
    </w:p>
    <w:p>
      <w:pPr>
        <w:spacing w:after="0" w:line="77" w:lineRule="exact"/>
        <w:rPr>
          <w:sz w:val="20"/>
          <w:szCs w:val="20"/>
          <w:color w:val="auto"/>
        </w:rPr>
      </w:pPr>
    </w:p>
    <w:p>
      <w:pPr>
        <w:ind w:right="360" w:firstLine="256"/>
        <w:spacing w:after="0" w:line="260" w:lineRule="auto"/>
        <w:rPr>
          <w:sz w:val="20"/>
          <w:szCs w:val="20"/>
          <w:color w:val="auto"/>
        </w:rPr>
      </w:pPr>
      <w:r>
        <w:rPr>
          <w:rFonts w:ascii="Arial" w:cs="Arial" w:eastAsia="Arial" w:hAnsi="Arial"/>
          <w:sz w:val="13"/>
          <w:szCs w:val="13"/>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Earnings per share</w:t>
      </w:r>
    </w:p>
    <w:p>
      <w:pPr>
        <w:spacing w:after="0" w:line="153" w:lineRule="exact"/>
        <w:rPr>
          <w:sz w:val="20"/>
          <w:szCs w:val="20"/>
          <w:color w:val="auto"/>
        </w:rPr>
      </w:pPr>
    </w:p>
    <w:p>
      <w:pPr>
        <w:ind w:right="20" w:firstLine="256"/>
        <w:spacing w:after="0" w:line="275" w:lineRule="auto"/>
        <w:rPr>
          <w:sz w:val="20"/>
          <w:szCs w:val="20"/>
          <w:color w:val="auto"/>
        </w:rPr>
      </w:pPr>
      <w:r>
        <w:rPr>
          <w:rFonts w:ascii="Arial" w:cs="Arial" w:eastAsia="Arial" w:hAnsi="Arial"/>
          <w:sz w:val="12"/>
          <w:szCs w:val="12"/>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Reimbursement of Transaction-Related Expenses</w:t>
      </w:r>
    </w:p>
    <w:p>
      <w:pPr>
        <w:spacing w:after="0" w:line="77" w:lineRule="exact"/>
        <w:rPr>
          <w:sz w:val="20"/>
          <w:szCs w:val="20"/>
          <w:color w:val="auto"/>
        </w:rPr>
      </w:pPr>
    </w:p>
    <w:p>
      <w:pPr>
        <w:ind w:right="20" w:firstLine="256"/>
        <w:spacing w:after="0" w:line="251" w:lineRule="auto"/>
        <w:rPr>
          <w:sz w:val="20"/>
          <w:szCs w:val="20"/>
          <w:color w:val="auto"/>
        </w:rPr>
      </w:pPr>
      <w:r>
        <w:rPr>
          <w:rFonts w:ascii="Arial" w:cs="Arial" w:eastAsia="Arial" w:hAnsi="Arial"/>
          <w:sz w:val="13"/>
          <w:szCs w:val="13"/>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36" w:lineRule="exact"/>
        <w:rPr>
          <w:sz w:val="20"/>
          <w:szCs w:val="20"/>
          <w:color w:val="auto"/>
        </w:rPr>
      </w:pPr>
    </w:p>
    <w:p>
      <w:pPr>
        <w:ind w:firstLine="256"/>
        <w:spacing w:after="0" w:line="260" w:lineRule="auto"/>
        <w:rPr>
          <w:sz w:val="20"/>
          <w:szCs w:val="20"/>
          <w:color w:val="auto"/>
        </w:rPr>
      </w:pPr>
      <w:r>
        <w:rPr>
          <w:rFonts w:ascii="Arial" w:cs="Arial" w:eastAsia="Arial" w:hAnsi="Arial"/>
          <w:sz w:val="13"/>
          <w:szCs w:val="13"/>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Income Taxes, Including Excise Taxes</w:t>
      </w:r>
    </w:p>
    <w:p>
      <w:pPr>
        <w:spacing w:after="0" w:line="77" w:lineRule="exact"/>
        <w:rPr>
          <w:sz w:val="20"/>
          <w:szCs w:val="20"/>
          <w:color w:val="auto"/>
        </w:rPr>
      </w:pPr>
    </w:p>
    <w:p>
      <w:pPr>
        <w:ind w:right="60" w:firstLine="256"/>
        <w:spacing w:after="0" w:line="248" w:lineRule="auto"/>
        <w:rPr>
          <w:sz w:val="20"/>
          <w:szCs w:val="20"/>
          <w:color w:val="auto"/>
        </w:rPr>
      </w:pPr>
      <w:r>
        <w:rPr>
          <w:rFonts w:ascii="Arial" w:cs="Arial" w:eastAsia="Arial" w:hAnsi="Arial"/>
          <w:sz w:val="13"/>
          <w:szCs w:val="13"/>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38" w:lineRule="exact"/>
        <w:rPr>
          <w:sz w:val="20"/>
          <w:szCs w:val="20"/>
          <w:color w:val="auto"/>
        </w:rPr>
      </w:pPr>
    </w:p>
    <w:p>
      <w:pPr>
        <w:ind w:right="140" w:firstLine="256"/>
        <w:spacing w:after="0" w:line="248" w:lineRule="auto"/>
        <w:rPr>
          <w:sz w:val="20"/>
          <w:szCs w:val="20"/>
          <w:color w:val="auto"/>
        </w:rPr>
      </w:pPr>
      <w:r>
        <w:rPr>
          <w:rFonts w:ascii="Arial" w:cs="Arial" w:eastAsia="Arial" w:hAnsi="Arial"/>
          <w:sz w:val="13"/>
          <w:szCs w:val="13"/>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38" w:lineRule="exact"/>
        <w:rPr>
          <w:sz w:val="20"/>
          <w:szCs w:val="20"/>
          <w:color w:val="auto"/>
        </w:rPr>
      </w:pPr>
    </w:p>
    <w:p>
      <w:pPr>
        <w:ind w:right="60" w:firstLine="256"/>
        <w:spacing w:after="0" w:line="282" w:lineRule="auto"/>
        <w:rPr>
          <w:sz w:val="20"/>
          <w:szCs w:val="20"/>
          <w:color w:val="auto"/>
        </w:rPr>
      </w:pPr>
      <w:r>
        <w:rPr>
          <w:rFonts w:ascii="Arial" w:cs="Arial" w:eastAsia="Arial" w:hAnsi="Arial"/>
          <w:sz w:val="12"/>
          <w:szCs w:val="12"/>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the three months ended March 31, 2022 and 2021 we recorded a net expense of $0.4 million and $0.5 million, respectively, for U.S. federal excise tax and other taxes.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Dividends to Common Stockholders</w:t>
      </w:r>
    </w:p>
    <w:p>
      <w:pPr>
        <w:spacing w:after="0" w:line="77" w:lineRule="exact"/>
        <w:rPr>
          <w:sz w:val="20"/>
          <w:szCs w:val="20"/>
          <w:color w:val="auto"/>
        </w:rPr>
      </w:pPr>
    </w:p>
    <w:p>
      <w:pPr>
        <w:ind w:right="160" w:firstLine="256"/>
        <w:spacing w:after="0" w:line="260" w:lineRule="auto"/>
        <w:rPr>
          <w:sz w:val="20"/>
          <w:szCs w:val="20"/>
          <w:color w:val="auto"/>
        </w:rPr>
      </w:pPr>
      <w:r>
        <w:rPr>
          <w:rFonts w:ascii="Arial" w:cs="Arial" w:eastAsia="Arial" w:hAnsi="Arial"/>
          <w:sz w:val="13"/>
          <w:szCs w:val="13"/>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27" w:name="page28"/>
    <w:bookmarkEnd w:id="27"/>
    <w:p>
      <w:pPr>
        <w:jc w:val="both"/>
        <w:ind w:right="200" w:firstLine="256"/>
        <w:spacing w:after="0" w:line="282" w:lineRule="auto"/>
        <w:rPr>
          <w:sz w:val="20"/>
          <w:szCs w:val="20"/>
          <w:color w:val="auto"/>
        </w:rPr>
      </w:pPr>
      <w:r>
        <w:rPr>
          <w:rFonts w:ascii="Arial" w:cs="Arial" w:eastAsia="Arial" w:hAnsi="Arial"/>
          <w:sz w:val="12"/>
          <w:szCs w:val="12"/>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Accounting Standards Adopted in 2021</w:t>
      </w:r>
    </w:p>
    <w:p>
      <w:pPr>
        <w:spacing w:after="0" w:line="153" w:lineRule="exact"/>
        <w:rPr>
          <w:sz w:val="20"/>
          <w:szCs w:val="20"/>
          <w:color w:val="auto"/>
        </w:rPr>
      </w:pPr>
    </w:p>
    <w:p>
      <w:pPr>
        <w:ind w:right="180" w:firstLine="256"/>
        <w:spacing w:after="0" w:line="297" w:lineRule="auto"/>
        <w:rPr>
          <w:sz w:val="20"/>
          <w:szCs w:val="20"/>
          <w:color w:val="auto"/>
        </w:rPr>
      </w:pPr>
      <w:r>
        <w:rPr>
          <w:rFonts w:ascii="Arial" w:cs="Arial" w:eastAsia="Arial" w:hAnsi="Arial"/>
          <w:sz w:val="11"/>
          <w:szCs w:val="11"/>
          <w:color w:val="auto"/>
        </w:rPr>
        <w:t>In August 2020, the Financial Accounting Standards Board issued Accounting Standards Update 2020-06 (“ASU 2020-06”) “Debt – Debt with Conversion and Other Options (Subtopic 470-20) and Derivatives and Hedging—Contracts in Entity’s Own Equity (Subtopic 815-40): Accounting for Convertible Instruments and Contracts in an Entity’s Own Equity.” This guidance reduces the number of accounting models for convertible instruments and makes targeted improvements to the disclosures for convertible instruments and earnings per share guidance. ASU 2020-06 is effective for public business entities for annual and interim periods in fiscal years beginning after December 15, 2021 with early adoption permitted. The Company early adopted ASU 2020-06 under the modified retrospective basis during the period ended March 31, 2021. The impact of the Company’s adoption under the modified retrospective basis required a cumulative effect adjustment to opening net assets for the remaining unamortized discount on the 2022 Convertible Notes, and a requirement for the Company to calculate diluted earnings per share using the if-converted method which assumes full share settlement for the aggregate value of the 2022 Convertible Notes. The Company’s adoption of this guidance did not have a material impact on the Company’s financial position, results of operations, cash flows or notes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New Accounting Pronouncements</w:t>
      </w:r>
    </w:p>
    <w:p>
      <w:pPr>
        <w:spacing w:after="0" w:line="153" w:lineRule="exact"/>
        <w:rPr>
          <w:sz w:val="20"/>
          <w:szCs w:val="20"/>
          <w:color w:val="auto"/>
        </w:rPr>
      </w:pPr>
    </w:p>
    <w:p>
      <w:pPr>
        <w:ind w:firstLine="256"/>
        <w:spacing w:after="0" w:line="247" w:lineRule="auto"/>
        <w:rPr>
          <w:sz w:val="20"/>
          <w:szCs w:val="20"/>
          <w:color w:val="auto"/>
        </w:rPr>
      </w:pPr>
      <w:r>
        <w:rPr>
          <w:rFonts w:ascii="Arial" w:cs="Arial" w:eastAsia="Arial" w:hAnsi="Arial"/>
          <w:sz w:val="13"/>
          <w:szCs w:val="13"/>
          <w:color w:val="auto"/>
        </w:rPr>
        <w:t>In March 2020, the Financial Accounting Standards Board issued Accounting Standards Update 2020-04 (“ASU 2020-04”) “Reference Rate Reform (Topic 848): Facilitation of the Effects of Reference Rate Reform on Financial Reporting,” and in January 2021, the Financial Accounting Standards Board issued Accounting Standards Update 2021-01 (“ASU 2021-01”) “Reference Rate Reform (Topic 848): Scope.” This guidance provides optional expedients and exceptions for applying generally accepted accounting principles to contract modifications and hedging relationships, subject to meeting certain criteria, that reference LIBOR or another reference rate expected to be discontinued. ASU 2020-04 and ASU 2021-01 are effective for all entities as of March 12, 2020 through December 31, 2022. The Company expects that the adoption of this guidance will not have a material impact on the Company’s financial position, result of operations or cash flows.</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 and Related Party Transactions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Administration Agreement</w:t>
      </w:r>
    </w:p>
    <w:p>
      <w:pPr>
        <w:spacing w:after="0" w:line="77" w:lineRule="exact"/>
        <w:rPr>
          <w:sz w:val="20"/>
          <w:szCs w:val="20"/>
          <w:color w:val="auto"/>
        </w:rPr>
      </w:pPr>
    </w:p>
    <w:p>
      <w:pPr>
        <w:ind w:right="60" w:firstLine="256"/>
        <w:spacing w:after="0" w:line="247" w:lineRule="auto"/>
        <w:rPr>
          <w:sz w:val="20"/>
          <w:szCs w:val="20"/>
          <w:color w:val="auto"/>
        </w:rPr>
      </w:pPr>
      <w:r>
        <w:rPr>
          <w:rFonts w:ascii="Arial" w:cs="Arial" w:eastAsia="Arial" w:hAnsi="Arial"/>
          <w:sz w:val="13"/>
          <w:szCs w:val="13"/>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38" w:lineRule="exact"/>
        <w:rPr>
          <w:sz w:val="20"/>
          <w:szCs w:val="20"/>
          <w:color w:val="auto"/>
        </w:rPr>
      </w:pPr>
    </w:p>
    <w:p>
      <w:pPr>
        <w:ind w:right="420" w:firstLine="256"/>
        <w:spacing w:after="0" w:line="260" w:lineRule="auto"/>
        <w:rPr>
          <w:sz w:val="20"/>
          <w:szCs w:val="20"/>
          <w:color w:val="auto"/>
        </w:rPr>
      </w:pPr>
      <w:r>
        <w:rPr>
          <w:rFonts w:ascii="Arial" w:cs="Arial" w:eastAsia="Arial" w:hAnsi="Arial"/>
          <w:sz w:val="13"/>
          <w:szCs w:val="13"/>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30" w:lineRule="exact"/>
        <w:rPr>
          <w:sz w:val="20"/>
          <w:szCs w:val="20"/>
          <w:color w:val="auto"/>
        </w:rPr>
      </w:pPr>
    </w:p>
    <w:p>
      <w:pPr>
        <w:ind w:right="300" w:firstLine="256"/>
        <w:spacing w:after="0" w:line="260" w:lineRule="auto"/>
        <w:rPr>
          <w:sz w:val="20"/>
          <w:szCs w:val="20"/>
          <w:color w:val="auto"/>
        </w:rPr>
      </w:pPr>
      <w:r>
        <w:rPr>
          <w:rFonts w:ascii="Arial" w:cs="Arial" w:eastAsia="Arial" w:hAnsi="Arial"/>
          <w:sz w:val="13"/>
          <w:szCs w:val="13"/>
          <w:color w:val="auto"/>
        </w:rPr>
        <w:t>In November 2021, the Board renewed the Administration Agreement. Unless earlier terminated as described below, the Administration Agreement will remain in effect until November 2022, and may be extended subject to required approvals. The Administration Agreement may be terminated by either party without penalty on 60 days’ written notice to the other party.</w:t>
      </w:r>
    </w:p>
    <w:p>
      <w:pPr>
        <w:spacing w:after="0" w:line="130" w:lineRule="exact"/>
        <w:rPr>
          <w:sz w:val="20"/>
          <w:szCs w:val="20"/>
          <w:color w:val="auto"/>
        </w:rPr>
      </w:pPr>
    </w:p>
    <w:p>
      <w:pPr>
        <w:ind w:right="40" w:firstLine="256"/>
        <w:spacing w:after="0" w:line="275" w:lineRule="auto"/>
        <w:rPr>
          <w:sz w:val="20"/>
          <w:szCs w:val="20"/>
          <w:color w:val="auto"/>
        </w:rPr>
      </w:pPr>
      <w:r>
        <w:rPr>
          <w:rFonts w:ascii="Arial" w:cs="Arial" w:eastAsia="Arial" w:hAnsi="Arial"/>
          <w:sz w:val="12"/>
          <w:szCs w:val="12"/>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28" w:name="page29"/>
    <w:bookmarkEnd w:id="28"/>
    <w:p>
      <w:pPr>
        <w:ind w:right="60"/>
        <w:spacing w:after="0" w:line="247" w:lineRule="auto"/>
        <w:rPr>
          <w:sz w:val="20"/>
          <w:szCs w:val="20"/>
          <w:color w:val="auto"/>
        </w:rPr>
      </w:pPr>
      <w:r>
        <w:rPr>
          <w:rFonts w:ascii="Arial" w:cs="Arial" w:eastAsia="Arial" w:hAnsi="Arial"/>
          <w:sz w:val="13"/>
          <w:szCs w:val="13"/>
          <w:color w:val="auto"/>
        </w:rPr>
        <w:t>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38" w:lineRule="exact"/>
        <w:rPr>
          <w:sz w:val="20"/>
          <w:szCs w:val="20"/>
          <w:color w:val="auto"/>
        </w:rPr>
      </w:pPr>
    </w:p>
    <w:p>
      <w:pPr>
        <w:ind w:right="620" w:firstLine="256"/>
        <w:spacing w:after="0" w:line="260" w:lineRule="auto"/>
        <w:rPr>
          <w:sz w:val="20"/>
          <w:szCs w:val="20"/>
          <w:color w:val="auto"/>
        </w:rPr>
      </w:pPr>
      <w:r>
        <w:rPr>
          <w:rFonts w:ascii="Arial" w:cs="Arial" w:eastAsia="Arial" w:hAnsi="Arial"/>
          <w:sz w:val="13"/>
          <w:szCs w:val="13"/>
          <w:color w:val="auto"/>
        </w:rPr>
        <w:t>For the three months ended March 31, 2022 and 2021, the Company incurred expenses of $0.6 million and $1.7 million, respectively, for administrative services payable to the Adviser under the terms of the Administration Agreement.</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Investment Advisory Agreement</w:t>
      </w:r>
    </w:p>
    <w:p>
      <w:pPr>
        <w:spacing w:after="0" w:line="77" w:lineRule="exact"/>
        <w:rPr>
          <w:sz w:val="20"/>
          <w:szCs w:val="20"/>
          <w:color w:val="auto"/>
        </w:rPr>
      </w:pPr>
    </w:p>
    <w:p>
      <w:pPr>
        <w:ind w:right="120" w:firstLine="256"/>
        <w:spacing w:after="0" w:line="248" w:lineRule="auto"/>
        <w:rPr>
          <w:sz w:val="20"/>
          <w:szCs w:val="20"/>
          <w:color w:val="auto"/>
        </w:rPr>
      </w:pPr>
      <w:r>
        <w:rPr>
          <w:rFonts w:ascii="Arial" w:cs="Arial" w:eastAsia="Arial" w:hAnsi="Arial"/>
          <w:sz w:val="13"/>
          <w:szCs w:val="13"/>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38" w:lineRule="exact"/>
        <w:rPr>
          <w:sz w:val="20"/>
          <w:szCs w:val="20"/>
          <w:color w:val="auto"/>
        </w:rPr>
      </w:pPr>
    </w:p>
    <w:p>
      <w:pPr>
        <w:ind w:right="400" w:firstLine="256"/>
        <w:spacing w:after="0" w:line="260" w:lineRule="auto"/>
        <w:rPr>
          <w:sz w:val="20"/>
          <w:szCs w:val="20"/>
          <w:color w:val="auto"/>
        </w:rPr>
      </w:pPr>
      <w:r>
        <w:rPr>
          <w:rFonts w:ascii="Arial" w:cs="Arial" w:eastAsia="Arial" w:hAnsi="Arial"/>
          <w:sz w:val="13"/>
          <w:szCs w:val="13"/>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the three months ended March 31, 2022 and 2021, Management Fees (gross of waivers) were $9.3 million and $8.7 million, respectively.</w:t>
      </w:r>
    </w:p>
    <w:p>
      <w:pPr>
        <w:spacing w:after="0" w:line="153" w:lineRule="exact"/>
        <w:rPr>
          <w:sz w:val="20"/>
          <w:szCs w:val="20"/>
          <w:color w:val="auto"/>
        </w:rPr>
      </w:pPr>
    </w:p>
    <w:p>
      <w:pPr>
        <w:ind w:firstLine="256"/>
        <w:spacing w:after="0" w:line="247" w:lineRule="auto"/>
        <w:rPr>
          <w:sz w:val="20"/>
          <w:szCs w:val="20"/>
          <w:color w:val="auto"/>
        </w:rPr>
      </w:pPr>
      <w:r>
        <w:rPr>
          <w:rFonts w:ascii="Arial" w:cs="Arial" w:eastAsia="Arial" w:hAnsi="Arial"/>
          <w:sz w:val="13"/>
          <w:szCs w:val="13"/>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on the average value of the Company’s gross assets as of the end of the two most recently completed calendar quarters that exceeds the product of (i) 200% and (ii) the average value of our net asset value at the end of the two most recently completed calendar quarters. Any waived Management Fees are not subject to recoupment by the Adviser. The Adviser did not waive any management fees for the three months ended March 31, 2022 and 2021 pursuant to the Leverage Waiver.</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Incentive Fee consists of two parts, as follows:</w:t>
      </w:r>
    </w:p>
    <w:p>
      <w:pPr>
        <w:spacing w:after="0" w:line="77" w:lineRule="exact"/>
        <w:rPr>
          <w:sz w:val="20"/>
          <w:szCs w:val="20"/>
          <w:color w:val="auto"/>
        </w:rPr>
      </w:pPr>
    </w:p>
    <w:p>
      <w:pPr>
        <w:ind w:left="500" w:right="80" w:hanging="249"/>
        <w:spacing w:after="0" w:line="303" w:lineRule="auto"/>
        <w:tabs>
          <w:tab w:leader="none" w:pos="5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33" w:lineRule="exact"/>
        <w:rPr>
          <w:rFonts w:ascii="Arial" w:cs="Arial" w:eastAsia="Arial" w:hAnsi="Arial"/>
          <w:sz w:val="11"/>
          <w:szCs w:val="11"/>
          <w:color w:val="auto"/>
        </w:rPr>
      </w:pPr>
    </w:p>
    <w:p>
      <w:pPr>
        <w:ind w:left="500"/>
        <w:spacing w:after="0" w:line="247" w:lineRule="auto"/>
        <w:rPr>
          <w:rFonts w:ascii="Arial" w:cs="Arial" w:eastAsia="Arial" w:hAnsi="Arial"/>
          <w:sz w:val="11"/>
          <w:szCs w:val="11"/>
          <w:color w:val="auto"/>
        </w:rPr>
      </w:pPr>
      <w:r>
        <w:rPr>
          <w:rFonts w:ascii="Arial" w:cs="Arial" w:eastAsia="Arial" w:hAnsi="Arial"/>
          <w:sz w:val="13"/>
          <w:szCs w:val="13"/>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62" w:lineRule="exact"/>
        <w:rPr>
          <w:rFonts w:ascii="Arial" w:cs="Arial" w:eastAsia="Arial" w:hAnsi="Arial"/>
          <w:sz w:val="11"/>
          <w:szCs w:val="11"/>
          <w:color w:val="auto"/>
        </w:rPr>
      </w:pPr>
    </w:p>
    <w:p>
      <w:pPr>
        <w:ind w:left="500" w:right="20" w:hanging="249"/>
        <w:spacing w:after="0" w:line="319" w:lineRule="auto"/>
        <w:tabs>
          <w:tab w:leader="none" w:pos="5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29" w:name="page30"/>
    <w:bookmarkEnd w:id="29"/>
    <w:p>
      <w:pPr>
        <w:jc w:val="both"/>
        <w:ind w:left="500" w:right="100"/>
        <w:spacing w:after="0" w:line="248" w:lineRule="auto"/>
        <w:rPr>
          <w:sz w:val="20"/>
          <w:szCs w:val="20"/>
          <w:color w:val="auto"/>
        </w:rPr>
      </w:pPr>
      <w:r>
        <w:rPr>
          <w:rFonts w:ascii="Arial" w:cs="Arial" w:eastAsia="Arial" w:hAnsi="Arial"/>
          <w:sz w:val="13"/>
          <w:szCs w:val="13"/>
          <w:color w:val="auto"/>
        </w:rPr>
        <w:t>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was intended to ensure that for each fiscal year following the completion of the IPO, the portion of the Company’s realized capital gains that accrued prior to March 31, 2014, was subject to an Incentive Fee rate of 15% and the portion of the Company’s realized capital gains that accrued beginning April 1, 2014 is subject to an Incentive Fee rate of 17.5%.</w:t>
      </w:r>
    </w:p>
    <w:p>
      <w:pPr>
        <w:spacing w:after="0" w:line="138" w:lineRule="exact"/>
        <w:rPr>
          <w:sz w:val="20"/>
          <w:szCs w:val="20"/>
          <w:color w:val="auto"/>
        </w:rPr>
      </w:pPr>
    </w:p>
    <w:p>
      <w:pPr>
        <w:ind w:right="40" w:firstLine="256"/>
        <w:spacing w:after="0" w:line="260" w:lineRule="auto"/>
        <w:rPr>
          <w:sz w:val="20"/>
          <w:szCs w:val="20"/>
          <w:color w:val="auto"/>
        </w:rPr>
      </w:pPr>
      <w:r>
        <w:rPr>
          <w:rFonts w:ascii="Arial" w:cs="Arial" w:eastAsia="Arial" w:hAnsi="Arial"/>
          <w:sz w:val="13"/>
          <w:szCs w:val="13"/>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30"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p>
    <w:p>
      <w:pPr>
        <w:spacing w:after="0" w:line="130" w:lineRule="exact"/>
        <w:rPr>
          <w:sz w:val="20"/>
          <w:szCs w:val="20"/>
          <w:color w:val="auto"/>
        </w:rPr>
      </w:pPr>
    </w:p>
    <w:p>
      <w:pPr>
        <w:jc w:val="both"/>
        <w:ind w:right="240" w:firstLine="256"/>
        <w:spacing w:after="0" w:line="319" w:lineRule="auto"/>
        <w:rPr>
          <w:sz w:val="20"/>
          <w:szCs w:val="20"/>
          <w:color w:val="auto"/>
        </w:rPr>
      </w:pPr>
      <w:r>
        <w:rPr>
          <w:rFonts w:ascii="Arial" w:cs="Arial" w:eastAsia="Arial" w:hAnsi="Arial"/>
          <w:sz w:val="11"/>
          <w:szCs w:val="11"/>
          <w:color w:val="auto"/>
        </w:rPr>
        <w:t>For the three months ended March 31, 2022 and 2021, Incentive Fees were $9.3 million and $12.3 million, respectively, of which $7.9 million and $7.8 million, respectively, were realized and payable to the Adviser. For the three months ended March 31, 2022 and 2021, $1.4 million and $4.5 million, respectively of Incentive Fees were accrued related to cumulative unrealized capital gains in excess of cumulative net realized capital gains less any cumulative unrealized losses and capital gains incentive fees paid inception to date. As of March 31, 2022, these accrued Incentive Fees are not contractually payable to the Adviser.</w:t>
      </w:r>
    </w:p>
    <w:p>
      <w:pPr>
        <w:spacing w:after="0" w:line="101" w:lineRule="exact"/>
        <w:rPr>
          <w:sz w:val="20"/>
          <w:szCs w:val="20"/>
          <w:color w:val="auto"/>
        </w:rPr>
      </w:pPr>
    </w:p>
    <w:p>
      <w:pPr>
        <w:ind w:right="120" w:firstLine="256"/>
        <w:spacing w:after="0" w:line="260" w:lineRule="auto"/>
        <w:rPr>
          <w:sz w:val="20"/>
          <w:szCs w:val="20"/>
          <w:color w:val="auto"/>
        </w:rPr>
      </w:pPr>
      <w:r>
        <w:rPr>
          <w:rFonts w:ascii="Arial" w:cs="Arial" w:eastAsia="Arial" w:hAnsi="Arial"/>
          <w:sz w:val="13"/>
          <w:szCs w:val="13"/>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30" w:lineRule="exact"/>
        <w:rPr>
          <w:sz w:val="20"/>
          <w:szCs w:val="20"/>
          <w:color w:val="auto"/>
        </w:rPr>
      </w:pPr>
    </w:p>
    <w:p>
      <w:pPr>
        <w:ind w:right="120" w:firstLine="256"/>
        <w:spacing w:after="0" w:line="251" w:lineRule="auto"/>
        <w:rPr>
          <w:sz w:val="20"/>
          <w:szCs w:val="20"/>
          <w:color w:val="auto"/>
        </w:rPr>
      </w:pPr>
      <w:r>
        <w:rPr>
          <w:rFonts w:ascii="Arial" w:cs="Arial" w:eastAsia="Arial" w:hAnsi="Arial"/>
          <w:sz w:val="13"/>
          <w:szCs w:val="13"/>
          <w:color w:val="auto"/>
        </w:rPr>
        <w:t>In November 2021, the Board renewed the Investment Advisory Agreement. Unless earlier terminated as described below, the Investment Advisory Agreement will remain in effect until November 2022,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36" w:lineRule="exact"/>
        <w:rPr>
          <w:sz w:val="20"/>
          <w:szCs w:val="20"/>
          <w:color w:val="auto"/>
        </w:rPr>
      </w:pPr>
    </w:p>
    <w:p>
      <w:pPr>
        <w:ind w:right="180" w:firstLine="256"/>
        <w:spacing w:after="0" w:line="260" w:lineRule="auto"/>
        <w:rPr>
          <w:sz w:val="20"/>
          <w:szCs w:val="20"/>
          <w:color w:val="auto"/>
        </w:rPr>
      </w:pPr>
      <w:r>
        <w:rPr>
          <w:rFonts w:ascii="Arial" w:cs="Arial" w:eastAsia="Arial" w:hAnsi="Arial"/>
          <w:sz w:val="13"/>
          <w:szCs w:val="13"/>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 at Fair Value</w:t>
      </w:r>
    </w:p>
    <w:p>
      <w:pPr>
        <w:spacing w:after="0" w:line="81" w:lineRule="exact"/>
        <w:rPr>
          <w:sz w:val="20"/>
          <w:szCs w:val="20"/>
          <w:color w:val="auto"/>
        </w:rPr>
      </w:pPr>
    </w:p>
    <w:p>
      <w:pPr>
        <w:ind w:right="40" w:firstLine="256"/>
        <w:spacing w:after="0" w:line="272" w:lineRule="auto"/>
        <w:rPr>
          <w:sz w:val="20"/>
          <w:szCs w:val="20"/>
          <w:color w:val="auto"/>
        </w:rPr>
      </w:pPr>
      <w:r>
        <w:rPr>
          <w:rFonts w:ascii="Arial" w:cs="Arial" w:eastAsia="Arial" w:hAnsi="Arial"/>
          <w:sz w:val="12"/>
          <w:szCs w:val="12"/>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Investments at fair value consisted of the following at March 31, 2022 and December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w w:val="95"/>
              </w:rPr>
              <w:t>March 31, 2022</w:t>
            </w: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1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right"/>
              <w:ind w:right="161"/>
              <w:spacing w:after="0" w:line="89" w:lineRule="exact"/>
              <w:rPr>
                <w:sz w:val="20"/>
                <w:szCs w:val="20"/>
                <w:color w:val="auto"/>
              </w:rPr>
            </w:pPr>
            <w:r>
              <w:rPr>
                <w:rFonts w:ascii="Arial" w:cs="Arial" w:eastAsia="Arial" w:hAnsi="Arial"/>
                <w:sz w:val="10"/>
                <w:szCs w:val="10"/>
                <w:b w:val="1"/>
                <w:bCs w:val="1"/>
                <w:color w:val="auto"/>
              </w:rPr>
              <w:t>Net Unrealized</w:t>
            </w: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140" w:type="dxa"/>
            <w:vAlign w:val="bottom"/>
          </w:tcPr>
          <w:p>
            <w:pPr>
              <w:spacing w:after="0"/>
              <w:rPr>
                <w:sz w:val="10"/>
                <w:szCs w:val="10"/>
                <w:color w:val="auto"/>
              </w:rPr>
            </w:pPr>
          </w:p>
        </w:tc>
        <w:tc>
          <w:tcPr>
            <w:tcW w:w="2960" w:type="dxa"/>
            <w:vAlign w:val="bottom"/>
            <w:tcBorders>
              <w:bottom w:val="single" w:sz="8" w:color="CFF0FC"/>
            </w:tcBorders>
          </w:tcPr>
          <w:p>
            <w:pPr>
              <w:spacing w:after="0"/>
              <w:rPr>
                <w:sz w:val="10"/>
                <w:szCs w:val="10"/>
                <w:color w:val="auto"/>
              </w:rPr>
            </w:pPr>
          </w:p>
        </w:tc>
        <w:tc>
          <w:tcPr>
            <w:tcW w:w="23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w w:val="94"/>
              </w:rPr>
              <w:t xml:space="preserve">Amortized Cost </w:t>
            </w:r>
            <w:r>
              <w:rPr>
                <w:rFonts w:ascii="Arial" w:cs="Arial" w:eastAsia="Arial" w:hAnsi="Arial"/>
                <w:sz w:val="8"/>
                <w:szCs w:val="8"/>
                <w:b w:val="1"/>
                <w:bCs w:val="1"/>
                <w:color w:val="auto"/>
                <w:w w:val="94"/>
              </w:rPr>
              <w:t>(1)</w:t>
            </w:r>
          </w:p>
        </w:tc>
        <w:tc>
          <w:tcPr>
            <w:tcW w:w="220" w:type="dxa"/>
            <w:vAlign w:val="bottom"/>
            <w:tcBorders>
              <w:bottom w:val="single" w:sz="8" w:color="CFF0FC"/>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Gain (Loss)</w:t>
            </w:r>
          </w:p>
        </w:tc>
        <w:tc>
          <w:tcPr>
            <w:tcW w:w="80" w:type="dxa"/>
            <w:vAlign w:val="bottom"/>
            <w:tcBorders>
              <w:bottom w:val="single" w:sz="8" w:color="CFF0FC"/>
            </w:tcBorders>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First-lien debt investments</w:t>
            </w:r>
          </w:p>
        </w:tc>
        <w:tc>
          <w:tcPr>
            <w:tcW w:w="24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2,207,273</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2,239,027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31,754</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00" w:type="dxa"/>
            <w:vAlign w:val="bottom"/>
            <w:gridSpan w:val="2"/>
          </w:tcPr>
          <w:p>
            <w:pPr>
              <w:ind w:left="1120"/>
              <w:spacing w:after="0"/>
              <w:rPr>
                <w:sz w:val="20"/>
                <w:szCs w:val="20"/>
                <w:color w:val="auto"/>
              </w:rPr>
            </w:pPr>
            <w:r>
              <w:rPr>
                <w:rFonts w:ascii="Arial" w:cs="Arial" w:eastAsia="Arial" w:hAnsi="Arial"/>
                <w:sz w:val="13"/>
                <w:szCs w:val="13"/>
                <w:color w:val="auto"/>
              </w:rPr>
              <w:t>Second-lien debt investments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42,647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42,511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(136)</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Mezzanine debt investments</w:t>
            </w:r>
          </w:p>
        </w:tc>
        <w:tc>
          <w:tcPr>
            <w:tcW w:w="2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14,139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6,839</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00" w:type="dxa"/>
            <w:vAlign w:val="bottom"/>
            <w:gridSpan w:val="2"/>
          </w:tcPr>
          <w:p>
            <w:pPr>
              <w:ind w:left="1120"/>
              <w:spacing w:after="0"/>
              <w:rPr>
                <w:sz w:val="20"/>
                <w:szCs w:val="20"/>
                <w:color w:val="auto"/>
              </w:rPr>
            </w:pPr>
            <w:r>
              <w:rPr>
                <w:rFonts w:ascii="Arial" w:cs="Arial" w:eastAsia="Arial" w:hAnsi="Arial"/>
                <w:sz w:val="13"/>
                <w:szCs w:val="13"/>
                <w:color w:val="auto"/>
              </w:rPr>
              <w:t>Equity and other investments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108,810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156,182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47,372</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Total Investments</w:t>
            </w:r>
          </w:p>
        </w:tc>
        <w:tc>
          <w:tcPr>
            <w:tcW w:w="2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960" w:type="dxa"/>
            <w:vAlign w:val="bottom"/>
            <w:vMerge w:val="continue"/>
            <w:shd w:val="clear" w:color="auto" w:fill="CFF0FC"/>
          </w:tcPr>
          <w:p>
            <w:pPr>
              <w:spacing w:after="0"/>
              <w:rPr>
                <w:sz w:val="14"/>
                <w:szCs w:val="14"/>
                <w:color w:val="auto"/>
              </w:rPr>
            </w:pPr>
          </w:p>
        </w:tc>
        <w:tc>
          <w:tcPr>
            <w:tcW w:w="23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2,366,030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2,451,859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85,829</w:t>
            </w:r>
          </w:p>
        </w:tc>
        <w:tc>
          <w:tcPr>
            <w:tcW w:w="8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40" w:type="dxa"/>
            <w:vAlign w:val="bottom"/>
          </w:tcPr>
          <w:p>
            <w:pPr>
              <w:spacing w:after="0"/>
              <w:rPr>
                <w:sz w:val="24"/>
                <w:szCs w:val="24"/>
                <w:color w:val="auto"/>
              </w:rPr>
            </w:pPr>
          </w:p>
        </w:tc>
        <w:tc>
          <w:tcPr>
            <w:tcW w:w="2960" w:type="dxa"/>
            <w:vAlign w:val="bottom"/>
            <w:tcBorders>
              <w:top w:val="single" w:sz="8" w:color="CFF0FC"/>
            </w:tcBorders>
          </w:tcPr>
          <w:p>
            <w:pPr>
              <w:spacing w:after="0"/>
              <w:rPr>
                <w:sz w:val="24"/>
                <w:szCs w:val="24"/>
                <w:color w:val="auto"/>
              </w:rPr>
            </w:pPr>
          </w:p>
        </w:tc>
        <w:tc>
          <w:tcPr>
            <w:tcW w:w="2300" w:type="dxa"/>
            <w:vAlign w:val="bottom"/>
            <w:tcBorders>
              <w:top w:val="single" w:sz="8" w:color="CFF0FC"/>
            </w:tcBorders>
          </w:tcPr>
          <w:p>
            <w:pPr>
              <w:jc w:val="right"/>
              <w:ind w:right="637"/>
              <w:spacing w:after="0"/>
              <w:rPr>
                <w:sz w:val="20"/>
                <w:szCs w:val="20"/>
                <w:color w:val="auto"/>
              </w:rPr>
            </w:pPr>
            <w:r>
              <w:rPr>
                <w:rFonts w:ascii="Arial" w:cs="Arial" w:eastAsia="Arial" w:hAnsi="Arial"/>
                <w:sz w:val="13"/>
                <w:szCs w:val="13"/>
                <w:color w:val="auto"/>
              </w:rPr>
              <w:t>30</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4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2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358" w:right="279" w:bottom="1440" w:gutter="0" w:footer="0" w:header="0"/>
        </w:sectPr>
      </w:pPr>
    </w:p>
    <w:bookmarkStart w:id="30" w:name="page31"/>
    <w:bookmarkEnd w:id="30"/>
    <w:tbl>
      <w:tblPr>
        <w:tblLayout w:type="fixed"/>
        <w:tblInd w:w="1124"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101"/>
              <w:spacing w:after="0"/>
              <w:rPr>
                <w:sz w:val="20"/>
                <w:szCs w:val="20"/>
                <w:color w:val="auto"/>
              </w:rPr>
            </w:pPr>
            <w:r>
              <w:rPr>
                <w:rFonts w:ascii="Arial" w:cs="Arial" w:eastAsia="Arial" w:hAnsi="Arial"/>
                <w:sz w:val="10"/>
                <w:szCs w:val="10"/>
                <w:b w:val="1"/>
                <w:bCs w:val="1"/>
                <w:color w:val="auto"/>
                <w:w w:val="88"/>
              </w:rPr>
              <w:t>December 31, 2021</w:t>
            </w: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jc w:val="right"/>
              <w:ind w:right="161"/>
              <w:spacing w:after="0" w:line="89" w:lineRule="exact"/>
              <w:rPr>
                <w:sz w:val="20"/>
                <w:szCs w:val="20"/>
                <w:color w:val="auto"/>
              </w:rPr>
            </w:pPr>
            <w:r>
              <w:rPr>
                <w:rFonts w:ascii="Arial" w:cs="Arial" w:eastAsia="Arial" w:hAnsi="Arial"/>
                <w:sz w:val="10"/>
                <w:szCs w:val="10"/>
                <w:b w:val="1"/>
                <w:bCs w:val="1"/>
                <w:color w:val="auto"/>
              </w:rPr>
              <w:t>Net Unrealized</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Borders>
              <w:bottom w:val="single" w:sz="8" w:color="CFF0FC"/>
            </w:tcBorders>
          </w:tcPr>
          <w:p>
            <w:pPr>
              <w:spacing w:after="0"/>
              <w:rPr>
                <w:sz w:val="10"/>
                <w:szCs w:val="10"/>
                <w:color w:val="auto"/>
              </w:rPr>
            </w:pPr>
          </w:p>
        </w:tc>
        <w:tc>
          <w:tcPr>
            <w:tcW w:w="19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w w:val="94"/>
              </w:rPr>
              <w:t xml:space="preserve">Amortized Cost </w:t>
            </w:r>
            <w:r>
              <w:rPr>
                <w:rFonts w:ascii="Arial" w:cs="Arial" w:eastAsia="Arial" w:hAnsi="Arial"/>
                <w:sz w:val="8"/>
                <w:szCs w:val="8"/>
                <w:b w:val="1"/>
                <w:bCs w:val="1"/>
                <w:color w:val="auto"/>
                <w:w w:val="94"/>
              </w:rPr>
              <w:t>(1)</w:t>
            </w:r>
          </w:p>
        </w:tc>
        <w:tc>
          <w:tcPr>
            <w:tcW w:w="280" w:type="dxa"/>
            <w:vAlign w:val="bottom"/>
            <w:tcBorders>
              <w:bottom w:val="single" w:sz="8" w:color="CFF0FC"/>
            </w:tcBorders>
          </w:tcPr>
          <w:p>
            <w:pPr>
              <w:spacing w:after="0"/>
              <w:rPr>
                <w:sz w:val="10"/>
                <w:szCs w:val="10"/>
                <w:color w:val="auto"/>
              </w:rPr>
            </w:pPr>
          </w:p>
        </w:tc>
        <w:tc>
          <w:tcPr>
            <w:tcW w:w="98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Gain (Loss)</w:t>
            </w: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First-lien debt investments</w:t>
            </w:r>
          </w:p>
        </w:tc>
        <w:tc>
          <w:tcPr>
            <w:tcW w:w="202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2,265,555</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2,298,856</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33,301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80" w:type="dxa"/>
            <w:vAlign w:val="bottom"/>
            <w:gridSpan w:val="2"/>
          </w:tcPr>
          <w:p>
            <w:pPr>
              <w:spacing w:after="0"/>
              <w:rPr>
                <w:sz w:val="20"/>
                <w:szCs w:val="20"/>
                <w:color w:val="auto"/>
              </w:rPr>
            </w:pPr>
            <w:r>
              <w:rPr>
                <w:rFonts w:ascii="Arial" w:cs="Arial" w:eastAsia="Arial" w:hAnsi="Arial"/>
                <w:sz w:val="13"/>
                <w:szCs w:val="13"/>
                <w:color w:val="auto"/>
              </w:rPr>
              <w:t>Second-lien debt investments</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42,629</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42,729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3"/>
                <w:szCs w:val="13"/>
                <w:color w:val="auto"/>
              </w:rPr>
              <w:t>Mezzanine debt investments</w:t>
            </w:r>
          </w:p>
        </w:tc>
        <w:tc>
          <w:tcPr>
            <w:tcW w:w="1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9,368</w:t>
            </w:r>
          </w:p>
        </w:tc>
        <w:tc>
          <w:tcPr>
            <w:tcW w:w="280" w:type="dxa"/>
            <w:vAlign w:val="bottom"/>
            <w:tcBorders>
              <w:right w:val="single" w:sz="8" w:color="CFF0FC"/>
            </w:tcBorders>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18,549</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9,181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80" w:type="dxa"/>
            <w:vAlign w:val="bottom"/>
            <w:gridSpan w:val="2"/>
          </w:tcPr>
          <w:p>
            <w:pPr>
              <w:spacing w:after="0"/>
              <w:rPr>
                <w:sz w:val="20"/>
                <w:szCs w:val="20"/>
                <w:color w:val="auto"/>
              </w:rPr>
            </w:pPr>
            <w:r>
              <w:rPr>
                <w:rFonts w:ascii="Arial" w:cs="Arial" w:eastAsia="Arial" w:hAnsi="Arial"/>
                <w:sz w:val="13"/>
                <w:szCs w:val="13"/>
                <w:color w:val="auto"/>
              </w:rPr>
              <w:t>Equity and other investments</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114,460</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161,459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46,999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Total Investments</w:t>
            </w:r>
          </w:p>
        </w:tc>
        <w:tc>
          <w:tcPr>
            <w:tcW w:w="19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360" w:type="dxa"/>
            <w:vAlign w:val="bottom"/>
            <w:vMerge w:val="continue"/>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2,432,012</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2,521,593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89,581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360" w:type="dxa"/>
            <w:vAlign w:val="bottom"/>
            <w:shd w:val="clear" w:color="auto" w:fill="CFF0FC"/>
          </w:tcPr>
          <w:p>
            <w:pPr>
              <w:spacing w:after="0"/>
              <w:rPr>
                <w:sz w:val="2"/>
                <w:szCs w:val="2"/>
                <w:color w:val="auto"/>
              </w:rPr>
            </w:pPr>
          </w:p>
        </w:tc>
        <w:tc>
          <w:tcPr>
            <w:tcW w:w="19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FF0F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4" w:right="1860" w:hanging="264"/>
        <w:spacing w:after="0" w:line="502" w:lineRule="auto"/>
        <w:tabs>
          <w:tab w:leader="none" w:pos="519"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or premiums, as applicable, on debt investments using the effective interest method. The industry composition of investments at fair value at March 31, 2022 and December 31, 2021 is as follows:</w:t>
      </w:r>
    </w:p>
    <w:p>
      <w:pPr>
        <w:spacing w:after="0" w:line="30" w:lineRule="exact"/>
        <w:rPr>
          <w:sz w:val="20"/>
          <w:szCs w:val="20"/>
          <w:color w:val="auto"/>
        </w:rPr>
      </w:pPr>
    </w:p>
    <w:tbl>
      <w:tblPr>
        <w:tblLayout w:type="fixed"/>
        <w:tblInd w:w="264" w:type="dxa"/>
        <w:tblCellMar>
          <w:top w:w="0" w:type="dxa"/>
          <w:left w:w="0" w:type="dxa"/>
          <w:bottom w:w="0" w:type="dxa"/>
          <w:right w:w="0" w:type="dxa"/>
        </w:tblCellMar>
      </w:tblPr>
      <w:tr>
        <w:trPr>
          <w:trHeight w:val="119"/>
        </w:trPr>
        <w:tc>
          <w:tcPr>
            <w:tcW w:w="1440" w:type="dxa"/>
            <w:vAlign w:val="bottom"/>
          </w:tcPr>
          <w:p>
            <w:pPr>
              <w:spacing w:after="0"/>
              <w:rPr>
                <w:sz w:val="10"/>
                <w:szCs w:val="10"/>
                <w:color w:val="auto"/>
              </w:rPr>
            </w:pPr>
          </w:p>
        </w:tc>
        <w:tc>
          <w:tcPr>
            <w:tcW w:w="5240" w:type="dxa"/>
            <w:vAlign w:val="bottom"/>
            <w:tcBorders>
              <w:bottom w:val="single" w:sz="8" w:color="CFF0FC"/>
            </w:tcBorders>
          </w:tcPr>
          <w:p>
            <w:pPr>
              <w:spacing w:after="0"/>
              <w:rPr>
                <w:sz w:val="10"/>
                <w:szCs w:val="10"/>
                <w:color w:val="auto"/>
              </w:rPr>
            </w:pPr>
          </w:p>
        </w:tc>
        <w:tc>
          <w:tcPr>
            <w:tcW w:w="114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March 31, 2022</w:t>
            </w:r>
          </w:p>
        </w:tc>
        <w:tc>
          <w:tcPr>
            <w:tcW w:w="260" w:type="dxa"/>
            <w:vAlign w:val="bottom"/>
            <w:tcBorders>
              <w:bottom w:val="single" w:sz="8" w:color="CFF0FC"/>
            </w:tcBorders>
          </w:tcPr>
          <w:p>
            <w:pPr>
              <w:spacing w:after="0"/>
              <w:rPr>
                <w:sz w:val="10"/>
                <w:szCs w:val="10"/>
                <w:color w:val="auto"/>
              </w:rPr>
            </w:pPr>
          </w:p>
        </w:tc>
        <w:tc>
          <w:tcPr>
            <w:tcW w:w="114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December 31, 2021</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Business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Communications</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3.3%</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Education</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Financial Services</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11.9%</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Healthcare</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8.3%</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Hotel, Gaming and Leisure</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3.1%</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Human Resource Support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13.0%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Internet Services</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Marketing Services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1.9%</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Office Products</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0.2%</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Oil, Gas and Consumable Fuels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Other</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1.9%</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Pharmaceuticals</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4.0%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Retail and Consumer Products</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10.7%</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Transportation</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1.4%</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440" w:type="dxa"/>
            <w:vAlign w:val="bottom"/>
          </w:tcPr>
          <w:p>
            <w:pPr>
              <w:spacing w:after="0"/>
              <w:rPr>
                <w:sz w:val="13"/>
                <w:szCs w:val="13"/>
                <w:color w:val="auto"/>
              </w:rPr>
            </w:pPr>
          </w:p>
        </w:tc>
        <w:tc>
          <w:tcPr>
            <w:tcW w:w="5240" w:type="dxa"/>
            <w:vAlign w:val="bottom"/>
            <w:vMerge w:val="continue"/>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31"/>
        </w:trPr>
        <w:tc>
          <w:tcPr>
            <w:tcW w:w="6680" w:type="dxa"/>
            <w:vAlign w:val="bottom"/>
            <w:gridSpan w:val="2"/>
          </w:tcPr>
          <w:p>
            <w:pPr>
              <w:spacing w:after="0"/>
              <w:rPr>
                <w:sz w:val="20"/>
                <w:szCs w:val="20"/>
                <w:color w:val="auto"/>
              </w:rPr>
            </w:pPr>
            <w:r>
              <w:rPr>
                <w:rFonts w:ascii="Arial" w:cs="Arial" w:eastAsia="Arial" w:hAnsi="Arial"/>
                <w:sz w:val="13"/>
                <w:szCs w:val="13"/>
                <w:color w:val="auto"/>
              </w:rPr>
              <w:t>The geographic composition of investments at fair value at March 31, 2022 and December 31, 2021 is as follows:</w:t>
            </w:r>
          </w:p>
        </w:tc>
        <w:tc>
          <w:tcPr>
            <w:tcW w:w="11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rPr>
              <w:t>March 31, 2022</w:t>
            </w:r>
          </w:p>
        </w:tc>
        <w:tc>
          <w:tcPr>
            <w:tcW w:w="126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United States</w:t>
            </w:r>
          </w:p>
        </w:tc>
        <w:tc>
          <w:tcPr>
            <w:tcW w:w="1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Midwest</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11.3%</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25.7%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tcPr>
          <w:p>
            <w:pPr>
              <w:ind w:left="160"/>
              <w:spacing w:after="0"/>
              <w:rPr>
                <w:sz w:val="20"/>
                <w:szCs w:val="20"/>
                <w:color w:val="auto"/>
              </w:rPr>
            </w:pPr>
            <w:r>
              <w:rPr>
                <w:rFonts w:ascii="Arial" w:cs="Arial" w:eastAsia="Arial" w:hAnsi="Arial"/>
                <w:sz w:val="13"/>
                <w:szCs w:val="13"/>
                <w:color w:val="auto"/>
              </w:rPr>
              <w:t>South</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22.7%</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32.0%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Australia</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2.5%</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3"/>
                <w:szCs w:val="13"/>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Canada</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5.2%</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1"/>
        </w:trPr>
        <w:tc>
          <w:tcPr>
            <w:tcW w:w="6680" w:type="dxa"/>
            <w:vAlign w:val="bottom"/>
            <w:gridSpan w:val="2"/>
          </w:tcPr>
          <w:p>
            <w:pPr>
              <w:ind w:left="1440"/>
              <w:spacing w:after="0"/>
              <w:rPr>
                <w:sz w:val="20"/>
                <w:szCs w:val="20"/>
                <w:color w:val="auto"/>
              </w:rPr>
            </w:pPr>
            <w:r>
              <w:rPr>
                <w:rFonts w:ascii="Arial" w:cs="Arial" w:eastAsia="Arial" w:hAnsi="Arial"/>
                <w:sz w:val="13"/>
                <w:szCs w:val="13"/>
                <w:color w:val="auto"/>
              </w:rPr>
              <w:t>United Kingdom</w:t>
            </w:r>
          </w:p>
        </w:tc>
        <w:tc>
          <w:tcPr>
            <w:tcW w:w="1400" w:type="dxa"/>
            <w:vAlign w:val="bottom"/>
            <w:gridSpan w:val="2"/>
          </w:tcPr>
          <w:p>
            <w:pPr>
              <w:jc w:val="right"/>
              <w:ind w:right="160"/>
              <w:spacing w:after="0"/>
              <w:rPr>
                <w:sz w:val="20"/>
                <w:szCs w:val="20"/>
                <w:color w:val="auto"/>
              </w:rPr>
            </w:pPr>
            <w:r>
              <w:rPr>
                <w:rFonts w:ascii="Arial" w:cs="Arial" w:eastAsia="Arial" w:hAnsi="Arial"/>
                <w:sz w:val="13"/>
                <w:szCs w:val="13"/>
                <w:color w:val="auto"/>
              </w:rPr>
              <w:t>0.6%</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24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440" w:type="dxa"/>
            <w:vAlign w:val="bottom"/>
          </w:tcPr>
          <w:p>
            <w:pPr>
              <w:spacing w:after="0"/>
              <w:rPr>
                <w:sz w:val="13"/>
                <w:szCs w:val="13"/>
                <w:color w:val="auto"/>
              </w:rPr>
            </w:pPr>
          </w:p>
        </w:tc>
        <w:tc>
          <w:tcPr>
            <w:tcW w:w="5240" w:type="dxa"/>
            <w:vAlign w:val="bottom"/>
            <w:vMerge w:val="continue"/>
            <w:shd w:val="clear" w:color="auto" w:fill="CFF0FC"/>
          </w:tcPr>
          <w:p>
            <w:pPr>
              <w:spacing w:after="0"/>
              <w:rPr>
                <w:sz w:val="13"/>
                <w:szCs w:val="13"/>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100.0%</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524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5. Derivatives</w:t>
      </w:r>
    </w:p>
    <w:p>
      <w:pPr>
        <w:spacing w:after="0" w:line="91"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Interest Rate Swaps</w:t>
      </w:r>
    </w:p>
    <w:p>
      <w:pPr>
        <w:spacing w:after="0" w:line="77" w:lineRule="exact"/>
        <w:rPr>
          <w:sz w:val="20"/>
          <w:szCs w:val="20"/>
          <w:color w:val="auto"/>
        </w:rPr>
      </w:pPr>
    </w:p>
    <w:p>
      <w:pPr>
        <w:ind w:left="4" w:firstLine="256"/>
        <w:spacing w:after="0" w:line="301" w:lineRule="auto"/>
        <w:rPr>
          <w:sz w:val="20"/>
          <w:szCs w:val="20"/>
          <w:color w:val="auto"/>
        </w:rPr>
      </w:pPr>
      <w:r>
        <w:rPr>
          <w:rFonts w:ascii="Arial" w:cs="Arial" w:eastAsia="Arial" w:hAnsi="Arial"/>
          <w:sz w:val="12"/>
          <w:szCs w:val="12"/>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08" w:lineRule="exact"/>
        <w:rPr>
          <w:sz w:val="20"/>
          <w:szCs w:val="20"/>
          <w:color w:val="auto"/>
        </w:rPr>
      </w:pPr>
    </w:p>
    <w:p>
      <w:pPr>
        <w:jc w:val="center"/>
        <w:ind w:right="-203"/>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04"/>
          </w:cols>
          <w:pgMar w:left="296" w:top="437" w:right="499" w:bottom="1440" w:gutter="0" w:footer="0" w:header="0"/>
        </w:sectPr>
      </w:pPr>
    </w:p>
    <w:bookmarkStart w:id="31" w:name="page32"/>
    <w:bookmarkEnd w:id="31"/>
    <w:p>
      <w:pPr>
        <w:ind w:left="264"/>
        <w:spacing w:after="0"/>
        <w:rPr>
          <w:sz w:val="20"/>
          <w:szCs w:val="20"/>
          <w:color w:val="auto"/>
        </w:rPr>
      </w:pPr>
      <w:r>
        <w:rPr>
          <w:rFonts w:ascii="Arial" w:cs="Arial" w:eastAsia="Arial" w:hAnsi="Arial"/>
          <w:sz w:val="13"/>
          <w:szCs w:val="13"/>
          <w:color w:val="auto"/>
        </w:rPr>
        <w:t>The following tables present the amounts paid and received on the Company’s interest rate swap transactions, excluding upfront fees, for the three months ended March 31, 2022 and 2021:</w:t>
      </w:r>
    </w:p>
    <w:p>
      <w:pPr>
        <w:spacing w:after="0" w:line="157"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3080" w:type="dxa"/>
            <w:vAlign w:val="bottom"/>
          </w:tcPr>
          <w:p>
            <w:pPr>
              <w:spacing w:after="0"/>
              <w:rPr>
                <w:sz w:val="10"/>
                <w:szCs w:val="10"/>
                <w:color w:val="auto"/>
              </w:rPr>
            </w:pPr>
          </w:p>
        </w:tc>
        <w:tc>
          <w:tcPr>
            <w:tcW w:w="1280" w:type="dxa"/>
            <w:vAlign w:val="bottom"/>
            <w:vMerge w:val="restart"/>
          </w:tcPr>
          <w:p>
            <w:pPr>
              <w:jc w:val="right"/>
              <w:ind w:right="281"/>
              <w:spacing w:after="0"/>
              <w:rPr>
                <w:sz w:val="20"/>
                <w:szCs w:val="20"/>
                <w:color w:val="auto"/>
              </w:rPr>
            </w:pPr>
            <w:r>
              <w:rPr>
                <w:rFonts w:ascii="Arial" w:cs="Arial" w:eastAsia="Arial" w:hAnsi="Arial"/>
                <w:sz w:val="10"/>
                <w:szCs w:val="10"/>
                <w:b w:val="1"/>
                <w:bCs w:val="1"/>
                <w:color w:val="auto"/>
              </w:rPr>
              <w:t>Maturity Date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Notional Amount</w:t>
            </w: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0"/>
                <w:szCs w:val="10"/>
                <w:b w:val="1"/>
                <w:bCs w:val="1"/>
                <w:color w:val="auto"/>
                <w:w w:val="94"/>
              </w:rPr>
              <w:t>For the Three Months Ended March 31, 2022</w:t>
            </w:r>
          </w:p>
        </w:tc>
        <w:tc>
          <w:tcPr>
            <w:tcW w:w="11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gridSpan w:val="2"/>
          </w:tcPr>
          <w:p>
            <w:pPr>
              <w:jc w:val="right"/>
              <w:ind w:right="620"/>
              <w:spacing w:after="0" w:line="103" w:lineRule="exact"/>
              <w:rPr>
                <w:sz w:val="20"/>
                <w:szCs w:val="20"/>
                <w:color w:val="auto"/>
              </w:rPr>
            </w:pPr>
            <w:r>
              <w:rPr>
                <w:rFonts w:ascii="Arial" w:cs="Arial" w:eastAsia="Arial" w:hAnsi="Arial"/>
                <w:sz w:val="10"/>
                <w:szCs w:val="10"/>
                <w:b w:val="1"/>
                <w:bCs w:val="1"/>
                <w:color w:val="auto"/>
              </w:rPr>
              <w:t>Paid</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2"/>
          </w:tcPr>
          <w:p>
            <w:pPr>
              <w:ind w:left="240"/>
              <w:spacing w:after="0" w:line="103" w:lineRule="exact"/>
              <w:rPr>
                <w:sz w:val="20"/>
                <w:szCs w:val="20"/>
                <w:color w:val="auto"/>
              </w:rPr>
            </w:pPr>
            <w:r>
              <w:rPr>
                <w:rFonts w:ascii="Arial" w:cs="Arial" w:eastAsia="Arial" w:hAnsi="Arial"/>
                <w:sz w:val="10"/>
                <w:szCs w:val="10"/>
                <w:b w:val="1"/>
                <w:bCs w:val="1"/>
                <w:color w:val="auto"/>
              </w:rPr>
              <w:t>Received</w:t>
            </w:r>
          </w:p>
        </w:tc>
        <w:tc>
          <w:tcPr>
            <w:tcW w:w="380" w:type="dxa"/>
            <w:vAlign w:val="bottom"/>
          </w:tcPr>
          <w:p>
            <w:pPr>
              <w:spacing w:after="0"/>
              <w:rPr>
                <w:sz w:val="8"/>
                <w:szCs w:val="8"/>
                <w:color w:val="auto"/>
              </w:rPr>
            </w:pPr>
          </w:p>
        </w:tc>
        <w:tc>
          <w:tcPr>
            <w:tcW w:w="1100" w:type="dxa"/>
            <w:vAlign w:val="bottom"/>
          </w:tcPr>
          <w:p>
            <w:pPr>
              <w:jc w:val="right"/>
              <w:ind w:right="601"/>
              <w:spacing w:after="0" w:line="103" w:lineRule="exact"/>
              <w:rPr>
                <w:sz w:val="20"/>
                <w:szCs w:val="20"/>
                <w:color w:val="auto"/>
              </w:rPr>
            </w:pPr>
            <w:r>
              <w:rPr>
                <w:rFonts w:ascii="Arial" w:cs="Arial" w:eastAsia="Arial" w:hAnsi="Arial"/>
                <w:sz w:val="10"/>
                <w:szCs w:val="10"/>
                <w:b w:val="1"/>
                <w:bCs w:val="1"/>
                <w:color w:val="auto"/>
              </w:rPr>
              <w:t>Net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115,000</w:t>
            </w:r>
          </w:p>
        </w:tc>
        <w:tc>
          <w:tcPr>
            <w:tcW w:w="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(745)</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1,294</w:t>
            </w:r>
          </w:p>
        </w:tc>
        <w:tc>
          <w:tcPr>
            <w:tcW w:w="26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549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50,000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(227)</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563</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(34)</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27,531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(306)</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159</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(24)</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42,819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(482)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250</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1/22/2023</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(830)</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1,687</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11/1/2024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300,000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(1,813)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2,906</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1,093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11/1/2024</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(320)</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484</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11/1/2024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2,500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8/1/2026</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(1,526)</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1,792</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160"/>
              <w:spacing w:after="0"/>
              <w:rPr>
                <w:sz w:val="20"/>
                <w:szCs w:val="20"/>
                <w:color w:val="auto"/>
              </w:rPr>
            </w:pPr>
            <w:r>
              <w:rPr>
                <w:rFonts w:ascii="Arial" w:cs="Arial" w:eastAsia="Arial" w:hAnsi="Arial"/>
                <w:sz w:val="12"/>
                <w:szCs w:val="12"/>
                <w:b w:val="1"/>
                <w:bCs w:val="1"/>
                <w:color w:val="auto"/>
              </w:rPr>
              <w:t>Total</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1,047,510</w:t>
            </w:r>
          </w:p>
        </w:tc>
        <w:tc>
          <w:tcPr>
            <w:tcW w:w="2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9,246</w:t>
            </w:r>
          </w:p>
        </w:tc>
        <w:tc>
          <w:tcPr>
            <w:tcW w:w="2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3080" w:type="dxa"/>
            <w:vAlign w:val="bottom"/>
          </w:tcPr>
          <w:p>
            <w:pPr>
              <w:spacing w:after="0"/>
              <w:rPr>
                <w:sz w:val="24"/>
                <w:szCs w:val="24"/>
                <w:color w:val="auto"/>
              </w:rPr>
            </w:pPr>
          </w:p>
        </w:tc>
        <w:tc>
          <w:tcPr>
            <w:tcW w:w="1280" w:type="dxa"/>
            <w:vAlign w:val="bottom"/>
            <w:vMerge w:val="restart"/>
          </w:tcPr>
          <w:p>
            <w:pPr>
              <w:jc w:val="right"/>
              <w:ind w:right="281"/>
              <w:spacing w:after="0"/>
              <w:rPr>
                <w:sz w:val="20"/>
                <w:szCs w:val="20"/>
                <w:color w:val="auto"/>
              </w:rPr>
            </w:pPr>
            <w:r>
              <w:rPr>
                <w:rFonts w:ascii="Arial" w:cs="Arial" w:eastAsia="Arial" w:hAnsi="Arial"/>
                <w:sz w:val="10"/>
                <w:szCs w:val="10"/>
                <w:b w:val="1"/>
                <w:bCs w:val="1"/>
                <w:color w:val="auto"/>
              </w:rPr>
              <w:t>Maturity Date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Notional Amount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0"/>
                <w:szCs w:val="10"/>
                <w:b w:val="1"/>
                <w:bCs w:val="1"/>
                <w:color w:val="auto"/>
                <w:w w:val="94"/>
              </w:rPr>
              <w:t>For the Three Months Ended March 31, 2021</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30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gridSpan w:val="2"/>
          </w:tcPr>
          <w:p>
            <w:pPr>
              <w:jc w:val="right"/>
              <w:ind w:right="620"/>
              <w:spacing w:after="0" w:line="103" w:lineRule="exact"/>
              <w:rPr>
                <w:sz w:val="20"/>
                <w:szCs w:val="20"/>
                <w:color w:val="auto"/>
              </w:rPr>
            </w:pPr>
            <w:r>
              <w:rPr>
                <w:rFonts w:ascii="Arial" w:cs="Arial" w:eastAsia="Arial" w:hAnsi="Arial"/>
                <w:sz w:val="10"/>
                <w:szCs w:val="10"/>
                <w:b w:val="1"/>
                <w:bCs w:val="1"/>
                <w:color w:val="auto"/>
              </w:rPr>
              <w:t>Paid</w:t>
            </w: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2"/>
          </w:tcPr>
          <w:p>
            <w:pPr>
              <w:ind w:left="240"/>
              <w:spacing w:after="0" w:line="103" w:lineRule="exact"/>
              <w:rPr>
                <w:sz w:val="20"/>
                <w:szCs w:val="20"/>
                <w:color w:val="auto"/>
              </w:rPr>
            </w:pPr>
            <w:r>
              <w:rPr>
                <w:rFonts w:ascii="Arial" w:cs="Arial" w:eastAsia="Arial" w:hAnsi="Arial"/>
                <w:sz w:val="10"/>
                <w:szCs w:val="10"/>
                <w:b w:val="1"/>
                <w:bCs w:val="1"/>
                <w:color w:val="auto"/>
              </w:rPr>
              <w:t>Received</w:t>
            </w:r>
          </w:p>
        </w:tc>
        <w:tc>
          <w:tcPr>
            <w:tcW w:w="380" w:type="dxa"/>
            <w:vAlign w:val="bottom"/>
          </w:tcPr>
          <w:p>
            <w:pPr>
              <w:spacing w:after="0"/>
              <w:rPr>
                <w:sz w:val="8"/>
                <w:szCs w:val="8"/>
                <w:color w:val="auto"/>
              </w:rPr>
            </w:pPr>
          </w:p>
        </w:tc>
        <w:tc>
          <w:tcPr>
            <w:tcW w:w="1100" w:type="dxa"/>
            <w:vAlign w:val="bottom"/>
          </w:tcPr>
          <w:p>
            <w:pPr>
              <w:jc w:val="right"/>
              <w:ind w:right="601"/>
              <w:spacing w:after="0" w:line="103" w:lineRule="exact"/>
              <w:rPr>
                <w:sz w:val="20"/>
                <w:szCs w:val="20"/>
                <w:color w:val="auto"/>
              </w:rPr>
            </w:pPr>
            <w:r>
              <w:rPr>
                <w:rFonts w:ascii="Arial" w:cs="Arial" w:eastAsia="Arial" w:hAnsi="Arial"/>
                <w:sz w:val="10"/>
                <w:szCs w:val="10"/>
                <w:b w:val="1"/>
                <w:bCs w:val="1"/>
                <w:color w:val="auto"/>
              </w:rPr>
              <w:t>Net</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 xml:space="preserve">Interest rate swap </w:t>
            </w:r>
            <w:r>
              <w:rPr>
                <w:rFonts w:ascii="Arial" w:cs="Arial" w:eastAsia="Arial" w:hAnsi="Arial"/>
                <w:sz w:val="10"/>
                <w:szCs w:val="10"/>
                <w:color w:val="auto"/>
              </w:rPr>
              <w:t>(1)</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7/30/2021</w:t>
            </w:r>
          </w:p>
        </w:tc>
        <w:tc>
          <w:tcPr>
            <w:tcW w:w="1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11,700</w:t>
            </w:r>
          </w:p>
        </w:tc>
        <w:tc>
          <w:tcPr>
            <w:tcW w:w="2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26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(34)</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115,000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(754)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1,294</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50,000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(231)</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563</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7,500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(35)</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84</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27,531</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(310)</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8/1/2022</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2,160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13</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1/22/2023</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(842)</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1,688</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 xml:space="preserve">Interest rate swap </w:t>
            </w:r>
            <w:r>
              <w:rPr>
                <w:rFonts w:ascii="Arial" w:cs="Arial" w:eastAsia="Arial" w:hAnsi="Arial"/>
                <w:sz w:val="10"/>
                <w:szCs w:val="10"/>
                <w:color w:val="auto"/>
              </w:rPr>
              <w:t>(1)</w:t>
            </w:r>
          </w:p>
        </w:tc>
        <w:tc>
          <w:tcPr>
            <w:tcW w:w="1280" w:type="dxa"/>
            <w:vAlign w:val="bottom"/>
          </w:tcPr>
          <w:p>
            <w:pPr>
              <w:jc w:val="right"/>
              <w:spacing w:after="0"/>
              <w:rPr>
                <w:sz w:val="20"/>
                <w:szCs w:val="20"/>
                <w:color w:val="auto"/>
              </w:rPr>
            </w:pPr>
            <w:r>
              <w:rPr>
                <w:rFonts w:ascii="Arial" w:cs="Arial" w:eastAsia="Arial" w:hAnsi="Arial"/>
                <w:sz w:val="12"/>
                <w:szCs w:val="12"/>
                <w:color w:val="auto"/>
              </w:rPr>
              <w:t>6/9/2023</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11/1/2024</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300,000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(1,815)</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2,906</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11/1/2024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50,000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(324)</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484</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11/1/2024</w:t>
            </w:r>
          </w:p>
        </w:tc>
        <w:tc>
          <w:tcPr>
            <w:tcW w:w="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(23)</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1"/>
        </w:trPr>
        <w:tc>
          <w:tcPr>
            <w:tcW w:w="3080" w:type="dxa"/>
            <w:vAlign w:val="bottom"/>
          </w:tcPr>
          <w:p>
            <w:pPr>
              <w:spacing w:after="0"/>
              <w:rPr>
                <w:sz w:val="20"/>
                <w:szCs w:val="20"/>
                <w:color w:val="auto"/>
              </w:rPr>
            </w:pPr>
            <w:r>
              <w:rPr>
                <w:rFonts w:ascii="Arial" w:cs="Arial" w:eastAsia="Arial" w:hAnsi="Arial"/>
                <w:sz w:val="12"/>
                <w:szCs w:val="12"/>
                <w:color w:val="auto"/>
              </w:rPr>
              <w:t>Interest rate swap</w:t>
            </w:r>
          </w:p>
        </w:tc>
        <w:tc>
          <w:tcPr>
            <w:tcW w:w="1280" w:type="dxa"/>
            <w:vAlign w:val="bottom"/>
          </w:tcPr>
          <w:p>
            <w:pPr>
              <w:jc w:val="right"/>
              <w:spacing w:after="0"/>
              <w:rPr>
                <w:sz w:val="20"/>
                <w:szCs w:val="20"/>
                <w:color w:val="auto"/>
              </w:rPr>
            </w:pPr>
            <w:r>
              <w:rPr>
                <w:rFonts w:ascii="Arial" w:cs="Arial" w:eastAsia="Arial" w:hAnsi="Arial"/>
                <w:sz w:val="12"/>
                <w:szCs w:val="12"/>
                <w:color w:val="auto"/>
              </w:rPr>
              <w:t>8/1/2026</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300,000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(853)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1,083</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2"/>
                <w:szCs w:val="12"/>
                <w:b w:val="1"/>
                <w:bCs w:val="1"/>
                <w:color w:val="auto"/>
              </w:rPr>
              <w:t>Total</w:t>
            </w:r>
          </w:p>
        </w:tc>
        <w:tc>
          <w:tcPr>
            <w:tcW w:w="128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5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1,021,391</w:t>
            </w:r>
          </w:p>
        </w:tc>
        <w:tc>
          <w:tcPr>
            <w:tcW w:w="28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(5,256)</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8,303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3,047</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04" w:right="140" w:hanging="504"/>
        <w:spacing w:after="0" w:line="260" w:lineRule="auto"/>
        <w:tabs>
          <w:tab w:leader="none" w:pos="504"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notional amount of certain interest rate swaps may be more or less than the Company’s investment in individual portfolio companies as a result of arrangements with other lenders in the syndicate, amortization, or interest income paid-in-kind.</w:t>
      </w:r>
    </w:p>
    <w:p>
      <w:pPr>
        <w:spacing w:after="0" w:line="130" w:lineRule="exact"/>
        <w:rPr>
          <w:sz w:val="20"/>
          <w:szCs w:val="20"/>
          <w:color w:val="auto"/>
        </w:rPr>
      </w:pPr>
    </w:p>
    <w:p>
      <w:pPr>
        <w:ind w:left="4" w:right="80" w:firstLine="256"/>
        <w:spacing w:after="0" w:line="247" w:lineRule="auto"/>
        <w:rPr>
          <w:sz w:val="20"/>
          <w:szCs w:val="20"/>
          <w:color w:val="auto"/>
        </w:rPr>
      </w:pPr>
      <w:r>
        <w:rPr>
          <w:rFonts w:ascii="Arial" w:cs="Arial" w:eastAsia="Arial" w:hAnsi="Arial"/>
          <w:sz w:val="13"/>
          <w:szCs w:val="13"/>
          <w:color w:val="auto"/>
        </w:rPr>
        <w:t>For the three months ended March 31, 2022 and 2021, the Company recognized $2.9 million and $1.8 million, respectively, in net change in unrealized losses, on interest rate swaps not designated as hedging instruments in the consolidated statement of operations related to the swap transactions. For the three months ended March 31, 2022 and 2021, the Company recognized $27.2 million and $14.6 million in net change in unrealized losses, respectively, on interest rate swaps designated as hedging instruments as a component of interest expense in the consolidated statement of operations. For the three months ended March 31, 2022 and 2021, this amount is offset by a decrease of $13.2 million and $5.6 million, respectively, for a change in the carrying value of the 2024 Notes and a decrease of $14.0 million and $9.0 million, respectively, for a change in carrying value of the 2026 Notes.</w:t>
      </w:r>
    </w:p>
    <w:p>
      <w:pPr>
        <w:spacing w:after="0" w:line="138" w:lineRule="exact"/>
        <w:rPr>
          <w:sz w:val="20"/>
          <w:szCs w:val="20"/>
          <w:color w:val="auto"/>
        </w:rPr>
      </w:pPr>
    </w:p>
    <w:p>
      <w:pPr>
        <w:ind w:left="4" w:right="80" w:firstLine="256"/>
        <w:spacing w:after="0" w:line="260" w:lineRule="auto"/>
        <w:rPr>
          <w:sz w:val="20"/>
          <w:szCs w:val="20"/>
          <w:color w:val="auto"/>
        </w:rPr>
      </w:pPr>
      <w:r>
        <w:rPr>
          <w:rFonts w:ascii="Arial" w:cs="Arial" w:eastAsia="Arial" w:hAnsi="Arial"/>
          <w:sz w:val="13"/>
          <w:szCs w:val="13"/>
          <w:color w:val="auto"/>
        </w:rPr>
        <w:t>As of March 31, 2022, the swap transactions had a fair value of ($31.7) million which is netted against cash collateral on the Company’s consolidated balance sheet. As of December 31, 2021, the swap transactions had a fair value of ($1.6) million which is netted against cash collateral on the Company’s consolidated balance sheet.</w:t>
      </w:r>
    </w:p>
    <w:p>
      <w:pPr>
        <w:spacing w:after="0" w:line="130" w:lineRule="exact"/>
        <w:rPr>
          <w:sz w:val="20"/>
          <w:szCs w:val="20"/>
          <w:color w:val="auto"/>
        </w:rPr>
      </w:pPr>
    </w:p>
    <w:p>
      <w:pPr>
        <w:jc w:val="both"/>
        <w:ind w:left="4" w:right="120" w:firstLine="256"/>
        <w:spacing w:after="0" w:line="319" w:lineRule="auto"/>
        <w:rPr>
          <w:sz w:val="20"/>
          <w:szCs w:val="20"/>
          <w:color w:val="auto"/>
        </w:rPr>
      </w:pPr>
      <w:r>
        <w:rPr>
          <w:rFonts w:ascii="Arial" w:cs="Arial" w:eastAsia="Arial" w:hAnsi="Arial"/>
          <w:sz w:val="11"/>
          <w:szCs w:val="11"/>
          <w:color w:val="auto"/>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433" w:right="299" w:bottom="1440" w:gutter="0" w:footer="0" w:header="0"/>
        </w:sectPr>
      </w:pPr>
    </w:p>
    <w:bookmarkStart w:id="32" w:name="page33"/>
    <w:bookmarkEnd w:id="32"/>
    <w:p>
      <w:pPr>
        <w:jc w:val="both"/>
        <w:ind w:right="100" w:firstLine="256"/>
        <w:spacing w:after="0" w:line="251" w:lineRule="auto"/>
        <w:rPr>
          <w:sz w:val="20"/>
          <w:szCs w:val="20"/>
          <w:color w:val="auto"/>
        </w:rPr>
      </w:pPr>
      <w:r>
        <w:rPr>
          <w:rFonts w:ascii="Arial" w:cs="Arial" w:eastAsia="Arial" w:hAnsi="Arial"/>
          <w:sz w:val="13"/>
          <w:szCs w:val="13"/>
          <w:color w:val="auto"/>
        </w:rPr>
        <w:t>As of March 31, 2022, $19.1 million of cash is pledged as collateral under the Company’s derivative agreements and is included in restricted cash as a component of cash and cash equivalents on the Company’s consolidated balance sheet. As of December 31, 2021, $14.4 million of cash is pledged as collateral under the Company’s derivative agreements and is included in restricted cash as a component of cash and cash equivalents on the Company’s consolidated balance sheet.</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may enter into other derivative instruments and incur other exposures with the same or other counterparties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Fair Value of Financial Instruments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Investments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tables present fair value measurements of investments as of March 31, 2022 and December 31, 2021:</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0"/>
                <w:szCs w:val="10"/>
                <w:b w:val="1"/>
                <w:bCs w:val="1"/>
                <w:color w:val="auto"/>
                <w:w w:val="94"/>
              </w:rPr>
              <w:t>Fair Value Hierarchy at March 31, 2022</w:t>
            </w: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tcBorders>
              <w:bottom w:val="single" w:sz="8" w:color="CFF0FC"/>
            </w:tcBorders>
          </w:tcPr>
          <w:p>
            <w:pPr>
              <w:spacing w:after="0"/>
              <w:rPr>
                <w:sz w:val="9"/>
                <w:szCs w:val="9"/>
                <w:color w:val="auto"/>
              </w:rPr>
            </w:pPr>
          </w:p>
        </w:tc>
        <w:tc>
          <w:tcPr>
            <w:tcW w:w="178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00"/>
              <w:spacing w:after="0" w:line="112" w:lineRule="exact"/>
              <w:rPr>
                <w:sz w:val="20"/>
                <w:szCs w:val="20"/>
                <w:color w:val="auto"/>
              </w:rPr>
            </w:pPr>
            <w:r>
              <w:rPr>
                <w:rFonts w:ascii="Arial" w:cs="Arial" w:eastAsia="Arial" w:hAnsi="Arial"/>
                <w:sz w:val="10"/>
                <w:szCs w:val="10"/>
                <w:b w:val="1"/>
                <w:bCs w:val="1"/>
                <w:color w:val="auto"/>
              </w:rPr>
              <w:t>Level 2</w:t>
            </w: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19"/>
              <w:spacing w:after="0" w:line="112" w:lineRule="exact"/>
              <w:rPr>
                <w:sz w:val="20"/>
                <w:szCs w:val="20"/>
                <w:color w:val="auto"/>
              </w:rPr>
            </w:pPr>
            <w:r>
              <w:rPr>
                <w:rFonts w:ascii="Arial" w:cs="Arial" w:eastAsia="Arial" w:hAnsi="Arial"/>
                <w:sz w:val="10"/>
                <w:szCs w:val="10"/>
                <w:b w:val="1"/>
                <w:bCs w:val="1"/>
                <w:color w:val="auto"/>
              </w:rPr>
              <w:t>Level 3</w:t>
            </w: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59"/>
              <w:spacing w:after="0" w:line="112" w:lineRule="exact"/>
              <w:rPr>
                <w:sz w:val="20"/>
                <w:szCs w:val="20"/>
                <w:color w:val="auto"/>
              </w:rPr>
            </w:pPr>
            <w:r>
              <w:rPr>
                <w:rFonts w:ascii="Arial" w:cs="Arial" w:eastAsia="Arial" w:hAnsi="Arial"/>
                <w:sz w:val="10"/>
                <w:szCs w:val="10"/>
                <w:b w:val="1"/>
                <w:bCs w:val="1"/>
                <w:color w:val="auto"/>
              </w:rPr>
              <w:t>Total</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First-lien debt investments</w:t>
            </w:r>
          </w:p>
        </w:tc>
        <w:tc>
          <w:tcPr>
            <w:tcW w:w="2460" w:type="dxa"/>
            <w:vAlign w:val="bottom"/>
            <w:gridSpan w:val="2"/>
            <w:shd w:val="clear" w:color="auto" w:fill="CFF0FC"/>
          </w:tcPr>
          <w:p>
            <w:pPr>
              <w:jc w:val="right"/>
              <w:ind w:right="543"/>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2,239,027</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2,239,027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3"/>
                <w:szCs w:val="13"/>
                <w:color w:val="auto"/>
              </w:rPr>
              <w:t>Second-lien debt investments</w:t>
            </w:r>
          </w:p>
        </w:tc>
        <w:tc>
          <w:tcPr>
            <w:tcW w:w="1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42,511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42,511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Mezzanine debt investments</w:t>
            </w:r>
          </w:p>
        </w:tc>
        <w:tc>
          <w:tcPr>
            <w:tcW w:w="17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14,139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14,139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Equity and other investments</w:t>
            </w:r>
          </w:p>
        </w:tc>
        <w:tc>
          <w:tcPr>
            <w:tcW w:w="17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9,941</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23,222</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123,019</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156,182</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investments at fair value</w:t>
            </w:r>
          </w:p>
        </w:tc>
        <w:tc>
          <w:tcPr>
            <w:tcW w:w="2460" w:type="dxa"/>
            <w:vAlign w:val="bottom"/>
            <w:gridSpan w:val="2"/>
            <w:shd w:val="clear" w:color="auto" w:fill="CFF0FC"/>
          </w:tcPr>
          <w:p>
            <w:pPr>
              <w:jc w:val="right"/>
              <w:ind w:right="543"/>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9,941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23,222</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2,418,696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2,451,859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3"/>
                <w:szCs w:val="13"/>
                <w:color w:val="auto"/>
              </w:rPr>
              <w:t>Interest rate swaps</w:t>
            </w:r>
          </w:p>
        </w:tc>
        <w:tc>
          <w:tcPr>
            <w:tcW w:w="1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(31,717)</w:t>
            </w:r>
          </w:p>
        </w:tc>
        <w:tc>
          <w:tcPr>
            <w:tcW w:w="2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(31,717)</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17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00" w:type="dxa"/>
            <w:vAlign w:val="bottom"/>
            <w:vMerge w:val="continue"/>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43"/>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9,941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(8,495)</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2,418,696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2,420,142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5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3"/>
        </w:trPr>
        <w:tc>
          <w:tcPr>
            <w:tcW w:w="3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0"/>
                <w:szCs w:val="10"/>
                <w:b w:val="1"/>
                <w:bCs w:val="1"/>
                <w:color w:val="auto"/>
                <w:w w:val="92"/>
              </w:rPr>
              <w:t>Fair Value Hierarchy at December 31, 2021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00" w:type="dxa"/>
            <w:vAlign w:val="bottom"/>
            <w:tcBorders>
              <w:bottom w:val="single" w:sz="8" w:color="CFF0FC"/>
            </w:tcBorders>
          </w:tcPr>
          <w:p>
            <w:pPr>
              <w:spacing w:after="0"/>
              <w:rPr>
                <w:sz w:val="9"/>
                <w:szCs w:val="9"/>
                <w:color w:val="auto"/>
              </w:rPr>
            </w:pPr>
          </w:p>
        </w:tc>
        <w:tc>
          <w:tcPr>
            <w:tcW w:w="1780" w:type="dxa"/>
            <w:vAlign w:val="bottom"/>
            <w:tcBorders>
              <w:bottom w:val="single" w:sz="8" w:color="CFF0FC"/>
            </w:tcBorders>
          </w:tcPr>
          <w:p>
            <w:pPr>
              <w:spacing w:after="0"/>
              <w:rPr>
                <w:sz w:val="9"/>
                <w:szCs w:val="9"/>
                <w:color w:val="auto"/>
              </w:rPr>
            </w:pPr>
          </w:p>
        </w:tc>
        <w:tc>
          <w:tcPr>
            <w:tcW w:w="68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Level 1</w:t>
            </w: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ind w:right="300"/>
              <w:spacing w:after="0" w:line="112" w:lineRule="exact"/>
              <w:rPr>
                <w:sz w:val="20"/>
                <w:szCs w:val="20"/>
                <w:color w:val="auto"/>
              </w:rPr>
            </w:pPr>
            <w:r>
              <w:rPr>
                <w:rFonts w:ascii="Arial" w:cs="Arial" w:eastAsia="Arial" w:hAnsi="Arial"/>
                <w:sz w:val="10"/>
                <w:szCs w:val="10"/>
                <w:b w:val="1"/>
                <w:bCs w:val="1"/>
                <w:color w:val="auto"/>
              </w:rPr>
              <w:t>Level 2</w:t>
            </w: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19"/>
              <w:spacing w:after="0" w:line="112" w:lineRule="exact"/>
              <w:rPr>
                <w:sz w:val="20"/>
                <w:szCs w:val="20"/>
                <w:color w:val="auto"/>
              </w:rPr>
            </w:pPr>
            <w:r>
              <w:rPr>
                <w:rFonts w:ascii="Arial" w:cs="Arial" w:eastAsia="Arial" w:hAnsi="Arial"/>
                <w:sz w:val="10"/>
                <w:szCs w:val="10"/>
                <w:b w:val="1"/>
                <w:bCs w:val="1"/>
                <w:color w:val="auto"/>
              </w:rPr>
              <w:t>Level 3</w:t>
            </w:r>
          </w:p>
        </w:tc>
        <w:tc>
          <w:tcPr>
            <w:tcW w:w="22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ind w:right="359"/>
              <w:spacing w:after="0" w:line="112" w:lineRule="exact"/>
              <w:rPr>
                <w:sz w:val="20"/>
                <w:szCs w:val="20"/>
                <w:color w:val="auto"/>
              </w:rPr>
            </w:pPr>
            <w:r>
              <w:rPr>
                <w:rFonts w:ascii="Arial" w:cs="Arial" w:eastAsia="Arial" w:hAnsi="Arial"/>
                <w:sz w:val="10"/>
                <w:szCs w:val="10"/>
                <w:b w:val="1"/>
                <w:bCs w:val="1"/>
                <w:color w:val="auto"/>
              </w:rPr>
              <w:t>Total</w:t>
            </w:r>
          </w:p>
        </w:tc>
        <w:tc>
          <w:tcPr>
            <w:tcW w:w="8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First-lien debt investments</w:t>
            </w:r>
          </w:p>
        </w:tc>
        <w:tc>
          <w:tcPr>
            <w:tcW w:w="2460" w:type="dxa"/>
            <w:vAlign w:val="bottom"/>
            <w:gridSpan w:val="2"/>
            <w:shd w:val="clear" w:color="auto" w:fill="CFF0FC"/>
          </w:tcPr>
          <w:p>
            <w:pPr>
              <w:jc w:val="right"/>
              <w:ind w:right="543"/>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2,298,856</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2,298,856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3"/>
                <w:szCs w:val="13"/>
                <w:color w:val="auto"/>
              </w:rPr>
              <w:t>Second-lien debt investments</w:t>
            </w:r>
          </w:p>
        </w:tc>
        <w:tc>
          <w:tcPr>
            <w:tcW w:w="1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42,729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42,729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shd w:val="clear" w:color="auto" w:fill="CFF0FC"/>
          </w:tcPr>
          <w:p>
            <w:pPr>
              <w:spacing w:after="0"/>
              <w:rPr>
                <w:sz w:val="20"/>
                <w:szCs w:val="20"/>
                <w:color w:val="auto"/>
              </w:rPr>
            </w:pPr>
            <w:r>
              <w:rPr>
                <w:rFonts w:ascii="Arial" w:cs="Arial" w:eastAsia="Arial" w:hAnsi="Arial"/>
                <w:sz w:val="13"/>
                <w:szCs w:val="13"/>
                <w:color w:val="auto"/>
              </w:rPr>
              <w:t>Mezzanine debt investments</w:t>
            </w:r>
          </w:p>
        </w:tc>
        <w:tc>
          <w:tcPr>
            <w:tcW w:w="17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18,549</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Equity and other investments</w:t>
            </w:r>
          </w:p>
        </w:tc>
        <w:tc>
          <w:tcPr>
            <w:tcW w:w="178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0"/>
              </w:rPr>
              <w:t>12,154</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32,072</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117,233</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161,459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500" w:type="dxa"/>
            <w:vAlign w:val="bottom"/>
            <w:shd w:val="clear" w:color="auto" w:fill="CFF0FC"/>
          </w:tcPr>
          <w:p>
            <w:pPr>
              <w:ind w:left="180"/>
              <w:spacing w:after="0"/>
              <w:rPr>
                <w:sz w:val="20"/>
                <w:szCs w:val="20"/>
                <w:color w:val="auto"/>
              </w:rPr>
            </w:pPr>
            <w:r>
              <w:rPr>
                <w:rFonts w:ascii="Arial" w:cs="Arial" w:eastAsia="Arial" w:hAnsi="Arial"/>
                <w:sz w:val="13"/>
                <w:szCs w:val="13"/>
                <w:color w:val="auto"/>
              </w:rPr>
              <w:t>Total investments at fair value</w:t>
            </w:r>
          </w:p>
        </w:tc>
        <w:tc>
          <w:tcPr>
            <w:tcW w:w="2460" w:type="dxa"/>
            <w:vAlign w:val="bottom"/>
            <w:gridSpan w:val="2"/>
            <w:shd w:val="clear" w:color="auto" w:fill="CFF0FC"/>
          </w:tcPr>
          <w:p>
            <w:pPr>
              <w:jc w:val="right"/>
              <w:ind w:right="543"/>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12,154</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74,801</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2,434,638</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2,521,593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00" w:type="dxa"/>
            <w:vAlign w:val="bottom"/>
          </w:tcPr>
          <w:p>
            <w:pPr>
              <w:spacing w:after="0"/>
              <w:rPr>
                <w:sz w:val="20"/>
                <w:szCs w:val="20"/>
                <w:color w:val="auto"/>
              </w:rPr>
            </w:pPr>
            <w:r>
              <w:rPr>
                <w:rFonts w:ascii="Arial" w:cs="Arial" w:eastAsia="Arial" w:hAnsi="Arial"/>
                <w:sz w:val="13"/>
                <w:szCs w:val="13"/>
                <w:color w:val="auto"/>
              </w:rPr>
              <w:t>Interest rate swaps</w:t>
            </w:r>
          </w:p>
        </w:tc>
        <w:tc>
          <w:tcPr>
            <w:tcW w:w="1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(1,601)</w:t>
            </w:r>
          </w:p>
        </w:tc>
        <w:tc>
          <w:tcPr>
            <w:tcW w:w="22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3"/>
                <w:szCs w:val="13"/>
                <w:color w:val="auto"/>
              </w:rPr>
              <w:t>(1,601)</w:t>
            </w:r>
          </w:p>
        </w:tc>
        <w:tc>
          <w:tcPr>
            <w:tcW w:w="0" w:type="dxa"/>
            <w:vAlign w:val="bottom"/>
          </w:tcPr>
          <w:p>
            <w:pPr>
              <w:spacing w:after="0"/>
              <w:rPr>
                <w:sz w:val="1"/>
                <w:szCs w:val="1"/>
                <w:color w:val="auto"/>
              </w:rPr>
            </w:pPr>
          </w:p>
        </w:tc>
      </w:tr>
      <w:tr>
        <w:trPr>
          <w:trHeight w:val="20"/>
        </w:trPr>
        <w:tc>
          <w:tcPr>
            <w:tcW w:w="3500" w:type="dxa"/>
            <w:vAlign w:val="bottom"/>
            <w:vMerge w:val="restart"/>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17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00" w:type="dxa"/>
            <w:vAlign w:val="bottom"/>
            <w:vMerge w:val="continue"/>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43"/>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12,154</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73,200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2,434,638</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2,519,992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5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Transfers between levels, if any, are recognized at the beginning of the quarter in which the transfers occur.</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present the changes in the fair value of investments for which Level 3 inputs were used to determine the fair value as of and for the three months ended March 31,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gridSpan w:val="8"/>
          </w:tcPr>
          <w:p>
            <w:pPr>
              <w:jc w:val="center"/>
              <w:ind w:left="641"/>
              <w:spacing w:after="0"/>
              <w:rPr>
                <w:sz w:val="20"/>
                <w:szCs w:val="20"/>
                <w:color w:val="auto"/>
              </w:rPr>
            </w:pPr>
            <w:r>
              <w:rPr>
                <w:rFonts w:ascii="Arial" w:cs="Arial" w:eastAsia="Arial" w:hAnsi="Arial"/>
                <w:sz w:val="10"/>
                <w:szCs w:val="10"/>
                <w:b w:val="1"/>
                <w:bCs w:val="1"/>
                <w:color w:val="auto"/>
                <w:w w:val="91"/>
              </w:rPr>
              <w:t>As of and for the Three Months Ended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9"/>
        </w:trPr>
        <w:tc>
          <w:tcPr>
            <w:tcW w:w="5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2"/>
              </w:rPr>
              <w:t>March 31, 2022</w:t>
            </w: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5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tcPr>
          <w:p>
            <w:pPr>
              <w:jc w:val="center"/>
              <w:ind w:right="380"/>
              <w:spacing w:after="0" w:line="89" w:lineRule="exact"/>
              <w:rPr>
                <w:sz w:val="20"/>
                <w:szCs w:val="20"/>
                <w:color w:val="auto"/>
              </w:rPr>
            </w:pPr>
            <w:r>
              <w:rPr>
                <w:rFonts w:ascii="Arial" w:cs="Arial" w:eastAsia="Arial" w:hAnsi="Arial"/>
                <w:sz w:val="10"/>
                <w:szCs w:val="10"/>
                <w:b w:val="1"/>
                <w:bCs w:val="1"/>
                <w:color w:val="auto"/>
                <w:w w:val="89"/>
              </w:rPr>
              <w:t>First-lien</w:t>
            </w:r>
          </w:p>
        </w:tc>
        <w:tc>
          <w:tcPr>
            <w:tcW w:w="160" w:type="dxa"/>
            <w:vAlign w:val="bottom"/>
          </w:tcPr>
          <w:p>
            <w:pPr>
              <w:spacing w:after="0"/>
              <w:rPr>
                <w:sz w:val="7"/>
                <w:szCs w:val="7"/>
                <w:color w:val="auto"/>
              </w:rPr>
            </w:pPr>
          </w:p>
        </w:tc>
        <w:tc>
          <w:tcPr>
            <w:tcW w:w="980" w:type="dxa"/>
            <w:vAlign w:val="bottom"/>
            <w:gridSpan w:val="2"/>
          </w:tcPr>
          <w:p>
            <w:pPr>
              <w:jc w:val="center"/>
              <w:ind w:right="320"/>
              <w:spacing w:after="0" w:line="89" w:lineRule="exact"/>
              <w:rPr>
                <w:sz w:val="20"/>
                <w:szCs w:val="20"/>
                <w:color w:val="auto"/>
              </w:rPr>
            </w:pPr>
            <w:r>
              <w:rPr>
                <w:rFonts w:ascii="Arial" w:cs="Arial" w:eastAsia="Arial" w:hAnsi="Arial"/>
                <w:sz w:val="10"/>
                <w:szCs w:val="10"/>
                <w:b w:val="1"/>
                <w:bCs w:val="1"/>
                <w:color w:val="auto"/>
                <w:w w:val="88"/>
              </w:rPr>
              <w:t>Second-lien</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gridSpan w:val="2"/>
          </w:tcPr>
          <w:p>
            <w:pPr>
              <w:jc w:val="center"/>
              <w:ind w:right="280"/>
              <w:spacing w:after="0" w:line="89" w:lineRule="exact"/>
              <w:rPr>
                <w:sz w:val="20"/>
                <w:szCs w:val="20"/>
                <w:color w:val="auto"/>
              </w:rPr>
            </w:pPr>
            <w:r>
              <w:rPr>
                <w:rFonts w:ascii="Arial" w:cs="Arial" w:eastAsia="Arial" w:hAnsi="Arial"/>
                <w:sz w:val="10"/>
                <w:szCs w:val="10"/>
                <w:b w:val="1"/>
                <w:bCs w:val="1"/>
                <w:color w:val="auto"/>
                <w:w w:val="91"/>
              </w:rPr>
              <w:t>Mezzanine</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jc w:val="center"/>
              <w:ind w:right="320"/>
              <w:spacing w:after="0" w:line="89" w:lineRule="exact"/>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4"/>
        </w:trPr>
        <w:tc>
          <w:tcPr>
            <w:tcW w:w="5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380"/>
              <w:spacing w:after="0" w:line="104" w:lineRule="exact"/>
              <w:rPr>
                <w:sz w:val="20"/>
                <w:szCs w:val="20"/>
                <w:color w:val="auto"/>
              </w:rPr>
            </w:pPr>
            <w:r>
              <w:rPr>
                <w:rFonts w:ascii="Arial" w:cs="Arial" w:eastAsia="Arial" w:hAnsi="Arial"/>
                <w:sz w:val="10"/>
                <w:szCs w:val="10"/>
                <w:b w:val="1"/>
                <w:bCs w:val="1"/>
                <w:color w:val="auto"/>
                <w:w w:val="85"/>
              </w:rPr>
              <w:t>debt</w:t>
            </w:r>
          </w:p>
        </w:tc>
        <w:tc>
          <w:tcPr>
            <w:tcW w:w="160" w:type="dxa"/>
            <w:vAlign w:val="bottom"/>
          </w:tcPr>
          <w:p>
            <w:pPr>
              <w:spacing w:after="0"/>
              <w:rPr>
                <w:sz w:val="9"/>
                <w:szCs w:val="9"/>
                <w:color w:val="auto"/>
              </w:rPr>
            </w:pPr>
          </w:p>
        </w:tc>
        <w:tc>
          <w:tcPr>
            <w:tcW w:w="98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94"/>
              </w:rPr>
              <w:t>debt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5"/>
              </w:rPr>
              <w:t>debt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92"/>
              </w:rPr>
              <w:t>and other</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9"/>
        </w:trPr>
        <w:tc>
          <w:tcPr>
            <w:tcW w:w="52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5"/>
              </w:rPr>
              <w:t>investments</w:t>
            </w:r>
          </w:p>
        </w:tc>
        <w:tc>
          <w:tcPr>
            <w:tcW w:w="22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9"/>
              </w:rPr>
              <w:t>investments</w:t>
            </w:r>
          </w:p>
        </w:tc>
        <w:tc>
          <w:tcPr>
            <w:tcW w:w="14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5"/>
              </w:rPr>
              <w:t>investments</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85"/>
              </w:rPr>
              <w:t>investments</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10"/>
                <w:szCs w:val="10"/>
                <w:color w:val="auto"/>
              </w:rPr>
            </w:pPr>
          </w:p>
        </w:tc>
        <w:tc>
          <w:tcPr>
            <w:tcW w:w="20" w:type="dxa"/>
            <w:vAlign w:val="bottom"/>
          </w:tcPr>
          <w:p>
            <w:pPr>
              <w:spacing w:after="0"/>
              <w:rPr>
                <w:sz w:val="10"/>
                <w:szCs w:val="10"/>
                <w:color w:val="auto"/>
              </w:rPr>
            </w:pPr>
          </w:p>
        </w:tc>
      </w:tr>
      <w:tr>
        <w:trPr>
          <w:trHeight w:val="150"/>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Balance, beginning of period</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2,298,856</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18,549</w:t>
            </w:r>
          </w:p>
        </w:tc>
        <w:tc>
          <w:tcPr>
            <w:tcW w:w="14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117,233</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2,434,638</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Purchases or originations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79,947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84,222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Repayments / redemptions</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(146,096)</w:t>
            </w: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(17,557)</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(163,653)</w:t>
            </w:r>
          </w:p>
        </w:tc>
        <w:tc>
          <w:tcPr>
            <w:tcW w:w="20" w:type="dxa"/>
            <w:vAlign w:val="bottom"/>
          </w:tcPr>
          <w:p>
            <w:pPr>
              <w:spacing w:after="0"/>
              <w:rPr>
                <w:sz w:val="13"/>
                <w:szCs w:val="13"/>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Paid-in-kind interest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3,032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3,096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Net change in unrealized gains (losses)</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(1,546)</w:t>
            </w: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(2,341)</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(855)</w:t>
            </w:r>
          </w:p>
        </w:tc>
        <w:tc>
          <w:tcPr>
            <w:tcW w:w="20" w:type="dxa"/>
            <w:vAlign w:val="bottom"/>
          </w:tcPr>
          <w:p>
            <w:pPr>
              <w:spacing w:after="0"/>
              <w:rPr>
                <w:sz w:val="13"/>
                <w:szCs w:val="13"/>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Net realized gains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13,666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13,777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Net amortization of discount on securities</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4,742</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Transfers within Level 3</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(2,134)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2,134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Transfers into (out of) Level 3</w:t>
            </w:r>
          </w:p>
        </w:tc>
        <w:tc>
          <w:tcPr>
            <w:tcW w:w="14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42,729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42,729</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5240" w:type="dxa"/>
            <w:vAlign w:val="bottom"/>
          </w:tcPr>
          <w:p>
            <w:pPr>
              <w:ind w:left="160"/>
              <w:spacing w:after="0"/>
              <w:rPr>
                <w:sz w:val="20"/>
                <w:szCs w:val="20"/>
                <w:color w:val="auto"/>
              </w:rPr>
            </w:pPr>
            <w:r>
              <w:rPr>
                <w:rFonts w:ascii="Arial" w:cs="Arial" w:eastAsia="Arial" w:hAnsi="Arial"/>
                <w:sz w:val="13"/>
                <w:szCs w:val="13"/>
                <w:b w:val="1"/>
                <w:bCs w:val="1"/>
                <w:color w:val="auto"/>
              </w:rPr>
              <w:t>Balance, End of Period</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2,239,027</w:t>
            </w:r>
          </w:p>
        </w:tc>
        <w:tc>
          <w:tcPr>
            <w:tcW w:w="22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42,511</w:t>
            </w:r>
          </w:p>
        </w:tc>
        <w:tc>
          <w:tcPr>
            <w:tcW w:w="14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14,139</w:t>
            </w:r>
          </w:p>
        </w:tc>
        <w:tc>
          <w:tcPr>
            <w:tcW w:w="140" w:type="dxa"/>
            <w:vAlign w:val="bottom"/>
          </w:tcPr>
          <w:p>
            <w:pPr>
              <w:spacing w:after="0"/>
              <w:rPr>
                <w:sz w:val="13"/>
                <w:szCs w:val="13"/>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123,019</w:t>
            </w:r>
          </w:p>
        </w:tc>
        <w:tc>
          <w:tcPr>
            <w:tcW w:w="14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2,418,696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3"/>
        </w:trPr>
        <w:tc>
          <w:tcPr>
            <w:tcW w:w="5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480"/>
              <w:spacing w:after="0"/>
              <w:rPr>
                <w:sz w:val="20"/>
                <w:szCs w:val="20"/>
                <w:color w:val="auto"/>
              </w:rPr>
            </w:pPr>
            <w:r>
              <w:rPr>
                <w:rFonts w:ascii="Arial" w:cs="Arial" w:eastAsia="Arial" w:hAnsi="Arial"/>
                <w:sz w:val="13"/>
                <w:szCs w:val="13"/>
                <w:color w:val="auto"/>
              </w:rPr>
              <w:t>33</w:t>
            </w: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5"/>
        </w:trPr>
        <w:tc>
          <w:tcPr>
            <w:tcW w:w="5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433" w:right="279" w:bottom="1440" w:gutter="0" w:footer="0" w:header="0"/>
        </w:sectPr>
      </w:pPr>
    </w:p>
    <w:bookmarkStart w:id="33" w:name="page34"/>
    <w:bookmarkEnd w:id="33"/>
    <w:p>
      <w:pPr>
        <w:ind w:left="4" w:right="380" w:firstLine="282"/>
        <w:spacing w:after="0" w:line="260" w:lineRule="auto"/>
        <w:rPr>
          <w:sz w:val="20"/>
          <w:szCs w:val="20"/>
          <w:color w:val="auto"/>
        </w:rPr>
      </w:pPr>
      <w:r>
        <w:rPr>
          <w:rFonts w:ascii="Arial" w:cs="Arial" w:eastAsia="Arial" w:hAnsi="Arial"/>
          <w:sz w:val="13"/>
          <w:szCs w:val="13"/>
          <w:color w:val="auto"/>
        </w:rPr>
        <w:t>Astra Acquisition Corp. was transferred into Level 3 from Level 2 for fair value measurement purposes during the three months ended March 31, 2022, as a result of changes in the observability of inputs into the security valuation for this portfolio company.</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80" w:type="dxa"/>
            <w:vAlign w:val="bottom"/>
            <w:gridSpan w:val="6"/>
          </w:tcPr>
          <w:p>
            <w:pPr>
              <w:jc w:val="center"/>
              <w:ind w:left="641"/>
              <w:spacing w:after="0"/>
              <w:rPr>
                <w:sz w:val="20"/>
                <w:szCs w:val="20"/>
                <w:color w:val="auto"/>
              </w:rPr>
            </w:pPr>
            <w:r>
              <w:rPr>
                <w:rFonts w:ascii="Arial" w:cs="Arial" w:eastAsia="Arial" w:hAnsi="Arial"/>
                <w:sz w:val="10"/>
                <w:szCs w:val="10"/>
                <w:b w:val="1"/>
                <w:bCs w:val="1"/>
                <w:color w:val="auto"/>
                <w:w w:val="91"/>
              </w:rPr>
              <w:t>As of and for the Three Months Ended</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92"/>
              </w:rPr>
              <w:t>March 31, 2021</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tcPr>
          <w:p>
            <w:pPr>
              <w:jc w:val="center"/>
              <w:ind w:right="380"/>
              <w:spacing w:after="0" w:line="89" w:lineRule="exact"/>
              <w:rPr>
                <w:sz w:val="20"/>
                <w:szCs w:val="20"/>
                <w:color w:val="auto"/>
              </w:rPr>
            </w:pPr>
            <w:r>
              <w:rPr>
                <w:rFonts w:ascii="Arial" w:cs="Arial" w:eastAsia="Arial" w:hAnsi="Arial"/>
                <w:sz w:val="10"/>
                <w:szCs w:val="10"/>
                <w:b w:val="1"/>
                <w:bCs w:val="1"/>
                <w:color w:val="auto"/>
                <w:w w:val="89"/>
              </w:rPr>
              <w:t>First-lien</w:t>
            </w:r>
          </w:p>
        </w:tc>
        <w:tc>
          <w:tcPr>
            <w:tcW w:w="160" w:type="dxa"/>
            <w:vAlign w:val="bottom"/>
          </w:tcPr>
          <w:p>
            <w:pPr>
              <w:spacing w:after="0"/>
              <w:rPr>
                <w:sz w:val="7"/>
                <w:szCs w:val="7"/>
                <w:color w:val="auto"/>
              </w:rPr>
            </w:pPr>
          </w:p>
        </w:tc>
        <w:tc>
          <w:tcPr>
            <w:tcW w:w="840" w:type="dxa"/>
            <w:vAlign w:val="bottom"/>
          </w:tcPr>
          <w:p>
            <w:pPr>
              <w:jc w:val="center"/>
              <w:ind w:right="121"/>
              <w:spacing w:after="0" w:line="89" w:lineRule="exact"/>
              <w:rPr>
                <w:sz w:val="20"/>
                <w:szCs w:val="20"/>
                <w:color w:val="auto"/>
              </w:rPr>
            </w:pPr>
            <w:r>
              <w:rPr>
                <w:rFonts w:ascii="Arial" w:cs="Arial" w:eastAsia="Arial" w:hAnsi="Arial"/>
                <w:sz w:val="10"/>
                <w:szCs w:val="10"/>
                <w:b w:val="1"/>
                <w:bCs w:val="1"/>
                <w:color w:val="auto"/>
                <w:w w:val="88"/>
              </w:rPr>
              <w:t>Second-lien</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jc w:val="center"/>
              <w:ind w:right="81"/>
              <w:spacing w:after="0" w:line="89" w:lineRule="exact"/>
              <w:rPr>
                <w:sz w:val="20"/>
                <w:szCs w:val="20"/>
                <w:color w:val="auto"/>
              </w:rPr>
            </w:pPr>
            <w:r>
              <w:rPr>
                <w:rFonts w:ascii="Arial" w:cs="Arial" w:eastAsia="Arial" w:hAnsi="Arial"/>
                <w:sz w:val="10"/>
                <w:szCs w:val="10"/>
                <w:b w:val="1"/>
                <w:bCs w:val="1"/>
                <w:color w:val="auto"/>
                <w:w w:val="91"/>
              </w:rPr>
              <w:t>Mezzanine</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gridSpan w:val="2"/>
          </w:tcPr>
          <w:p>
            <w:pPr>
              <w:jc w:val="center"/>
              <w:ind w:right="400"/>
              <w:spacing w:after="0" w:line="89" w:lineRule="exact"/>
              <w:rPr>
                <w:sz w:val="20"/>
                <w:szCs w:val="20"/>
                <w:color w:val="auto"/>
              </w:rPr>
            </w:pPr>
            <w:r>
              <w:rPr>
                <w:rFonts w:ascii="Arial" w:cs="Arial" w:eastAsia="Arial" w:hAnsi="Arial"/>
                <w:sz w:val="10"/>
                <w:szCs w:val="10"/>
                <w:b w:val="1"/>
                <w:bCs w:val="1"/>
                <w:color w:val="auto"/>
                <w:w w:val="98"/>
              </w:rPr>
              <w:t>Equity</w:t>
            </w: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5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380"/>
              <w:spacing w:after="0" w:line="104" w:lineRule="exact"/>
              <w:rPr>
                <w:sz w:val="20"/>
                <w:szCs w:val="20"/>
                <w:color w:val="auto"/>
              </w:rPr>
            </w:pPr>
            <w:r>
              <w:rPr>
                <w:rFonts w:ascii="Arial" w:cs="Arial" w:eastAsia="Arial" w:hAnsi="Arial"/>
                <w:sz w:val="10"/>
                <w:szCs w:val="10"/>
                <w:b w:val="1"/>
                <w:bCs w:val="1"/>
                <w:color w:val="auto"/>
                <w:w w:val="85"/>
              </w:rPr>
              <w:t>debt</w:t>
            </w:r>
          </w:p>
        </w:tc>
        <w:tc>
          <w:tcPr>
            <w:tcW w:w="160" w:type="dxa"/>
            <w:vAlign w:val="bottom"/>
          </w:tcPr>
          <w:p>
            <w:pPr>
              <w:spacing w:after="0"/>
              <w:rPr>
                <w:sz w:val="9"/>
                <w:szCs w:val="9"/>
                <w:color w:val="auto"/>
              </w:rPr>
            </w:pPr>
          </w:p>
        </w:tc>
        <w:tc>
          <w:tcPr>
            <w:tcW w:w="840" w:type="dxa"/>
            <w:vAlign w:val="bottom"/>
          </w:tcPr>
          <w:p>
            <w:pPr>
              <w:jc w:val="center"/>
              <w:ind w:right="101"/>
              <w:spacing w:after="0" w:line="104" w:lineRule="exact"/>
              <w:rPr>
                <w:sz w:val="20"/>
                <w:szCs w:val="20"/>
                <w:color w:val="auto"/>
              </w:rPr>
            </w:pPr>
            <w:r>
              <w:rPr>
                <w:rFonts w:ascii="Arial" w:cs="Arial" w:eastAsia="Arial" w:hAnsi="Arial"/>
                <w:sz w:val="10"/>
                <w:szCs w:val="10"/>
                <w:b w:val="1"/>
                <w:bCs w:val="1"/>
                <w:color w:val="auto"/>
                <w:w w:val="94"/>
              </w:rPr>
              <w:t>debt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81"/>
              <w:spacing w:after="0" w:line="104" w:lineRule="exact"/>
              <w:rPr>
                <w:sz w:val="20"/>
                <w:szCs w:val="20"/>
                <w:color w:val="auto"/>
              </w:rPr>
            </w:pPr>
            <w:r>
              <w:rPr>
                <w:rFonts w:ascii="Arial" w:cs="Arial" w:eastAsia="Arial" w:hAnsi="Arial"/>
                <w:sz w:val="10"/>
                <w:szCs w:val="10"/>
                <w:b w:val="1"/>
                <w:bCs w:val="1"/>
                <w:color w:val="auto"/>
                <w:w w:val="85"/>
              </w:rPr>
              <w:t>debt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tcPr>
          <w:p>
            <w:pPr>
              <w:jc w:val="center"/>
              <w:ind w:right="400"/>
              <w:spacing w:after="0" w:line="104" w:lineRule="exact"/>
              <w:rPr>
                <w:sz w:val="20"/>
                <w:szCs w:val="20"/>
                <w:color w:val="auto"/>
              </w:rPr>
            </w:pPr>
            <w:r>
              <w:rPr>
                <w:rFonts w:ascii="Arial" w:cs="Arial" w:eastAsia="Arial" w:hAnsi="Arial"/>
                <w:sz w:val="10"/>
                <w:szCs w:val="10"/>
                <w:b w:val="1"/>
                <w:bCs w:val="1"/>
                <w:color w:val="auto"/>
                <w:w w:val="92"/>
              </w:rPr>
              <w:t>and other</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52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5"/>
              </w:rPr>
              <w:t>investments</w:t>
            </w:r>
          </w:p>
        </w:tc>
        <w:tc>
          <w:tcPr>
            <w:tcW w:w="22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89"/>
              </w:rPr>
              <w:t>investments</w:t>
            </w:r>
          </w:p>
        </w:tc>
        <w:tc>
          <w:tcPr>
            <w:tcW w:w="24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85"/>
              </w:rPr>
              <w:t>investments</w:t>
            </w: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85"/>
              </w:rPr>
              <w:t>investments</w:t>
            </w:r>
          </w:p>
        </w:tc>
        <w:tc>
          <w:tcPr>
            <w:tcW w:w="22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Total</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Balance, beginning of period</w:t>
            </w: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2,158,551</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75,150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2,249,720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Purchases or originations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152,707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653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153,905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Repayments / redemptions</w:t>
            </w:r>
          </w:p>
        </w:tc>
        <w:tc>
          <w:tcPr>
            <w:tcW w:w="14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(74,042)</w:t>
            </w: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(11,827)</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(85,869)</w:t>
            </w: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Paid-in-kind interest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Net change in unrealized gains (losses)</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10,828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13,651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Net realized gains</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10,689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Net amortization of discount on securities</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3,240</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Transfers within Level 3</w:t>
            </w:r>
          </w:p>
        </w:tc>
        <w:tc>
          <w:tcPr>
            <w:tcW w:w="14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Transfers into (out of) Level 3</w:t>
            </w: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(6,613)</w:t>
            </w:r>
          </w:p>
        </w:tc>
        <w:tc>
          <w:tcPr>
            <w:tcW w:w="24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(6,613)</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Balance, End of Period</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40" w:type="dxa"/>
            <w:vAlign w:val="bottom"/>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2,253,180</w:t>
            </w:r>
          </w:p>
        </w:tc>
        <w:tc>
          <w:tcPr>
            <w:tcW w:w="22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5,506</w:t>
            </w: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14,171</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68,040</w:t>
            </w:r>
          </w:p>
        </w:tc>
        <w:tc>
          <w:tcPr>
            <w:tcW w:w="22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2,340,897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5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264"/>
        <w:spacing w:after="0"/>
        <w:rPr>
          <w:sz w:val="20"/>
          <w:szCs w:val="20"/>
          <w:color w:val="auto"/>
        </w:rPr>
      </w:pPr>
      <w:r>
        <w:rPr>
          <w:rFonts w:ascii="Arial" w:cs="Arial" w:eastAsia="Arial" w:hAnsi="Arial"/>
          <w:sz w:val="11"/>
          <w:szCs w:val="11"/>
          <w:color w:val="auto"/>
        </w:rPr>
        <w:t>The following tables present information with respect to the net change in unrealized gains or losses on investments for which Level 3 inputs were used in determining fair value that are still held by the Company at</w:t>
      </w:r>
    </w:p>
    <w:p>
      <w:pPr>
        <w:spacing w:after="0" w:line="34" w:lineRule="exact"/>
        <w:rPr>
          <w:sz w:val="20"/>
          <w:szCs w:val="20"/>
          <w:color w:val="auto"/>
        </w:rPr>
      </w:pPr>
    </w:p>
    <w:p>
      <w:pPr>
        <w:ind w:left="4"/>
        <w:spacing w:after="0"/>
        <w:rPr>
          <w:sz w:val="20"/>
          <w:szCs w:val="20"/>
          <w:color w:val="auto"/>
        </w:rPr>
      </w:pPr>
      <w:r>
        <w:rPr>
          <w:rFonts w:ascii="Arial" w:cs="Arial" w:eastAsia="Arial" w:hAnsi="Arial"/>
          <w:sz w:val="13"/>
          <w:szCs w:val="13"/>
          <w:color w:val="auto"/>
        </w:rPr>
        <w:t>March 31, 2022 and 2021:</w:t>
      </w:r>
    </w:p>
    <w:p>
      <w:pPr>
        <w:spacing w:after="0" w:line="193" w:lineRule="exact"/>
        <w:rPr>
          <w:sz w:val="20"/>
          <w:szCs w:val="20"/>
          <w:color w:val="auto"/>
        </w:rPr>
      </w:pPr>
    </w:p>
    <w:tbl>
      <w:tblPr>
        <w:tblLayout w:type="fixed"/>
        <w:tblInd w:w="1704"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Net Change in Unrealized</w:t>
            </w:r>
          </w:p>
        </w:tc>
        <w:tc>
          <w:tcPr>
            <w:tcW w:w="140" w:type="dxa"/>
            <w:vAlign w:val="bottom"/>
          </w:tcPr>
          <w:p>
            <w:pPr>
              <w:spacing w:after="0"/>
              <w:rPr>
                <w:sz w:val="10"/>
                <w:szCs w:val="1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Net Change in Unrealized</w:t>
            </w:r>
          </w:p>
        </w:tc>
      </w:tr>
      <w:tr>
        <w:trPr>
          <w:trHeight w:val="113"/>
        </w:trPr>
        <w:tc>
          <w:tcPr>
            <w:tcW w:w="2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7"/>
              </w:rPr>
              <w:t>Gains or (Losses)</w:t>
            </w:r>
          </w:p>
        </w:tc>
        <w:tc>
          <w:tcPr>
            <w:tcW w:w="140" w:type="dxa"/>
            <w:vAlign w:val="bottom"/>
          </w:tcPr>
          <w:p>
            <w:pPr>
              <w:spacing w:after="0"/>
              <w:rPr>
                <w:sz w:val="9"/>
                <w:szCs w:val="9"/>
                <w:color w:val="auto"/>
              </w:rPr>
            </w:pPr>
          </w:p>
        </w:tc>
        <w:tc>
          <w:tcPr>
            <w:tcW w:w="1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7"/>
              </w:rPr>
              <w:t>Gains or (Losses)</w:t>
            </w:r>
          </w:p>
        </w:tc>
      </w:tr>
      <w:tr>
        <w:trPr>
          <w:trHeight w:val="113"/>
        </w:trPr>
        <w:tc>
          <w:tcPr>
            <w:tcW w:w="2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1"/>
              </w:rPr>
              <w:t>for the Three Months Ended</w:t>
            </w:r>
          </w:p>
        </w:tc>
        <w:tc>
          <w:tcPr>
            <w:tcW w:w="140" w:type="dxa"/>
            <w:vAlign w:val="bottom"/>
          </w:tcPr>
          <w:p>
            <w:pPr>
              <w:spacing w:after="0"/>
              <w:rPr>
                <w:sz w:val="9"/>
                <w:szCs w:val="9"/>
                <w:color w:val="auto"/>
              </w:rPr>
            </w:pPr>
          </w:p>
        </w:tc>
        <w:tc>
          <w:tcPr>
            <w:tcW w:w="1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1"/>
              </w:rPr>
              <w:t>for the Three Months Ended</w:t>
            </w:r>
          </w:p>
        </w:tc>
      </w:tr>
      <w:tr>
        <w:trPr>
          <w:trHeight w:val="113"/>
        </w:trPr>
        <w:tc>
          <w:tcPr>
            <w:tcW w:w="2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2"/>
              </w:rPr>
              <w:t>March 31, 2022 on</w:t>
            </w:r>
          </w:p>
        </w:tc>
        <w:tc>
          <w:tcPr>
            <w:tcW w:w="140" w:type="dxa"/>
            <w:vAlign w:val="bottom"/>
          </w:tcPr>
          <w:p>
            <w:pPr>
              <w:spacing w:after="0"/>
              <w:rPr>
                <w:sz w:val="9"/>
                <w:szCs w:val="9"/>
                <w:color w:val="auto"/>
              </w:rPr>
            </w:pPr>
          </w:p>
        </w:tc>
        <w:tc>
          <w:tcPr>
            <w:tcW w:w="1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March 31, 2021 on</w:t>
            </w:r>
          </w:p>
        </w:tc>
      </w:tr>
      <w:tr>
        <w:trPr>
          <w:trHeight w:val="113"/>
        </w:trPr>
        <w:tc>
          <w:tcPr>
            <w:tcW w:w="28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4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90"/>
              </w:rPr>
              <w:t>Investments Held at</w:t>
            </w:r>
          </w:p>
        </w:tc>
        <w:tc>
          <w:tcPr>
            <w:tcW w:w="140" w:type="dxa"/>
            <w:vAlign w:val="bottom"/>
          </w:tcPr>
          <w:p>
            <w:pPr>
              <w:spacing w:after="0"/>
              <w:rPr>
                <w:sz w:val="9"/>
                <w:szCs w:val="9"/>
                <w:color w:val="auto"/>
              </w:rPr>
            </w:pPr>
          </w:p>
        </w:tc>
        <w:tc>
          <w:tcPr>
            <w:tcW w:w="16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Investments Held at</w:t>
            </w:r>
          </w:p>
        </w:tc>
      </w:tr>
      <w:tr>
        <w:trPr>
          <w:trHeight w:val="119"/>
        </w:trPr>
        <w:tc>
          <w:tcPr>
            <w:tcW w:w="2840" w:type="dxa"/>
            <w:vAlign w:val="bottom"/>
            <w:tcBorders>
              <w:bottom w:val="single" w:sz="8" w:color="CFF0FC"/>
            </w:tcBorders>
          </w:tcPr>
          <w:p>
            <w:pPr>
              <w:spacing w:after="0"/>
              <w:rPr>
                <w:sz w:val="10"/>
                <w:szCs w:val="10"/>
                <w:color w:val="auto"/>
              </w:rPr>
            </w:pPr>
          </w:p>
        </w:tc>
        <w:tc>
          <w:tcPr>
            <w:tcW w:w="138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center"/>
              <w:ind w:right="84"/>
              <w:spacing w:after="0"/>
              <w:rPr>
                <w:sz w:val="20"/>
                <w:szCs w:val="20"/>
                <w:color w:val="auto"/>
              </w:rPr>
            </w:pPr>
            <w:r>
              <w:rPr>
                <w:rFonts w:ascii="Arial" w:cs="Arial" w:eastAsia="Arial" w:hAnsi="Arial"/>
                <w:sz w:val="10"/>
                <w:szCs w:val="10"/>
                <w:b w:val="1"/>
                <w:bCs w:val="1"/>
                <w:color w:val="auto"/>
                <w:w w:val="92"/>
              </w:rPr>
              <w:t>March 31, 2022</w:t>
            </w:r>
          </w:p>
        </w:tc>
        <w:tc>
          <w:tcPr>
            <w:tcW w:w="18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center"/>
              <w:ind w:right="104"/>
              <w:spacing w:after="0"/>
              <w:rPr>
                <w:sz w:val="20"/>
                <w:szCs w:val="20"/>
                <w:color w:val="auto"/>
              </w:rPr>
            </w:pPr>
            <w:r>
              <w:rPr>
                <w:rFonts w:ascii="Arial" w:cs="Arial" w:eastAsia="Arial" w:hAnsi="Arial"/>
                <w:sz w:val="10"/>
                <w:szCs w:val="10"/>
                <w:b w:val="1"/>
                <w:bCs w:val="1"/>
                <w:color w:val="auto"/>
                <w:w w:val="92"/>
              </w:rPr>
              <w:t>March 31, 2021</w:t>
            </w:r>
          </w:p>
        </w:tc>
        <w:tc>
          <w:tcPr>
            <w:tcW w:w="80" w:type="dxa"/>
            <w:vAlign w:val="bottom"/>
            <w:tcBorders>
              <w:bottom w:val="single" w:sz="8" w:color="CFF0FC"/>
            </w:tcBorders>
          </w:tcPr>
          <w:p>
            <w:pPr>
              <w:spacing w:after="0"/>
              <w:rPr>
                <w:sz w:val="10"/>
                <w:szCs w:val="10"/>
                <w:color w:val="auto"/>
              </w:rPr>
            </w:pPr>
          </w:p>
        </w:tc>
      </w:tr>
      <w:tr>
        <w:trPr>
          <w:trHeight w:val="150"/>
        </w:trPr>
        <w:tc>
          <w:tcPr>
            <w:tcW w:w="2840" w:type="dxa"/>
            <w:vAlign w:val="bottom"/>
            <w:shd w:val="clear" w:color="auto" w:fill="CFF0FC"/>
          </w:tcPr>
          <w:p>
            <w:pPr>
              <w:spacing w:after="0"/>
              <w:rPr>
                <w:sz w:val="20"/>
                <w:szCs w:val="20"/>
                <w:color w:val="auto"/>
              </w:rPr>
            </w:pPr>
            <w:r>
              <w:rPr>
                <w:rFonts w:ascii="Arial" w:cs="Arial" w:eastAsia="Arial" w:hAnsi="Arial"/>
                <w:sz w:val="13"/>
                <w:szCs w:val="13"/>
                <w:color w:val="auto"/>
              </w:rPr>
              <w:t>First-lien debt investments</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1,745</w:t>
            </w:r>
          </w:p>
        </w:tc>
        <w:tc>
          <w:tcPr>
            <w:tcW w:w="1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11,962</w:t>
            </w:r>
          </w:p>
        </w:tc>
        <w:tc>
          <w:tcPr>
            <w:tcW w:w="80" w:type="dxa"/>
            <w:vAlign w:val="bottom"/>
            <w:shd w:val="clear" w:color="auto" w:fill="CFF0FC"/>
          </w:tcPr>
          <w:p>
            <w:pPr>
              <w:spacing w:after="0"/>
              <w:rPr>
                <w:sz w:val="13"/>
                <w:szCs w:val="13"/>
                <w:color w:val="auto"/>
              </w:rPr>
            </w:pPr>
          </w:p>
        </w:tc>
      </w:tr>
      <w:tr>
        <w:trPr>
          <w:trHeight w:val="161"/>
        </w:trPr>
        <w:tc>
          <w:tcPr>
            <w:tcW w:w="2840" w:type="dxa"/>
            <w:vAlign w:val="bottom"/>
          </w:tcPr>
          <w:p>
            <w:pPr>
              <w:spacing w:after="0"/>
              <w:rPr>
                <w:sz w:val="20"/>
                <w:szCs w:val="20"/>
                <w:color w:val="auto"/>
              </w:rPr>
            </w:pPr>
            <w:r>
              <w:rPr>
                <w:rFonts w:ascii="Arial" w:cs="Arial" w:eastAsia="Arial" w:hAnsi="Arial"/>
                <w:sz w:val="13"/>
                <w:szCs w:val="13"/>
                <w:color w:val="auto"/>
              </w:rPr>
              <w:t>Second-lien debt investments</w:t>
            </w: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3"/>
                <w:szCs w:val="13"/>
                <w:color w:val="auto"/>
              </w:rPr>
              <w:t>(236)</w:t>
            </w:r>
          </w:p>
        </w:tc>
        <w:tc>
          <w:tcPr>
            <w:tcW w:w="14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292</w:t>
            </w:r>
          </w:p>
        </w:tc>
        <w:tc>
          <w:tcPr>
            <w:tcW w:w="80" w:type="dxa"/>
            <w:vAlign w:val="bottom"/>
          </w:tcPr>
          <w:p>
            <w:pPr>
              <w:spacing w:after="0"/>
              <w:rPr>
                <w:sz w:val="13"/>
                <w:szCs w:val="13"/>
                <w:color w:val="auto"/>
              </w:rPr>
            </w:pPr>
          </w:p>
        </w:tc>
      </w:tr>
      <w:tr>
        <w:trPr>
          <w:trHeight w:val="161"/>
        </w:trPr>
        <w:tc>
          <w:tcPr>
            <w:tcW w:w="2840" w:type="dxa"/>
            <w:vAlign w:val="bottom"/>
            <w:shd w:val="clear" w:color="auto" w:fill="CFF0FC"/>
          </w:tcPr>
          <w:p>
            <w:pPr>
              <w:spacing w:after="0"/>
              <w:rPr>
                <w:sz w:val="20"/>
                <w:szCs w:val="20"/>
                <w:color w:val="auto"/>
              </w:rPr>
            </w:pPr>
            <w:r>
              <w:rPr>
                <w:rFonts w:ascii="Arial" w:cs="Arial" w:eastAsia="Arial" w:hAnsi="Arial"/>
                <w:sz w:val="13"/>
                <w:szCs w:val="13"/>
                <w:color w:val="auto"/>
              </w:rPr>
              <w:t>Mezzanine debt investments</w:t>
            </w:r>
          </w:p>
        </w:tc>
        <w:tc>
          <w:tcPr>
            <w:tcW w:w="13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7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(2,341)</w:t>
            </w:r>
          </w:p>
        </w:tc>
        <w:tc>
          <w:tcPr>
            <w:tcW w:w="14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2,543</w:t>
            </w:r>
          </w:p>
        </w:tc>
        <w:tc>
          <w:tcPr>
            <w:tcW w:w="80" w:type="dxa"/>
            <w:vAlign w:val="bottom"/>
            <w:shd w:val="clear" w:color="auto" w:fill="CFF0FC"/>
          </w:tcPr>
          <w:p>
            <w:pPr>
              <w:spacing w:after="0"/>
              <w:rPr>
                <w:sz w:val="13"/>
                <w:szCs w:val="13"/>
                <w:color w:val="auto"/>
              </w:rPr>
            </w:pPr>
          </w:p>
        </w:tc>
      </w:tr>
      <w:tr>
        <w:trPr>
          <w:trHeight w:val="161"/>
        </w:trPr>
        <w:tc>
          <w:tcPr>
            <w:tcW w:w="2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Equity and other investments</w:t>
            </w:r>
          </w:p>
        </w:tc>
        <w:tc>
          <w:tcPr>
            <w:tcW w:w="13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17,618</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7,823</w:t>
            </w:r>
          </w:p>
        </w:tc>
        <w:tc>
          <w:tcPr>
            <w:tcW w:w="80" w:type="dxa"/>
            <w:vAlign w:val="bottom"/>
            <w:tcBorders>
              <w:bottom w:val="single" w:sz="8" w:color="CFF0FC"/>
            </w:tcBorders>
          </w:tcPr>
          <w:p>
            <w:pPr>
              <w:spacing w:after="0"/>
              <w:rPr>
                <w:sz w:val="13"/>
                <w:szCs w:val="13"/>
                <w:color w:val="auto"/>
              </w:rPr>
            </w:pPr>
          </w:p>
        </w:tc>
      </w:tr>
      <w:tr>
        <w:trPr>
          <w:trHeight w:val="150"/>
        </w:trPr>
        <w:tc>
          <w:tcPr>
            <w:tcW w:w="2840" w:type="dxa"/>
            <w:vAlign w:val="bottom"/>
            <w:shd w:val="clear" w:color="auto" w:fill="CFF0FC"/>
          </w:tcPr>
          <w:p>
            <w:pPr>
              <w:ind w:left="160"/>
              <w:spacing w:after="0"/>
              <w:rPr>
                <w:sz w:val="20"/>
                <w:szCs w:val="20"/>
                <w:color w:val="auto"/>
              </w:rPr>
            </w:pPr>
            <w:r>
              <w:rPr>
                <w:rFonts w:ascii="Arial" w:cs="Arial" w:eastAsia="Arial" w:hAnsi="Arial"/>
                <w:sz w:val="13"/>
                <w:szCs w:val="13"/>
                <w:b w:val="1"/>
                <w:bCs w:val="1"/>
                <w:color w:val="auto"/>
              </w:rPr>
              <w:t>Total</w:t>
            </w: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16,786</w:t>
            </w:r>
          </w:p>
        </w:tc>
        <w:tc>
          <w:tcPr>
            <w:tcW w:w="18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22,620</w:t>
            </w:r>
          </w:p>
        </w:tc>
        <w:tc>
          <w:tcPr>
            <w:tcW w:w="80" w:type="dxa"/>
            <w:vAlign w:val="bottom"/>
            <w:shd w:val="clear" w:color="auto" w:fill="CFF0FC"/>
          </w:tcPr>
          <w:p>
            <w:pPr>
              <w:spacing w:after="0"/>
              <w:rPr>
                <w:sz w:val="13"/>
                <w:szCs w:val="13"/>
                <w:color w:val="auto"/>
              </w:rPr>
            </w:pPr>
          </w:p>
        </w:tc>
      </w:tr>
      <w:tr>
        <w:trPr>
          <w:trHeight w:val="28"/>
        </w:trPr>
        <w:tc>
          <w:tcPr>
            <w:tcW w:w="284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71" w:lineRule="exact"/>
        <w:rPr>
          <w:sz w:val="20"/>
          <w:szCs w:val="20"/>
          <w:color w:val="auto"/>
        </w:rPr>
      </w:pPr>
    </w:p>
    <w:p>
      <w:pPr>
        <w:ind w:left="4" w:right="60" w:firstLine="256"/>
        <w:spacing w:after="0" w:line="260" w:lineRule="auto"/>
        <w:rPr>
          <w:sz w:val="20"/>
          <w:szCs w:val="20"/>
          <w:color w:val="auto"/>
        </w:rPr>
      </w:pPr>
      <w:r>
        <w:rPr>
          <w:rFonts w:ascii="Arial" w:cs="Arial" w:eastAsia="Arial" w:hAnsi="Arial"/>
          <w:sz w:val="13"/>
          <w:szCs w:val="13"/>
          <w:color w:val="auto"/>
        </w:rPr>
        <w:t>The following tables present the fair value of Level 3 Investments at fair value and the significant unobservable inputs used in the valuations as of March 31, 2022 and December 31, 2021. The tables are not intended to be all-inclusive, but instead capture the significant unobservable inputs relevant to the Company’s determination of fair values.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20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ind w:left="1020"/>
              <w:spacing w:after="0"/>
              <w:rPr>
                <w:sz w:val="20"/>
                <w:szCs w:val="20"/>
                <w:color w:val="auto"/>
              </w:rPr>
            </w:pPr>
            <w:r>
              <w:rPr>
                <w:rFonts w:ascii="Arial" w:cs="Arial" w:eastAsia="Arial" w:hAnsi="Arial"/>
                <w:sz w:val="10"/>
                <w:szCs w:val="10"/>
                <w:b w:val="1"/>
                <w:bCs w:val="1"/>
                <w:color w:val="auto"/>
              </w:rPr>
              <w:t>March 31, 2022</w:t>
            </w:r>
          </w:p>
        </w:tc>
        <w:tc>
          <w:tcPr>
            <w:tcW w:w="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r>
        <w:trPr>
          <w:trHeight w:val="88"/>
        </w:trPr>
        <w:tc>
          <w:tcPr>
            <w:tcW w:w="20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jc w:val="center"/>
              <w:spacing w:after="0" w:line="89" w:lineRule="exact"/>
              <w:rPr>
                <w:sz w:val="20"/>
                <w:szCs w:val="20"/>
                <w:color w:val="auto"/>
              </w:rPr>
            </w:pPr>
            <w:r>
              <w:rPr>
                <w:rFonts w:ascii="Arial" w:cs="Arial" w:eastAsia="Arial" w:hAnsi="Arial"/>
                <w:sz w:val="10"/>
                <w:szCs w:val="10"/>
                <w:b w:val="1"/>
                <w:bCs w:val="1"/>
                <w:color w:val="auto"/>
                <w:w w:val="91"/>
              </w:rPr>
              <w:t>Impact to Valuation</w:t>
            </w:r>
          </w:p>
        </w:tc>
      </w:tr>
      <w:tr>
        <w:trPr>
          <w:trHeight w:val="113"/>
        </w:trPr>
        <w:tc>
          <w:tcPr>
            <w:tcW w:w="2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ind w:left="620"/>
              <w:spacing w:after="0" w:line="114" w:lineRule="exact"/>
              <w:rPr>
                <w:sz w:val="20"/>
                <w:szCs w:val="20"/>
                <w:color w:val="auto"/>
              </w:rPr>
            </w:pPr>
            <w:r>
              <w:rPr>
                <w:rFonts w:ascii="Arial" w:cs="Arial" w:eastAsia="Arial" w:hAnsi="Arial"/>
                <w:sz w:val="10"/>
                <w:szCs w:val="10"/>
                <w:b w:val="1"/>
                <w:bCs w:val="1"/>
                <w:color w:val="auto"/>
              </w:rPr>
              <w:t>Valuation</w:t>
            </w:r>
          </w:p>
        </w:tc>
        <w:tc>
          <w:tcPr>
            <w:tcW w:w="120" w:type="dxa"/>
            <w:vAlign w:val="bottom"/>
          </w:tcPr>
          <w:p>
            <w:pPr>
              <w:spacing w:after="0"/>
              <w:rPr>
                <w:sz w:val="9"/>
                <w:szCs w:val="9"/>
                <w:color w:val="auto"/>
              </w:rPr>
            </w:pPr>
          </w:p>
        </w:tc>
        <w:tc>
          <w:tcPr>
            <w:tcW w:w="18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0"/>
              </w:rPr>
              <w:t>Unobservable</w:t>
            </w:r>
          </w:p>
        </w:tc>
        <w:tc>
          <w:tcPr>
            <w:tcW w:w="200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90"/>
              </w:rPr>
              <w:t>Range (Weighted</w:t>
            </w:r>
          </w:p>
        </w:tc>
        <w:tc>
          <w:tcPr>
            <w:tcW w:w="120" w:type="dxa"/>
            <w:vAlign w:val="bottom"/>
          </w:tcPr>
          <w:p>
            <w:pPr>
              <w:spacing w:after="0"/>
              <w:rPr>
                <w:sz w:val="9"/>
                <w:szCs w:val="9"/>
                <w:color w:val="auto"/>
              </w:rPr>
            </w:pPr>
          </w:p>
        </w:tc>
        <w:tc>
          <w:tcPr>
            <w:tcW w:w="17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2"/>
              </w:rPr>
              <w:t>from an</w:t>
            </w:r>
          </w:p>
        </w:tc>
      </w:tr>
      <w:tr>
        <w:trPr>
          <w:trHeight w:val="119"/>
        </w:trPr>
        <w:tc>
          <w:tcPr>
            <w:tcW w:w="2040" w:type="dxa"/>
            <w:vAlign w:val="bottom"/>
            <w:tcBorders>
              <w:bottom w:val="single" w:sz="8" w:color="CFF0FC"/>
            </w:tcBorders>
          </w:tcPr>
          <w:p>
            <w:pPr>
              <w:spacing w:after="0"/>
              <w:rPr>
                <w:sz w:val="10"/>
                <w:szCs w:val="10"/>
                <w:color w:val="auto"/>
              </w:rPr>
            </w:pPr>
          </w:p>
        </w:tc>
        <w:tc>
          <w:tcPr>
            <w:tcW w:w="72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CFF0FC"/>
            </w:tcBorders>
          </w:tcPr>
          <w:p>
            <w:pPr>
              <w:spacing w:after="0"/>
              <w:rPr>
                <w:sz w:val="10"/>
                <w:szCs w:val="10"/>
                <w:color w:val="auto"/>
              </w:rPr>
            </w:pPr>
          </w:p>
        </w:tc>
        <w:tc>
          <w:tcPr>
            <w:tcW w:w="1680" w:type="dxa"/>
            <w:vAlign w:val="bottom"/>
            <w:tcBorders>
              <w:bottom w:val="single" w:sz="8" w:color="auto"/>
            </w:tcBorders>
          </w:tcPr>
          <w:p>
            <w:pPr>
              <w:ind w:left="620"/>
              <w:spacing w:after="0"/>
              <w:rPr>
                <w:sz w:val="20"/>
                <w:szCs w:val="20"/>
                <w:color w:val="auto"/>
              </w:rPr>
            </w:pPr>
            <w:r>
              <w:rPr>
                <w:rFonts w:ascii="Arial" w:cs="Arial" w:eastAsia="Arial" w:hAnsi="Arial"/>
                <w:sz w:val="10"/>
                <w:szCs w:val="10"/>
                <w:b w:val="1"/>
                <w:bCs w:val="1"/>
                <w:color w:val="auto"/>
              </w:rPr>
              <w:t>Technique</w:t>
            </w:r>
          </w:p>
        </w:tc>
        <w:tc>
          <w:tcPr>
            <w:tcW w:w="120" w:type="dxa"/>
            <w:vAlign w:val="bottom"/>
            <w:tcBorders>
              <w:bottom w:val="single" w:sz="8" w:color="CFF0FC"/>
            </w:tcBorders>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Input</w:t>
            </w:r>
          </w:p>
        </w:tc>
        <w:tc>
          <w:tcPr>
            <w:tcW w:w="120" w:type="dxa"/>
            <w:vAlign w:val="bottom"/>
            <w:tcBorders>
              <w:bottom w:val="single" w:sz="8" w:color="CFF0FC"/>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left="5"/>
              <w:spacing w:after="0"/>
              <w:rPr>
                <w:sz w:val="20"/>
                <w:szCs w:val="20"/>
                <w:color w:val="auto"/>
              </w:rPr>
            </w:pPr>
            <w:r>
              <w:rPr>
                <w:rFonts w:ascii="Arial" w:cs="Arial" w:eastAsia="Arial" w:hAnsi="Arial"/>
                <w:sz w:val="10"/>
                <w:szCs w:val="10"/>
                <w:b w:val="1"/>
                <w:bCs w:val="1"/>
                <w:color w:val="auto"/>
                <w:w w:val="88"/>
              </w:rPr>
              <w:t>Average)</w:t>
            </w: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Increase to Input</w:t>
            </w:r>
          </w:p>
        </w:tc>
      </w:tr>
      <w:tr>
        <w:trPr>
          <w:trHeight w:val="141"/>
        </w:trPr>
        <w:tc>
          <w:tcPr>
            <w:tcW w:w="2040" w:type="dxa"/>
            <w:vAlign w:val="bottom"/>
            <w:shd w:val="clear" w:color="auto" w:fill="CFF0FC"/>
          </w:tcPr>
          <w:p>
            <w:pPr>
              <w:spacing w:after="0"/>
              <w:rPr>
                <w:sz w:val="20"/>
                <w:szCs w:val="20"/>
                <w:color w:val="auto"/>
              </w:rPr>
            </w:pPr>
            <w:r>
              <w:rPr>
                <w:rFonts w:ascii="Arial" w:cs="Arial" w:eastAsia="Arial" w:hAnsi="Arial"/>
                <w:sz w:val="11"/>
                <w:szCs w:val="11"/>
                <w:color w:val="auto"/>
              </w:rPr>
              <w:t>First-lien debt investments</w:t>
            </w:r>
          </w:p>
        </w:tc>
        <w:tc>
          <w:tcPr>
            <w:tcW w:w="860" w:type="dxa"/>
            <w:vAlign w:val="bottom"/>
            <w:gridSpan w:val="2"/>
            <w:shd w:val="clear" w:color="auto" w:fill="CFF0FC"/>
          </w:tcPr>
          <w:p>
            <w:pPr>
              <w:jc w:val="right"/>
              <w:ind w:right="29"/>
              <w:spacing w:after="0"/>
              <w:rPr>
                <w:sz w:val="20"/>
                <w:szCs w:val="20"/>
                <w:color w:val="auto"/>
              </w:rPr>
            </w:pPr>
            <w:r>
              <w:rPr>
                <w:rFonts w:ascii="Arial" w:cs="Arial" w:eastAsia="Arial" w:hAnsi="Arial"/>
                <w:sz w:val="11"/>
                <w:szCs w:val="1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2,239,027</w:t>
            </w:r>
          </w:p>
        </w:tc>
        <w:tc>
          <w:tcPr>
            <w:tcW w:w="2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line="141" w:lineRule="exact"/>
              <w:rPr>
                <w:sz w:val="20"/>
                <w:szCs w:val="20"/>
                <w:color w:val="auto"/>
              </w:rPr>
            </w:pPr>
            <w:r>
              <w:rPr>
                <w:rFonts w:ascii="Arial" w:cs="Arial" w:eastAsia="Arial" w:hAnsi="Arial"/>
                <w:sz w:val="10"/>
                <w:szCs w:val="10"/>
                <w:color w:val="auto"/>
              </w:rPr>
              <w:t xml:space="preserve">Income approach </w:t>
            </w:r>
            <w:r>
              <w:rPr>
                <w:rFonts w:ascii="Arial" w:cs="Arial" w:eastAsia="Arial" w:hAnsi="Arial"/>
                <w:sz w:val="16"/>
                <w:szCs w:val="16"/>
                <w:color w:val="auto"/>
                <w:vertAlign w:val="superscript"/>
              </w:rPr>
              <w:t>(1)</w:t>
            </w:r>
          </w:p>
        </w:tc>
        <w:tc>
          <w:tcPr>
            <w:tcW w:w="192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Discount rate</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w:t>
            </w:r>
          </w:p>
        </w:tc>
        <w:tc>
          <w:tcPr>
            <w:tcW w:w="128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 12.8% (9.8%)</w:t>
            </w:r>
          </w:p>
        </w:tc>
        <w:tc>
          <w:tcPr>
            <w:tcW w:w="18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Decrease</w:t>
            </w:r>
          </w:p>
        </w:tc>
      </w:tr>
      <w:tr>
        <w:trPr>
          <w:trHeight w:val="149"/>
        </w:trPr>
        <w:tc>
          <w:tcPr>
            <w:tcW w:w="2040" w:type="dxa"/>
            <w:vAlign w:val="bottom"/>
          </w:tcPr>
          <w:p>
            <w:pPr>
              <w:spacing w:after="0"/>
              <w:rPr>
                <w:sz w:val="20"/>
                <w:szCs w:val="20"/>
                <w:color w:val="auto"/>
              </w:rPr>
            </w:pPr>
            <w:r>
              <w:rPr>
                <w:rFonts w:ascii="Arial" w:cs="Arial" w:eastAsia="Arial" w:hAnsi="Arial"/>
                <w:sz w:val="11"/>
                <w:szCs w:val="11"/>
                <w:color w:val="auto"/>
              </w:rPr>
              <w:t>Second-lien debt investments</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42,511</w:t>
            </w:r>
          </w:p>
        </w:tc>
        <w:tc>
          <w:tcPr>
            <w:tcW w:w="220" w:type="dxa"/>
            <w:vAlign w:val="bottom"/>
          </w:tcPr>
          <w:p>
            <w:pPr>
              <w:spacing w:after="0"/>
              <w:rPr>
                <w:sz w:val="12"/>
                <w:szCs w:val="12"/>
                <w:color w:val="auto"/>
              </w:rPr>
            </w:pPr>
          </w:p>
        </w:tc>
        <w:tc>
          <w:tcPr>
            <w:tcW w:w="1680" w:type="dxa"/>
            <w:vAlign w:val="bottom"/>
          </w:tcPr>
          <w:p>
            <w:pPr>
              <w:spacing w:after="0"/>
              <w:rPr>
                <w:sz w:val="20"/>
                <w:szCs w:val="20"/>
                <w:color w:val="auto"/>
              </w:rPr>
            </w:pPr>
            <w:r>
              <w:rPr>
                <w:rFonts w:ascii="Arial" w:cs="Arial" w:eastAsia="Arial" w:hAnsi="Arial"/>
                <w:sz w:val="11"/>
                <w:szCs w:val="11"/>
                <w:color w:val="auto"/>
              </w:rPr>
              <w:t>Income approach</w:t>
            </w:r>
          </w:p>
        </w:tc>
        <w:tc>
          <w:tcPr>
            <w:tcW w:w="1920" w:type="dxa"/>
            <w:vAlign w:val="bottom"/>
            <w:gridSpan w:val="3"/>
          </w:tcPr>
          <w:p>
            <w:pPr>
              <w:ind w:left="120"/>
              <w:spacing w:after="0"/>
              <w:rPr>
                <w:sz w:val="20"/>
                <w:szCs w:val="20"/>
                <w:color w:val="auto"/>
              </w:rPr>
            </w:pPr>
            <w:r>
              <w:rPr>
                <w:rFonts w:ascii="Arial" w:cs="Arial" w:eastAsia="Arial" w:hAnsi="Arial"/>
                <w:sz w:val="11"/>
                <w:szCs w:val="11"/>
                <w:color w:val="auto"/>
              </w:rPr>
              <w:t>Discount rate</w:t>
            </w:r>
          </w:p>
        </w:tc>
        <w:tc>
          <w:tcPr>
            <w:tcW w:w="720" w:type="dxa"/>
            <w:vAlign w:val="bottom"/>
          </w:tcPr>
          <w:p>
            <w:pPr>
              <w:jc w:val="right"/>
              <w:spacing w:after="0"/>
              <w:rPr>
                <w:sz w:val="20"/>
                <w:szCs w:val="20"/>
                <w:color w:val="auto"/>
              </w:rPr>
            </w:pPr>
            <w:r>
              <w:rPr>
                <w:rFonts w:ascii="Arial" w:cs="Arial" w:eastAsia="Arial" w:hAnsi="Arial"/>
                <w:sz w:val="11"/>
                <w:szCs w:val="11"/>
                <w:color w:val="auto"/>
              </w:rPr>
              <w:t>11.1%</w:t>
            </w:r>
          </w:p>
        </w:tc>
        <w:tc>
          <w:tcPr>
            <w:tcW w:w="480" w:type="dxa"/>
            <w:vAlign w:val="bottom"/>
          </w:tcPr>
          <w:p>
            <w:pPr>
              <w:ind w:left="20"/>
              <w:spacing w:after="0"/>
              <w:rPr>
                <w:sz w:val="20"/>
                <w:szCs w:val="20"/>
                <w:color w:val="auto"/>
              </w:rPr>
            </w:pPr>
            <w:r>
              <w:rPr>
                <w:rFonts w:ascii="Arial" w:cs="Arial" w:eastAsia="Arial" w:hAnsi="Arial"/>
                <w:sz w:val="11"/>
                <w:szCs w:val="11"/>
                <w:color w:val="auto"/>
                <w:w w:val="97"/>
              </w:rPr>
              <w:t>— 11.1%</w:t>
            </w:r>
          </w:p>
        </w:tc>
        <w:tc>
          <w:tcPr>
            <w:tcW w:w="800" w:type="dxa"/>
            <w:vAlign w:val="bottom"/>
          </w:tcPr>
          <w:p>
            <w:pPr>
              <w:spacing w:after="0"/>
              <w:rPr>
                <w:sz w:val="20"/>
                <w:szCs w:val="20"/>
                <w:color w:val="auto"/>
              </w:rPr>
            </w:pPr>
            <w:r>
              <w:rPr>
                <w:rFonts w:ascii="Arial" w:cs="Arial" w:eastAsia="Arial" w:hAnsi="Arial"/>
                <w:sz w:val="11"/>
                <w:szCs w:val="11"/>
                <w:color w:val="auto"/>
              </w:rPr>
              <w:t>(11.1%)</w:t>
            </w:r>
          </w:p>
        </w:tc>
        <w:tc>
          <w:tcPr>
            <w:tcW w:w="1820" w:type="dxa"/>
            <w:vAlign w:val="bottom"/>
            <w:gridSpan w:val="2"/>
          </w:tcPr>
          <w:p>
            <w:pPr>
              <w:ind w:left="120"/>
              <w:spacing w:after="0"/>
              <w:rPr>
                <w:sz w:val="20"/>
                <w:szCs w:val="20"/>
                <w:color w:val="auto"/>
              </w:rPr>
            </w:pPr>
            <w:r>
              <w:rPr>
                <w:rFonts w:ascii="Arial" w:cs="Arial" w:eastAsia="Arial" w:hAnsi="Arial"/>
                <w:sz w:val="11"/>
                <w:szCs w:val="11"/>
                <w:color w:val="auto"/>
              </w:rPr>
              <w:t>Decrease</w:t>
            </w:r>
          </w:p>
        </w:tc>
      </w:tr>
      <w:tr>
        <w:trPr>
          <w:trHeight w:val="153"/>
        </w:trPr>
        <w:tc>
          <w:tcPr>
            <w:tcW w:w="2040" w:type="dxa"/>
            <w:vAlign w:val="bottom"/>
            <w:shd w:val="clear" w:color="auto" w:fill="CFF0FC"/>
          </w:tcPr>
          <w:p>
            <w:pPr>
              <w:spacing w:after="0"/>
              <w:rPr>
                <w:sz w:val="20"/>
                <w:szCs w:val="20"/>
                <w:color w:val="auto"/>
              </w:rPr>
            </w:pPr>
            <w:r>
              <w:rPr>
                <w:rFonts w:ascii="Arial" w:cs="Arial" w:eastAsia="Arial" w:hAnsi="Arial"/>
                <w:sz w:val="11"/>
                <w:szCs w:val="11"/>
                <w:color w:val="auto"/>
              </w:rPr>
              <w:t>Mezzanine debt investments</w:t>
            </w: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14,139</w:t>
            </w:r>
          </w:p>
        </w:tc>
        <w:tc>
          <w:tcPr>
            <w:tcW w:w="2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line="154" w:lineRule="exact"/>
              <w:rPr>
                <w:sz w:val="20"/>
                <w:szCs w:val="20"/>
                <w:color w:val="auto"/>
              </w:rPr>
            </w:pPr>
            <w:r>
              <w:rPr>
                <w:rFonts w:ascii="Arial" w:cs="Arial" w:eastAsia="Arial" w:hAnsi="Arial"/>
                <w:sz w:val="10"/>
                <w:szCs w:val="10"/>
                <w:color w:val="auto"/>
              </w:rPr>
              <w:t xml:space="preserve">Income approach </w:t>
            </w:r>
            <w:r>
              <w:rPr>
                <w:rFonts w:ascii="Arial" w:cs="Arial" w:eastAsia="Arial" w:hAnsi="Arial"/>
                <w:sz w:val="17"/>
                <w:szCs w:val="17"/>
                <w:color w:val="auto"/>
                <w:vertAlign w:val="superscript"/>
              </w:rPr>
              <w:t>(2)</w:t>
            </w:r>
          </w:p>
        </w:tc>
        <w:tc>
          <w:tcPr>
            <w:tcW w:w="192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Discount rate</w:t>
            </w:r>
          </w:p>
        </w:tc>
        <w:tc>
          <w:tcPr>
            <w:tcW w:w="7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w:t>
            </w:r>
          </w:p>
        </w:tc>
        <w:tc>
          <w:tcPr>
            <w:tcW w:w="48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 11.0%</w:t>
            </w:r>
          </w:p>
        </w:tc>
        <w:tc>
          <w:tcPr>
            <w:tcW w:w="800" w:type="dxa"/>
            <w:vAlign w:val="bottom"/>
            <w:shd w:val="clear" w:color="auto" w:fill="CFF0FC"/>
          </w:tcPr>
          <w:p>
            <w:pPr>
              <w:spacing w:after="0"/>
              <w:rPr>
                <w:sz w:val="20"/>
                <w:szCs w:val="20"/>
                <w:color w:val="auto"/>
              </w:rPr>
            </w:pPr>
            <w:r>
              <w:rPr>
                <w:rFonts w:ascii="Arial" w:cs="Arial" w:eastAsia="Arial" w:hAnsi="Arial"/>
                <w:sz w:val="11"/>
                <w:szCs w:val="11"/>
                <w:color w:val="auto"/>
              </w:rPr>
              <w:t>(9.7%)</w:t>
            </w:r>
          </w:p>
        </w:tc>
        <w:tc>
          <w:tcPr>
            <w:tcW w:w="18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Decrease</w:t>
            </w:r>
          </w:p>
        </w:tc>
      </w:tr>
      <w:tr>
        <w:trPr>
          <w:trHeight w:val="151"/>
        </w:trPr>
        <w:tc>
          <w:tcPr>
            <w:tcW w:w="2040" w:type="dxa"/>
            <w:vAlign w:val="bottom"/>
          </w:tcPr>
          <w:p>
            <w:pPr>
              <w:spacing w:after="0"/>
              <w:rPr>
                <w:sz w:val="20"/>
                <w:szCs w:val="20"/>
                <w:color w:val="auto"/>
              </w:rPr>
            </w:pPr>
            <w:r>
              <w:rPr>
                <w:rFonts w:ascii="Arial" w:cs="Arial" w:eastAsia="Arial" w:hAnsi="Arial"/>
                <w:sz w:val="11"/>
                <w:szCs w:val="11"/>
                <w:color w:val="auto"/>
              </w:rPr>
              <w:t>Equity and other investments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123,019</w:t>
            </w:r>
          </w:p>
        </w:tc>
        <w:tc>
          <w:tcPr>
            <w:tcW w:w="220" w:type="dxa"/>
            <w:vAlign w:val="bottom"/>
          </w:tcPr>
          <w:p>
            <w:pPr>
              <w:spacing w:after="0"/>
              <w:rPr>
                <w:sz w:val="13"/>
                <w:szCs w:val="13"/>
                <w:color w:val="auto"/>
              </w:rPr>
            </w:pPr>
          </w:p>
        </w:tc>
        <w:tc>
          <w:tcPr>
            <w:tcW w:w="1680" w:type="dxa"/>
            <w:vAlign w:val="bottom"/>
          </w:tcPr>
          <w:p>
            <w:pPr>
              <w:spacing w:after="0" w:line="151" w:lineRule="exact"/>
              <w:rPr>
                <w:sz w:val="20"/>
                <w:szCs w:val="20"/>
                <w:color w:val="auto"/>
              </w:rPr>
            </w:pPr>
            <w:r>
              <w:rPr>
                <w:rFonts w:ascii="Arial" w:cs="Arial" w:eastAsia="Arial" w:hAnsi="Arial"/>
                <w:sz w:val="10"/>
                <w:szCs w:val="10"/>
                <w:color w:val="auto"/>
              </w:rPr>
              <w:t xml:space="preserve">Market Multiple </w:t>
            </w:r>
            <w:r>
              <w:rPr>
                <w:rFonts w:ascii="Arial" w:cs="Arial" w:eastAsia="Arial" w:hAnsi="Arial"/>
                <w:sz w:val="17"/>
                <w:szCs w:val="17"/>
                <w:color w:val="auto"/>
                <w:vertAlign w:val="superscript"/>
              </w:rPr>
              <w:t>(3)</w:t>
            </w:r>
          </w:p>
        </w:tc>
        <w:tc>
          <w:tcPr>
            <w:tcW w:w="1920" w:type="dxa"/>
            <w:vAlign w:val="bottom"/>
            <w:gridSpan w:val="3"/>
          </w:tcPr>
          <w:p>
            <w:pPr>
              <w:ind w:left="120"/>
              <w:spacing w:after="0"/>
              <w:rPr>
                <w:sz w:val="20"/>
                <w:szCs w:val="20"/>
                <w:color w:val="auto"/>
              </w:rPr>
            </w:pPr>
            <w:r>
              <w:rPr>
                <w:rFonts w:ascii="Arial" w:cs="Arial" w:eastAsia="Arial" w:hAnsi="Arial"/>
                <w:sz w:val="11"/>
                <w:szCs w:val="11"/>
                <w:color w:val="auto"/>
              </w:rPr>
              <w:t>Comparable multiple</w:t>
            </w:r>
          </w:p>
        </w:tc>
        <w:tc>
          <w:tcPr>
            <w:tcW w:w="2000" w:type="dxa"/>
            <w:vAlign w:val="bottom"/>
            <w:gridSpan w:val="3"/>
          </w:tcPr>
          <w:p>
            <w:pPr>
              <w:jc w:val="center"/>
              <w:spacing w:after="0"/>
              <w:rPr>
                <w:sz w:val="20"/>
                <w:szCs w:val="20"/>
                <w:color w:val="auto"/>
              </w:rPr>
            </w:pPr>
            <w:r>
              <w:rPr>
                <w:rFonts w:ascii="Arial" w:cs="Arial" w:eastAsia="Arial" w:hAnsi="Arial"/>
                <w:sz w:val="11"/>
                <w:szCs w:val="11"/>
                <w:color w:val="auto"/>
                <w:w w:val="97"/>
              </w:rPr>
              <w:t>3.8x — 19.3x (8.7)</w:t>
            </w:r>
          </w:p>
        </w:tc>
        <w:tc>
          <w:tcPr>
            <w:tcW w:w="1820" w:type="dxa"/>
            <w:vAlign w:val="bottom"/>
            <w:gridSpan w:val="2"/>
          </w:tcPr>
          <w:p>
            <w:pPr>
              <w:ind w:left="120"/>
              <w:spacing w:after="0"/>
              <w:rPr>
                <w:sz w:val="20"/>
                <w:szCs w:val="20"/>
                <w:color w:val="auto"/>
              </w:rPr>
            </w:pPr>
            <w:r>
              <w:rPr>
                <w:rFonts w:ascii="Arial" w:cs="Arial" w:eastAsia="Arial" w:hAnsi="Arial"/>
                <w:sz w:val="11"/>
                <w:szCs w:val="11"/>
                <w:color w:val="auto"/>
              </w:rPr>
              <w:t>Increase</w:t>
            </w:r>
          </w:p>
        </w:tc>
      </w:tr>
      <w:tr>
        <w:trPr>
          <w:trHeight w:val="149"/>
        </w:trPr>
        <w:tc>
          <w:tcPr>
            <w:tcW w:w="204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2,418,696</w:t>
            </w:r>
          </w:p>
        </w:tc>
        <w:tc>
          <w:tcPr>
            <w:tcW w:w="220" w:type="dxa"/>
            <w:vAlign w:val="bottom"/>
            <w:tcBorders>
              <w:top w:val="single" w:sz="8" w:color="CFF0FC"/>
              <w:bottom w:val="single" w:sz="8" w:color="CFF0FC"/>
            </w:tcBorders>
            <w:shd w:val="clear" w:color="auto" w:fill="CFF0FC"/>
          </w:tcPr>
          <w:p>
            <w:pPr>
              <w:spacing w:after="0"/>
              <w:rPr>
                <w:sz w:val="12"/>
                <w:szCs w:val="12"/>
                <w:color w:val="auto"/>
              </w:rPr>
            </w:pPr>
          </w:p>
        </w:tc>
        <w:tc>
          <w:tcPr>
            <w:tcW w:w="1680" w:type="dxa"/>
            <w:vAlign w:val="bottom"/>
            <w:tcBorders>
              <w:top w:val="single" w:sz="8" w:color="auto"/>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680" w:type="dxa"/>
            <w:vAlign w:val="bottom"/>
            <w:tcBorders>
              <w:top w:val="single" w:sz="8" w:color="auto"/>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720" w:type="dxa"/>
            <w:vAlign w:val="bottom"/>
            <w:tcBorders>
              <w:top w:val="single" w:sz="8" w:color="auto"/>
              <w:bottom w:val="single" w:sz="8" w:color="CFF0FC"/>
            </w:tcBorders>
            <w:shd w:val="clear" w:color="auto" w:fill="CFF0FC"/>
          </w:tcPr>
          <w:p>
            <w:pPr>
              <w:spacing w:after="0"/>
              <w:rPr>
                <w:sz w:val="12"/>
                <w:szCs w:val="12"/>
                <w:color w:val="auto"/>
              </w:rPr>
            </w:pPr>
          </w:p>
        </w:tc>
        <w:tc>
          <w:tcPr>
            <w:tcW w:w="480" w:type="dxa"/>
            <w:vAlign w:val="bottom"/>
            <w:tcBorders>
              <w:top w:val="single" w:sz="8" w:color="auto"/>
              <w:bottom w:val="single" w:sz="8" w:color="CFF0FC"/>
            </w:tcBorders>
            <w:shd w:val="clear" w:color="auto" w:fill="CFF0FC"/>
          </w:tcPr>
          <w:p>
            <w:pPr>
              <w:spacing w:after="0"/>
              <w:rPr>
                <w:sz w:val="12"/>
                <w:szCs w:val="12"/>
                <w:color w:val="auto"/>
              </w:rPr>
            </w:pPr>
          </w:p>
        </w:tc>
        <w:tc>
          <w:tcPr>
            <w:tcW w:w="800" w:type="dxa"/>
            <w:vAlign w:val="bottom"/>
            <w:tcBorders>
              <w:top w:val="single" w:sz="8" w:color="auto"/>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700" w:type="dxa"/>
            <w:vAlign w:val="bottom"/>
            <w:tcBorders>
              <w:top w:val="single" w:sz="8" w:color="auto"/>
              <w:bottom w:val="single" w:sz="8" w:color="CFF0FC"/>
            </w:tcBorders>
            <w:shd w:val="clear" w:color="auto" w:fill="CFF0FC"/>
          </w:tcPr>
          <w:p>
            <w:pPr>
              <w:spacing w:after="0"/>
              <w:rPr>
                <w:sz w:val="12"/>
                <w:szCs w:val="12"/>
                <w:color w:val="auto"/>
              </w:rPr>
            </w:pPr>
          </w:p>
        </w:tc>
      </w:tr>
    </w:tbl>
    <w:p>
      <w:pPr>
        <w:spacing w:after="0" w:line="161" w:lineRule="exact"/>
        <w:rPr>
          <w:sz w:val="20"/>
          <w:szCs w:val="20"/>
          <w:color w:val="auto"/>
        </w:rPr>
      </w:pPr>
    </w:p>
    <w:p>
      <w:pPr>
        <w:ind w:left="504" w:hanging="504"/>
        <w:spacing w:after="0"/>
        <w:tabs>
          <w:tab w:leader="none" w:pos="504"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$19.2 million of debt investments which were valued using an asset valuation waterfall.</w:t>
      </w:r>
    </w:p>
    <w:p>
      <w:pPr>
        <w:spacing w:after="0" w:line="30" w:lineRule="exact"/>
        <w:rPr>
          <w:rFonts w:ascii="Arial" w:cs="Arial" w:eastAsia="Arial" w:hAnsi="Arial"/>
          <w:sz w:val="13"/>
          <w:szCs w:val="13"/>
          <w:color w:val="auto"/>
        </w:rPr>
      </w:pPr>
    </w:p>
    <w:p>
      <w:pPr>
        <w:ind w:left="504" w:hanging="504"/>
        <w:spacing w:after="0"/>
        <w:tabs>
          <w:tab w:leader="none" w:pos="504"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$0.1 million of debt investments which were valued using an asset valuation waterfall.</w:t>
      </w:r>
    </w:p>
    <w:p>
      <w:pPr>
        <w:spacing w:after="0" w:line="30" w:lineRule="exact"/>
        <w:rPr>
          <w:rFonts w:ascii="Arial" w:cs="Arial" w:eastAsia="Arial" w:hAnsi="Arial"/>
          <w:sz w:val="13"/>
          <w:szCs w:val="13"/>
          <w:color w:val="auto"/>
        </w:rPr>
      </w:pPr>
    </w:p>
    <w:p>
      <w:pPr>
        <w:ind w:left="504" w:right="180" w:hanging="504"/>
        <w:spacing w:after="0" w:line="260" w:lineRule="auto"/>
        <w:tabs>
          <w:tab w:leader="none" w:pos="504"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$39.2 million of equity investments which were valued using an asset valuation waterfall, $8.2 million of equity investments using a Black-Scholes model, and $3.3 million of equity investments which, due to the proximity of the transactions relative to the measurement date, were valued using the cost of the investments.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310" w:right="299" w:bottom="1440" w:gutter="0" w:footer="0" w:header="0"/>
        </w:sectPr>
      </w:pPr>
    </w:p>
    <w:bookmarkStart w:id="34" w:name="page35"/>
    <w:bookmarkEnd w:id="34"/>
    <w:tbl>
      <w:tblPr>
        <w:tblLayout w:type="fixed"/>
        <w:tblInd w:w="4" w:type="dxa"/>
        <w:tblCellMar>
          <w:top w:w="0" w:type="dxa"/>
          <w:left w:w="0" w:type="dxa"/>
          <w:bottom w:w="0" w:type="dxa"/>
          <w:right w:w="0" w:type="dxa"/>
        </w:tblCellMar>
      </w:tblPr>
      <w:tr>
        <w:trPr>
          <w:trHeight w:val="119"/>
        </w:trPr>
        <w:tc>
          <w:tcPr>
            <w:tcW w:w="27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2"/>
          </w:tcPr>
          <w:p>
            <w:pPr>
              <w:ind w:left="940"/>
              <w:spacing w:after="0"/>
              <w:rPr>
                <w:sz w:val="20"/>
                <w:szCs w:val="20"/>
                <w:color w:val="auto"/>
              </w:rPr>
            </w:pPr>
            <w:r>
              <w:rPr>
                <w:rFonts w:ascii="Arial" w:cs="Arial" w:eastAsia="Arial" w:hAnsi="Arial"/>
                <w:sz w:val="10"/>
                <w:szCs w:val="10"/>
                <w:b w:val="1"/>
                <w:bCs w:val="1"/>
                <w:color w:val="auto"/>
                <w:w w:val="93"/>
              </w:rPr>
              <w:t>December 31, 2021</w:t>
            </w:r>
          </w:p>
        </w:tc>
        <w:tc>
          <w:tcPr>
            <w:tcW w:w="2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r>
      <w:tr>
        <w:trPr>
          <w:trHeight w:val="88"/>
        </w:trPr>
        <w:tc>
          <w:tcPr>
            <w:tcW w:w="2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tcPr>
          <w:p>
            <w:pPr>
              <w:jc w:val="center"/>
              <w:spacing w:after="0" w:line="89" w:lineRule="exact"/>
              <w:rPr>
                <w:sz w:val="20"/>
                <w:szCs w:val="20"/>
                <w:color w:val="auto"/>
              </w:rPr>
            </w:pPr>
            <w:r>
              <w:rPr>
                <w:rFonts w:ascii="Arial" w:cs="Arial" w:eastAsia="Arial" w:hAnsi="Arial"/>
                <w:sz w:val="10"/>
                <w:szCs w:val="10"/>
                <w:b w:val="1"/>
                <w:bCs w:val="1"/>
                <w:color w:val="auto"/>
                <w:w w:val="91"/>
              </w:rPr>
              <w:t>Impact to Valuation</w:t>
            </w:r>
          </w:p>
        </w:tc>
      </w:tr>
      <w:tr>
        <w:trPr>
          <w:trHeight w:val="113"/>
        </w:trPr>
        <w:tc>
          <w:tcPr>
            <w:tcW w:w="2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3"/>
              </w:rPr>
              <w:t>Valuation</w:t>
            </w:r>
          </w:p>
        </w:tc>
        <w:tc>
          <w:tcPr>
            <w:tcW w:w="120" w:type="dxa"/>
            <w:vAlign w:val="bottom"/>
          </w:tcPr>
          <w:p>
            <w:pPr>
              <w:spacing w:after="0"/>
              <w:rPr>
                <w:sz w:val="9"/>
                <w:szCs w:val="9"/>
                <w:color w:val="auto"/>
              </w:rPr>
            </w:pPr>
          </w:p>
        </w:tc>
        <w:tc>
          <w:tcPr>
            <w:tcW w:w="18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0"/>
              </w:rPr>
              <w:t>Unobservable</w:t>
            </w:r>
          </w:p>
        </w:tc>
        <w:tc>
          <w:tcPr>
            <w:tcW w:w="20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0"/>
              </w:rPr>
              <w:t>Range (Weighted</w:t>
            </w:r>
          </w:p>
        </w:tc>
        <w:tc>
          <w:tcPr>
            <w:tcW w:w="120" w:type="dxa"/>
            <w:vAlign w:val="bottom"/>
          </w:tcPr>
          <w:p>
            <w:pPr>
              <w:spacing w:after="0"/>
              <w:rPr>
                <w:sz w:val="9"/>
                <w:szCs w:val="9"/>
                <w:color w:val="auto"/>
              </w:rPr>
            </w:pPr>
          </w:p>
        </w:tc>
        <w:tc>
          <w:tcPr>
            <w:tcW w:w="17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2"/>
              </w:rPr>
              <w:t>from an</w:t>
            </w:r>
          </w:p>
        </w:tc>
      </w:tr>
      <w:tr>
        <w:trPr>
          <w:trHeight w:val="119"/>
        </w:trPr>
        <w:tc>
          <w:tcPr>
            <w:tcW w:w="276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65"/>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CFF0FC"/>
            </w:tcBorders>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Technique</w:t>
            </w:r>
          </w:p>
        </w:tc>
        <w:tc>
          <w:tcPr>
            <w:tcW w:w="120" w:type="dxa"/>
            <w:vAlign w:val="bottom"/>
            <w:tcBorders>
              <w:bottom w:val="single" w:sz="8" w:color="CFF0FC"/>
            </w:tcBorders>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Input</w:t>
            </w:r>
          </w:p>
        </w:tc>
        <w:tc>
          <w:tcPr>
            <w:tcW w:w="120" w:type="dxa"/>
            <w:vAlign w:val="bottom"/>
            <w:tcBorders>
              <w:bottom w:val="single" w:sz="8" w:color="CFF0FC"/>
            </w:tcBorders>
          </w:tcPr>
          <w:p>
            <w:pPr>
              <w:spacing w:after="0"/>
              <w:rPr>
                <w:sz w:val="10"/>
                <w:szCs w:val="1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Average)</w:t>
            </w:r>
          </w:p>
        </w:tc>
        <w:tc>
          <w:tcPr>
            <w:tcW w:w="120" w:type="dxa"/>
            <w:vAlign w:val="bottom"/>
            <w:tcBorders>
              <w:bottom w:val="single" w:sz="8" w:color="CFF0FC"/>
            </w:tcBorders>
          </w:tcPr>
          <w:p>
            <w:pPr>
              <w:spacing w:after="0"/>
              <w:rPr>
                <w:sz w:val="10"/>
                <w:szCs w:val="1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Increase to Input</w:t>
            </w:r>
          </w:p>
        </w:tc>
      </w:tr>
      <w:tr>
        <w:trPr>
          <w:trHeight w:val="141"/>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First-lien debt investments</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2,298,856</w:t>
            </w:r>
          </w:p>
        </w:tc>
        <w:tc>
          <w:tcPr>
            <w:tcW w:w="22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line="141" w:lineRule="exact"/>
              <w:rPr>
                <w:sz w:val="20"/>
                <w:szCs w:val="20"/>
                <w:color w:val="auto"/>
              </w:rPr>
            </w:pPr>
            <w:r>
              <w:rPr>
                <w:rFonts w:ascii="Arial" w:cs="Arial" w:eastAsia="Arial" w:hAnsi="Arial"/>
                <w:sz w:val="10"/>
                <w:szCs w:val="10"/>
                <w:color w:val="auto"/>
              </w:rPr>
              <w:t xml:space="preserve">Income approach </w:t>
            </w:r>
            <w:r>
              <w:rPr>
                <w:rFonts w:ascii="Arial" w:cs="Arial" w:eastAsia="Arial" w:hAnsi="Arial"/>
                <w:sz w:val="16"/>
                <w:szCs w:val="16"/>
                <w:color w:val="auto"/>
                <w:vertAlign w:val="superscript"/>
              </w:rPr>
              <w:t>(1)</w:t>
            </w:r>
          </w:p>
        </w:tc>
        <w:tc>
          <w:tcPr>
            <w:tcW w:w="192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Discount rate</w:t>
            </w:r>
          </w:p>
        </w:tc>
        <w:tc>
          <w:tcPr>
            <w:tcW w:w="20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5"/>
              </w:rPr>
              <w:t>6.6% — 12.2% (9.6%)</w:t>
            </w:r>
          </w:p>
        </w:tc>
        <w:tc>
          <w:tcPr>
            <w:tcW w:w="18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Decrease</w:t>
            </w:r>
          </w:p>
        </w:tc>
      </w:tr>
      <w:tr>
        <w:trPr>
          <w:trHeight w:val="151"/>
        </w:trPr>
        <w:tc>
          <w:tcPr>
            <w:tcW w:w="2760" w:type="dxa"/>
            <w:vAlign w:val="bottom"/>
          </w:tcPr>
          <w:p>
            <w:pPr>
              <w:spacing w:after="0"/>
              <w:rPr>
                <w:sz w:val="20"/>
                <w:szCs w:val="20"/>
                <w:color w:val="auto"/>
              </w:rPr>
            </w:pPr>
            <w:r>
              <w:rPr>
                <w:rFonts w:ascii="Arial" w:cs="Arial" w:eastAsia="Arial" w:hAnsi="Arial"/>
                <w:sz w:val="11"/>
                <w:szCs w:val="11"/>
                <w:color w:val="auto"/>
              </w:rPr>
              <w:t>Mezzanine debt investments</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18,549</w:t>
            </w:r>
          </w:p>
        </w:tc>
        <w:tc>
          <w:tcPr>
            <w:tcW w:w="220" w:type="dxa"/>
            <w:vAlign w:val="bottom"/>
          </w:tcPr>
          <w:p>
            <w:pPr>
              <w:spacing w:after="0"/>
              <w:rPr>
                <w:sz w:val="13"/>
                <w:szCs w:val="13"/>
                <w:color w:val="auto"/>
              </w:rPr>
            </w:pPr>
          </w:p>
        </w:tc>
        <w:tc>
          <w:tcPr>
            <w:tcW w:w="1680" w:type="dxa"/>
            <w:vAlign w:val="bottom"/>
          </w:tcPr>
          <w:p>
            <w:pPr>
              <w:spacing w:after="0" w:line="151" w:lineRule="exact"/>
              <w:rPr>
                <w:sz w:val="20"/>
                <w:szCs w:val="20"/>
                <w:color w:val="auto"/>
              </w:rPr>
            </w:pPr>
            <w:r>
              <w:rPr>
                <w:rFonts w:ascii="Arial" w:cs="Arial" w:eastAsia="Arial" w:hAnsi="Arial"/>
                <w:sz w:val="10"/>
                <w:szCs w:val="10"/>
                <w:color w:val="auto"/>
              </w:rPr>
              <w:t xml:space="preserve">Income approach </w:t>
            </w:r>
            <w:r>
              <w:rPr>
                <w:rFonts w:ascii="Arial" w:cs="Arial" w:eastAsia="Arial" w:hAnsi="Arial"/>
                <w:sz w:val="17"/>
                <w:szCs w:val="17"/>
                <w:color w:val="auto"/>
                <w:vertAlign w:val="superscript"/>
              </w:rPr>
              <w:t>(2)</w:t>
            </w:r>
          </w:p>
        </w:tc>
        <w:tc>
          <w:tcPr>
            <w:tcW w:w="1920" w:type="dxa"/>
            <w:vAlign w:val="bottom"/>
            <w:gridSpan w:val="3"/>
          </w:tcPr>
          <w:p>
            <w:pPr>
              <w:ind w:left="120"/>
              <w:spacing w:after="0"/>
              <w:rPr>
                <w:sz w:val="20"/>
                <w:szCs w:val="20"/>
                <w:color w:val="auto"/>
              </w:rPr>
            </w:pPr>
            <w:r>
              <w:rPr>
                <w:rFonts w:ascii="Arial" w:cs="Arial" w:eastAsia="Arial" w:hAnsi="Arial"/>
                <w:sz w:val="11"/>
                <w:szCs w:val="11"/>
                <w:color w:val="auto"/>
              </w:rPr>
              <w:t>Discount rate</w:t>
            </w:r>
          </w:p>
        </w:tc>
        <w:tc>
          <w:tcPr>
            <w:tcW w:w="2000" w:type="dxa"/>
            <w:vAlign w:val="bottom"/>
          </w:tcPr>
          <w:p>
            <w:pPr>
              <w:jc w:val="center"/>
              <w:spacing w:after="0"/>
              <w:rPr>
                <w:sz w:val="20"/>
                <w:szCs w:val="20"/>
                <w:color w:val="auto"/>
              </w:rPr>
            </w:pPr>
            <w:r>
              <w:rPr>
                <w:rFonts w:ascii="Arial" w:cs="Arial" w:eastAsia="Arial" w:hAnsi="Arial"/>
                <w:sz w:val="11"/>
                <w:szCs w:val="11"/>
                <w:color w:val="auto"/>
                <w:w w:val="95"/>
              </w:rPr>
              <w:t>6.2% — 9.3% (8.5%)</w:t>
            </w:r>
          </w:p>
        </w:tc>
        <w:tc>
          <w:tcPr>
            <w:tcW w:w="1820" w:type="dxa"/>
            <w:vAlign w:val="bottom"/>
            <w:gridSpan w:val="2"/>
          </w:tcPr>
          <w:p>
            <w:pPr>
              <w:ind w:left="120"/>
              <w:spacing w:after="0"/>
              <w:rPr>
                <w:sz w:val="20"/>
                <w:szCs w:val="20"/>
                <w:color w:val="auto"/>
              </w:rPr>
            </w:pPr>
            <w:r>
              <w:rPr>
                <w:rFonts w:ascii="Arial" w:cs="Arial" w:eastAsia="Arial" w:hAnsi="Arial"/>
                <w:sz w:val="11"/>
                <w:szCs w:val="11"/>
                <w:color w:val="auto"/>
              </w:rPr>
              <w:t>Decrease</w:t>
            </w:r>
          </w:p>
        </w:tc>
      </w:tr>
      <w:tr>
        <w:trPr>
          <w:trHeight w:val="151"/>
        </w:trPr>
        <w:tc>
          <w:tcPr>
            <w:tcW w:w="2760" w:type="dxa"/>
            <w:vAlign w:val="bottom"/>
            <w:shd w:val="clear" w:color="auto" w:fill="CFF0FC"/>
          </w:tcPr>
          <w:p>
            <w:pPr>
              <w:spacing w:after="0"/>
              <w:rPr>
                <w:sz w:val="20"/>
                <w:szCs w:val="20"/>
                <w:color w:val="auto"/>
              </w:rPr>
            </w:pPr>
            <w:r>
              <w:rPr>
                <w:rFonts w:ascii="Arial" w:cs="Arial" w:eastAsia="Arial" w:hAnsi="Arial"/>
                <w:sz w:val="11"/>
                <w:szCs w:val="11"/>
                <w:color w:val="auto"/>
              </w:rPr>
              <w:t>Equity and other investments</w:t>
            </w: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117,233</w:t>
            </w:r>
          </w:p>
        </w:tc>
        <w:tc>
          <w:tcPr>
            <w:tcW w:w="2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line="151" w:lineRule="exact"/>
              <w:rPr>
                <w:sz w:val="20"/>
                <w:szCs w:val="20"/>
                <w:color w:val="auto"/>
              </w:rPr>
            </w:pPr>
            <w:r>
              <w:rPr>
                <w:rFonts w:ascii="Arial" w:cs="Arial" w:eastAsia="Arial" w:hAnsi="Arial"/>
                <w:sz w:val="10"/>
                <w:szCs w:val="10"/>
                <w:color w:val="auto"/>
              </w:rPr>
              <w:t xml:space="preserve">Market Multiple </w:t>
            </w:r>
            <w:r>
              <w:rPr>
                <w:rFonts w:ascii="Arial" w:cs="Arial" w:eastAsia="Arial" w:hAnsi="Arial"/>
                <w:sz w:val="17"/>
                <w:szCs w:val="17"/>
                <w:color w:val="auto"/>
                <w:vertAlign w:val="superscript"/>
              </w:rPr>
              <w:t>(3)</w:t>
            </w:r>
          </w:p>
        </w:tc>
        <w:tc>
          <w:tcPr>
            <w:tcW w:w="1920" w:type="dxa"/>
            <w:vAlign w:val="bottom"/>
            <w:gridSpan w:val="3"/>
            <w:shd w:val="clear" w:color="auto" w:fill="CFF0FC"/>
          </w:tcPr>
          <w:p>
            <w:pPr>
              <w:ind w:left="120"/>
              <w:spacing w:after="0"/>
              <w:rPr>
                <w:sz w:val="20"/>
                <w:szCs w:val="20"/>
                <w:color w:val="auto"/>
              </w:rPr>
            </w:pPr>
            <w:r>
              <w:rPr>
                <w:rFonts w:ascii="Arial" w:cs="Arial" w:eastAsia="Arial" w:hAnsi="Arial"/>
                <w:sz w:val="11"/>
                <w:szCs w:val="11"/>
                <w:color w:val="auto"/>
              </w:rPr>
              <w:t>Comparable multiple</w:t>
            </w:r>
          </w:p>
        </w:tc>
        <w:tc>
          <w:tcPr>
            <w:tcW w:w="200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7"/>
              </w:rPr>
              <w:t>4.5x — 9.5x (6.0x)</w:t>
            </w:r>
          </w:p>
        </w:tc>
        <w:tc>
          <w:tcPr>
            <w:tcW w:w="182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Increase</w:t>
            </w:r>
          </w:p>
        </w:tc>
      </w:tr>
      <w:tr>
        <w:trPr>
          <w:trHeight w:val="149"/>
        </w:trPr>
        <w:tc>
          <w:tcPr>
            <w:tcW w:w="2760" w:type="dxa"/>
            <w:vAlign w:val="bottom"/>
          </w:tcPr>
          <w:p>
            <w:pPr>
              <w:ind w:left="160"/>
              <w:spacing w:after="0"/>
              <w:rPr>
                <w:sz w:val="20"/>
                <w:szCs w:val="20"/>
                <w:color w:val="auto"/>
              </w:rPr>
            </w:pPr>
            <w:r>
              <w:rPr>
                <w:rFonts w:ascii="Arial" w:cs="Arial" w:eastAsia="Arial" w:hAnsi="Arial"/>
                <w:sz w:val="11"/>
                <w:szCs w:val="11"/>
                <w:b w:val="1"/>
                <w:bCs w:val="1"/>
                <w:color w:val="auto"/>
              </w:rPr>
              <w:t>Total</w:t>
            </w: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2,434,638</w:t>
            </w:r>
          </w:p>
        </w:tc>
        <w:tc>
          <w:tcPr>
            <w:tcW w:w="2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r>
    </w:tbl>
    <w:p>
      <w:pPr>
        <w:spacing w:after="0" w:line="171" w:lineRule="exact"/>
        <w:rPr>
          <w:sz w:val="20"/>
          <w:szCs w:val="20"/>
          <w:color w:val="auto"/>
        </w:rPr>
      </w:pPr>
    </w:p>
    <w:p>
      <w:pPr>
        <w:ind w:left="504" w:hanging="504"/>
        <w:spacing w:after="0"/>
        <w:tabs>
          <w:tab w:leader="none" w:pos="504"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$19.0 million of first-lien debt investments which were valued using an asset valuation waterfall.</w:t>
      </w:r>
    </w:p>
    <w:p>
      <w:pPr>
        <w:spacing w:after="0" w:line="30" w:lineRule="exact"/>
        <w:rPr>
          <w:rFonts w:ascii="Arial" w:cs="Arial" w:eastAsia="Arial" w:hAnsi="Arial"/>
          <w:sz w:val="13"/>
          <w:szCs w:val="13"/>
          <w:color w:val="auto"/>
        </w:rPr>
      </w:pPr>
    </w:p>
    <w:p>
      <w:pPr>
        <w:ind w:left="504" w:right="80" w:hanging="504"/>
        <w:spacing w:after="0" w:line="260" w:lineRule="auto"/>
        <w:tabs>
          <w:tab w:leader="none" w:pos="504"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$2.1 million of debt investments which, due to the proximity of the transactions relative to the measurement date, were valued using the cost of the investments and $0.1 million of debt investments which were valued using an asset valuation waterfall.</w:t>
      </w:r>
    </w:p>
    <w:p>
      <w:pPr>
        <w:spacing w:after="0" w:line="6" w:lineRule="exact"/>
        <w:rPr>
          <w:rFonts w:ascii="Arial" w:cs="Arial" w:eastAsia="Arial" w:hAnsi="Arial"/>
          <w:sz w:val="13"/>
          <w:szCs w:val="13"/>
          <w:color w:val="auto"/>
        </w:rPr>
      </w:pPr>
    </w:p>
    <w:p>
      <w:pPr>
        <w:ind w:left="504" w:right="120" w:hanging="504"/>
        <w:spacing w:after="0" w:line="260" w:lineRule="auto"/>
        <w:tabs>
          <w:tab w:leader="none" w:pos="504"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$22.0 million of equity investments which were valued using an asset valuation waterfall, $7.7 million of equity investments using a Black-Scholes model, and $26.2 million of equity investments which, due to the proximity of the transactions relative to the measurement date, were valued using the cost of the investments.</w:t>
      </w:r>
    </w:p>
    <w:p>
      <w:pPr>
        <w:spacing w:after="0" w:line="130" w:lineRule="exact"/>
        <w:rPr>
          <w:sz w:val="20"/>
          <w:szCs w:val="20"/>
          <w:color w:val="auto"/>
        </w:rPr>
      </w:pPr>
    </w:p>
    <w:p>
      <w:pPr>
        <w:ind w:left="4" w:right="80" w:firstLine="256"/>
        <w:spacing w:after="0" w:line="248" w:lineRule="auto"/>
        <w:rPr>
          <w:sz w:val="20"/>
          <w:szCs w:val="20"/>
          <w:color w:val="auto"/>
        </w:rPr>
      </w:pPr>
      <w:r>
        <w:rPr>
          <w:rFonts w:ascii="Arial" w:cs="Arial" w:eastAsia="Arial" w:hAnsi="Arial"/>
          <w:sz w:val="13"/>
          <w:szCs w:val="13"/>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38" w:lineRule="exact"/>
        <w:rPr>
          <w:sz w:val="20"/>
          <w:szCs w:val="20"/>
          <w:color w:val="auto"/>
        </w:rPr>
      </w:pPr>
    </w:p>
    <w:p>
      <w:pPr>
        <w:ind w:left="4" w:right="60" w:firstLine="256"/>
        <w:spacing w:after="0" w:line="308" w:lineRule="auto"/>
        <w:rPr>
          <w:sz w:val="20"/>
          <w:szCs w:val="20"/>
          <w:color w:val="auto"/>
        </w:rPr>
      </w:pPr>
      <w:r>
        <w:rPr>
          <w:rFonts w:ascii="Arial" w:cs="Arial" w:eastAsia="Arial" w:hAnsi="Arial"/>
          <w:sz w:val="11"/>
          <w:szCs w:val="11"/>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Financial Instruments Not Carried at Fair Value</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3"/>
          <w:szCs w:val="13"/>
          <w:color w:val="auto"/>
        </w:rPr>
        <w:t>Debt</w:t>
      </w:r>
    </w:p>
    <w:p>
      <w:pPr>
        <w:spacing w:after="0" w:line="77" w:lineRule="exact"/>
        <w:rPr>
          <w:sz w:val="20"/>
          <w:szCs w:val="20"/>
          <w:color w:val="auto"/>
        </w:rPr>
      </w:pPr>
    </w:p>
    <w:p>
      <w:pPr>
        <w:ind w:left="4" w:right="560" w:firstLine="256"/>
        <w:spacing w:after="0" w:line="260" w:lineRule="auto"/>
        <w:rPr>
          <w:sz w:val="20"/>
          <w:szCs w:val="20"/>
          <w:color w:val="auto"/>
        </w:rPr>
      </w:pPr>
      <w:r>
        <w:rPr>
          <w:rFonts w:ascii="Arial" w:cs="Arial" w:eastAsia="Arial" w:hAnsi="Arial"/>
          <w:sz w:val="13"/>
          <w:szCs w:val="13"/>
          <w:color w:val="auto"/>
        </w:rPr>
        <w:t>The fair value of the Company’s Revolving Credit Facility, which is categorized as Level 3 within the fair value hierarchy, as of March 31, 2022 and December 31, 2021, approximates its carrying value as the outstanding balance is callable at carrying value.</w:t>
      </w:r>
    </w:p>
    <w:p>
      <w:pPr>
        <w:spacing w:after="0" w:line="130" w:lineRule="exact"/>
        <w:rPr>
          <w:sz w:val="20"/>
          <w:szCs w:val="20"/>
          <w:color w:val="auto"/>
        </w:rPr>
      </w:pPr>
    </w:p>
    <w:p>
      <w:pPr>
        <w:ind w:left="264"/>
        <w:spacing w:after="0"/>
        <w:rPr>
          <w:sz w:val="20"/>
          <w:szCs w:val="20"/>
          <w:color w:val="auto"/>
        </w:rPr>
      </w:pPr>
      <w:r>
        <w:rPr>
          <w:rFonts w:ascii="Arial" w:cs="Arial" w:eastAsia="Arial" w:hAnsi="Arial"/>
          <w:sz w:val="13"/>
          <w:szCs w:val="13"/>
          <w:color w:val="auto"/>
        </w:rPr>
        <w:t>The following table presents the fair value of the Company’s 2022 Convertible Notes, 2023 Notes, 2024 Notes and 2026 Notes, as of March 31, 2022 and December 31, 2021.</w:t>
      </w:r>
    </w:p>
    <w:p>
      <w:pPr>
        <w:spacing w:after="0" w:line="204" w:lineRule="exact"/>
        <w:rPr>
          <w:sz w:val="20"/>
          <w:szCs w:val="20"/>
          <w:color w:val="auto"/>
        </w:rPr>
      </w:pPr>
    </w:p>
    <w:tbl>
      <w:tblPr>
        <w:tblLayout w:type="fixed"/>
        <w:tblInd w:w="564" w:type="dxa"/>
        <w:tblCellMar>
          <w:top w:w="0" w:type="dxa"/>
          <w:left w:w="0" w:type="dxa"/>
          <w:bottom w:w="0" w:type="dxa"/>
          <w:right w:w="0" w:type="dxa"/>
        </w:tblCellMar>
      </w:tblPr>
      <w:tr>
        <w:trPr>
          <w:trHeight w:val="119"/>
        </w:trPr>
        <w:tc>
          <w:tcPr>
            <w:tcW w:w="2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rPr>
              <w:t>March 31, 2022</w:t>
            </w: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0"/>
                <w:szCs w:val="10"/>
                <w:b w:val="1"/>
                <w:bCs w:val="1"/>
                <w:color w:val="auto"/>
              </w:rPr>
              <w:t>December 31, 2021</w:t>
            </w: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2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tcPr>
          <w:p>
            <w:pPr>
              <w:jc w:val="right"/>
              <w:ind w:right="362"/>
              <w:spacing w:after="0" w:line="89" w:lineRule="exact"/>
              <w:rPr>
                <w:sz w:val="20"/>
                <w:szCs w:val="20"/>
                <w:color w:val="auto"/>
              </w:rPr>
            </w:pPr>
            <w:r>
              <w:rPr>
                <w:rFonts w:ascii="Arial" w:cs="Arial" w:eastAsia="Arial" w:hAnsi="Arial"/>
                <w:sz w:val="10"/>
                <w:szCs w:val="10"/>
                <w:b w:val="1"/>
                <w:bCs w:val="1"/>
                <w:color w:val="auto"/>
              </w:rPr>
              <w:t>Outstanding</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jc w:val="right"/>
              <w:ind w:right="541"/>
              <w:spacing w:after="0" w:line="89" w:lineRule="exact"/>
              <w:rPr>
                <w:sz w:val="20"/>
                <w:szCs w:val="20"/>
                <w:color w:val="auto"/>
              </w:rPr>
            </w:pPr>
            <w:r>
              <w:rPr>
                <w:rFonts w:ascii="Arial" w:cs="Arial" w:eastAsia="Arial" w:hAnsi="Arial"/>
                <w:sz w:val="10"/>
                <w:szCs w:val="10"/>
                <w:b w:val="1"/>
                <w:bCs w:val="1"/>
                <w:color w:val="auto"/>
              </w:rPr>
              <w:t>Fair</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Outstanding</w:t>
            </w:r>
          </w:p>
        </w:tc>
        <w:tc>
          <w:tcPr>
            <w:tcW w:w="380" w:type="dxa"/>
            <w:vAlign w:val="bottom"/>
          </w:tcPr>
          <w:p>
            <w:pPr>
              <w:spacing w:after="0"/>
              <w:rPr>
                <w:sz w:val="7"/>
                <w:szCs w:val="7"/>
                <w:color w:val="auto"/>
              </w:rPr>
            </w:pPr>
          </w:p>
        </w:tc>
        <w:tc>
          <w:tcPr>
            <w:tcW w:w="1000" w:type="dxa"/>
            <w:vAlign w:val="bottom"/>
          </w:tcPr>
          <w:p>
            <w:pPr>
              <w:jc w:val="right"/>
              <w:ind w:right="541"/>
              <w:spacing w:after="0" w:line="89" w:lineRule="exact"/>
              <w:rPr>
                <w:sz w:val="20"/>
                <w:szCs w:val="20"/>
                <w:color w:val="auto"/>
              </w:rPr>
            </w:pPr>
            <w:r>
              <w:rPr>
                <w:rFonts w:ascii="Arial" w:cs="Arial" w:eastAsia="Arial" w:hAnsi="Arial"/>
                <w:sz w:val="10"/>
                <w:szCs w:val="10"/>
                <w:b w:val="1"/>
                <w:bCs w:val="1"/>
                <w:color w:val="auto"/>
              </w:rPr>
              <w:t>Fair</w:t>
            </w:r>
          </w:p>
        </w:tc>
        <w:tc>
          <w:tcPr>
            <w:tcW w:w="80" w:type="dxa"/>
            <w:vAlign w:val="bottom"/>
          </w:tcPr>
          <w:p>
            <w:pPr>
              <w:spacing w:after="0"/>
              <w:rPr>
                <w:sz w:val="7"/>
                <w:szCs w:val="7"/>
                <w:color w:val="auto"/>
              </w:rPr>
            </w:pPr>
          </w:p>
        </w:tc>
      </w:tr>
      <w:tr>
        <w:trPr>
          <w:trHeight w:val="119"/>
        </w:trPr>
        <w:tc>
          <w:tcPr>
            <w:tcW w:w="280" w:type="dxa"/>
            <w:vAlign w:val="bottom"/>
            <w:tcBorders>
              <w:bottom w:val="single" w:sz="8" w:color="CFF0FC"/>
            </w:tcBorders>
          </w:tcPr>
          <w:p>
            <w:pPr>
              <w:spacing w:after="0"/>
              <w:rPr>
                <w:sz w:val="10"/>
                <w:szCs w:val="10"/>
                <w:color w:val="auto"/>
              </w:rPr>
            </w:pPr>
          </w:p>
        </w:tc>
        <w:tc>
          <w:tcPr>
            <w:tcW w:w="2220" w:type="dxa"/>
            <w:vAlign w:val="bottom"/>
            <w:tcBorders>
              <w:bottom w:val="single" w:sz="8" w:color="CFF0FC"/>
            </w:tcBorders>
          </w:tcPr>
          <w:p>
            <w:pPr>
              <w:spacing w:after="0"/>
              <w:rPr>
                <w:sz w:val="10"/>
                <w:szCs w:val="10"/>
                <w:color w:val="auto"/>
              </w:rPr>
            </w:pPr>
          </w:p>
        </w:tc>
        <w:tc>
          <w:tcPr>
            <w:tcW w:w="130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Principal</w:t>
            </w:r>
          </w:p>
        </w:tc>
        <w:tc>
          <w:tcPr>
            <w:tcW w:w="280" w:type="dxa"/>
            <w:vAlign w:val="bottom"/>
            <w:tcBorders>
              <w:bottom w:val="single" w:sz="8" w:color="CFF0FC"/>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8"/>
                <w:szCs w:val="8"/>
                <w:b w:val="1"/>
                <w:bCs w:val="1"/>
                <w:color w:val="auto"/>
              </w:rPr>
              <w:t>(1)</w:t>
            </w:r>
          </w:p>
        </w:tc>
        <w:tc>
          <w:tcPr>
            <w:tcW w:w="80" w:type="dxa"/>
            <w:vAlign w:val="bottom"/>
            <w:tcBorders>
              <w:bottom w:val="single" w:sz="8" w:color="CFF0FC"/>
            </w:tcBorders>
          </w:tcPr>
          <w:p>
            <w:pPr>
              <w:spacing w:after="0"/>
              <w:rPr>
                <w:sz w:val="10"/>
                <w:szCs w:val="10"/>
                <w:color w:val="auto"/>
              </w:rPr>
            </w:pPr>
          </w:p>
        </w:tc>
        <w:tc>
          <w:tcPr>
            <w:tcW w:w="180" w:type="dxa"/>
            <w:vAlign w:val="bottom"/>
            <w:tcBorders>
              <w:bottom w:val="single" w:sz="8" w:color="CFF0FC"/>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Principal</w:t>
            </w:r>
          </w:p>
        </w:tc>
        <w:tc>
          <w:tcPr>
            <w:tcW w:w="280" w:type="dxa"/>
            <w:vAlign w:val="bottom"/>
            <w:tcBorders>
              <w:bottom w:val="single" w:sz="8" w:color="CFF0FC"/>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8"/>
                <w:szCs w:val="8"/>
                <w:b w:val="1"/>
                <w:bCs w:val="1"/>
                <w:color w:val="auto"/>
              </w:rPr>
              <w:t>(1)</w:t>
            </w:r>
          </w:p>
        </w:tc>
        <w:tc>
          <w:tcPr>
            <w:tcW w:w="80" w:type="dxa"/>
            <w:vAlign w:val="bottom"/>
            <w:tcBorders>
              <w:bottom w:val="single" w:sz="8" w:color="CFF0FC"/>
            </w:tcBorders>
          </w:tcPr>
          <w:p>
            <w:pPr>
              <w:spacing w:after="0"/>
              <w:rPr>
                <w:sz w:val="10"/>
                <w:szCs w:val="10"/>
                <w:color w:val="auto"/>
              </w:rPr>
            </w:pPr>
          </w:p>
        </w:tc>
      </w:tr>
      <w:tr>
        <w:trPr>
          <w:trHeight w:val="150"/>
        </w:trPr>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2022</w:t>
            </w:r>
          </w:p>
        </w:tc>
        <w:tc>
          <w:tcPr>
            <w:tcW w:w="2220" w:type="dxa"/>
            <w:vAlign w:val="bottom"/>
            <w:shd w:val="clear" w:color="auto" w:fill="CFF0FC"/>
          </w:tcPr>
          <w:p>
            <w:pPr>
              <w:spacing w:after="0"/>
              <w:rPr>
                <w:sz w:val="20"/>
                <w:szCs w:val="20"/>
                <w:color w:val="auto"/>
              </w:rPr>
            </w:pPr>
            <w:r>
              <w:rPr>
                <w:rFonts w:ascii="Arial" w:cs="Arial" w:eastAsia="Arial" w:hAnsi="Arial"/>
                <w:sz w:val="13"/>
                <w:szCs w:val="13"/>
                <w:color w:val="auto"/>
              </w:rPr>
              <w:t>Convertible Notes</w:t>
            </w:r>
          </w:p>
        </w:tc>
        <w:tc>
          <w:tcPr>
            <w:tcW w:w="1540" w:type="dxa"/>
            <w:vAlign w:val="bottom"/>
            <w:gridSpan w:val="2"/>
            <w:shd w:val="clear" w:color="auto" w:fill="CFF0FC"/>
          </w:tcPr>
          <w:p>
            <w:pPr>
              <w:jc w:val="right"/>
              <w:ind w:right="13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99,990</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124,455</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99,990</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73"/>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121,710</w:t>
            </w:r>
          </w:p>
        </w:tc>
        <w:tc>
          <w:tcPr>
            <w:tcW w:w="80" w:type="dxa"/>
            <w:vAlign w:val="bottom"/>
            <w:shd w:val="clear" w:color="auto" w:fill="CFF0FC"/>
          </w:tcPr>
          <w:p>
            <w:pPr>
              <w:spacing w:after="0"/>
              <w:rPr>
                <w:sz w:val="13"/>
                <w:szCs w:val="13"/>
                <w:color w:val="auto"/>
              </w:rPr>
            </w:pPr>
          </w:p>
        </w:tc>
      </w:tr>
      <w:tr>
        <w:trPr>
          <w:trHeight w:val="161"/>
        </w:trPr>
        <w:tc>
          <w:tcPr>
            <w:tcW w:w="280" w:type="dxa"/>
            <w:vAlign w:val="bottom"/>
          </w:tcPr>
          <w:p>
            <w:pPr>
              <w:jc w:val="right"/>
              <w:spacing w:after="0"/>
              <w:rPr>
                <w:sz w:val="20"/>
                <w:szCs w:val="20"/>
                <w:color w:val="auto"/>
              </w:rPr>
            </w:pPr>
            <w:r>
              <w:rPr>
                <w:rFonts w:ascii="Arial" w:cs="Arial" w:eastAsia="Arial" w:hAnsi="Arial"/>
                <w:sz w:val="13"/>
                <w:szCs w:val="13"/>
                <w:color w:val="auto"/>
                <w:w w:val="82"/>
              </w:rPr>
              <w:t>2023</w:t>
            </w:r>
          </w:p>
        </w:tc>
        <w:tc>
          <w:tcPr>
            <w:tcW w:w="2220" w:type="dxa"/>
            <w:vAlign w:val="bottom"/>
          </w:tcPr>
          <w:p>
            <w:pPr>
              <w:spacing w:after="0"/>
              <w:rPr>
                <w:sz w:val="20"/>
                <w:szCs w:val="20"/>
                <w:color w:val="auto"/>
              </w:rPr>
            </w:pPr>
            <w:r>
              <w:rPr>
                <w:rFonts w:ascii="Arial" w:cs="Arial" w:eastAsia="Arial" w:hAnsi="Arial"/>
                <w:sz w:val="13"/>
                <w:szCs w:val="13"/>
                <w:color w:val="auto"/>
              </w:rPr>
              <w:t>Notes</w:t>
            </w: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150,000</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152,332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150,000</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153,953</w:t>
            </w:r>
          </w:p>
        </w:tc>
        <w:tc>
          <w:tcPr>
            <w:tcW w:w="80" w:type="dxa"/>
            <w:vAlign w:val="bottom"/>
          </w:tcPr>
          <w:p>
            <w:pPr>
              <w:spacing w:after="0"/>
              <w:rPr>
                <w:sz w:val="13"/>
                <w:szCs w:val="13"/>
                <w:color w:val="auto"/>
              </w:rPr>
            </w:pPr>
          </w:p>
        </w:tc>
      </w:tr>
      <w:tr>
        <w:trPr>
          <w:trHeight w:val="161"/>
        </w:trPr>
        <w:tc>
          <w:tcPr>
            <w:tcW w:w="2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2024</w:t>
            </w:r>
          </w:p>
        </w:tc>
        <w:tc>
          <w:tcPr>
            <w:tcW w:w="222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347,500</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348,299</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347,500</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362,703</w:t>
            </w:r>
          </w:p>
        </w:tc>
        <w:tc>
          <w:tcPr>
            <w:tcW w:w="80" w:type="dxa"/>
            <w:vAlign w:val="bottom"/>
            <w:shd w:val="clear" w:color="auto" w:fill="CFF0FC"/>
          </w:tcPr>
          <w:p>
            <w:pPr>
              <w:spacing w:after="0"/>
              <w:rPr>
                <w:sz w:val="13"/>
                <w:szCs w:val="13"/>
                <w:color w:val="auto"/>
              </w:rPr>
            </w:pPr>
          </w:p>
        </w:tc>
      </w:tr>
      <w:tr>
        <w:trPr>
          <w:trHeight w:val="161"/>
        </w:trPr>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3"/>
                <w:szCs w:val="13"/>
                <w:color w:val="auto"/>
                <w:w w:val="82"/>
              </w:rPr>
              <w:t>2026</w:t>
            </w:r>
          </w:p>
        </w:tc>
        <w:tc>
          <w:tcPr>
            <w:tcW w:w="22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Notes</w:t>
            </w:r>
          </w:p>
        </w:tc>
        <w:tc>
          <w:tcPr>
            <w:tcW w:w="1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300,000</w:t>
            </w:r>
          </w:p>
        </w:tc>
        <w:tc>
          <w:tcPr>
            <w:tcW w:w="2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276,150</w:t>
            </w: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300,000</w:t>
            </w:r>
          </w:p>
        </w:tc>
        <w:tc>
          <w:tcPr>
            <w:tcW w:w="2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296,520</w:t>
            </w:r>
          </w:p>
        </w:tc>
        <w:tc>
          <w:tcPr>
            <w:tcW w:w="80" w:type="dxa"/>
            <w:vAlign w:val="bottom"/>
            <w:tcBorders>
              <w:bottom w:val="single" w:sz="8" w:color="CFF0FC"/>
            </w:tcBorders>
          </w:tcPr>
          <w:p>
            <w:pPr>
              <w:spacing w:after="0"/>
              <w:rPr>
                <w:sz w:val="13"/>
                <w:szCs w:val="13"/>
                <w:color w:val="auto"/>
              </w:rPr>
            </w:pPr>
          </w:p>
        </w:tc>
      </w:tr>
      <w:tr>
        <w:trPr>
          <w:trHeight w:val="150"/>
        </w:trPr>
        <w:tc>
          <w:tcPr>
            <w:tcW w:w="2500" w:type="dxa"/>
            <w:vAlign w:val="bottom"/>
            <w:gridSpan w:val="2"/>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3"/>
              <w:spacing w:after="0"/>
              <w:rPr>
                <w:sz w:val="20"/>
                <w:szCs w:val="20"/>
                <w:color w:val="auto"/>
              </w:rPr>
            </w:pPr>
            <w:r>
              <w:rPr>
                <w:rFonts w:ascii="Arial" w:cs="Arial" w:eastAsia="Arial" w:hAnsi="Arial"/>
                <w:sz w:val="9"/>
                <w:szCs w:val="9"/>
                <w:color w:val="auto"/>
                <w:w w:val="78"/>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897,490</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901,236</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897,490</w:t>
            </w:r>
          </w:p>
        </w:tc>
        <w:tc>
          <w:tcPr>
            <w:tcW w:w="28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273"/>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934,886</w:t>
            </w:r>
          </w:p>
        </w:tc>
        <w:tc>
          <w:tcPr>
            <w:tcW w:w="80" w:type="dxa"/>
            <w:vAlign w:val="bottom"/>
            <w:shd w:val="clear" w:color="auto" w:fill="CFF0FC"/>
          </w:tcPr>
          <w:p>
            <w:pPr>
              <w:spacing w:after="0"/>
              <w:rPr>
                <w:sz w:val="13"/>
                <w:szCs w:val="13"/>
                <w:color w:val="auto"/>
              </w:rPr>
            </w:pPr>
          </w:p>
        </w:tc>
      </w:tr>
      <w:tr>
        <w:trPr>
          <w:trHeight w:val="28"/>
        </w:trPr>
        <w:tc>
          <w:tcPr>
            <w:tcW w:w="280" w:type="dxa"/>
            <w:vAlign w:val="bottom"/>
            <w:shd w:val="clear" w:color="auto" w:fill="CFF0FC"/>
          </w:tcPr>
          <w:p>
            <w:pPr>
              <w:spacing w:after="0"/>
              <w:rPr>
                <w:sz w:val="2"/>
                <w:szCs w:val="2"/>
                <w:color w:val="auto"/>
              </w:rPr>
            </w:pPr>
          </w:p>
        </w:tc>
        <w:tc>
          <w:tcPr>
            <w:tcW w:w="22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142" w:lineRule="exact"/>
        <w:rPr>
          <w:sz w:val="20"/>
          <w:szCs w:val="20"/>
          <w:color w:val="auto"/>
        </w:rPr>
      </w:pPr>
    </w:p>
    <w:p>
      <w:pPr>
        <w:ind w:left="5584" w:right="4260" w:hanging="5329"/>
        <w:spacing w:after="0" w:line="502" w:lineRule="auto"/>
        <w:tabs>
          <w:tab w:leader="none" w:pos="623"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fair value is based on broker quotes received by the Company and is categorized as Level 2 within the fair value hierarchy.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21106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484" w:right="299" w:bottom="1440" w:gutter="0" w:footer="0" w:header="0"/>
        </w:sectPr>
      </w:pPr>
    </w:p>
    <w:bookmarkStart w:id="35" w:name="page36"/>
    <w:bookmarkEnd w:id="35"/>
    <w:p>
      <w:pPr>
        <w:ind w:left="4"/>
        <w:spacing w:after="0"/>
        <w:rPr>
          <w:sz w:val="20"/>
          <w:szCs w:val="20"/>
          <w:color w:val="auto"/>
        </w:rPr>
      </w:pPr>
      <w:r>
        <w:rPr>
          <w:rFonts w:ascii="Arial" w:cs="Arial" w:eastAsia="Arial" w:hAnsi="Arial"/>
          <w:sz w:val="13"/>
          <w:szCs w:val="13"/>
          <w:color w:val="auto"/>
        </w:rPr>
        <w:t>Other Financial Assets and Liabilities</w:t>
      </w:r>
    </w:p>
    <w:p>
      <w:pPr>
        <w:spacing w:after="0" w:line="77" w:lineRule="exact"/>
        <w:rPr>
          <w:sz w:val="20"/>
          <w:szCs w:val="20"/>
          <w:color w:val="auto"/>
        </w:rPr>
      </w:pPr>
    </w:p>
    <w:p>
      <w:pPr>
        <w:ind w:left="4" w:right="160" w:firstLine="256"/>
        <w:spacing w:after="0" w:line="251" w:lineRule="auto"/>
        <w:rPr>
          <w:sz w:val="20"/>
          <w:szCs w:val="20"/>
          <w:color w:val="auto"/>
        </w:rPr>
      </w:pPr>
      <w:r>
        <w:rPr>
          <w:rFonts w:ascii="Arial" w:cs="Arial" w:eastAsia="Arial" w:hAnsi="Arial"/>
          <w:sz w:val="13"/>
          <w:szCs w:val="13"/>
          <w:color w:val="auto"/>
        </w:rPr>
        <w:t>The carrying amounts of the Company’s assets and liabilities, other than investments at fair value and the 2022 Convertible Notes,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64"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7. Debt</w:t>
      </w:r>
    </w:p>
    <w:p>
      <w:pPr>
        <w:spacing w:after="0" w:line="81" w:lineRule="exact"/>
        <w:rPr>
          <w:sz w:val="20"/>
          <w:szCs w:val="20"/>
          <w:color w:val="auto"/>
        </w:rPr>
      </w:pPr>
    </w:p>
    <w:p>
      <w:pPr>
        <w:ind w:left="4" w:firstLine="256"/>
        <w:spacing w:after="0" w:line="260" w:lineRule="auto"/>
        <w:rPr>
          <w:sz w:val="20"/>
          <w:szCs w:val="20"/>
          <w:color w:val="auto"/>
        </w:rPr>
      </w:pPr>
      <w:r>
        <w:rPr>
          <w:rFonts w:ascii="Arial" w:cs="Arial" w:eastAsia="Arial" w:hAnsi="Arial"/>
          <w:sz w:val="13"/>
          <w:szCs w:val="13"/>
          <w:color w:val="auto"/>
        </w:rPr>
        <w:t>In accordance with the 1940 Act, with certain limitations, the Company is allowed to borrow amounts such that its asset coverage, as defined in the 1940 Act, is at least 150% after such borrowing. As of March 31, 2022 and December 31, 2021, the Company’s asset coverage was 209.6% and 205.4%, respectively.</w:t>
      </w:r>
    </w:p>
    <w:p>
      <w:pPr>
        <w:spacing w:after="0" w:line="130" w:lineRule="exact"/>
        <w:rPr>
          <w:sz w:val="20"/>
          <w:szCs w:val="20"/>
          <w:color w:val="auto"/>
        </w:rPr>
      </w:pPr>
    </w:p>
    <w:p>
      <w:pPr>
        <w:ind w:left="264"/>
        <w:spacing w:after="0"/>
        <w:rPr>
          <w:sz w:val="20"/>
          <w:szCs w:val="20"/>
          <w:color w:val="auto"/>
        </w:rPr>
      </w:pPr>
      <w:r>
        <w:rPr>
          <w:rFonts w:ascii="Arial" w:cs="Arial" w:eastAsia="Arial" w:hAnsi="Arial"/>
          <w:sz w:val="13"/>
          <w:szCs w:val="13"/>
          <w:color w:val="auto"/>
        </w:rPr>
        <w:t>Debt obligations consisted of the following as of March 31, 2022 and December 31, 2021:</w:t>
      </w:r>
    </w:p>
    <w:p>
      <w:pPr>
        <w:spacing w:after="0" w:line="204" w:lineRule="exact"/>
        <w:rPr>
          <w:sz w:val="20"/>
          <w:szCs w:val="20"/>
          <w:color w:val="auto"/>
        </w:rPr>
      </w:pPr>
    </w:p>
    <w:tbl>
      <w:tblPr>
        <w:tblLayout w:type="fixed"/>
        <w:tblInd w:w="564" w:type="dxa"/>
        <w:tblCellMar>
          <w:top w:w="0" w:type="dxa"/>
          <w:left w:w="0" w:type="dxa"/>
          <w:bottom w:w="0" w:type="dxa"/>
          <w:right w:w="0" w:type="dxa"/>
        </w:tblCellMar>
      </w:tblPr>
      <w:tr>
        <w:trPr>
          <w:trHeight w:val="119"/>
        </w:trPr>
        <w:tc>
          <w:tcPr>
            <w:tcW w:w="2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March 31, 2022</w:t>
            </w: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8"/>
        </w:trPr>
        <w:tc>
          <w:tcPr>
            <w:tcW w:w="2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jc w:val="center"/>
              <w:ind w:right="122"/>
              <w:spacing w:after="0" w:line="89" w:lineRule="exact"/>
              <w:rPr>
                <w:sz w:val="20"/>
                <w:szCs w:val="20"/>
                <w:color w:val="auto"/>
              </w:rPr>
            </w:pPr>
            <w:r>
              <w:rPr>
                <w:rFonts w:ascii="Arial" w:cs="Arial" w:eastAsia="Arial" w:hAnsi="Arial"/>
                <w:sz w:val="10"/>
                <w:szCs w:val="10"/>
                <w:b w:val="1"/>
                <w:bCs w:val="1"/>
                <w:color w:val="auto"/>
                <w:w w:val="88"/>
              </w:rPr>
              <w:t>Aggregate</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4"/>
        </w:trPr>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122"/>
              <w:spacing w:after="0" w:line="104" w:lineRule="exact"/>
              <w:rPr>
                <w:sz w:val="20"/>
                <w:szCs w:val="20"/>
                <w:color w:val="auto"/>
              </w:rPr>
            </w:pPr>
            <w:r>
              <w:rPr>
                <w:rFonts w:ascii="Arial" w:cs="Arial" w:eastAsia="Arial" w:hAnsi="Arial"/>
                <w:sz w:val="10"/>
                <w:szCs w:val="10"/>
                <w:b w:val="1"/>
                <w:bCs w:val="1"/>
                <w:color w:val="auto"/>
                <w:w w:val="94"/>
              </w:rPr>
              <w:t>Principal</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4"/>
        </w:trPr>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122"/>
              <w:spacing w:after="0" w:line="104" w:lineRule="exact"/>
              <w:rPr>
                <w:sz w:val="20"/>
                <w:szCs w:val="20"/>
                <w:color w:val="auto"/>
              </w:rPr>
            </w:pPr>
            <w:r>
              <w:rPr>
                <w:rFonts w:ascii="Arial" w:cs="Arial" w:eastAsia="Arial" w:hAnsi="Arial"/>
                <w:sz w:val="10"/>
                <w:szCs w:val="10"/>
                <w:b w:val="1"/>
                <w:bCs w:val="1"/>
                <w:color w:val="auto"/>
                <w:w w:val="95"/>
              </w:rPr>
              <w:t>Amount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ind w:left="80"/>
              <w:spacing w:after="0" w:line="104" w:lineRule="exact"/>
              <w:rPr>
                <w:sz w:val="20"/>
                <w:szCs w:val="20"/>
                <w:color w:val="auto"/>
              </w:rPr>
            </w:pPr>
            <w:r>
              <w:rPr>
                <w:rFonts w:ascii="Arial" w:cs="Arial" w:eastAsia="Arial" w:hAnsi="Arial"/>
                <w:sz w:val="10"/>
                <w:szCs w:val="10"/>
                <w:b w:val="1"/>
                <w:bCs w:val="1"/>
                <w:color w:val="auto"/>
              </w:rPr>
              <w:t>Outstanding</w:t>
            </w:r>
          </w:p>
        </w:tc>
        <w:tc>
          <w:tcPr>
            <w:tcW w:w="300" w:type="dxa"/>
            <w:vAlign w:val="bottom"/>
          </w:tcPr>
          <w:p>
            <w:pPr>
              <w:spacing w:after="0"/>
              <w:rPr>
                <w:sz w:val="9"/>
                <w:szCs w:val="9"/>
                <w:color w:val="auto"/>
              </w:rPr>
            </w:pPr>
          </w:p>
        </w:tc>
        <w:tc>
          <w:tcPr>
            <w:tcW w:w="1060" w:type="dxa"/>
            <w:vAlign w:val="bottom"/>
            <w:gridSpan w:val="2"/>
          </w:tcPr>
          <w:p>
            <w:pPr>
              <w:ind w:left="80"/>
              <w:spacing w:after="0" w:line="104"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9"/>
                <w:szCs w:val="9"/>
                <w:color w:val="auto"/>
              </w:rPr>
            </w:pPr>
          </w:p>
        </w:tc>
        <w:tc>
          <w:tcPr>
            <w:tcW w:w="960" w:type="dxa"/>
            <w:vAlign w:val="bottom"/>
            <w:gridSpan w:val="2"/>
          </w:tcPr>
          <w:p>
            <w:pPr>
              <w:ind w:left="140"/>
              <w:spacing w:after="0" w:line="104" w:lineRule="exact"/>
              <w:rPr>
                <w:sz w:val="20"/>
                <w:szCs w:val="20"/>
                <w:color w:val="auto"/>
              </w:rPr>
            </w:pPr>
            <w:r>
              <w:rPr>
                <w:rFonts w:ascii="Arial" w:cs="Arial" w:eastAsia="Arial" w:hAnsi="Arial"/>
                <w:sz w:val="10"/>
                <w:szCs w:val="10"/>
                <w:b w:val="1"/>
                <w:bCs w:val="1"/>
                <w:color w:val="auto"/>
              </w:rPr>
              <w:t>Carrying</w:t>
            </w:r>
          </w:p>
        </w:tc>
      </w:tr>
      <w:tr>
        <w:trPr>
          <w:trHeight w:val="119"/>
        </w:trPr>
        <w:tc>
          <w:tcPr>
            <w:tcW w:w="280" w:type="dxa"/>
            <w:vAlign w:val="bottom"/>
            <w:tcBorders>
              <w:bottom w:val="single" w:sz="8" w:color="CFF0FC"/>
            </w:tcBorders>
          </w:tcPr>
          <w:p>
            <w:pPr>
              <w:spacing w:after="0"/>
              <w:rPr>
                <w:sz w:val="10"/>
                <w:szCs w:val="10"/>
                <w:color w:val="auto"/>
              </w:rPr>
            </w:pPr>
          </w:p>
        </w:tc>
        <w:tc>
          <w:tcPr>
            <w:tcW w:w="2980" w:type="dxa"/>
            <w:vAlign w:val="bottom"/>
            <w:tcBorders>
              <w:bottom w:val="single" w:sz="8" w:color="CFF0FC"/>
            </w:tcBorders>
          </w:tcPr>
          <w:p>
            <w:pPr>
              <w:spacing w:after="0"/>
              <w:rPr>
                <w:sz w:val="10"/>
                <w:szCs w:val="10"/>
                <w:color w:val="auto"/>
              </w:rPr>
            </w:pPr>
          </w:p>
        </w:tc>
        <w:tc>
          <w:tcPr>
            <w:tcW w:w="19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91"/>
              </w:rPr>
              <w:t>Committed</w:t>
            </w:r>
          </w:p>
        </w:tc>
        <w:tc>
          <w:tcPr>
            <w:tcW w:w="22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Principal</w:t>
            </w:r>
          </w:p>
        </w:tc>
        <w:tc>
          <w:tcPr>
            <w:tcW w:w="200" w:type="dxa"/>
            <w:vAlign w:val="bottom"/>
            <w:tcBorders>
              <w:bottom w:val="single" w:sz="8" w:color="CFF0FC"/>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w w:val="88"/>
              </w:rPr>
              <w:t xml:space="preserve">Available </w:t>
            </w:r>
            <w:r>
              <w:rPr>
                <w:rFonts w:ascii="Arial" w:cs="Arial" w:eastAsia="Arial" w:hAnsi="Arial"/>
                <w:sz w:val="8"/>
                <w:szCs w:val="8"/>
                <w:b w:val="1"/>
                <w:bCs w:val="1"/>
                <w:color w:val="auto"/>
                <w:w w:val="88"/>
              </w:rPr>
              <w:t>(1)</w:t>
            </w:r>
          </w:p>
        </w:tc>
        <w:tc>
          <w:tcPr>
            <w:tcW w:w="22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8"/>
                <w:szCs w:val="8"/>
                <w:b w:val="1"/>
                <w:bCs w:val="1"/>
                <w:color w:val="auto"/>
              </w:rPr>
              <w:t>(2)(3)</w:t>
            </w:r>
          </w:p>
        </w:tc>
        <w:tc>
          <w:tcPr>
            <w:tcW w:w="100" w:type="dxa"/>
            <w:vAlign w:val="bottom"/>
            <w:tcBorders>
              <w:bottom w:val="single" w:sz="8" w:color="CFF0FC"/>
            </w:tcBorders>
          </w:tcPr>
          <w:p>
            <w:pPr>
              <w:spacing w:after="0"/>
              <w:rPr>
                <w:sz w:val="10"/>
                <w:szCs w:val="10"/>
                <w:color w:val="auto"/>
              </w:rPr>
            </w:pPr>
          </w:p>
        </w:tc>
      </w:tr>
      <w:tr>
        <w:trPr>
          <w:trHeight w:val="150"/>
        </w:trPr>
        <w:tc>
          <w:tcPr>
            <w:tcW w:w="32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Revolving Credit Facility</w:t>
            </w:r>
          </w:p>
        </w:tc>
        <w:tc>
          <w:tcPr>
            <w:tcW w:w="2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1,510,000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277,262</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1,232,738</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266,090</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980" w:type="dxa"/>
            <w:vAlign w:val="bottom"/>
          </w:tcPr>
          <w:p>
            <w:pPr>
              <w:spacing w:after="0"/>
              <w:rPr>
                <w:sz w:val="20"/>
                <w:szCs w:val="20"/>
                <w:color w:val="auto"/>
              </w:rPr>
            </w:pPr>
            <w:r>
              <w:rPr>
                <w:rFonts w:ascii="Arial" w:cs="Arial" w:eastAsia="Arial" w:hAnsi="Arial"/>
                <w:sz w:val="13"/>
                <w:szCs w:val="13"/>
                <w:color w:val="auto"/>
              </w:rPr>
              <w:t>Convertible Notes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99,990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99,990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99,807</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2023</w:t>
            </w:r>
          </w:p>
        </w:tc>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149,468</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2024</w:t>
            </w:r>
          </w:p>
        </w:tc>
        <w:tc>
          <w:tcPr>
            <w:tcW w:w="2980" w:type="dxa"/>
            <w:vAlign w:val="bottom"/>
          </w:tcPr>
          <w:p>
            <w:pPr>
              <w:spacing w:after="0"/>
              <w:rPr>
                <w:sz w:val="20"/>
                <w:szCs w:val="20"/>
                <w:color w:val="auto"/>
              </w:rPr>
            </w:pPr>
            <w:r>
              <w:rPr>
                <w:rFonts w:ascii="Arial" w:cs="Arial" w:eastAsia="Arial" w:hAnsi="Arial"/>
                <w:sz w:val="13"/>
                <w:szCs w:val="13"/>
                <w:color w:val="auto"/>
              </w:rPr>
              <w:t>Notes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347,500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347,500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335,046</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2026</w:t>
            </w:r>
          </w:p>
        </w:tc>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9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0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270,779</w:t>
            </w:r>
          </w:p>
        </w:tc>
        <w:tc>
          <w:tcPr>
            <w:tcW w:w="100" w:type="dxa"/>
            <w:vAlign w:val="bottom"/>
            <w:shd w:val="clear" w:color="auto" w:fill="CFF0FC"/>
          </w:tcPr>
          <w:p>
            <w:pPr>
              <w:spacing w:after="0"/>
              <w:rPr>
                <w:sz w:val="13"/>
                <w:szCs w:val="13"/>
                <w:color w:val="auto"/>
              </w:rPr>
            </w:pPr>
          </w:p>
        </w:tc>
      </w:tr>
      <w:tr>
        <w:trPr>
          <w:trHeight w:val="150"/>
        </w:trPr>
        <w:tc>
          <w:tcPr>
            <w:tcW w:w="32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Debt</w:t>
            </w:r>
          </w:p>
        </w:tc>
        <w:tc>
          <w:tcPr>
            <w:tcW w:w="2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2,407,490</w:t>
            </w:r>
          </w:p>
        </w:tc>
        <w:tc>
          <w:tcPr>
            <w:tcW w:w="3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1,174,752</w:t>
            </w:r>
          </w:p>
        </w:tc>
        <w:tc>
          <w:tcPr>
            <w:tcW w:w="200" w:type="dxa"/>
            <w:vAlign w:val="bottom"/>
          </w:tcPr>
          <w:p>
            <w:pPr>
              <w:spacing w:after="0"/>
              <w:rPr>
                <w:sz w:val="13"/>
                <w:szCs w:val="13"/>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1,232,738</w:t>
            </w:r>
          </w:p>
        </w:tc>
        <w:tc>
          <w:tcPr>
            <w:tcW w:w="22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1,121,190</w:t>
            </w:r>
          </w:p>
        </w:tc>
        <w:tc>
          <w:tcPr>
            <w:tcW w:w="100" w:type="dxa"/>
            <w:vAlign w:val="bottom"/>
          </w:tcPr>
          <w:p>
            <w:pPr>
              <w:spacing w:after="0"/>
              <w:rPr>
                <w:sz w:val="13"/>
                <w:szCs w:val="13"/>
                <w:color w:val="auto"/>
              </w:rPr>
            </w:pPr>
          </w:p>
        </w:tc>
      </w:tr>
      <w:tr>
        <w:trPr>
          <w:trHeight w:val="28"/>
        </w:trPr>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1" w:lineRule="exact"/>
        <w:rPr>
          <w:sz w:val="20"/>
          <w:szCs w:val="20"/>
          <w:color w:val="auto"/>
        </w:rPr>
      </w:pPr>
    </w:p>
    <w:p>
      <w:pPr>
        <w:ind w:left="504" w:hanging="504"/>
        <w:spacing w:after="0"/>
        <w:tabs>
          <w:tab w:leader="none" w:pos="504"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amount available may be subject to limitations related to the borrowing base under the Revolving Credit Facility and asset coverage requirements.</w:t>
      </w:r>
    </w:p>
    <w:p>
      <w:pPr>
        <w:spacing w:after="0" w:line="10" w:lineRule="exact"/>
        <w:rPr>
          <w:rFonts w:ascii="Arial" w:cs="Arial" w:eastAsia="Arial" w:hAnsi="Arial"/>
          <w:sz w:val="13"/>
          <w:szCs w:val="13"/>
          <w:color w:val="auto"/>
        </w:rPr>
      </w:pPr>
    </w:p>
    <w:p>
      <w:pPr>
        <w:ind w:left="504" w:right="100" w:hanging="504"/>
        <w:spacing w:after="0" w:line="242" w:lineRule="auto"/>
        <w:tabs>
          <w:tab w:leader="none" w:pos="504"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carrying values of the Revolving Credit Facility, 2022 Convertible Notes, 2023 Notes, 2024 Notes and 2026 Notes are presented net of the combination of deferred financing costs and original issue discounts totaling $11.2 million, $0.2 million, $0.5 million, $3.6 million and $5.0 million, respectively.</w:t>
      </w:r>
    </w:p>
    <w:p>
      <w:pPr>
        <w:spacing w:after="0" w:line="1" w:lineRule="exact"/>
        <w:rPr>
          <w:rFonts w:ascii="Arial" w:cs="Arial" w:eastAsia="Arial" w:hAnsi="Arial"/>
          <w:sz w:val="13"/>
          <w:szCs w:val="13"/>
          <w:color w:val="auto"/>
        </w:rPr>
      </w:pPr>
    </w:p>
    <w:p>
      <w:pPr>
        <w:ind w:left="504" w:right="140" w:hanging="504"/>
        <w:spacing w:after="0" w:line="245" w:lineRule="auto"/>
        <w:tabs>
          <w:tab w:leader="none" w:pos="504"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carrying values of the 2024 Notes and 2026 Notes are presented inclusive of an incremental ($8.8) million and ($24.2) million, respectively, which represents an adjustment in the carrying values of the 2024 Notes and 2026 Notes, each resulting from a hedge accounting relationship.</w:t>
      </w:r>
    </w:p>
    <w:p>
      <w:pPr>
        <w:spacing w:after="0" w:line="171" w:lineRule="exact"/>
        <w:rPr>
          <w:sz w:val="20"/>
          <w:szCs w:val="20"/>
          <w:color w:val="auto"/>
        </w:rPr>
      </w:pPr>
    </w:p>
    <w:tbl>
      <w:tblPr>
        <w:tblLayout w:type="fixed"/>
        <w:tblInd w:w="564" w:type="dxa"/>
        <w:tblCellMar>
          <w:top w:w="0" w:type="dxa"/>
          <w:left w:w="0" w:type="dxa"/>
          <w:bottom w:w="0" w:type="dxa"/>
          <w:right w:w="0" w:type="dxa"/>
        </w:tblCellMar>
      </w:tblPr>
      <w:tr>
        <w:trPr>
          <w:trHeight w:val="119"/>
        </w:trPr>
        <w:tc>
          <w:tcPr>
            <w:tcW w:w="2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gridSpan w:val="7"/>
          </w:tcPr>
          <w:p>
            <w:pPr>
              <w:ind w:left="620"/>
              <w:spacing w:after="0"/>
              <w:rPr>
                <w:sz w:val="20"/>
                <w:szCs w:val="20"/>
                <w:color w:val="auto"/>
              </w:rPr>
            </w:pPr>
            <w:r>
              <w:rPr>
                <w:rFonts w:ascii="Arial" w:cs="Arial" w:eastAsia="Arial" w:hAnsi="Arial"/>
                <w:sz w:val="10"/>
                <w:szCs w:val="10"/>
                <w:b w:val="1"/>
                <w:bCs w:val="1"/>
                <w:color w:val="auto"/>
              </w:rPr>
              <w:t>December 31, 2021</w:t>
            </w: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8"/>
        </w:trPr>
        <w:tc>
          <w:tcPr>
            <w:tcW w:w="280" w:type="dxa"/>
            <w:vAlign w:val="bottom"/>
          </w:tcPr>
          <w:p>
            <w:pPr>
              <w:spacing w:after="0"/>
              <w:rPr>
                <w:sz w:val="7"/>
                <w:szCs w:val="7"/>
                <w:color w:val="auto"/>
              </w:rPr>
            </w:pPr>
          </w:p>
        </w:tc>
        <w:tc>
          <w:tcPr>
            <w:tcW w:w="29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jc w:val="center"/>
              <w:ind w:right="122"/>
              <w:spacing w:after="0" w:line="89" w:lineRule="exact"/>
              <w:rPr>
                <w:sz w:val="20"/>
                <w:szCs w:val="20"/>
                <w:color w:val="auto"/>
              </w:rPr>
            </w:pPr>
            <w:r>
              <w:rPr>
                <w:rFonts w:ascii="Arial" w:cs="Arial" w:eastAsia="Arial" w:hAnsi="Arial"/>
                <w:sz w:val="10"/>
                <w:szCs w:val="10"/>
                <w:b w:val="1"/>
                <w:bCs w:val="1"/>
                <w:color w:val="auto"/>
                <w:w w:val="88"/>
              </w:rPr>
              <w:t>Aggregate</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104"/>
        </w:trPr>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122"/>
              <w:spacing w:after="0" w:line="104" w:lineRule="exact"/>
              <w:rPr>
                <w:sz w:val="20"/>
                <w:szCs w:val="20"/>
                <w:color w:val="auto"/>
              </w:rPr>
            </w:pPr>
            <w:r>
              <w:rPr>
                <w:rFonts w:ascii="Arial" w:cs="Arial" w:eastAsia="Arial" w:hAnsi="Arial"/>
                <w:sz w:val="10"/>
                <w:szCs w:val="10"/>
                <w:b w:val="1"/>
                <w:bCs w:val="1"/>
                <w:color w:val="auto"/>
                <w:w w:val="94"/>
              </w:rPr>
              <w:t>Principal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4"/>
        </w:trPr>
        <w:tc>
          <w:tcPr>
            <w:tcW w:w="28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center"/>
              <w:ind w:right="122"/>
              <w:spacing w:after="0" w:line="104" w:lineRule="exact"/>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3"/>
          </w:tcPr>
          <w:p>
            <w:pPr>
              <w:ind w:left="80"/>
              <w:spacing w:after="0" w:line="104" w:lineRule="exact"/>
              <w:rPr>
                <w:sz w:val="20"/>
                <w:szCs w:val="20"/>
                <w:color w:val="auto"/>
              </w:rPr>
            </w:pPr>
            <w:r>
              <w:rPr>
                <w:rFonts w:ascii="Arial" w:cs="Arial" w:eastAsia="Arial" w:hAnsi="Arial"/>
                <w:sz w:val="10"/>
                <w:szCs w:val="10"/>
                <w:b w:val="1"/>
                <w:bCs w:val="1"/>
                <w:color w:val="auto"/>
              </w:rPr>
              <w:t>Outstanding</w:t>
            </w:r>
          </w:p>
        </w:tc>
        <w:tc>
          <w:tcPr>
            <w:tcW w:w="180" w:type="dxa"/>
            <w:vAlign w:val="bottom"/>
          </w:tcPr>
          <w:p>
            <w:pPr>
              <w:spacing w:after="0"/>
              <w:rPr>
                <w:sz w:val="9"/>
                <w:szCs w:val="9"/>
                <w:color w:val="auto"/>
              </w:rPr>
            </w:pPr>
          </w:p>
        </w:tc>
        <w:tc>
          <w:tcPr>
            <w:tcW w:w="1180" w:type="dxa"/>
            <w:vAlign w:val="bottom"/>
            <w:gridSpan w:val="3"/>
          </w:tcPr>
          <w:p>
            <w:pPr>
              <w:ind w:left="200"/>
              <w:spacing w:after="0" w:line="104" w:lineRule="exact"/>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9"/>
                <w:szCs w:val="9"/>
                <w:color w:val="auto"/>
              </w:rPr>
            </w:pPr>
          </w:p>
        </w:tc>
        <w:tc>
          <w:tcPr>
            <w:tcW w:w="960" w:type="dxa"/>
            <w:vAlign w:val="bottom"/>
            <w:gridSpan w:val="2"/>
          </w:tcPr>
          <w:p>
            <w:pPr>
              <w:ind w:left="140"/>
              <w:spacing w:after="0" w:line="104" w:lineRule="exact"/>
              <w:rPr>
                <w:sz w:val="20"/>
                <w:szCs w:val="20"/>
                <w:color w:val="auto"/>
              </w:rPr>
            </w:pPr>
            <w:r>
              <w:rPr>
                <w:rFonts w:ascii="Arial" w:cs="Arial" w:eastAsia="Arial" w:hAnsi="Arial"/>
                <w:sz w:val="10"/>
                <w:szCs w:val="10"/>
                <w:b w:val="1"/>
                <w:bCs w:val="1"/>
                <w:color w:val="auto"/>
              </w:rPr>
              <w:t>Carrying</w:t>
            </w:r>
          </w:p>
        </w:tc>
      </w:tr>
      <w:tr>
        <w:trPr>
          <w:trHeight w:val="119"/>
        </w:trPr>
        <w:tc>
          <w:tcPr>
            <w:tcW w:w="280" w:type="dxa"/>
            <w:vAlign w:val="bottom"/>
            <w:tcBorders>
              <w:bottom w:val="single" w:sz="8" w:color="CFF0FC"/>
            </w:tcBorders>
          </w:tcPr>
          <w:p>
            <w:pPr>
              <w:spacing w:after="0"/>
              <w:rPr>
                <w:sz w:val="10"/>
                <w:szCs w:val="10"/>
                <w:color w:val="auto"/>
              </w:rPr>
            </w:pPr>
          </w:p>
        </w:tc>
        <w:tc>
          <w:tcPr>
            <w:tcW w:w="2980" w:type="dxa"/>
            <w:vAlign w:val="bottom"/>
            <w:tcBorders>
              <w:bottom w:val="single" w:sz="8" w:color="CFF0FC"/>
            </w:tcBorders>
          </w:tcPr>
          <w:p>
            <w:pPr>
              <w:spacing w:after="0"/>
              <w:rPr>
                <w:sz w:val="10"/>
                <w:szCs w:val="10"/>
                <w:color w:val="auto"/>
              </w:rPr>
            </w:pPr>
          </w:p>
        </w:tc>
        <w:tc>
          <w:tcPr>
            <w:tcW w:w="19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91"/>
              </w:rPr>
              <w:t>Committed</w:t>
            </w: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Principal</w:t>
            </w:r>
          </w:p>
        </w:tc>
        <w:tc>
          <w:tcPr>
            <w:tcW w:w="200" w:type="dxa"/>
            <w:vAlign w:val="bottom"/>
            <w:tcBorders>
              <w:bottom w:val="single" w:sz="8" w:color="CFF0FC"/>
            </w:tcBorders>
            <w:gridSpan w:val="2"/>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 xml:space="preserve">Available </w:t>
            </w:r>
            <w:r>
              <w:rPr>
                <w:rFonts w:ascii="Arial" w:cs="Arial" w:eastAsia="Arial" w:hAnsi="Arial"/>
                <w:sz w:val="8"/>
                <w:szCs w:val="8"/>
                <w:b w:val="1"/>
                <w:bCs w:val="1"/>
                <w:color w:val="auto"/>
              </w:rPr>
              <w:t>(1)</w:t>
            </w:r>
          </w:p>
        </w:tc>
        <w:tc>
          <w:tcPr>
            <w:tcW w:w="220" w:type="dxa"/>
            <w:vAlign w:val="bottom"/>
            <w:tcBorders>
              <w:bottom w:val="single" w:sz="8" w:color="CFF0FC"/>
            </w:tcBorders>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8"/>
                <w:szCs w:val="8"/>
                <w:b w:val="1"/>
                <w:bCs w:val="1"/>
                <w:color w:val="auto"/>
              </w:rPr>
              <w:t>(2)(3)</w:t>
            </w:r>
          </w:p>
        </w:tc>
        <w:tc>
          <w:tcPr>
            <w:tcW w:w="100" w:type="dxa"/>
            <w:vAlign w:val="bottom"/>
            <w:tcBorders>
              <w:bottom w:val="single" w:sz="8" w:color="CFF0FC"/>
            </w:tcBorders>
          </w:tcPr>
          <w:p>
            <w:pPr>
              <w:spacing w:after="0"/>
              <w:rPr>
                <w:sz w:val="10"/>
                <w:szCs w:val="10"/>
                <w:color w:val="auto"/>
              </w:rPr>
            </w:pPr>
          </w:p>
        </w:tc>
      </w:tr>
      <w:tr>
        <w:trPr>
          <w:trHeight w:val="150"/>
        </w:trPr>
        <w:tc>
          <w:tcPr>
            <w:tcW w:w="32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Revolving Credit Facility</w:t>
            </w:r>
          </w:p>
        </w:tc>
        <w:tc>
          <w:tcPr>
            <w:tcW w:w="21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1,510,000</w:t>
            </w:r>
          </w:p>
        </w:tc>
        <w:tc>
          <w:tcPr>
            <w:tcW w:w="36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316,442</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1,193,558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304,607</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980" w:type="dxa"/>
            <w:vAlign w:val="bottom"/>
          </w:tcPr>
          <w:p>
            <w:pPr>
              <w:spacing w:after="0"/>
              <w:rPr>
                <w:sz w:val="20"/>
                <w:szCs w:val="20"/>
                <w:color w:val="auto"/>
              </w:rPr>
            </w:pPr>
            <w:r>
              <w:rPr>
                <w:rFonts w:ascii="Arial" w:cs="Arial" w:eastAsia="Arial" w:hAnsi="Arial"/>
                <w:sz w:val="13"/>
                <w:szCs w:val="13"/>
                <w:color w:val="auto"/>
              </w:rPr>
              <w:t>Convertible Notes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99,990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99,990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99,673</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2023</w:t>
            </w:r>
          </w:p>
        </w:tc>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9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149,306</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2024</w:t>
            </w:r>
          </w:p>
        </w:tc>
        <w:tc>
          <w:tcPr>
            <w:tcW w:w="2980" w:type="dxa"/>
            <w:vAlign w:val="bottom"/>
          </w:tcPr>
          <w:p>
            <w:pPr>
              <w:spacing w:after="0"/>
              <w:rPr>
                <w:sz w:val="20"/>
                <w:szCs w:val="20"/>
                <w:color w:val="auto"/>
              </w:rPr>
            </w:pPr>
            <w:r>
              <w:rPr>
                <w:rFonts w:ascii="Arial" w:cs="Arial" w:eastAsia="Arial" w:hAnsi="Arial"/>
                <w:sz w:val="13"/>
                <w:szCs w:val="13"/>
                <w:color w:val="auto"/>
              </w:rPr>
              <w:t>Notes</w:t>
            </w: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347,500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347,500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347,896</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2026</w:t>
            </w:r>
          </w:p>
        </w:tc>
        <w:tc>
          <w:tcPr>
            <w:tcW w:w="29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96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8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284,482</w:t>
            </w:r>
          </w:p>
        </w:tc>
        <w:tc>
          <w:tcPr>
            <w:tcW w:w="100" w:type="dxa"/>
            <w:vAlign w:val="bottom"/>
            <w:shd w:val="clear" w:color="auto" w:fill="CFF0FC"/>
          </w:tcPr>
          <w:p>
            <w:pPr>
              <w:spacing w:after="0"/>
              <w:rPr>
                <w:sz w:val="13"/>
                <w:szCs w:val="13"/>
                <w:color w:val="auto"/>
              </w:rPr>
            </w:pPr>
          </w:p>
        </w:tc>
      </w:tr>
      <w:tr>
        <w:trPr>
          <w:trHeight w:val="150"/>
        </w:trPr>
        <w:tc>
          <w:tcPr>
            <w:tcW w:w="32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Debt</w:t>
            </w:r>
          </w:p>
        </w:tc>
        <w:tc>
          <w:tcPr>
            <w:tcW w:w="2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2,407,490</w:t>
            </w:r>
          </w:p>
        </w:tc>
        <w:tc>
          <w:tcPr>
            <w:tcW w:w="3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1,213,932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1,193,558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1,185,964</w:t>
            </w:r>
          </w:p>
        </w:tc>
        <w:tc>
          <w:tcPr>
            <w:tcW w:w="100" w:type="dxa"/>
            <w:vAlign w:val="bottom"/>
          </w:tcPr>
          <w:p>
            <w:pPr>
              <w:spacing w:after="0"/>
              <w:rPr>
                <w:sz w:val="13"/>
                <w:szCs w:val="13"/>
                <w:color w:val="auto"/>
              </w:rPr>
            </w:pPr>
          </w:p>
        </w:tc>
      </w:tr>
      <w:tr>
        <w:trPr>
          <w:trHeight w:val="28"/>
        </w:trPr>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71" w:lineRule="exact"/>
        <w:rPr>
          <w:sz w:val="20"/>
          <w:szCs w:val="20"/>
          <w:color w:val="auto"/>
        </w:rPr>
      </w:pPr>
    </w:p>
    <w:p>
      <w:pPr>
        <w:ind w:left="504" w:hanging="504"/>
        <w:spacing w:after="0"/>
        <w:tabs>
          <w:tab w:leader="none" w:pos="504"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amount available may be subject to limitations related to the borrowing base under the Revolving Credit Facility and asset coverage requirements.</w:t>
      </w:r>
    </w:p>
    <w:p>
      <w:pPr>
        <w:spacing w:after="0" w:line="10" w:lineRule="exact"/>
        <w:rPr>
          <w:rFonts w:ascii="Arial" w:cs="Arial" w:eastAsia="Arial" w:hAnsi="Arial"/>
          <w:sz w:val="13"/>
          <w:szCs w:val="13"/>
          <w:color w:val="auto"/>
        </w:rPr>
      </w:pPr>
    </w:p>
    <w:p>
      <w:pPr>
        <w:ind w:left="504" w:right="100" w:hanging="504"/>
        <w:spacing w:after="0" w:line="242" w:lineRule="auto"/>
        <w:tabs>
          <w:tab w:leader="none" w:pos="504"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carrying values of the Revolving Credit Facility, 2022 Convertible Notes, 2023 Notes, 2024 Notes and 2026 Notes are presented net of the combination of deferred financing costs and original issue discounts totaling $11.8 million, $0.3 million, $0.7 million, $4.0 million and $5.3 million, respectively.</w:t>
      </w:r>
    </w:p>
    <w:p>
      <w:pPr>
        <w:spacing w:after="0" w:line="1" w:lineRule="exact"/>
        <w:rPr>
          <w:rFonts w:ascii="Arial" w:cs="Arial" w:eastAsia="Arial" w:hAnsi="Arial"/>
          <w:sz w:val="13"/>
          <w:szCs w:val="13"/>
          <w:color w:val="auto"/>
        </w:rPr>
      </w:pPr>
    </w:p>
    <w:p>
      <w:pPr>
        <w:ind w:left="504" w:right="220" w:hanging="504"/>
        <w:spacing w:after="0" w:line="245" w:lineRule="auto"/>
        <w:tabs>
          <w:tab w:leader="none" w:pos="504"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carrying values of the 2024 Notes and 2026 Notes are presented inclusive of an incremental $4.4 million and ($10.2) million, respectively, which represents an adjustment in the carrying values of the 2024 Notes and 2026 Notes, each resulting from a hedge accounting relationship.</w:t>
      </w:r>
    </w:p>
    <w:p>
      <w:pPr>
        <w:spacing w:after="0" w:line="14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4"/>
          </w:cols>
          <w:pgMar w:left="296" w:top="509" w:right="319" w:bottom="1440" w:gutter="0" w:footer="0" w:header="0"/>
        </w:sectPr>
      </w:pPr>
    </w:p>
    <w:bookmarkStart w:id="36" w:name="page37"/>
    <w:bookmarkEnd w:id="36"/>
    <w:p>
      <w:pPr>
        <w:ind w:left="260"/>
        <w:spacing w:after="0"/>
        <w:rPr>
          <w:sz w:val="20"/>
          <w:szCs w:val="20"/>
          <w:color w:val="auto"/>
        </w:rPr>
      </w:pPr>
      <w:r>
        <w:rPr>
          <w:rFonts w:ascii="Arial" w:cs="Arial" w:eastAsia="Arial" w:hAnsi="Arial"/>
          <w:sz w:val="13"/>
          <w:szCs w:val="13"/>
          <w:color w:val="auto"/>
        </w:rPr>
        <w:t>For the three months ended March 31, 2022 and 2021, the components of interest expense were as follows: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19"/>
        </w:trPr>
        <w:tc>
          <w:tcPr>
            <w:tcW w:w="45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0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500" w:type="dxa"/>
            <w:vAlign w:val="bottom"/>
            <w:tcBorders>
              <w:bottom w:val="single" w:sz="8" w:color="CFF0FC"/>
            </w:tcBorders>
          </w:tcPr>
          <w:p>
            <w:pPr>
              <w:spacing w:after="0"/>
              <w:rPr>
                <w:sz w:val="8"/>
                <w:szCs w:val="8"/>
                <w:color w:val="auto"/>
              </w:rPr>
            </w:pPr>
          </w:p>
        </w:tc>
        <w:tc>
          <w:tcPr>
            <w:tcW w:w="246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319"/>
              <w:spacing w:after="0" w:line="103" w:lineRule="exact"/>
              <w:rPr>
                <w:sz w:val="20"/>
                <w:szCs w:val="20"/>
                <w:color w:val="auto"/>
              </w:rPr>
            </w:pPr>
            <w:r>
              <w:rPr>
                <w:rFonts w:ascii="Arial" w:cs="Arial" w:eastAsia="Arial" w:hAnsi="Arial"/>
                <w:sz w:val="10"/>
                <w:szCs w:val="10"/>
                <w:b w:val="1"/>
                <w:bCs w:val="1"/>
                <w:color w:val="auto"/>
              </w:rPr>
              <w:t>March 31, 2022</w:t>
            </w:r>
          </w:p>
        </w:tc>
        <w:tc>
          <w:tcPr>
            <w:tcW w:w="28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298"/>
              <w:spacing w:after="0" w:line="103" w:lineRule="exact"/>
              <w:rPr>
                <w:sz w:val="20"/>
                <w:szCs w:val="20"/>
                <w:color w:val="auto"/>
              </w:rPr>
            </w:pPr>
            <w:r>
              <w:rPr>
                <w:rFonts w:ascii="Arial" w:cs="Arial" w:eastAsia="Arial" w:hAnsi="Arial"/>
                <w:sz w:val="10"/>
                <w:szCs w:val="10"/>
                <w:b w:val="1"/>
                <w:bCs w:val="1"/>
                <w:color w:val="auto"/>
                <w:w w:val="95"/>
              </w:rPr>
              <w:t>March 31, 2021</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500" w:type="dxa"/>
            <w:vAlign w:val="bottom"/>
            <w:shd w:val="clear" w:color="auto" w:fill="CFF0FC"/>
          </w:tcPr>
          <w:p>
            <w:pPr>
              <w:spacing w:after="0"/>
              <w:rPr>
                <w:sz w:val="20"/>
                <w:szCs w:val="20"/>
                <w:color w:val="auto"/>
              </w:rPr>
            </w:pPr>
            <w:r>
              <w:rPr>
                <w:rFonts w:ascii="Arial" w:cs="Arial" w:eastAsia="Arial" w:hAnsi="Arial"/>
                <w:sz w:val="13"/>
                <w:szCs w:val="13"/>
                <w:color w:val="auto"/>
              </w:rPr>
              <w:t>Interest expense</w:t>
            </w:r>
          </w:p>
        </w:tc>
        <w:tc>
          <w:tcPr>
            <w:tcW w:w="2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9,762</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9,471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3"/>
                <w:szCs w:val="13"/>
                <w:color w:val="auto"/>
              </w:rPr>
              <w:t>Commitment fees</w:t>
            </w: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1,125</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shd w:val="clear" w:color="auto" w:fill="CFF0FC"/>
          </w:tcPr>
          <w:p>
            <w:pPr>
              <w:spacing w:after="0"/>
              <w:rPr>
                <w:sz w:val="20"/>
                <w:szCs w:val="20"/>
                <w:color w:val="auto"/>
              </w:rPr>
            </w:pPr>
            <w:r>
              <w:rPr>
                <w:rFonts w:ascii="Arial" w:cs="Arial" w:eastAsia="Arial" w:hAnsi="Arial"/>
                <w:sz w:val="13"/>
                <w:szCs w:val="13"/>
                <w:color w:val="auto"/>
              </w:rPr>
              <w:t>Amortization of deferred financing costs</w:t>
            </w:r>
          </w:p>
        </w:tc>
        <w:tc>
          <w:tcPr>
            <w:tcW w:w="2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1,443</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3"/>
                <w:szCs w:val="13"/>
                <w:color w:val="auto"/>
              </w:rPr>
              <w:t>Accretion of original issue discount</w:t>
            </w: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187</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shd w:val="clear" w:color="auto" w:fill="CFF0FC"/>
          </w:tcPr>
          <w:p>
            <w:pPr>
              <w:spacing w:after="0"/>
              <w:rPr>
                <w:sz w:val="20"/>
                <w:szCs w:val="20"/>
                <w:color w:val="auto"/>
              </w:rPr>
            </w:pPr>
            <w:r>
              <w:rPr>
                <w:rFonts w:ascii="Arial" w:cs="Arial" w:eastAsia="Arial" w:hAnsi="Arial"/>
                <w:sz w:val="13"/>
                <w:szCs w:val="13"/>
                <w:color w:val="auto"/>
              </w:rPr>
              <w:t>Swap settlement</w:t>
            </w:r>
          </w:p>
        </w:tc>
        <w:tc>
          <w:tcPr>
            <w:tcW w:w="2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(2,915)</w:t>
            </w:r>
          </w:p>
        </w:tc>
        <w:tc>
          <w:tcPr>
            <w:tcW w:w="3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(3,081)</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Total Interest Expense</w:t>
            </w:r>
          </w:p>
        </w:tc>
        <w:tc>
          <w:tcPr>
            <w:tcW w:w="2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500" w:type="dxa"/>
            <w:vAlign w:val="bottom"/>
            <w:vMerge w:val="continue"/>
          </w:tcPr>
          <w:p>
            <w:pPr>
              <w:spacing w:after="0"/>
              <w:rPr>
                <w:sz w:val="13"/>
                <w:szCs w:val="13"/>
                <w:color w:val="auto"/>
              </w:rPr>
            </w:pPr>
          </w:p>
        </w:tc>
        <w:tc>
          <w:tcPr>
            <w:tcW w:w="2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9,602</w:t>
            </w:r>
          </w:p>
        </w:tc>
        <w:tc>
          <w:tcPr>
            <w:tcW w:w="280" w:type="dxa"/>
            <w:vAlign w:val="bottom"/>
          </w:tcPr>
          <w:p>
            <w:pPr>
              <w:spacing w:after="0"/>
              <w:rPr>
                <w:sz w:val="13"/>
                <w:szCs w:val="13"/>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8,953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5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Average debt outstanding (in millions)</w:t>
            </w:r>
          </w:p>
        </w:tc>
        <w:tc>
          <w:tcPr>
            <w:tcW w:w="246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500" w:type="dxa"/>
            <w:vAlign w:val="bottom"/>
            <w:vMerge w:val="continue"/>
            <w:shd w:val="clear" w:color="auto" w:fill="CFF0FC"/>
          </w:tcPr>
          <w:p>
            <w:pPr>
              <w:spacing w:after="0"/>
              <w:rPr>
                <w:sz w:val="13"/>
                <w:szCs w:val="13"/>
                <w:color w:val="auto"/>
              </w:rPr>
            </w:pPr>
          </w:p>
        </w:tc>
        <w:tc>
          <w:tcPr>
            <w:tcW w:w="2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1,211.0</w:t>
            </w:r>
          </w:p>
        </w:tc>
        <w:tc>
          <w:tcPr>
            <w:tcW w:w="28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00" w:type="dxa"/>
            <w:vAlign w:val="bottom"/>
          </w:tcPr>
          <w:p>
            <w:pPr>
              <w:spacing w:after="0"/>
              <w:rPr>
                <w:sz w:val="20"/>
                <w:szCs w:val="20"/>
                <w:color w:val="auto"/>
              </w:rPr>
            </w:pPr>
            <w:r>
              <w:rPr>
                <w:rFonts w:ascii="Arial" w:cs="Arial" w:eastAsia="Arial" w:hAnsi="Arial"/>
                <w:sz w:val="13"/>
                <w:szCs w:val="13"/>
                <w:color w:val="auto"/>
              </w:rPr>
              <w:t>Weighted average interest rate</w:t>
            </w:r>
          </w:p>
        </w:tc>
        <w:tc>
          <w:tcPr>
            <w:tcW w:w="2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3"/>
                <w:szCs w:val="13"/>
                <w:color w:val="auto"/>
              </w:rPr>
              <w:t>2.3%</w:t>
            </w:r>
          </w:p>
        </w:tc>
        <w:tc>
          <w:tcPr>
            <w:tcW w:w="340" w:type="dxa"/>
            <w:vAlign w:val="bottom"/>
          </w:tcPr>
          <w:p>
            <w:pPr>
              <w:spacing w:after="0"/>
              <w:rPr>
                <w:sz w:val="13"/>
                <w:szCs w:val="1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1"/>
        </w:trPr>
        <w:tc>
          <w:tcPr>
            <w:tcW w:w="4500" w:type="dxa"/>
            <w:vAlign w:val="bottom"/>
            <w:shd w:val="clear" w:color="auto" w:fill="CFF0FC"/>
          </w:tcPr>
          <w:p>
            <w:pPr>
              <w:spacing w:after="0"/>
              <w:rPr>
                <w:sz w:val="20"/>
                <w:szCs w:val="20"/>
                <w:color w:val="auto"/>
              </w:rPr>
            </w:pPr>
            <w:r>
              <w:rPr>
                <w:rFonts w:ascii="Arial" w:cs="Arial" w:eastAsia="Arial" w:hAnsi="Arial"/>
                <w:sz w:val="13"/>
                <w:szCs w:val="13"/>
                <w:color w:val="auto"/>
              </w:rPr>
              <w:t>Average 1-month LIBOR rate</w:t>
            </w:r>
          </w:p>
        </w:tc>
        <w:tc>
          <w:tcPr>
            <w:tcW w:w="2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0.2%</w:t>
            </w:r>
          </w:p>
        </w:tc>
        <w:tc>
          <w:tcPr>
            <w:tcW w:w="34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Revolving Credit Facility</w:t>
      </w:r>
    </w:p>
    <w:p>
      <w:pPr>
        <w:spacing w:after="0" w:line="77" w:lineRule="exact"/>
        <w:rPr>
          <w:sz w:val="20"/>
          <w:szCs w:val="20"/>
          <w:color w:val="auto"/>
        </w:rPr>
      </w:pPr>
    </w:p>
    <w:p>
      <w:pPr>
        <w:ind w:right="20" w:firstLine="256"/>
        <w:spacing w:after="0" w:line="260" w:lineRule="auto"/>
        <w:rPr>
          <w:sz w:val="20"/>
          <w:szCs w:val="20"/>
          <w:color w:val="auto"/>
        </w:rPr>
      </w:pPr>
      <w:r>
        <w:rPr>
          <w:rFonts w:ascii="Arial" w:cs="Arial" w:eastAsia="Arial" w:hAnsi="Arial"/>
          <w:sz w:val="13"/>
          <w:szCs w:val="13"/>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30"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the Company, under certain circumstances, to increase the size of the facility to up to $2.0 billion.</w:t>
      </w:r>
    </w:p>
    <w:p>
      <w:pPr>
        <w:spacing w:after="0" w:line="136" w:lineRule="exact"/>
        <w:rPr>
          <w:sz w:val="20"/>
          <w:szCs w:val="20"/>
          <w:color w:val="auto"/>
        </w:rPr>
      </w:pPr>
    </w:p>
    <w:p>
      <w:pPr>
        <w:jc w:val="both"/>
        <w:ind w:right="100" w:firstLine="256"/>
        <w:spacing w:after="0" w:line="319" w:lineRule="auto"/>
        <w:rPr>
          <w:sz w:val="20"/>
          <w:szCs w:val="20"/>
          <w:color w:val="auto"/>
        </w:rPr>
      </w:pPr>
      <w:r>
        <w:rPr>
          <w:rFonts w:ascii="Arial" w:cs="Arial" w:eastAsia="Arial" w:hAnsi="Arial"/>
          <w:sz w:val="11"/>
          <w:szCs w:val="11"/>
          <w:color w:val="auto"/>
        </w:rPr>
        <w:t>Pursuant to the Twelfth Amendment, with respect to $1.510 billion in commitments, the revolving period, during which period the Company, subject to certain conditions, may make borrowings under the facility, was extended from to April 24, 2026 and the stated maturity date was extended from to April 23, 2027. For the remaining $75.0 million of commitments, (A) with respect to $25.0 million of commitments, the revolving period ends January 31, 2024 and the stated maturity is January 31, 2025 and (B) with respect to $50.0 million of commitments, the revolving period ends February 4, 2025 and the stated maturity is February 4, 2026.</w:t>
      </w:r>
    </w:p>
    <w:p>
      <w:pPr>
        <w:spacing w:after="0" w:line="101" w:lineRule="exact"/>
        <w:rPr>
          <w:sz w:val="20"/>
          <w:szCs w:val="20"/>
          <w:color w:val="auto"/>
        </w:rPr>
      </w:pPr>
    </w:p>
    <w:p>
      <w:pPr>
        <w:ind w:right="260" w:firstLine="256"/>
        <w:spacing w:after="0" w:line="351" w:lineRule="auto"/>
        <w:rPr>
          <w:sz w:val="20"/>
          <w:szCs w:val="20"/>
          <w:color w:val="auto"/>
        </w:rPr>
      </w:pPr>
      <w:r>
        <w:rPr>
          <w:rFonts w:ascii="Arial" w:cs="Arial" w:eastAsia="Arial" w:hAnsi="Arial"/>
          <w:sz w:val="11"/>
          <w:szCs w:val="11"/>
          <w:color w:val="auto"/>
        </w:rPr>
        <w:t>The Company may borrow amounts in U.S. dollars or certain other permitted currencies. As of March 31, 2022, the Company had outstanding debt denominated in Australian dollars (AUD) of 59.0 million, British pounds (GBP) of 4.7 million, Canadian dollars (CAD) of 111.6 million, and Euro (EUR) of 9.4 million on its Revolving Credit Facility, included in the Outstanding Principal amount in the table above.</w:t>
      </w:r>
    </w:p>
    <w:p>
      <w:pPr>
        <w:spacing w:after="0" w:line="84" w:lineRule="exact"/>
        <w:rPr>
          <w:sz w:val="20"/>
          <w:szCs w:val="20"/>
          <w:color w:val="auto"/>
        </w:rPr>
      </w:pPr>
    </w:p>
    <w:p>
      <w:pPr>
        <w:ind w:right="20" w:firstLine="256"/>
        <w:spacing w:after="0" w:line="251" w:lineRule="auto"/>
        <w:rPr>
          <w:sz w:val="20"/>
          <w:szCs w:val="20"/>
          <w:color w:val="auto"/>
        </w:rPr>
      </w:pPr>
      <w:r>
        <w:rPr>
          <w:rFonts w:ascii="Arial" w:cs="Arial" w:eastAsia="Arial" w:hAnsi="Arial"/>
          <w:sz w:val="13"/>
          <w:szCs w:val="13"/>
          <w:color w:val="auto"/>
        </w:rPr>
        <w:t>The Revolving Credit Facility also provides for the issuance of letters of credit up to an aggregate amount of $75.0 million. As of March 31, 2022, the Company had less than $0.1 million letters of credit issued through the Revolving Credit Facility, and as of December 31, 2021,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36" w:lineRule="exact"/>
        <w:rPr>
          <w:sz w:val="20"/>
          <w:szCs w:val="20"/>
          <w:color w:val="auto"/>
        </w:rPr>
      </w:pPr>
    </w:p>
    <w:p>
      <w:pPr>
        <w:ind w:right="60" w:firstLine="256"/>
        <w:spacing w:after="0" w:line="247" w:lineRule="auto"/>
        <w:rPr>
          <w:sz w:val="20"/>
          <w:szCs w:val="20"/>
          <w:color w:val="auto"/>
        </w:rPr>
      </w:pPr>
      <w:r>
        <w:rPr>
          <w:rFonts w:ascii="Arial" w:cs="Arial" w:eastAsia="Arial" w:hAnsi="Arial"/>
          <w:sz w:val="13"/>
          <w:szCs w:val="13"/>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38" w:lineRule="exact"/>
        <w:rPr>
          <w:sz w:val="20"/>
          <w:szCs w:val="20"/>
          <w:color w:val="auto"/>
        </w:rPr>
      </w:pPr>
    </w:p>
    <w:p>
      <w:pPr>
        <w:ind w:right="80" w:firstLine="256"/>
        <w:spacing w:after="0" w:line="351" w:lineRule="auto"/>
        <w:rPr>
          <w:sz w:val="20"/>
          <w:szCs w:val="20"/>
          <w:color w:val="auto"/>
        </w:rPr>
      </w:pPr>
      <w:r>
        <w:rPr>
          <w:rFonts w:ascii="Arial" w:cs="Arial" w:eastAsia="Arial" w:hAnsi="Arial"/>
          <w:sz w:val="11"/>
          <w:szCs w:val="11"/>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282" w:right="339" w:bottom="1440" w:gutter="0" w:footer="0" w:header="0"/>
        </w:sectPr>
      </w:pPr>
    </w:p>
    <w:bookmarkStart w:id="37" w:name="page38"/>
    <w:bookmarkEnd w:id="37"/>
    <w:p>
      <w:pPr>
        <w:ind w:right="140" w:firstLine="256"/>
        <w:spacing w:after="0" w:line="260" w:lineRule="auto"/>
        <w:rPr>
          <w:sz w:val="20"/>
          <w:szCs w:val="20"/>
          <w:color w:val="auto"/>
        </w:rPr>
      </w:pPr>
      <w:r>
        <w:rPr>
          <w:rFonts w:ascii="Arial" w:cs="Arial" w:eastAsia="Arial" w:hAnsi="Arial"/>
          <w:sz w:val="13"/>
          <w:szCs w:val="13"/>
          <w:color w:val="auto"/>
        </w:rPr>
        <w:t>The Revolving Credit Facility includes customary events of default, as well as customary covenants, including restrictions on certain distributions and financial covenants. In accordance with the terms of the Twelfth Amendment, the financial covenants require:</w:t>
      </w:r>
    </w:p>
    <w:p>
      <w:pPr>
        <w:spacing w:after="0" w:line="54" w:lineRule="exact"/>
        <w:rPr>
          <w:sz w:val="20"/>
          <w:szCs w:val="20"/>
          <w:color w:val="auto"/>
        </w:rPr>
      </w:pPr>
    </w:p>
    <w:p>
      <w:pPr>
        <w:ind w:left="500" w:hanging="249"/>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 asset coverage ratio of no less than 1.5 to 1 on the last day of any fiscal quarter;</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stockholders’ equity of at least $500 million plus 25% of the net proceeds of the sale of equity interests after January 31, 2020; and</w:t>
      </w:r>
    </w:p>
    <w:p>
      <w:pPr>
        <w:spacing w:after="0" w:line="77" w:lineRule="exact"/>
        <w:rPr>
          <w:rFonts w:ascii="Arial" w:cs="Arial" w:eastAsia="Arial" w:hAnsi="Arial"/>
          <w:sz w:val="13"/>
          <w:szCs w:val="13"/>
          <w:color w:val="auto"/>
        </w:rPr>
      </w:pPr>
    </w:p>
    <w:p>
      <w:pPr>
        <w:ind w:left="500" w:hanging="249"/>
        <w:spacing w:after="0" w:line="251" w:lineRule="auto"/>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Revolving Credit Facility also contains certain additional concentration limits in connection with the calculation of the borrowing base, based on the Obligor Asset Coverage Ratio.</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1"/>
          <w:szCs w:val="11"/>
          <w:color w:val="auto"/>
        </w:rPr>
        <w:t>Net proceeds received from the Company’s common stock issuance in February 2021 and net proceeds received from the issuance of the 2026 Notes were used to pay down borrowings on the Revolving Credit Facility.</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March 31, 2022 and December 31, 2021, the Company was in compliance with the terms of the Revolving Credit Facility.</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2022 Convertible Notes</w:t>
      </w:r>
    </w:p>
    <w:p>
      <w:pPr>
        <w:spacing w:after="0" w:line="77" w:lineRule="exact"/>
        <w:rPr>
          <w:sz w:val="20"/>
          <w:szCs w:val="20"/>
          <w:color w:val="auto"/>
        </w:rPr>
      </w:pPr>
    </w:p>
    <w:p>
      <w:pPr>
        <w:ind w:right="20" w:firstLine="256"/>
        <w:spacing w:after="0" w:line="268" w:lineRule="auto"/>
        <w:rPr>
          <w:sz w:val="20"/>
          <w:szCs w:val="20"/>
          <w:color w:val="auto"/>
        </w:rPr>
      </w:pPr>
      <w:r>
        <w:rPr>
          <w:rFonts w:ascii="Arial" w:cs="Arial" w:eastAsia="Arial" w:hAnsi="Arial"/>
          <w:sz w:val="12"/>
          <w:szCs w:val="12"/>
          <w:color w:val="auto"/>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In June 2018, the Company issued an additional $57.5 million aggregate principal amount of 2022 Convertible Notes. The additional 2022 Convertible Notes were issued with identical terms, and are fungible with and are part of a single series with the previously outstanding $115.0 million aggregate principal amount of the Company’s existing 2022 Convertible Notes issued in February 2017. The 2022 Convertible Notes will mature on August 1, 2022. The 2022 Convertible Notes will be convertible into a combination of cash and shares of the Company’s common stock, at the Company’s election. As of March 31, 2022, the estimated adjusted conversion price was approximately $17.97 per share of common stock.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matches the amount of principal outstanding, and matures on August 1, 2022, matching the maturity date of the 2022 Convertible Notes.</w:t>
      </w:r>
    </w:p>
    <w:p>
      <w:pPr>
        <w:spacing w:after="0" w:line="129" w:lineRule="exact"/>
        <w:rPr>
          <w:sz w:val="20"/>
          <w:szCs w:val="20"/>
          <w:color w:val="auto"/>
        </w:rPr>
      </w:pPr>
    </w:p>
    <w:p>
      <w:pPr>
        <w:ind w:right="20" w:firstLine="256"/>
        <w:spacing w:after="0" w:line="303" w:lineRule="auto"/>
        <w:rPr>
          <w:sz w:val="20"/>
          <w:szCs w:val="20"/>
          <w:color w:val="auto"/>
        </w:rPr>
      </w:pPr>
      <w:r>
        <w:rPr>
          <w:rFonts w:ascii="Arial" w:cs="Arial" w:eastAsia="Arial" w:hAnsi="Arial"/>
          <w:sz w:val="11"/>
          <w:szCs w:val="11"/>
          <w:color w:val="auto"/>
        </w:rPr>
        <w:t>During the year ended December 31, 2020, the Company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the Company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09" w:lineRule="exact"/>
        <w:rPr>
          <w:sz w:val="20"/>
          <w:szCs w:val="20"/>
          <w:color w:val="auto"/>
        </w:rPr>
      </w:pPr>
    </w:p>
    <w:p>
      <w:pPr>
        <w:ind w:right="380" w:firstLine="256"/>
        <w:spacing w:after="0" w:line="260" w:lineRule="auto"/>
        <w:rPr>
          <w:sz w:val="20"/>
          <w:szCs w:val="20"/>
          <w:color w:val="auto"/>
        </w:rPr>
      </w:pPr>
      <w:r>
        <w:rPr>
          <w:rFonts w:ascii="Arial" w:cs="Arial" w:eastAsia="Arial" w:hAnsi="Arial"/>
          <w:sz w:val="13"/>
          <w:szCs w:val="13"/>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may convert their notes at any time.</w:t>
      </w:r>
    </w:p>
    <w:p>
      <w:pPr>
        <w:spacing w:after="0" w:line="130" w:lineRule="exact"/>
        <w:rPr>
          <w:sz w:val="20"/>
          <w:szCs w:val="20"/>
          <w:color w:val="auto"/>
        </w:rPr>
      </w:pPr>
    </w:p>
    <w:p>
      <w:pPr>
        <w:ind w:right="20" w:firstLine="256"/>
        <w:spacing w:after="0" w:line="272" w:lineRule="auto"/>
        <w:rPr>
          <w:sz w:val="20"/>
          <w:szCs w:val="20"/>
          <w:color w:val="auto"/>
        </w:rPr>
      </w:pPr>
      <w:r>
        <w:rPr>
          <w:rFonts w:ascii="Arial" w:cs="Arial" w:eastAsia="Arial" w:hAnsi="Arial"/>
          <w:sz w:val="12"/>
          <w:szCs w:val="12"/>
          <w:color w:val="auto"/>
        </w:rPr>
        <w:t>On September 30, 2021, the Company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the Company elected combination settlement. During the three months ended December 31, 2021, $42.8 million of principal of the 2022 Convertible Notes were converted and were settled with a combination of cash and 2,324,820 shares of the Company’s common stock. In connection with the settlement of the 2022 Convertible Notes, the Company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433" w:right="339" w:bottom="1440" w:gutter="0" w:footer="0" w:header="0"/>
        </w:sectPr>
      </w:pPr>
    </w:p>
    <w:bookmarkStart w:id="38" w:name="page39"/>
    <w:bookmarkEnd w:id="38"/>
    <w:p>
      <w:pPr>
        <w:ind w:right="80"/>
        <w:spacing w:after="0" w:line="260" w:lineRule="auto"/>
        <w:rPr>
          <w:sz w:val="20"/>
          <w:szCs w:val="20"/>
          <w:color w:val="auto"/>
        </w:rPr>
      </w:pPr>
      <w:r>
        <w:rPr>
          <w:rFonts w:ascii="Arial" w:cs="Arial" w:eastAsia="Arial" w:hAnsi="Arial"/>
          <w:sz w:val="13"/>
          <w:szCs w:val="13"/>
          <w:color w:val="auto"/>
        </w:rPr>
        <w:t>of the 2022 Convertible Notes, to match the remaining principal amount of the 2022 Convertible Notes outstanding. As a result of the swaps, the Company’s effective interest rate on the outstanding 2022 Convertible Notes is three-month LIBOR plus 2.11% (on a weighted-average basis).</w:t>
      </w:r>
    </w:p>
    <w:p>
      <w:pPr>
        <w:spacing w:after="0" w:line="130" w:lineRule="exact"/>
        <w:rPr>
          <w:sz w:val="20"/>
          <w:szCs w:val="20"/>
          <w:color w:val="auto"/>
        </w:rPr>
      </w:pPr>
    </w:p>
    <w:p>
      <w:pPr>
        <w:ind w:right="60" w:firstLine="256"/>
        <w:spacing w:after="0" w:line="248" w:lineRule="auto"/>
        <w:rPr>
          <w:sz w:val="20"/>
          <w:szCs w:val="20"/>
          <w:color w:val="auto"/>
        </w:rPr>
      </w:pPr>
      <w:r>
        <w:rPr>
          <w:rFonts w:ascii="Arial" w:cs="Arial" w:eastAsia="Arial" w:hAnsi="Arial"/>
          <w:sz w:val="13"/>
          <w:szCs w:val="13"/>
          <w:color w:val="auto"/>
        </w:rPr>
        <w:t>On January 26, 2022, the Company notified the trustee and holders of the 2022 Convertible Notes that the terms of settlement for the notes at the Company’s election are a combination settlement of cash and stock to occur after the 40 day observation period described in the notes indenture. The Company has elected to settle any 2022 Convertible Notes that are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38" w:lineRule="exact"/>
        <w:rPr>
          <w:sz w:val="20"/>
          <w:szCs w:val="20"/>
          <w:color w:val="auto"/>
        </w:rPr>
      </w:pPr>
    </w:p>
    <w:p>
      <w:pPr>
        <w:ind w:firstLine="256"/>
        <w:spacing w:after="0" w:line="248" w:lineRule="auto"/>
        <w:rPr>
          <w:sz w:val="20"/>
          <w:szCs w:val="20"/>
          <w:color w:val="auto"/>
        </w:rPr>
      </w:pPr>
      <w:r>
        <w:rPr>
          <w:rFonts w:ascii="Arial" w:cs="Arial" w:eastAsia="Arial" w:hAnsi="Arial"/>
          <w:sz w:val="13"/>
          <w:szCs w:val="13"/>
          <w:color w:val="auto"/>
        </w:rPr>
        <w:t>The 2022 Convertible Notes are the Company’s unsecured obligations and rank senior in right of payment to the Company’s future indebtedness that is expressly subordinated in right of payment to the 2022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the three months ended March 31, 2022 and 2021, the components of interest expense related to the 2022 Convertible Notes were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120" w:type="dxa"/>
            <w:vAlign w:val="bottom"/>
            <w:tcBorders>
              <w:bottom w:val="single" w:sz="8" w:color="CFF0FC"/>
            </w:tcBorders>
          </w:tcPr>
          <w:p>
            <w:pPr>
              <w:spacing w:after="0"/>
              <w:rPr>
                <w:sz w:val="8"/>
                <w:szCs w:val="8"/>
                <w:color w:val="auto"/>
              </w:rPr>
            </w:pPr>
          </w:p>
        </w:tc>
        <w:tc>
          <w:tcPr>
            <w:tcW w:w="2080" w:type="dxa"/>
            <w:vAlign w:val="bottom"/>
            <w:tcBorders>
              <w:bottom w:val="single" w:sz="8" w:color="CFF0FC"/>
            </w:tcBorders>
          </w:tcPr>
          <w:p>
            <w:pPr>
              <w:spacing w:after="0"/>
              <w:rPr>
                <w:sz w:val="8"/>
                <w:szCs w:val="8"/>
                <w:color w:val="auto"/>
              </w:rPr>
            </w:pPr>
          </w:p>
        </w:tc>
        <w:tc>
          <w:tcPr>
            <w:tcW w:w="9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March 31, 2022</w:t>
            </w: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March 31, 2021</w:t>
            </w: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Interest expense</w:t>
            </w:r>
          </w:p>
        </w:tc>
        <w:tc>
          <w:tcPr>
            <w:tcW w:w="3020" w:type="dxa"/>
            <w:vAlign w:val="bottom"/>
            <w:gridSpan w:val="2"/>
            <w:shd w:val="clear" w:color="auto" w:fill="CFF0FC"/>
          </w:tcPr>
          <w:p>
            <w:pPr>
              <w:jc w:val="right"/>
              <w:ind w:right="83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1,125</w:t>
            </w:r>
          </w:p>
        </w:tc>
        <w:tc>
          <w:tcPr>
            <w:tcW w:w="1200" w:type="dxa"/>
            <w:vAlign w:val="bottom"/>
            <w:gridSpan w:val="2"/>
            <w:shd w:val="clear" w:color="auto" w:fill="CFF0FC"/>
          </w:tcPr>
          <w:p>
            <w:pPr>
              <w:jc w:val="right"/>
              <w:ind w:right="85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9"/>
              </w:rPr>
              <w:t>1,624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40" w:type="dxa"/>
            <w:vAlign w:val="bottom"/>
            <w:gridSpan w:val="2"/>
          </w:tcPr>
          <w:p>
            <w:pPr>
              <w:spacing w:after="0"/>
              <w:rPr>
                <w:sz w:val="20"/>
                <w:szCs w:val="20"/>
                <w:color w:val="auto"/>
              </w:rPr>
            </w:pPr>
            <w:r>
              <w:rPr>
                <w:rFonts w:ascii="Arial" w:cs="Arial" w:eastAsia="Arial" w:hAnsi="Arial"/>
                <w:sz w:val="13"/>
                <w:szCs w:val="13"/>
                <w:color w:val="auto"/>
              </w:rPr>
              <w:t>Amortization of deferred financing costs</w:t>
            </w: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134</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Total Interest Expense</w:t>
            </w:r>
          </w:p>
        </w:tc>
        <w:tc>
          <w:tcPr>
            <w:tcW w:w="20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120" w:type="dxa"/>
            <w:vAlign w:val="bottom"/>
            <w:vMerge w:val="continue"/>
            <w:shd w:val="clear" w:color="auto" w:fill="CFF0FC"/>
          </w:tcPr>
          <w:p>
            <w:pPr>
              <w:spacing w:after="0"/>
              <w:rPr>
                <w:sz w:val="13"/>
                <w:szCs w:val="13"/>
                <w:color w:val="auto"/>
              </w:rPr>
            </w:pPr>
          </w:p>
        </w:tc>
        <w:tc>
          <w:tcPr>
            <w:tcW w:w="3020" w:type="dxa"/>
            <w:vAlign w:val="bottom"/>
            <w:gridSpan w:val="2"/>
            <w:shd w:val="clear" w:color="auto" w:fill="CFF0FC"/>
          </w:tcPr>
          <w:p>
            <w:pPr>
              <w:jc w:val="right"/>
              <w:ind w:right="83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1,259</w:t>
            </w:r>
          </w:p>
        </w:tc>
        <w:tc>
          <w:tcPr>
            <w:tcW w:w="1200" w:type="dxa"/>
            <w:vAlign w:val="bottom"/>
            <w:gridSpan w:val="2"/>
            <w:shd w:val="clear" w:color="auto" w:fill="CFF0FC"/>
          </w:tcPr>
          <w:p>
            <w:pPr>
              <w:jc w:val="right"/>
              <w:ind w:right="85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9"/>
              </w:rPr>
              <w:t>1,815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120" w:type="dxa"/>
            <w:vAlign w:val="bottom"/>
            <w:shd w:val="clear" w:color="auto" w:fill="CFF0FC"/>
          </w:tcPr>
          <w:p>
            <w:pPr>
              <w:spacing w:after="0"/>
              <w:rPr>
                <w:sz w:val="2"/>
                <w:szCs w:val="2"/>
                <w:color w:val="auto"/>
              </w:rPr>
            </w:pPr>
          </w:p>
        </w:tc>
        <w:tc>
          <w:tcPr>
            <w:tcW w:w="2080" w:type="dxa"/>
            <w:vAlign w:val="bottom"/>
            <w:shd w:val="clear" w:color="auto" w:fill="CFF0F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256"/>
        <w:spacing w:after="0" w:line="251" w:lineRule="auto"/>
        <w:rPr>
          <w:sz w:val="20"/>
          <w:szCs w:val="20"/>
          <w:color w:val="auto"/>
        </w:rPr>
      </w:pPr>
      <w:r>
        <w:rPr>
          <w:rFonts w:ascii="Arial" w:cs="Arial" w:eastAsia="Arial" w:hAnsi="Arial"/>
          <w:sz w:val="13"/>
          <w:szCs w:val="13"/>
          <w:color w:val="auto"/>
        </w:rPr>
        <w:t>Total interest expense in the table above does not include the effect of the interest rate swaps. During the three months ended March 31, 2022 and 2021, the Company received $2.4 million and $2.1 million, respectively, and paid $1.8 million and $1.4 million, respectively, related to the settlements of its interest rate swaps, excluding upfront fees related to the 2022 Convertible Notes. These net amounts are reflected in interest expense in the Company’s consolidated statements of operations. See Note 5 for further information about the Company’s interest rate swaps.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March 31, 2022 and December 31, 2021, the components of the carrying value of the 2022 Convertible Notes and the stated interest rate were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680" w:type="dxa"/>
            <w:vAlign w:val="bottom"/>
            <w:tcBorders>
              <w:bottom w:val="single" w:sz="8" w:color="CFF0FC"/>
            </w:tcBorders>
          </w:tcPr>
          <w:p>
            <w:pPr>
              <w:spacing w:after="0"/>
              <w:rPr>
                <w:sz w:val="10"/>
                <w:szCs w:val="10"/>
                <w:color w:val="auto"/>
              </w:rPr>
            </w:pPr>
          </w:p>
        </w:tc>
        <w:tc>
          <w:tcPr>
            <w:tcW w:w="246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March 31, 2022</w:t>
            </w:r>
          </w:p>
        </w:tc>
        <w:tc>
          <w:tcPr>
            <w:tcW w:w="18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w w:val="95"/>
              </w:rPr>
              <w:t>December 31, 2021</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3"/>
                <w:szCs w:val="13"/>
                <w:color w:val="auto"/>
              </w:rPr>
              <w:t>Principal amount of debt</w:t>
            </w:r>
          </w:p>
        </w:tc>
        <w:tc>
          <w:tcPr>
            <w:tcW w:w="2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99,990</w:t>
            </w:r>
          </w:p>
        </w:tc>
        <w:tc>
          <w:tcPr>
            <w:tcW w:w="1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700" w:type="dxa"/>
            <w:vAlign w:val="bottom"/>
            <w:gridSpan w:val="2"/>
          </w:tcPr>
          <w:p>
            <w:pPr>
              <w:spacing w:after="0"/>
              <w:rPr>
                <w:sz w:val="20"/>
                <w:szCs w:val="20"/>
                <w:color w:val="auto"/>
              </w:rPr>
            </w:pPr>
            <w:r>
              <w:rPr>
                <w:rFonts w:ascii="Arial" w:cs="Arial" w:eastAsia="Arial" w:hAnsi="Arial"/>
                <w:sz w:val="13"/>
                <w:szCs w:val="13"/>
                <w:color w:val="auto"/>
              </w:rPr>
              <w:t>Deferred financing costs</w:t>
            </w: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Carrying value of debt</w:t>
            </w:r>
          </w:p>
        </w:tc>
        <w:tc>
          <w:tcPr>
            <w:tcW w:w="24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680" w:type="dxa"/>
            <w:vAlign w:val="bottom"/>
            <w:vMerge w:val="continue"/>
            <w:shd w:val="clear" w:color="auto" w:fill="CFF0FC"/>
          </w:tcPr>
          <w:p>
            <w:pPr>
              <w:spacing w:after="0"/>
              <w:rPr>
                <w:sz w:val="13"/>
                <w:szCs w:val="13"/>
                <w:color w:val="auto"/>
              </w:rPr>
            </w:pPr>
          </w:p>
        </w:tc>
        <w:tc>
          <w:tcPr>
            <w:tcW w:w="26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99,807</w:t>
            </w:r>
          </w:p>
        </w:tc>
        <w:tc>
          <w:tcPr>
            <w:tcW w:w="18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10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3"/>
                <w:szCs w:val="13"/>
                <w:color w:val="auto"/>
              </w:rPr>
              <w:t>Stated interest rate</w:t>
            </w: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256"/>
        <w:spacing w:after="0" w:line="260" w:lineRule="auto"/>
        <w:rPr>
          <w:sz w:val="20"/>
          <w:szCs w:val="20"/>
          <w:color w:val="auto"/>
        </w:rPr>
      </w:pPr>
      <w:r>
        <w:rPr>
          <w:rFonts w:ascii="Arial" w:cs="Arial" w:eastAsia="Arial" w:hAnsi="Arial"/>
          <w:sz w:val="13"/>
          <w:szCs w:val="13"/>
          <w:color w:val="auto"/>
        </w:rPr>
        <w:t>The stated interest rate in the table above does not include the effect of the interest rate swaps. The Company’s swap-adjusted interest rate was three month LIBOR plus 2.11% (on a weighted average basis) for the 2022 Convertible Notes. See Note 5 for further information about the Company’s interest rate swaps.</w:t>
      </w:r>
    </w:p>
    <w:p>
      <w:pPr>
        <w:spacing w:after="0" w:line="130" w:lineRule="exact"/>
        <w:rPr>
          <w:sz w:val="20"/>
          <w:szCs w:val="20"/>
          <w:color w:val="auto"/>
        </w:rPr>
      </w:pPr>
    </w:p>
    <w:p>
      <w:pPr>
        <w:jc w:val="both"/>
        <w:ind w:right="140" w:firstLine="256"/>
        <w:spacing w:after="0" w:line="282" w:lineRule="auto"/>
        <w:rPr>
          <w:sz w:val="20"/>
          <w:szCs w:val="20"/>
          <w:color w:val="auto"/>
        </w:rPr>
      </w:pPr>
      <w:r>
        <w:rPr>
          <w:rFonts w:ascii="Arial" w:cs="Arial" w:eastAsia="Arial" w:hAnsi="Arial"/>
          <w:sz w:val="12"/>
          <w:szCs w:val="12"/>
          <w:color w:val="auto"/>
        </w:rPr>
        <w:t>The indenture governing the 2022 Convertible Notes contains certain covenants, including covenants requiring the Company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March 31, 2022 and December 31, 2021, the Company was in compliance with the terms of the indenture governing the 2022 Convertible Notes.</w:t>
      </w:r>
    </w:p>
    <w:p>
      <w:pPr>
        <w:spacing w:after="0" w:line="119" w:lineRule="exact"/>
        <w:rPr>
          <w:sz w:val="20"/>
          <w:szCs w:val="20"/>
          <w:color w:val="auto"/>
        </w:rPr>
      </w:pPr>
    </w:p>
    <w:p>
      <w:pPr>
        <w:ind w:firstLine="256"/>
        <w:spacing w:after="0" w:line="282" w:lineRule="auto"/>
        <w:rPr>
          <w:sz w:val="20"/>
          <w:szCs w:val="20"/>
          <w:color w:val="auto"/>
        </w:rPr>
      </w:pPr>
      <w:r>
        <w:rPr>
          <w:rFonts w:ascii="Arial" w:cs="Arial" w:eastAsia="Arial" w:hAnsi="Arial"/>
          <w:sz w:val="12"/>
          <w:szCs w:val="12"/>
          <w:color w:val="auto"/>
        </w:rPr>
        <w:t>The 2022 Convertible Notes are accounted for in accordance with ASC Topic 470-20. During the period ended March 31, 2021, the Company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the Company calculates diluted earnings per shares using the if-converted method which assumes full share settlement for the aggregate value of the 2022 Convertible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39" w:name="page40"/>
    <w:bookmarkEnd w:id="39"/>
    <w:p>
      <w:pPr>
        <w:ind w:right="140" w:firstLine="256"/>
        <w:spacing w:after="0" w:line="251" w:lineRule="auto"/>
        <w:rPr>
          <w:sz w:val="20"/>
          <w:szCs w:val="20"/>
          <w:color w:val="auto"/>
        </w:rPr>
      </w:pPr>
      <w:r>
        <w:rPr>
          <w:rFonts w:ascii="Arial" w:cs="Arial" w:eastAsia="Arial" w:hAnsi="Arial"/>
          <w:sz w:val="13"/>
          <w:szCs w:val="13"/>
          <w:color w:val="auto"/>
        </w:rPr>
        <w:t>The average daily closing price of the Company’s common stock for the three months ended March 31, 2022 was greater than the estimated adjusted conversion price for the 2022 Convertible Notes outstanding as of March 31, 2022. The average daily closing price of the Company’s common stock for the three months ended March 31, 2021 was greater than the estimated adjusted conversion price for the 2022 Convertible Notes outstanding as of March 31, 2021.</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2023 Notes</w:t>
      </w:r>
    </w:p>
    <w:p>
      <w:pPr>
        <w:spacing w:after="0" w:line="77" w:lineRule="exact"/>
        <w:rPr>
          <w:sz w:val="20"/>
          <w:szCs w:val="20"/>
          <w:color w:val="auto"/>
        </w:rPr>
      </w:pPr>
    </w:p>
    <w:p>
      <w:pPr>
        <w:ind w:right="40" w:firstLine="256"/>
        <w:spacing w:after="0" w:line="248" w:lineRule="auto"/>
        <w:rPr>
          <w:sz w:val="20"/>
          <w:szCs w:val="20"/>
          <w:color w:val="auto"/>
        </w:rPr>
      </w:pPr>
      <w:r>
        <w:rPr>
          <w:rFonts w:ascii="Arial" w:cs="Arial" w:eastAsia="Arial" w:hAnsi="Arial"/>
          <w:sz w:val="13"/>
          <w:szCs w:val="13"/>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38" w:lineRule="exact"/>
        <w:rPr>
          <w:sz w:val="20"/>
          <w:szCs w:val="20"/>
          <w:color w:val="auto"/>
        </w:rPr>
      </w:pPr>
    </w:p>
    <w:p>
      <w:pPr>
        <w:ind w:right="60" w:firstLine="256"/>
        <w:spacing w:after="0" w:line="251" w:lineRule="auto"/>
        <w:rPr>
          <w:sz w:val="20"/>
          <w:szCs w:val="20"/>
          <w:color w:val="auto"/>
        </w:rPr>
      </w:pPr>
      <w:r>
        <w:rPr>
          <w:rFonts w:ascii="Arial" w:cs="Arial" w:eastAsia="Arial" w:hAnsi="Arial"/>
          <w:sz w:val="13"/>
          <w:szCs w:val="13"/>
          <w:color w:val="auto"/>
        </w:rPr>
        <w:t>In connection with the 2023 Notes offering, the Company entered into an interest rate swap to align the interest rates of its liabilities with the Company’s investment portfolio, which consists of predominately floating rate loans. The notional amount of the interest rate swap is $150.0 million, which matures on January 22, 2023, matching the maturity date of the 2023 Notes. As a result of the swap, the Company’s effective interest rate on the 2023 Notes is three-month LIBOR plus 1.99%. See Note 5 for further information about the Company’s interest rate swaps.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Notes</w:t>
      </w:r>
    </w:p>
    <w:p>
      <w:pPr>
        <w:spacing w:after="0" w:line="77" w:lineRule="exact"/>
        <w:rPr>
          <w:sz w:val="20"/>
          <w:szCs w:val="20"/>
          <w:color w:val="auto"/>
        </w:rPr>
      </w:pPr>
    </w:p>
    <w:p>
      <w:pPr>
        <w:ind w:right="180" w:firstLine="256"/>
        <w:spacing w:after="0" w:line="248" w:lineRule="auto"/>
        <w:rPr>
          <w:sz w:val="20"/>
          <w:szCs w:val="20"/>
          <w:color w:val="auto"/>
        </w:rPr>
      </w:pPr>
      <w:r>
        <w:rPr>
          <w:rFonts w:ascii="Arial" w:cs="Arial" w:eastAsia="Arial" w:hAnsi="Arial"/>
          <w:sz w:val="13"/>
          <w:szCs w:val="13"/>
          <w:color w:val="auto"/>
        </w:rPr>
        <w:t>In November 2019, the Company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138" w:lineRule="exact"/>
        <w:rPr>
          <w:sz w:val="20"/>
          <w:szCs w:val="20"/>
          <w:color w:val="auto"/>
        </w:rPr>
      </w:pPr>
    </w:p>
    <w:p>
      <w:pPr>
        <w:ind w:right="240" w:firstLine="256"/>
        <w:spacing w:after="0" w:line="248" w:lineRule="auto"/>
        <w:rPr>
          <w:sz w:val="20"/>
          <w:szCs w:val="20"/>
          <w:color w:val="auto"/>
        </w:rPr>
      </w:pPr>
      <w:r>
        <w:rPr>
          <w:rFonts w:ascii="Arial" w:cs="Arial" w:eastAsia="Arial" w:hAnsi="Arial"/>
          <w:sz w:val="13"/>
          <w:szCs w:val="13"/>
          <w:color w:val="auto"/>
        </w:rPr>
        <w:t>On February 5,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138" w:lineRule="exact"/>
        <w:rPr>
          <w:sz w:val="20"/>
          <w:szCs w:val="20"/>
          <w:color w:val="auto"/>
        </w:rPr>
      </w:pPr>
    </w:p>
    <w:p>
      <w:pPr>
        <w:ind w:firstLine="256"/>
        <w:spacing w:after="0" w:line="246" w:lineRule="auto"/>
        <w:rPr>
          <w:sz w:val="20"/>
          <w:szCs w:val="20"/>
          <w:color w:val="auto"/>
        </w:rPr>
      </w:pPr>
      <w:r>
        <w:rPr>
          <w:rFonts w:ascii="Arial" w:cs="Arial" w:eastAsia="Arial" w:hAnsi="Arial"/>
          <w:sz w:val="13"/>
          <w:szCs w:val="13"/>
          <w:color w:val="auto"/>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the Company’s effective interest rate on the 2024 Notes is three-month LIBOR 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 of operations. As of March 31, 2022 and December 31, 2021 the effective hedge interest rate swaps had a fair value of ($8.8) million and $4.4 million, respectively, which is offset within interest expense by an equal, but opposite, fair value change for the hedged risk on the 2024 Notes.</w:t>
      </w:r>
    </w:p>
    <w:p>
      <w:pPr>
        <w:spacing w:after="0" w:line="139" w:lineRule="exact"/>
        <w:rPr>
          <w:sz w:val="20"/>
          <w:szCs w:val="20"/>
          <w:color w:val="auto"/>
        </w:rPr>
      </w:pPr>
    </w:p>
    <w:p>
      <w:pPr>
        <w:ind w:right="20" w:firstLine="256"/>
        <w:spacing w:after="0" w:line="272" w:lineRule="auto"/>
        <w:rPr>
          <w:sz w:val="20"/>
          <w:szCs w:val="20"/>
          <w:color w:val="auto"/>
        </w:rPr>
      </w:pPr>
      <w:r>
        <w:rPr>
          <w:rFonts w:ascii="Arial" w:cs="Arial" w:eastAsia="Arial" w:hAnsi="Arial"/>
          <w:sz w:val="12"/>
          <w:szCs w:val="12"/>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 plus 2.28% (on a weighted average basis).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2026 Notes</w:t>
      </w:r>
    </w:p>
    <w:p>
      <w:pPr>
        <w:spacing w:after="0" w:line="153" w:lineRule="exact"/>
        <w:rPr>
          <w:sz w:val="20"/>
          <w:szCs w:val="20"/>
          <w:color w:val="auto"/>
        </w:rPr>
      </w:pPr>
    </w:p>
    <w:p>
      <w:pPr>
        <w:ind w:right="420" w:firstLine="256"/>
        <w:spacing w:after="0" w:line="260" w:lineRule="auto"/>
        <w:rPr>
          <w:sz w:val="20"/>
          <w:szCs w:val="20"/>
          <w:color w:val="auto"/>
        </w:rPr>
      </w:pPr>
      <w:r>
        <w:rPr>
          <w:rFonts w:ascii="Arial" w:cs="Arial" w:eastAsia="Arial" w:hAnsi="Arial"/>
          <w:sz w:val="13"/>
          <w:szCs w:val="13"/>
          <w:color w:val="auto"/>
        </w:rPr>
        <w:t>On February 3, 2021, the Company issued $300.0 million aggregate principal amount of unsecured notes that mature on August 1, 2026 (the “2026 Notes”). The principal amount of the 2026 Notes is payable at maturity. The 2026 Notes bear interest at a rate of 2.50%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433" w:right="339" w:bottom="1440" w:gutter="0" w:footer="0" w:header="0"/>
        </w:sectPr>
      </w:pPr>
    </w:p>
    <w:bookmarkStart w:id="40" w:name="page41"/>
    <w:bookmarkEnd w:id="40"/>
    <w:p>
      <w:pPr>
        <w:spacing w:after="0" w:line="251" w:lineRule="auto"/>
        <w:rPr>
          <w:sz w:val="20"/>
          <w:szCs w:val="20"/>
          <w:color w:val="auto"/>
        </w:rPr>
      </w:pPr>
      <w:r>
        <w:rPr>
          <w:rFonts w:ascii="Arial" w:cs="Arial" w:eastAsia="Arial" w:hAnsi="Arial"/>
          <w:sz w:val="13"/>
          <w:szCs w:val="13"/>
          <w:color w:val="auto"/>
        </w:rPr>
        <w:t>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 million. The Company used the net proceeds of the 2026 Notes to repay outstanding indebtedness under the Revolving Credit Facility.</w:t>
      </w:r>
    </w:p>
    <w:p>
      <w:pPr>
        <w:spacing w:after="0" w:line="136" w:lineRule="exact"/>
        <w:rPr>
          <w:sz w:val="20"/>
          <w:szCs w:val="20"/>
          <w:color w:val="auto"/>
        </w:rPr>
      </w:pPr>
    </w:p>
    <w:p>
      <w:pPr>
        <w:ind w:firstLine="256"/>
        <w:spacing w:after="0" w:line="303" w:lineRule="auto"/>
        <w:rPr>
          <w:sz w:val="20"/>
          <w:szCs w:val="20"/>
          <w:color w:val="auto"/>
        </w:rPr>
      </w:pPr>
      <w:r>
        <w:rPr>
          <w:rFonts w:ascii="Arial" w:cs="Arial" w:eastAsia="Arial" w:hAnsi="Arial"/>
          <w:sz w:val="11"/>
          <w:szCs w:val="11"/>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three-month LIBOR plus 1.91%. The interest expense related to the 2026 Notes is offset by proceeds received from the interest rate swaps designated as a hedge. The swap adjusted interest expense is included as a component of interest expense on the Company’s consolidated statement of operations. As of March 31, 2022 and December 31, 2021 the effective hedge interest rate swaps had a fair value of ($24.2) million and ($10.2) million, respectively, which is offset within interest expense by an equal, but opposite, fair value change for the hedged risk on the 2026 Notes.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the three months ended March 31, 2022 and 2021, the components of interest expense related to the 2023 Notes, 2024 Notes and 2026 Notes were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4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3"/>
        </w:trPr>
        <w:tc>
          <w:tcPr>
            <w:tcW w:w="20" w:type="dxa"/>
            <w:vAlign w:val="bottom"/>
          </w:tcPr>
          <w:p>
            <w:pPr>
              <w:spacing w:after="0"/>
              <w:rPr>
                <w:sz w:val="8"/>
                <w:szCs w:val="8"/>
                <w:color w:val="auto"/>
              </w:rPr>
            </w:pPr>
          </w:p>
        </w:tc>
        <w:tc>
          <w:tcPr>
            <w:tcW w:w="4120" w:type="dxa"/>
            <w:vAlign w:val="bottom"/>
            <w:tcBorders>
              <w:bottom w:val="single" w:sz="8" w:color="CFF0FC"/>
            </w:tcBorders>
          </w:tcPr>
          <w:p>
            <w:pPr>
              <w:spacing w:after="0"/>
              <w:rPr>
                <w:sz w:val="8"/>
                <w:szCs w:val="8"/>
                <w:color w:val="auto"/>
              </w:rPr>
            </w:pPr>
          </w:p>
        </w:tc>
        <w:tc>
          <w:tcPr>
            <w:tcW w:w="2080" w:type="dxa"/>
            <w:vAlign w:val="bottom"/>
            <w:tcBorders>
              <w:bottom w:val="single" w:sz="8" w:color="CFF0FC"/>
            </w:tcBorders>
          </w:tcPr>
          <w:p>
            <w:pPr>
              <w:spacing w:after="0"/>
              <w:rPr>
                <w:sz w:val="8"/>
                <w:szCs w:val="8"/>
                <w:color w:val="auto"/>
              </w:rPr>
            </w:pPr>
          </w:p>
        </w:tc>
        <w:tc>
          <w:tcPr>
            <w:tcW w:w="94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March 31, 2022</w:t>
            </w: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CFF0FC"/>
            </w:tcBorders>
          </w:tcPr>
          <w:p>
            <w:pPr>
              <w:spacing w:after="0"/>
              <w:rPr>
                <w:sz w:val="8"/>
                <w:szCs w:val="8"/>
                <w:color w:val="auto"/>
              </w:rPr>
            </w:pPr>
          </w:p>
        </w:tc>
        <w:tc>
          <w:tcPr>
            <w:tcW w:w="960" w:type="dxa"/>
            <w:vAlign w:val="bottom"/>
            <w:tcBorders>
              <w:bottom w:val="single" w:sz="8" w:color="auto"/>
            </w:tcBorders>
          </w:tcPr>
          <w:p>
            <w:pPr>
              <w:jc w:val="right"/>
              <w:spacing w:after="0" w:line="103" w:lineRule="exact"/>
              <w:rPr>
                <w:sz w:val="20"/>
                <w:szCs w:val="20"/>
                <w:color w:val="auto"/>
              </w:rPr>
            </w:pPr>
            <w:r>
              <w:rPr>
                <w:rFonts w:ascii="Arial" w:cs="Arial" w:eastAsia="Arial" w:hAnsi="Arial"/>
                <w:sz w:val="10"/>
                <w:szCs w:val="10"/>
                <w:b w:val="1"/>
                <w:bCs w:val="1"/>
                <w:color w:val="auto"/>
              </w:rPr>
              <w:t>March 31, 2021</w:t>
            </w: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CFF0FC"/>
            </w:tcBorders>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Interest expense</w:t>
            </w:r>
          </w:p>
        </w:tc>
        <w:tc>
          <w:tcPr>
            <w:tcW w:w="3020" w:type="dxa"/>
            <w:vAlign w:val="bottom"/>
            <w:gridSpan w:val="2"/>
            <w:shd w:val="clear" w:color="auto" w:fill="CFF0FC"/>
          </w:tcPr>
          <w:p>
            <w:pPr>
              <w:jc w:val="right"/>
              <w:ind w:right="83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6,929</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852"/>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9"/>
              </w:rPr>
              <w:t>6,300</w:t>
            </w:r>
          </w:p>
        </w:tc>
        <w:tc>
          <w:tcPr>
            <w:tcW w:w="80" w:type="dxa"/>
            <w:vAlign w:val="bottom"/>
            <w:shd w:val="clear" w:color="auto" w:fill="CFF0FC"/>
          </w:tcPr>
          <w:p>
            <w:pPr>
              <w:spacing w:after="0"/>
              <w:rPr>
                <w:sz w:val="13"/>
                <w:szCs w:val="13"/>
                <w:color w:val="auto"/>
              </w:rPr>
            </w:pPr>
          </w:p>
        </w:tc>
      </w:tr>
      <w:tr>
        <w:trPr>
          <w:trHeight w:val="161"/>
        </w:trPr>
        <w:tc>
          <w:tcPr>
            <w:tcW w:w="4140" w:type="dxa"/>
            <w:vAlign w:val="bottom"/>
            <w:gridSpan w:val="2"/>
          </w:tcPr>
          <w:p>
            <w:pPr>
              <w:spacing w:after="0"/>
              <w:rPr>
                <w:sz w:val="20"/>
                <w:szCs w:val="20"/>
                <w:color w:val="auto"/>
              </w:rPr>
            </w:pPr>
            <w:r>
              <w:rPr>
                <w:rFonts w:ascii="Arial" w:cs="Arial" w:eastAsia="Arial" w:hAnsi="Arial"/>
                <w:sz w:val="13"/>
                <w:szCs w:val="13"/>
                <w:color w:val="auto"/>
              </w:rPr>
              <w:t>Accretion of original issue discount</w:t>
            </w:r>
          </w:p>
        </w:tc>
        <w:tc>
          <w:tcPr>
            <w:tcW w:w="2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187</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3"/>
                <w:szCs w:val="13"/>
                <w:color w:val="auto"/>
              </w:rPr>
              <w:t>Amortization of deferred financing costs</w:t>
            </w:r>
          </w:p>
        </w:tc>
        <w:tc>
          <w:tcPr>
            <w:tcW w:w="2080" w:type="dxa"/>
            <w:vAlign w:val="bottom"/>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594</w:t>
            </w:r>
          </w:p>
        </w:tc>
        <w:tc>
          <w:tcPr>
            <w:tcW w:w="240" w:type="dxa"/>
            <w:vAlign w:val="bottom"/>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523</w:t>
            </w:r>
          </w:p>
        </w:tc>
        <w:tc>
          <w:tcPr>
            <w:tcW w:w="80" w:type="dxa"/>
            <w:vAlign w:val="bottom"/>
            <w:shd w:val="clear" w:color="auto" w:fill="CFF0FC"/>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4120" w:type="dxa"/>
            <w:vAlign w:val="bottom"/>
          </w:tcPr>
          <w:p>
            <w:pPr>
              <w:ind w:left="160"/>
              <w:spacing w:after="0"/>
              <w:rPr>
                <w:sz w:val="20"/>
                <w:szCs w:val="20"/>
                <w:color w:val="auto"/>
              </w:rPr>
            </w:pPr>
            <w:r>
              <w:rPr>
                <w:rFonts w:ascii="Arial" w:cs="Arial" w:eastAsia="Arial" w:hAnsi="Arial"/>
                <w:sz w:val="13"/>
                <w:szCs w:val="13"/>
                <w:b w:val="1"/>
                <w:bCs w:val="1"/>
                <w:color w:val="auto"/>
              </w:rPr>
              <w:t>Total Interest Expense</w:t>
            </w:r>
          </w:p>
        </w:tc>
        <w:tc>
          <w:tcPr>
            <w:tcW w:w="3020" w:type="dxa"/>
            <w:vAlign w:val="bottom"/>
            <w:gridSpan w:val="2"/>
          </w:tcPr>
          <w:p>
            <w:pPr>
              <w:jc w:val="right"/>
              <w:ind w:right="83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7,710</w:t>
            </w:r>
          </w:p>
        </w:tc>
        <w:tc>
          <w:tcPr>
            <w:tcW w:w="240" w:type="dxa"/>
            <w:vAlign w:val="bottom"/>
          </w:tcPr>
          <w:p>
            <w:pPr>
              <w:spacing w:after="0"/>
              <w:rPr>
                <w:sz w:val="13"/>
                <w:szCs w:val="13"/>
                <w:color w:val="auto"/>
              </w:rPr>
            </w:pPr>
          </w:p>
        </w:tc>
        <w:tc>
          <w:tcPr>
            <w:tcW w:w="960" w:type="dxa"/>
            <w:vAlign w:val="bottom"/>
          </w:tcPr>
          <w:p>
            <w:pPr>
              <w:jc w:val="right"/>
              <w:ind w:right="852"/>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79"/>
              </w:rPr>
              <w:t>6,971</w:t>
            </w:r>
          </w:p>
        </w:tc>
        <w:tc>
          <w:tcPr>
            <w:tcW w:w="80" w:type="dxa"/>
            <w:vAlign w:val="bottom"/>
          </w:tcPr>
          <w:p>
            <w:pPr>
              <w:spacing w:after="0"/>
              <w:rPr>
                <w:sz w:val="13"/>
                <w:szCs w:val="13"/>
                <w:color w:val="auto"/>
              </w:rPr>
            </w:pPr>
          </w:p>
        </w:tc>
      </w:tr>
      <w:tr>
        <w:trPr>
          <w:trHeight w:val="28"/>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71" w:lineRule="exact"/>
        <w:rPr>
          <w:sz w:val="20"/>
          <w:szCs w:val="20"/>
          <w:color w:val="auto"/>
        </w:rPr>
      </w:pPr>
    </w:p>
    <w:p>
      <w:pPr>
        <w:ind w:right="180" w:firstLine="256"/>
        <w:spacing w:after="0" w:line="319" w:lineRule="auto"/>
        <w:rPr>
          <w:sz w:val="20"/>
          <w:szCs w:val="20"/>
          <w:color w:val="auto"/>
        </w:rPr>
      </w:pPr>
      <w:r>
        <w:rPr>
          <w:rFonts w:ascii="Arial" w:cs="Arial" w:eastAsia="Arial" w:hAnsi="Arial"/>
          <w:sz w:val="11"/>
          <w:szCs w:val="11"/>
          <w:color w:val="auto"/>
        </w:rPr>
        <w:t>Total interest expense in the table above does not include the effect of the interest rate swaps related to the 2023 Notes, 2024 Notes and 2026 Notes. During the three months ended March 31, 2022 and 2021 the Company received $6.9 million and $6.2 million, respectively, and paid $4.5 million and $3.9 million, respectively, related to the settlements of its interest rate swaps, excluding upfront fees, related to the 2023, 2024 and 2026 Notes. These net amounts are reflected in interest expense in the Company’s consolidated statements of operations. See Note 5 for further information about the Company’s interest rate swaps.</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March 31, 2022 and December 31, 2021, the components of the carrying value of the 2023 Notes, 2024 Notes and 2026 Notes and the stated interest rate were as follows:</w:t>
      </w:r>
    </w:p>
    <w:p>
      <w:pPr>
        <w:spacing w:after="0" w:line="213" w:lineRule="exact"/>
        <w:rPr>
          <w:sz w:val="20"/>
          <w:szCs w:val="20"/>
          <w:color w:val="auto"/>
        </w:rPr>
      </w:pPr>
    </w:p>
    <w:tbl>
      <w:tblPr>
        <w:tblLayout w:type="fixed"/>
        <w:tblInd w:w="11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w w:val="92"/>
              </w:rPr>
              <w:t>March 31, 2022</w:t>
            </w: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w w:val="88"/>
              </w:rPr>
              <w:t>December 31, 2021</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87"/>
              </w:rPr>
              <w:t>2023 Notes</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87"/>
              </w:rPr>
              <w:t>2024 Notes</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0"/>
              </w:rPr>
              <w:t>2026 Notes</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90"/>
              </w:rPr>
              <w:t>2023 Notes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w w:val="90"/>
              </w:rPr>
              <w:t>2024 Notes</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0"/>
                <w:szCs w:val="10"/>
                <w:b w:val="1"/>
                <w:bCs w:val="1"/>
                <w:color w:val="auto"/>
                <w:w w:val="90"/>
              </w:rPr>
              <w:t>2026 Notes</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3"/>
                <w:szCs w:val="13"/>
                <w:color w:val="auto"/>
              </w:rPr>
              <w:t>Principal amount of debt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2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347,500</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347,500</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820" w:type="dxa"/>
            <w:vAlign w:val="bottom"/>
            <w:gridSpan w:val="2"/>
          </w:tcPr>
          <w:p>
            <w:pPr>
              <w:spacing w:after="0"/>
              <w:rPr>
                <w:sz w:val="20"/>
                <w:szCs w:val="20"/>
                <w:color w:val="auto"/>
              </w:rPr>
            </w:pPr>
            <w:r>
              <w:rPr>
                <w:rFonts w:ascii="Arial" w:cs="Arial" w:eastAsia="Arial" w:hAnsi="Arial"/>
                <w:sz w:val="13"/>
                <w:szCs w:val="13"/>
                <w:color w:val="auto"/>
              </w:rPr>
              <w:t>Original issue discount, net of accretion</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(1,001)</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(1,759)</w:t>
            </w: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(1,091)</w:t>
            </w: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(1,853)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00" w:type="dxa"/>
            <w:vAlign w:val="bottom"/>
            <w:shd w:val="clear" w:color="auto" w:fill="CFF0FC"/>
          </w:tcPr>
          <w:p>
            <w:pPr>
              <w:spacing w:after="0"/>
              <w:rPr>
                <w:sz w:val="20"/>
                <w:szCs w:val="20"/>
                <w:color w:val="auto"/>
              </w:rPr>
            </w:pPr>
            <w:r>
              <w:rPr>
                <w:rFonts w:ascii="Arial" w:cs="Arial" w:eastAsia="Arial" w:hAnsi="Arial"/>
                <w:sz w:val="13"/>
                <w:szCs w:val="13"/>
                <w:color w:val="auto"/>
              </w:rPr>
              <w:t>Deferred financing costs</w:t>
            </w: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(524)</w:t>
            </w:r>
          </w:p>
        </w:tc>
        <w:tc>
          <w:tcPr>
            <w:tcW w:w="10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(2,635)</w:t>
            </w:r>
          </w:p>
        </w:tc>
        <w:tc>
          <w:tcPr>
            <w:tcW w:w="8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(3,241)</w:t>
            </w:r>
          </w:p>
        </w:tc>
        <w:tc>
          <w:tcPr>
            <w:tcW w:w="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(683)</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(2,886)</w:t>
            </w:r>
          </w:p>
        </w:tc>
        <w:tc>
          <w:tcPr>
            <w:tcW w:w="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(3,426)</w:t>
            </w:r>
          </w:p>
        </w:tc>
        <w:tc>
          <w:tcPr>
            <w:tcW w:w="0" w:type="dxa"/>
            <w:vAlign w:val="bottom"/>
          </w:tcPr>
          <w:p>
            <w:pPr>
              <w:spacing w:after="0"/>
              <w:rPr>
                <w:sz w:val="1"/>
                <w:szCs w:val="1"/>
                <w:color w:val="auto"/>
              </w:rPr>
            </w:pPr>
          </w:p>
        </w:tc>
      </w:tr>
      <w:tr>
        <w:trPr>
          <w:trHeight w:val="161"/>
        </w:trPr>
        <w:tc>
          <w:tcPr>
            <w:tcW w:w="2820" w:type="dxa"/>
            <w:vAlign w:val="bottom"/>
            <w:gridSpan w:val="2"/>
          </w:tcPr>
          <w:p>
            <w:pPr>
              <w:spacing w:after="0"/>
              <w:rPr>
                <w:sz w:val="20"/>
                <w:szCs w:val="20"/>
                <w:color w:val="auto"/>
              </w:rPr>
            </w:pPr>
            <w:r>
              <w:rPr>
                <w:rFonts w:ascii="Arial" w:cs="Arial" w:eastAsia="Arial" w:hAnsi="Arial"/>
                <w:sz w:val="13"/>
                <w:szCs w:val="13"/>
                <w:color w:val="auto"/>
              </w:rPr>
              <w:t>Fair value of an effective hedge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(8,818)</w:t>
            </w:r>
          </w:p>
        </w:tc>
        <w:tc>
          <w:tcPr>
            <w:tcW w:w="8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(24,221)</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4,373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(10,239)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Carrying value of debt</w:t>
            </w:r>
          </w:p>
        </w:tc>
        <w:tc>
          <w:tcPr>
            <w:tcW w:w="8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800" w:type="dxa"/>
            <w:vAlign w:val="bottom"/>
            <w:vMerge w:val="continue"/>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149,468</w:t>
            </w:r>
          </w:p>
        </w:tc>
        <w:tc>
          <w:tcPr>
            <w:tcW w:w="20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335,046</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270,779</w:t>
            </w:r>
          </w:p>
        </w:tc>
        <w:tc>
          <w:tcPr>
            <w:tcW w:w="20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149,306</w:t>
            </w:r>
          </w:p>
        </w:tc>
        <w:tc>
          <w:tcPr>
            <w:tcW w:w="12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347,896</w:t>
            </w:r>
          </w:p>
        </w:tc>
        <w:tc>
          <w:tcPr>
            <w:tcW w:w="2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284,482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820" w:type="dxa"/>
            <w:vAlign w:val="bottom"/>
            <w:gridSpan w:val="2"/>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820" w:type="dxa"/>
            <w:vAlign w:val="bottom"/>
            <w:gridSpan w:val="2"/>
          </w:tcPr>
          <w:p>
            <w:pPr>
              <w:spacing w:after="0"/>
              <w:rPr>
                <w:sz w:val="20"/>
                <w:szCs w:val="20"/>
                <w:color w:val="auto"/>
              </w:rPr>
            </w:pPr>
            <w:r>
              <w:rPr>
                <w:rFonts w:ascii="Arial" w:cs="Arial" w:eastAsia="Arial" w:hAnsi="Arial"/>
                <w:sz w:val="13"/>
                <w:szCs w:val="13"/>
                <w:color w:val="auto"/>
              </w:rPr>
              <w:t>Stated interest rate</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3.875%</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4.50%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3.875%</w:t>
            </w:r>
          </w:p>
        </w:tc>
        <w:tc>
          <w:tcPr>
            <w:tcW w:w="8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The stated interest rate in the table above does not include the effect of the interest rate swaps. As of March 31, 2022 and December 31, 2021, the Company’s swap-adjusted interest rate on the 2023 Notes, 2024 Notes and 2026 Notes is three month LIBOR plus 1.99%, 2.28% (on a weighted average basis), and 1.91%, respectively.</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March 31, 2022 and December 31, 2021, the Company was in compliance with the terms of the indentures governing the 2023 Notes, 2024 Notes and 2026 Notes.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433" w:right="339" w:bottom="1440" w:gutter="0" w:footer="0" w:header="0"/>
        </w:sectPr>
      </w:pPr>
    </w:p>
    <w:bookmarkStart w:id="41" w:name="page42"/>
    <w:bookmarkEnd w:id="41"/>
    <w:p>
      <w:pPr>
        <w:ind w:left="4"/>
        <w:spacing w:after="0"/>
        <w:rPr>
          <w:sz w:val="20"/>
          <w:szCs w:val="20"/>
          <w:color w:val="auto"/>
        </w:rPr>
      </w:pPr>
      <w:r>
        <w:rPr>
          <w:rFonts w:ascii="Arial" w:cs="Arial" w:eastAsia="Arial" w:hAnsi="Arial"/>
          <w:sz w:val="13"/>
          <w:szCs w:val="13"/>
          <w:b w:val="1"/>
          <w:bCs w:val="1"/>
          <w:color w:val="auto"/>
        </w:rPr>
        <w:t>8. Commitments and Contingencies</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Portfolio Company Commitments</w:t>
      </w:r>
    </w:p>
    <w:p>
      <w:pPr>
        <w:spacing w:after="0" w:line="77" w:lineRule="exact"/>
        <w:rPr>
          <w:sz w:val="20"/>
          <w:szCs w:val="20"/>
          <w:color w:val="auto"/>
        </w:rPr>
      </w:pPr>
    </w:p>
    <w:p>
      <w:pPr>
        <w:ind w:left="4" w:firstLine="256"/>
        <w:spacing w:after="0" w:line="248" w:lineRule="auto"/>
        <w:rPr>
          <w:sz w:val="20"/>
          <w:szCs w:val="20"/>
          <w:color w:val="auto"/>
        </w:rPr>
      </w:pPr>
      <w:r>
        <w:rPr>
          <w:rFonts w:ascii="Arial" w:cs="Arial" w:eastAsia="Arial" w:hAnsi="Arial"/>
          <w:sz w:val="13"/>
          <w:szCs w:val="13"/>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38" w:lineRule="exact"/>
        <w:rPr>
          <w:sz w:val="20"/>
          <w:szCs w:val="20"/>
          <w:color w:val="auto"/>
        </w:rPr>
      </w:pPr>
    </w:p>
    <w:p>
      <w:pPr>
        <w:ind w:left="264"/>
        <w:spacing w:after="0"/>
        <w:rPr>
          <w:sz w:val="20"/>
          <w:szCs w:val="20"/>
          <w:color w:val="auto"/>
        </w:rPr>
      </w:pPr>
      <w:r>
        <w:rPr>
          <w:rFonts w:ascii="Arial" w:cs="Arial" w:eastAsia="Arial" w:hAnsi="Arial"/>
          <w:sz w:val="13"/>
          <w:szCs w:val="13"/>
          <w:color w:val="auto"/>
        </w:rPr>
        <w:t>As of March 31, 2022 and December 31, 2021, the Company had the following commitments to fund investments in current portfolio companies:</w:t>
      </w:r>
    </w:p>
    <w:p>
      <w:pPr>
        <w:spacing w:after="0" w:line="138" w:lineRule="exact"/>
        <w:rPr>
          <w:sz w:val="20"/>
          <w:szCs w:val="20"/>
          <w:color w:val="auto"/>
        </w:rPr>
      </w:pPr>
    </w:p>
    <w:tbl>
      <w:tblPr>
        <w:tblLayout w:type="fixed"/>
        <w:tblInd w:w="564" w:type="dxa"/>
        <w:tblCellMar>
          <w:top w:w="0" w:type="dxa"/>
          <w:left w:w="0" w:type="dxa"/>
          <w:bottom w:w="0" w:type="dxa"/>
          <w:right w:w="0" w:type="dxa"/>
        </w:tblCellMar>
      </w:tblPr>
      <w:tr>
        <w:trPr>
          <w:trHeight w:val="119"/>
        </w:trPr>
        <w:tc>
          <w:tcPr>
            <w:tcW w:w="6260" w:type="dxa"/>
            <w:vAlign w:val="bottom"/>
            <w:tcBorders>
              <w:bottom w:val="single" w:sz="8" w:color="CFF0FC"/>
            </w:tcBorders>
          </w:tcPr>
          <w:p>
            <w:pPr>
              <w:spacing w:after="0"/>
              <w:rPr>
                <w:sz w:val="10"/>
                <w:szCs w:val="10"/>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March 31, 2022</w:t>
            </w: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December 31, 2021</w:t>
            </w:r>
          </w:p>
        </w:tc>
        <w:tc>
          <w:tcPr>
            <w:tcW w:w="100" w:type="dxa"/>
            <w:vAlign w:val="bottom"/>
            <w:tcBorders>
              <w:bottom w:val="single" w:sz="8" w:color="CFF0FC"/>
            </w:tcBorders>
          </w:tcPr>
          <w:p>
            <w:pPr>
              <w:spacing w:after="0"/>
              <w:rPr>
                <w:sz w:val="10"/>
                <w:szCs w:val="10"/>
                <w:color w:val="auto"/>
              </w:rPr>
            </w:pPr>
          </w:p>
        </w:tc>
      </w:tr>
      <w:tr>
        <w:trPr>
          <w:trHeight w:val="150"/>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Alpha Midco, Inc. - Delayed Draw</w:t>
            </w:r>
          </w:p>
        </w:tc>
        <w:tc>
          <w:tcPr>
            <w:tcW w:w="1280" w:type="dxa"/>
            <w:vAlign w:val="bottom"/>
            <w:shd w:val="clear" w:color="auto" w:fill="CFF0FC"/>
          </w:tcPr>
          <w:p>
            <w:pPr>
              <w:jc w:val="right"/>
              <w:ind w:right="1172"/>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3,434</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4,444</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American Achievement, Corp. -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2,403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2,403</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AvidXchange, Inc.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1,021</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Axonify, Inc.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5,985</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6,850</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Bayshore Intermediate #2, L.P.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2,398</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BCTO Ace Purchaser, Inc.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12,301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Biohaven Pharmaceuticals, Inc.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BlueSnap, Inc. - Delayed Draw &amp;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12,500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Clinicient, Inc.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1,600</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DaySmart Holdings, LLC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3,992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4,630</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Destiny Solutions Parent Holding Company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6,478</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Dye &amp; Durham Corp. - Delayed Draw &amp;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7,973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7,884</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Elysian Finco Ltd. - Delayed Draw &amp;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8,544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Employment Hero Holdings Pty Ltd. - Delayed Draw &amp;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17,272</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16,722</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EMS Linq, Inc.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8,784</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8,784</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ExtraHop Networks, Inc.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22,621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24,389</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ForeScout Technologies, Inc.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G Treasury SS, LLC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3,214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6,986</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Ibis Intermediate Co.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6,338</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6,338</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IntelePeer Holdings, Inc.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2,643</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IRGSE Holding Corp.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673</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673</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Kyriba Corp. -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48</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Lithium Technologies, LLC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1,979</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Lucidworks, Inc. - Delayed Draw &amp;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3,333</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Netwrix Corp. - Delayed Draw &amp;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6,351</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Neuintel, LLC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8,600</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PageUp People, Ltd.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31,165</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30,173</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Passport Labs, Inc. - Delayed Draw &amp;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8,333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8,334</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Piano Software, Inc.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PrimePay Intermediate, LLC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8,000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8,000</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PrimeRevenue, Inc. - Delayed Draw &amp;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6,500</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Project44, Inc.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19,861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19,861</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ReliaQuest Holdings, LLC - Delayed Draw &amp;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27,861</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29,877</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Tango Management Consulting, LLC - Delayed Draw &amp; Revolver</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31,950</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38,750</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TRP Assets, LLC - Delayed Draw</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18,000</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18,000</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Pr>
          <w:p>
            <w:pPr>
              <w:spacing w:after="0"/>
              <w:rPr>
                <w:sz w:val="20"/>
                <w:szCs w:val="20"/>
                <w:color w:val="auto"/>
              </w:rPr>
            </w:pPr>
            <w:r>
              <w:rPr>
                <w:rFonts w:ascii="Arial" w:cs="Arial" w:eastAsia="Arial" w:hAnsi="Arial"/>
                <w:sz w:val="13"/>
                <w:szCs w:val="13"/>
                <w:color w:val="auto"/>
              </w:rPr>
              <w:t>Verdad Resources Intermediate Holdings, LLC - Delayed Draw</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7,778</w:t>
            </w:r>
          </w:p>
        </w:tc>
        <w:tc>
          <w:tcPr>
            <w:tcW w:w="100" w:type="dxa"/>
            <w:vAlign w:val="bottom"/>
          </w:tcPr>
          <w:p>
            <w:pPr>
              <w:spacing w:after="0"/>
              <w:rPr>
                <w:sz w:val="13"/>
                <w:szCs w:val="13"/>
                <w:color w:val="auto"/>
              </w:rPr>
            </w:pPr>
          </w:p>
        </w:tc>
      </w:tr>
      <w:tr>
        <w:trPr>
          <w:trHeight w:val="161"/>
        </w:trPr>
        <w:tc>
          <w:tcPr>
            <w:tcW w:w="6260" w:type="dxa"/>
            <w:vAlign w:val="bottom"/>
            <w:shd w:val="clear" w:color="auto" w:fill="CFF0FC"/>
          </w:tcPr>
          <w:p>
            <w:pPr>
              <w:spacing w:after="0"/>
              <w:rPr>
                <w:sz w:val="20"/>
                <w:szCs w:val="20"/>
                <w:color w:val="auto"/>
              </w:rPr>
            </w:pPr>
            <w:r>
              <w:rPr>
                <w:rFonts w:ascii="Arial" w:cs="Arial" w:eastAsia="Arial" w:hAnsi="Arial"/>
                <w:sz w:val="13"/>
                <w:szCs w:val="13"/>
                <w:color w:val="auto"/>
              </w:rPr>
              <w:t>WideOrbit, Inc. - Revolver</w:t>
            </w:r>
          </w:p>
        </w:tc>
        <w:tc>
          <w:tcPr>
            <w:tcW w:w="1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4,756</w:t>
            </w:r>
          </w:p>
        </w:tc>
        <w:tc>
          <w:tcPr>
            <w:tcW w:w="2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4,756</w:t>
            </w:r>
          </w:p>
        </w:tc>
        <w:tc>
          <w:tcPr>
            <w:tcW w:w="100" w:type="dxa"/>
            <w:vAlign w:val="bottom"/>
            <w:shd w:val="clear" w:color="auto" w:fill="CFF0FC"/>
          </w:tcPr>
          <w:p>
            <w:pPr>
              <w:spacing w:after="0"/>
              <w:rPr>
                <w:sz w:val="13"/>
                <w:szCs w:val="13"/>
                <w:color w:val="auto"/>
              </w:rPr>
            </w:pPr>
          </w:p>
        </w:tc>
      </w:tr>
      <w:tr>
        <w:trPr>
          <w:trHeight w:val="161"/>
        </w:trPr>
        <w:tc>
          <w:tcPr>
            <w:tcW w:w="62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Workwell Acquisition Co. - Delayed Draw</w:t>
            </w:r>
          </w:p>
        </w:tc>
        <w:tc>
          <w:tcPr>
            <w:tcW w:w="1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tcBorders>
              <w:bottom w:val="single" w:sz="8" w:color="CFF0FC"/>
            </w:tcBorders>
          </w:tcPr>
          <w:p>
            <w:pPr>
              <w:spacing w:after="0"/>
              <w:rPr>
                <w:sz w:val="13"/>
                <w:szCs w:val="13"/>
                <w:color w:val="auto"/>
              </w:rPr>
            </w:pPr>
          </w:p>
        </w:tc>
      </w:tr>
      <w:tr>
        <w:trPr>
          <w:trHeight w:val="150"/>
        </w:trPr>
        <w:tc>
          <w:tcPr>
            <w:tcW w:w="6260" w:type="dxa"/>
            <w:vAlign w:val="bottom"/>
            <w:shd w:val="clear" w:color="auto" w:fill="CFF0FC"/>
          </w:tcPr>
          <w:p>
            <w:pPr>
              <w:ind w:left="180"/>
              <w:spacing w:after="0"/>
              <w:rPr>
                <w:sz w:val="20"/>
                <w:szCs w:val="20"/>
                <w:color w:val="auto"/>
              </w:rPr>
            </w:pPr>
            <w:r>
              <w:rPr>
                <w:rFonts w:ascii="Arial" w:cs="Arial" w:eastAsia="Arial" w:hAnsi="Arial"/>
                <w:sz w:val="13"/>
                <w:szCs w:val="13"/>
                <w:b w:val="1"/>
                <w:bCs w:val="1"/>
                <w:color w:val="auto"/>
              </w:rPr>
              <w:t xml:space="preserve">Total Portfolio Company Commitments </w:t>
            </w:r>
            <w:r>
              <w:rPr>
                <w:rFonts w:ascii="Arial" w:cs="Arial" w:eastAsia="Arial" w:hAnsi="Arial"/>
                <w:sz w:val="10"/>
                <w:szCs w:val="10"/>
                <w:b w:val="1"/>
                <w:bCs w:val="1"/>
                <w:color w:val="auto"/>
              </w:rPr>
              <w:t>(1)(2)</w:t>
            </w:r>
          </w:p>
        </w:tc>
        <w:tc>
          <w:tcPr>
            <w:tcW w:w="1280" w:type="dxa"/>
            <w:vAlign w:val="bottom"/>
            <w:shd w:val="clear" w:color="auto" w:fill="CFF0FC"/>
          </w:tcPr>
          <w:p>
            <w:pPr>
              <w:jc w:val="right"/>
              <w:ind w:right="1172"/>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314,364</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332,074</w:t>
            </w:r>
          </w:p>
        </w:tc>
        <w:tc>
          <w:tcPr>
            <w:tcW w:w="100" w:type="dxa"/>
            <w:vAlign w:val="bottom"/>
            <w:shd w:val="clear" w:color="auto" w:fill="CFF0FC"/>
          </w:tcPr>
          <w:p>
            <w:pPr>
              <w:spacing w:after="0"/>
              <w:rPr>
                <w:sz w:val="13"/>
                <w:szCs w:val="13"/>
                <w:color w:val="auto"/>
              </w:rPr>
            </w:pPr>
          </w:p>
        </w:tc>
      </w:tr>
      <w:tr>
        <w:trPr>
          <w:trHeight w:val="28"/>
        </w:trPr>
        <w:tc>
          <w:tcPr>
            <w:tcW w:w="6260" w:type="dxa"/>
            <w:vAlign w:val="bottom"/>
            <w:shd w:val="clear" w:color="auto" w:fill="CFF0FC"/>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05" w:lineRule="exact"/>
        <w:rPr>
          <w:sz w:val="20"/>
          <w:szCs w:val="20"/>
          <w:color w:val="auto"/>
        </w:rPr>
      </w:pPr>
    </w:p>
    <w:p>
      <w:pPr>
        <w:ind w:left="504" w:right="140" w:hanging="504"/>
        <w:spacing w:after="0" w:line="260" w:lineRule="auto"/>
        <w:tabs>
          <w:tab w:leader="none" w:pos="504"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4"/>
          </w:cols>
          <w:pgMar w:left="296" w:top="505" w:right="319" w:bottom="1440" w:gutter="0" w:footer="0" w:header="0"/>
        </w:sectPr>
      </w:pPr>
    </w:p>
    <w:bookmarkStart w:id="42" w:name="page43"/>
    <w:bookmarkEnd w:id="42"/>
    <w:p>
      <w:pPr>
        <w:ind w:left="504" w:hanging="504"/>
        <w:spacing w:after="0"/>
        <w:tabs>
          <w:tab w:leader="none" w:pos="504"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Company’s estimate of the fair value of the current investments in these portfolio companies includes an analysis of the fair value of any unfunded commitments.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Other Commitments and Contingencies</w:t>
      </w:r>
    </w:p>
    <w:p>
      <w:pPr>
        <w:spacing w:after="0" w:line="77" w:lineRule="exact"/>
        <w:rPr>
          <w:sz w:val="20"/>
          <w:szCs w:val="20"/>
          <w:color w:val="auto"/>
        </w:rPr>
      </w:pPr>
    </w:p>
    <w:p>
      <w:pPr>
        <w:ind w:left="264"/>
        <w:spacing w:after="0"/>
        <w:rPr>
          <w:sz w:val="20"/>
          <w:szCs w:val="20"/>
          <w:color w:val="auto"/>
        </w:rPr>
      </w:pPr>
      <w:r>
        <w:rPr>
          <w:rFonts w:ascii="Arial" w:cs="Arial" w:eastAsia="Arial" w:hAnsi="Arial"/>
          <w:sz w:val="12"/>
          <w:szCs w:val="12"/>
          <w:color w:val="auto"/>
        </w:rPr>
        <w:t>As of March 31, 2022 and December 31, 2021, the Company did not have any unfunded commitments to fund investments to new borrowers that were not current portfolio companies as of such date.</w:t>
      </w:r>
    </w:p>
    <w:p>
      <w:pPr>
        <w:spacing w:after="0" w:line="165" w:lineRule="exact"/>
        <w:rPr>
          <w:sz w:val="20"/>
          <w:szCs w:val="20"/>
          <w:color w:val="auto"/>
        </w:rPr>
      </w:pPr>
    </w:p>
    <w:p>
      <w:pPr>
        <w:ind w:left="4" w:firstLine="256"/>
        <w:spacing w:after="0" w:line="260" w:lineRule="auto"/>
        <w:rPr>
          <w:sz w:val="20"/>
          <w:szCs w:val="20"/>
          <w:color w:val="auto"/>
        </w:rPr>
      </w:pPr>
      <w:r>
        <w:rPr>
          <w:rFonts w:ascii="Arial" w:cs="Arial" w:eastAsia="Arial" w:hAnsi="Arial"/>
          <w:sz w:val="13"/>
          <w:szCs w:val="13"/>
          <w:color w:val="auto"/>
        </w:rPr>
        <w:t>From time to time, the Company may become a party to certain legal proceedings incidental to the normal course of its business. As of March 31, 2022 and December 31, 2021, management is not aware of any material pending or threatened litigation that would require accounting recognition or financial statement disclosure.</w:t>
      </w:r>
    </w:p>
    <w:p>
      <w:pPr>
        <w:spacing w:after="0" w:line="258"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9. Net Assets</w:t>
      </w:r>
    </w:p>
    <w:p>
      <w:pPr>
        <w:spacing w:after="0" w:line="81" w:lineRule="exact"/>
        <w:rPr>
          <w:sz w:val="20"/>
          <w:szCs w:val="20"/>
          <w:color w:val="auto"/>
        </w:rPr>
      </w:pPr>
    </w:p>
    <w:p>
      <w:pPr>
        <w:ind w:left="4" w:right="280" w:firstLine="256"/>
        <w:spacing w:after="0" w:line="251" w:lineRule="auto"/>
        <w:rPr>
          <w:sz w:val="20"/>
          <w:szCs w:val="20"/>
          <w:color w:val="auto"/>
        </w:rPr>
      </w:pPr>
      <w:r>
        <w:rPr>
          <w:rFonts w:ascii="Arial" w:cs="Arial" w:eastAsia="Arial" w:hAnsi="Arial"/>
          <w:sz w:val="13"/>
          <w:szCs w:val="13"/>
          <w:color w:val="auto"/>
        </w:rPr>
        <w:t>In February 2021, the Company issued a total of 4,000,000 shares of common stock at $21.30 per share. Net of underwriting fees and offering costs, the Company received total cash proceeds of $84.9 million. Subsequent to the offering the Company issued an additional 49,689 shares in March 2021 pursuant to the overallotment option granted to underwriters and received, net of underwriting fees, total cash proceeds of $1.0 million.</w:t>
      </w:r>
    </w:p>
    <w:p>
      <w:pPr>
        <w:spacing w:after="0" w:line="60" w:lineRule="exact"/>
        <w:rPr>
          <w:sz w:val="20"/>
          <w:szCs w:val="20"/>
          <w:color w:val="auto"/>
        </w:rPr>
      </w:pPr>
    </w:p>
    <w:p>
      <w:pPr>
        <w:ind w:left="264"/>
        <w:spacing w:after="0"/>
        <w:rPr>
          <w:sz w:val="20"/>
          <w:szCs w:val="20"/>
          <w:color w:val="auto"/>
        </w:rPr>
      </w:pPr>
      <w:r>
        <w:rPr>
          <w:rFonts w:ascii="Arial" w:cs="Arial" w:eastAsia="Arial" w:hAnsi="Arial"/>
          <w:sz w:val="13"/>
          <w:szCs w:val="13"/>
          <w:color w:val="auto"/>
        </w:rPr>
        <w:t>In December 2021, the Company issued a total of 2,324,820 shares of common stock, or $42.3 million as settlement for the conversion of $42.8 million of the 2022 Convertible Notes.</w:t>
      </w:r>
    </w:p>
    <w:p>
      <w:pPr>
        <w:spacing w:after="0" w:line="77" w:lineRule="exact"/>
        <w:rPr>
          <w:sz w:val="20"/>
          <w:szCs w:val="20"/>
          <w:color w:val="auto"/>
        </w:rPr>
      </w:pPr>
    </w:p>
    <w:p>
      <w:pPr>
        <w:ind w:left="4" w:firstLine="256"/>
        <w:spacing w:after="0" w:line="299" w:lineRule="auto"/>
        <w:rPr>
          <w:sz w:val="20"/>
          <w:szCs w:val="20"/>
          <w:color w:val="auto"/>
        </w:rPr>
      </w:pPr>
      <w:r>
        <w:rPr>
          <w:rFonts w:ascii="Arial" w:cs="Arial" w:eastAsia="Arial" w:hAnsi="Arial"/>
          <w:sz w:val="11"/>
          <w:szCs w:val="11"/>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13" w:lineRule="exact"/>
        <w:rPr>
          <w:sz w:val="20"/>
          <w:szCs w:val="20"/>
          <w:color w:val="auto"/>
        </w:rPr>
      </w:pPr>
    </w:p>
    <w:p>
      <w:pPr>
        <w:ind w:left="4" w:right="140" w:firstLine="256"/>
        <w:spacing w:after="0" w:line="260" w:lineRule="auto"/>
        <w:rPr>
          <w:sz w:val="20"/>
          <w:szCs w:val="20"/>
          <w:color w:val="auto"/>
        </w:rPr>
      </w:pPr>
      <w:r>
        <w:rPr>
          <w:rFonts w:ascii="Arial" w:cs="Arial" w:eastAsia="Arial" w:hAnsi="Arial"/>
          <w:sz w:val="13"/>
          <w:szCs w:val="13"/>
          <w:color w:val="auto"/>
        </w:rPr>
        <w:t>Pursuant to the Company’s dividend reinvestment plan, the following tables summarize the shares issued to stockholders who have not opted out of the Company’s dividend reinvestment plan during the three months ended March 31, 2022 and 2021. All shares issued to stockholders in the tables below are newly issued shares.</w:t>
      </w:r>
    </w:p>
    <w:p>
      <w:pPr>
        <w:spacing w:after="0" w:line="179" w:lineRule="exact"/>
        <w:rPr>
          <w:sz w:val="20"/>
          <w:szCs w:val="20"/>
          <w:color w:val="auto"/>
        </w:rPr>
      </w:pPr>
    </w:p>
    <w:tbl>
      <w:tblPr>
        <w:tblLayout w:type="fixed"/>
        <w:tblInd w:w="1124"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40" w:type="dxa"/>
            <w:vAlign w:val="bottom"/>
            <w:gridSpan w:val="3"/>
          </w:tcPr>
          <w:p>
            <w:pPr>
              <w:jc w:val="center"/>
              <w:ind w:left="1725"/>
              <w:spacing w:after="0"/>
              <w:rPr>
                <w:sz w:val="20"/>
                <w:szCs w:val="20"/>
                <w:color w:val="auto"/>
              </w:rPr>
            </w:pPr>
            <w:r>
              <w:rPr>
                <w:rFonts w:ascii="Arial" w:cs="Arial" w:eastAsia="Arial" w:hAnsi="Arial"/>
                <w:sz w:val="10"/>
                <w:szCs w:val="10"/>
                <w:b w:val="1"/>
                <w:bCs w:val="1"/>
                <w:color w:val="auto"/>
                <w:w w:val="92"/>
              </w:rPr>
              <w:t>Three Months Ended</w:t>
            </w: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3"/>
          </w:tcPr>
          <w:p>
            <w:pPr>
              <w:jc w:val="center"/>
              <w:ind w:left="1745"/>
              <w:spacing w:after="0"/>
              <w:rPr>
                <w:sz w:val="20"/>
                <w:szCs w:val="20"/>
                <w:color w:val="auto"/>
              </w:rPr>
            </w:pPr>
            <w:r>
              <w:rPr>
                <w:rFonts w:ascii="Arial" w:cs="Arial" w:eastAsia="Arial" w:hAnsi="Arial"/>
                <w:sz w:val="10"/>
                <w:szCs w:val="10"/>
                <w:b w:val="1"/>
                <w:bCs w:val="1"/>
                <w:color w:val="auto"/>
                <w:w w:val="92"/>
              </w:rPr>
              <w:t>March 31, 2022</w:t>
            </w: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8"/>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gridSpan w:val="2"/>
          </w:tcPr>
          <w:p>
            <w:pPr>
              <w:jc w:val="center"/>
              <w:ind w:right="740"/>
              <w:spacing w:after="0" w:line="98" w:lineRule="exact"/>
              <w:rPr>
                <w:sz w:val="20"/>
                <w:szCs w:val="20"/>
                <w:color w:val="auto"/>
              </w:rPr>
            </w:pPr>
            <w:r>
              <w:rPr>
                <w:rFonts w:ascii="Arial" w:cs="Arial" w:eastAsia="Arial" w:hAnsi="Arial"/>
                <w:sz w:val="10"/>
                <w:szCs w:val="10"/>
                <w:b w:val="1"/>
                <w:bCs w:val="1"/>
                <w:color w:val="auto"/>
                <w:w w:val="92"/>
              </w:rPr>
              <w:t>Date</w:t>
            </w: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9"/>
        </w:trPr>
        <w:tc>
          <w:tcPr>
            <w:tcW w:w="2320" w:type="dxa"/>
            <w:vAlign w:val="bottom"/>
            <w:gridSpan w:val="3"/>
          </w:tcPr>
          <w:p>
            <w:pPr>
              <w:spacing w:after="0"/>
              <w:rPr>
                <w:sz w:val="20"/>
                <w:szCs w:val="20"/>
                <w:color w:val="auto"/>
              </w:rPr>
            </w:pPr>
            <w:r>
              <w:rPr>
                <w:rFonts w:ascii="Arial" w:cs="Arial" w:eastAsia="Arial" w:hAnsi="Arial"/>
                <w:sz w:val="10"/>
                <w:szCs w:val="10"/>
                <w:b w:val="1"/>
                <w:bCs w:val="1"/>
                <w:color w:val="auto"/>
              </w:rPr>
              <w:t>Date Declared</w:t>
            </w:r>
          </w:p>
        </w:tc>
        <w:tc>
          <w:tcPr>
            <w:tcW w:w="10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 xml:space="preserve">Dividend </w:t>
            </w:r>
            <w:r>
              <w:rPr>
                <w:rFonts w:ascii="Arial" w:cs="Arial" w:eastAsia="Arial" w:hAnsi="Arial"/>
                <w:sz w:val="8"/>
                <w:szCs w:val="8"/>
                <w:b w:val="1"/>
                <w:bCs w:val="1"/>
                <w:color w:val="auto"/>
                <w:w w:val="94"/>
              </w:rPr>
              <w:t>(1)</w:t>
            </w:r>
          </w:p>
        </w:tc>
        <w:tc>
          <w:tcPr>
            <w:tcW w:w="2740" w:type="dxa"/>
            <w:vAlign w:val="bottom"/>
            <w:gridSpan w:val="3"/>
          </w:tcPr>
          <w:p>
            <w:pPr>
              <w:ind w:left="740"/>
              <w:spacing w:after="0"/>
              <w:rPr>
                <w:sz w:val="20"/>
                <w:szCs w:val="20"/>
                <w:color w:val="auto"/>
              </w:rPr>
            </w:pPr>
            <w:r>
              <w:rPr>
                <w:rFonts w:ascii="Arial" w:cs="Arial" w:eastAsia="Arial" w:hAnsi="Arial"/>
                <w:sz w:val="10"/>
                <w:szCs w:val="10"/>
                <w:b w:val="1"/>
                <w:bCs w:val="1"/>
                <w:color w:val="auto"/>
              </w:rPr>
              <w:t>Record Date</w:t>
            </w:r>
          </w:p>
        </w:tc>
        <w:tc>
          <w:tcPr>
            <w:tcW w:w="1340" w:type="dxa"/>
            <w:vAlign w:val="bottom"/>
            <w:gridSpan w:val="2"/>
          </w:tcPr>
          <w:p>
            <w:pPr>
              <w:jc w:val="center"/>
              <w:ind w:right="740"/>
              <w:spacing w:after="0"/>
              <w:rPr>
                <w:sz w:val="20"/>
                <w:szCs w:val="20"/>
                <w:color w:val="auto"/>
              </w:rPr>
            </w:pPr>
            <w:r>
              <w:rPr>
                <w:rFonts w:ascii="Arial" w:cs="Arial" w:eastAsia="Arial" w:hAnsi="Arial"/>
                <w:sz w:val="10"/>
                <w:szCs w:val="10"/>
                <w:b w:val="1"/>
                <w:bCs w:val="1"/>
                <w:color w:val="auto"/>
                <w:w w:val="88"/>
              </w:rPr>
              <w:t>Shares Issued</w:t>
            </w:r>
          </w:p>
        </w:tc>
        <w:tc>
          <w:tcPr>
            <w:tcW w:w="1600" w:type="dxa"/>
            <w:vAlign w:val="bottom"/>
            <w:gridSpan w:val="2"/>
          </w:tcPr>
          <w:p>
            <w:pPr>
              <w:ind w:left="440"/>
              <w:spacing w:after="0"/>
              <w:rPr>
                <w:sz w:val="20"/>
                <w:szCs w:val="20"/>
                <w:color w:val="auto"/>
              </w:rPr>
            </w:pPr>
            <w:r>
              <w:rPr>
                <w:rFonts w:ascii="Arial" w:cs="Arial" w:eastAsia="Arial" w:hAnsi="Arial"/>
                <w:sz w:val="10"/>
                <w:szCs w:val="10"/>
                <w:b w:val="1"/>
                <w:bCs w:val="1"/>
                <w:color w:val="auto"/>
              </w:rPr>
              <w:t>Shares Issued</w:t>
            </w:r>
          </w:p>
        </w:tc>
      </w:tr>
      <w:tr>
        <w:trPr>
          <w:trHeight w:val="150"/>
        </w:trPr>
        <w:tc>
          <w:tcPr>
            <w:tcW w:w="20" w:type="dxa"/>
            <w:vAlign w:val="bottom"/>
          </w:tcPr>
          <w:p>
            <w:pPr>
              <w:spacing w:after="0"/>
              <w:rPr>
                <w:sz w:val="13"/>
                <w:szCs w:val="13"/>
                <w:color w:val="auto"/>
              </w:rPr>
            </w:pPr>
          </w:p>
        </w:tc>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November 2, 2021</w:t>
            </w:r>
          </w:p>
        </w:tc>
        <w:tc>
          <w:tcPr>
            <w:tcW w:w="10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80"/>
              </w:rPr>
              <w:t>Base</w:t>
            </w:r>
          </w:p>
        </w:tc>
        <w:tc>
          <w:tcPr>
            <w:tcW w:w="100" w:type="dxa"/>
            <w:vAlign w:val="bottom"/>
            <w:tcBorders>
              <w:top w:val="single" w:sz="8" w:color="CFF0FC"/>
            </w:tcBorders>
            <w:shd w:val="clear" w:color="auto" w:fill="CFF0FC"/>
          </w:tcPr>
          <w:p>
            <w:pPr>
              <w:spacing w:after="0"/>
              <w:rPr>
                <w:sz w:val="13"/>
                <w:szCs w:val="13"/>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December 15, 2021</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January 14, 2022</w:t>
            </w:r>
          </w:p>
        </w:tc>
        <w:tc>
          <w:tcPr>
            <w:tcW w:w="120" w:type="dxa"/>
            <w:vAlign w:val="bottom"/>
            <w:tcBorders>
              <w:top w:val="single" w:sz="8" w:color="CFF0FC"/>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233,542</w:t>
            </w:r>
          </w:p>
        </w:tc>
        <w:tc>
          <w:tcPr>
            <w:tcW w:w="80" w:type="dxa"/>
            <w:vAlign w:val="bottom"/>
            <w:tcBorders>
              <w:top w:val="single" w:sz="8" w:color="CFF0FC"/>
            </w:tcBorders>
            <w:shd w:val="clear" w:color="auto" w:fill="CFF0FC"/>
          </w:tcPr>
          <w:p>
            <w:pPr>
              <w:spacing w:after="0"/>
              <w:rPr>
                <w:sz w:val="13"/>
                <w:szCs w:val="13"/>
                <w:color w:val="auto"/>
              </w:rPr>
            </w:pPr>
          </w:p>
        </w:tc>
      </w:tr>
      <w:tr>
        <w:trPr>
          <w:trHeight w:val="161"/>
        </w:trPr>
        <w:tc>
          <w:tcPr>
            <w:tcW w:w="2320" w:type="dxa"/>
            <w:vAlign w:val="bottom"/>
            <w:gridSpan w:val="3"/>
          </w:tcPr>
          <w:p>
            <w:pPr>
              <w:spacing w:after="0"/>
              <w:rPr>
                <w:sz w:val="20"/>
                <w:szCs w:val="20"/>
                <w:color w:val="auto"/>
              </w:rPr>
            </w:pPr>
            <w:r>
              <w:rPr>
                <w:rFonts w:ascii="Arial" w:cs="Arial" w:eastAsia="Arial" w:hAnsi="Arial"/>
                <w:sz w:val="13"/>
                <w:szCs w:val="13"/>
                <w:color w:val="auto"/>
              </w:rPr>
              <w:t>February 17, 2022</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Supplemental</w:t>
            </w:r>
          </w:p>
        </w:tc>
        <w:tc>
          <w:tcPr>
            <w:tcW w:w="2740" w:type="dxa"/>
            <w:vAlign w:val="bottom"/>
            <w:gridSpan w:val="3"/>
          </w:tcPr>
          <w:p>
            <w:pPr>
              <w:jc w:val="right"/>
              <w:ind w:right="720"/>
              <w:spacing w:after="0"/>
              <w:rPr>
                <w:sz w:val="20"/>
                <w:szCs w:val="20"/>
                <w:color w:val="auto"/>
              </w:rPr>
            </w:pPr>
            <w:r>
              <w:rPr>
                <w:rFonts w:ascii="Arial" w:cs="Arial" w:eastAsia="Arial" w:hAnsi="Arial"/>
                <w:sz w:val="13"/>
                <w:szCs w:val="13"/>
                <w:color w:val="auto"/>
              </w:rPr>
              <w:t>February 28, 2022</w:t>
            </w:r>
          </w:p>
        </w:tc>
        <w:tc>
          <w:tcPr>
            <w:tcW w:w="1340" w:type="dxa"/>
            <w:vAlign w:val="bottom"/>
            <w:gridSpan w:val="2"/>
          </w:tcPr>
          <w:p>
            <w:pPr>
              <w:jc w:val="right"/>
              <w:ind w:right="120"/>
              <w:spacing w:after="0"/>
              <w:rPr>
                <w:sz w:val="20"/>
                <w:szCs w:val="20"/>
                <w:color w:val="auto"/>
              </w:rPr>
            </w:pPr>
            <w:r>
              <w:rPr>
                <w:rFonts w:ascii="Arial" w:cs="Arial" w:eastAsia="Arial" w:hAnsi="Arial"/>
                <w:sz w:val="13"/>
                <w:szCs w:val="13"/>
                <w:color w:val="auto"/>
              </w:rPr>
              <w:t>March 31, 2022</w:t>
            </w:r>
          </w:p>
        </w:tc>
        <w:tc>
          <w:tcPr>
            <w:tcW w:w="1520" w:type="dxa"/>
            <w:vAlign w:val="bottom"/>
          </w:tcPr>
          <w:p>
            <w:pPr>
              <w:jc w:val="right"/>
              <w:spacing w:after="0"/>
              <w:rPr>
                <w:sz w:val="20"/>
                <w:szCs w:val="20"/>
                <w:color w:val="auto"/>
              </w:rPr>
            </w:pPr>
            <w:r>
              <w:rPr>
                <w:rFonts w:ascii="Arial" w:cs="Arial" w:eastAsia="Arial" w:hAnsi="Arial"/>
                <w:sz w:val="13"/>
                <w:szCs w:val="13"/>
                <w:color w:val="auto"/>
              </w:rPr>
              <w:t>65,596</w:t>
            </w:r>
          </w:p>
        </w:tc>
        <w:tc>
          <w:tcPr>
            <w:tcW w:w="80" w:type="dxa"/>
            <w:vAlign w:val="bottom"/>
          </w:tcPr>
          <w:p>
            <w:pPr>
              <w:spacing w:after="0"/>
              <w:rPr>
                <w:sz w:val="13"/>
                <w:szCs w:val="13"/>
                <w:color w:val="auto"/>
              </w:rPr>
            </w:pPr>
          </w:p>
        </w:tc>
      </w:tr>
      <w:tr>
        <w:trPr>
          <w:trHeight w:val="170"/>
        </w:trPr>
        <w:tc>
          <w:tcPr>
            <w:tcW w:w="20" w:type="dxa"/>
            <w:vAlign w:val="bottom"/>
          </w:tcPr>
          <w:p>
            <w:pPr>
              <w:spacing w:after="0"/>
              <w:rPr>
                <w:sz w:val="14"/>
                <w:szCs w:val="14"/>
                <w:color w:val="auto"/>
              </w:rPr>
            </w:pPr>
          </w:p>
        </w:tc>
        <w:tc>
          <w:tcPr>
            <w:tcW w:w="2300" w:type="dxa"/>
            <w:vAlign w:val="bottom"/>
            <w:tcBorders>
              <w:top w:val="single" w:sz="8" w:color="CFF0FC"/>
              <w:bottom w:val="single" w:sz="8" w:color="CFF0FC"/>
            </w:tcBorders>
            <w:gridSpan w:val="2"/>
            <w:shd w:val="clear" w:color="auto" w:fill="CFF0FC"/>
          </w:tcPr>
          <w:p>
            <w:pPr>
              <w:ind w:left="160"/>
              <w:spacing w:after="0"/>
              <w:rPr>
                <w:sz w:val="20"/>
                <w:szCs w:val="20"/>
                <w:color w:val="auto"/>
              </w:rPr>
            </w:pPr>
            <w:r>
              <w:rPr>
                <w:rFonts w:ascii="Arial" w:cs="Arial" w:eastAsia="Arial" w:hAnsi="Arial"/>
                <w:sz w:val="13"/>
                <w:szCs w:val="13"/>
                <w:b w:val="1"/>
                <w:bCs w:val="1"/>
                <w:color w:val="auto"/>
              </w:rPr>
              <w:t>Total Shares Issued</w:t>
            </w:r>
          </w:p>
        </w:tc>
        <w:tc>
          <w:tcPr>
            <w:tcW w:w="9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600" w:type="dxa"/>
            <w:vAlign w:val="bottom"/>
            <w:tcBorders>
              <w:top w:val="single" w:sz="8" w:color="CFF0FC"/>
              <w:bottom w:val="single" w:sz="8" w:color="CFF0FC"/>
            </w:tcBorders>
            <w:shd w:val="clear" w:color="auto" w:fill="CFF0FC"/>
          </w:tcPr>
          <w:p>
            <w:pPr>
              <w:spacing w:after="0"/>
              <w:rPr>
                <w:sz w:val="14"/>
                <w:szCs w:val="14"/>
                <w:color w:val="auto"/>
              </w:rPr>
            </w:pPr>
          </w:p>
        </w:tc>
        <w:tc>
          <w:tcPr>
            <w:tcW w:w="122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299,138</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7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3"/>
          </w:tcPr>
          <w:p>
            <w:pPr>
              <w:jc w:val="center"/>
              <w:ind w:left="1725"/>
              <w:spacing w:after="0"/>
              <w:rPr>
                <w:sz w:val="20"/>
                <w:szCs w:val="20"/>
                <w:color w:val="auto"/>
              </w:rPr>
            </w:pPr>
            <w:r>
              <w:rPr>
                <w:rFonts w:ascii="Arial" w:cs="Arial" w:eastAsia="Arial" w:hAnsi="Arial"/>
                <w:sz w:val="10"/>
                <w:szCs w:val="10"/>
                <w:b w:val="1"/>
                <w:bCs w:val="1"/>
                <w:color w:val="auto"/>
                <w:w w:val="92"/>
              </w:rPr>
              <w:t>Three Months Ended</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3"/>
          </w:tcPr>
          <w:p>
            <w:pPr>
              <w:jc w:val="center"/>
              <w:ind w:left="1745"/>
              <w:spacing w:after="0"/>
              <w:rPr>
                <w:sz w:val="20"/>
                <w:szCs w:val="20"/>
                <w:color w:val="auto"/>
              </w:rPr>
            </w:pPr>
            <w:r>
              <w:rPr>
                <w:rFonts w:ascii="Arial" w:cs="Arial" w:eastAsia="Arial" w:hAnsi="Arial"/>
                <w:sz w:val="10"/>
                <w:szCs w:val="10"/>
                <w:b w:val="1"/>
                <w:bCs w:val="1"/>
                <w:color w:val="auto"/>
                <w:w w:val="92"/>
              </w:rPr>
              <w:t>March 31, 2021</w:t>
            </w: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8"/>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gridSpan w:val="2"/>
          </w:tcPr>
          <w:p>
            <w:pPr>
              <w:jc w:val="center"/>
              <w:ind w:right="740"/>
              <w:spacing w:after="0" w:line="98" w:lineRule="exact"/>
              <w:rPr>
                <w:sz w:val="20"/>
                <w:szCs w:val="20"/>
                <w:color w:val="auto"/>
              </w:rPr>
            </w:pPr>
            <w:r>
              <w:rPr>
                <w:rFonts w:ascii="Arial" w:cs="Arial" w:eastAsia="Arial" w:hAnsi="Arial"/>
                <w:sz w:val="10"/>
                <w:szCs w:val="10"/>
                <w:b w:val="1"/>
                <w:bCs w:val="1"/>
                <w:color w:val="auto"/>
                <w:w w:val="92"/>
              </w:rPr>
              <w:t>Date</w:t>
            </w: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9"/>
        </w:trPr>
        <w:tc>
          <w:tcPr>
            <w:tcW w:w="2320" w:type="dxa"/>
            <w:vAlign w:val="bottom"/>
            <w:gridSpan w:val="3"/>
          </w:tcPr>
          <w:p>
            <w:pPr>
              <w:spacing w:after="0"/>
              <w:rPr>
                <w:sz w:val="20"/>
                <w:szCs w:val="20"/>
                <w:color w:val="auto"/>
              </w:rPr>
            </w:pPr>
            <w:r>
              <w:rPr>
                <w:rFonts w:ascii="Arial" w:cs="Arial" w:eastAsia="Arial" w:hAnsi="Arial"/>
                <w:sz w:val="10"/>
                <w:szCs w:val="10"/>
                <w:b w:val="1"/>
                <w:bCs w:val="1"/>
                <w:color w:val="auto"/>
              </w:rPr>
              <w:t>Date Declared</w:t>
            </w:r>
          </w:p>
        </w:tc>
        <w:tc>
          <w:tcPr>
            <w:tcW w:w="10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4"/>
              </w:rPr>
              <w:t xml:space="preserve">Dividend </w:t>
            </w:r>
            <w:r>
              <w:rPr>
                <w:rFonts w:ascii="Arial" w:cs="Arial" w:eastAsia="Arial" w:hAnsi="Arial"/>
                <w:sz w:val="8"/>
                <w:szCs w:val="8"/>
                <w:b w:val="1"/>
                <w:bCs w:val="1"/>
                <w:color w:val="auto"/>
                <w:w w:val="94"/>
              </w:rPr>
              <w:t>(1)</w:t>
            </w:r>
          </w:p>
        </w:tc>
        <w:tc>
          <w:tcPr>
            <w:tcW w:w="2740" w:type="dxa"/>
            <w:vAlign w:val="bottom"/>
            <w:gridSpan w:val="3"/>
          </w:tcPr>
          <w:p>
            <w:pPr>
              <w:ind w:left="740"/>
              <w:spacing w:after="0"/>
              <w:rPr>
                <w:sz w:val="20"/>
                <w:szCs w:val="20"/>
                <w:color w:val="auto"/>
              </w:rPr>
            </w:pPr>
            <w:r>
              <w:rPr>
                <w:rFonts w:ascii="Arial" w:cs="Arial" w:eastAsia="Arial" w:hAnsi="Arial"/>
                <w:sz w:val="10"/>
                <w:szCs w:val="10"/>
                <w:b w:val="1"/>
                <w:bCs w:val="1"/>
                <w:color w:val="auto"/>
              </w:rPr>
              <w:t>Record Date</w:t>
            </w:r>
          </w:p>
        </w:tc>
        <w:tc>
          <w:tcPr>
            <w:tcW w:w="1340" w:type="dxa"/>
            <w:vAlign w:val="bottom"/>
            <w:gridSpan w:val="2"/>
          </w:tcPr>
          <w:p>
            <w:pPr>
              <w:jc w:val="center"/>
              <w:ind w:right="740"/>
              <w:spacing w:after="0"/>
              <w:rPr>
                <w:sz w:val="20"/>
                <w:szCs w:val="20"/>
                <w:color w:val="auto"/>
              </w:rPr>
            </w:pPr>
            <w:r>
              <w:rPr>
                <w:rFonts w:ascii="Arial" w:cs="Arial" w:eastAsia="Arial" w:hAnsi="Arial"/>
                <w:sz w:val="10"/>
                <w:szCs w:val="10"/>
                <w:b w:val="1"/>
                <w:bCs w:val="1"/>
                <w:color w:val="auto"/>
                <w:w w:val="88"/>
              </w:rPr>
              <w:t>Shares Issued</w:t>
            </w:r>
          </w:p>
        </w:tc>
        <w:tc>
          <w:tcPr>
            <w:tcW w:w="1600" w:type="dxa"/>
            <w:vAlign w:val="bottom"/>
            <w:gridSpan w:val="2"/>
          </w:tcPr>
          <w:p>
            <w:pPr>
              <w:ind w:left="440"/>
              <w:spacing w:after="0"/>
              <w:rPr>
                <w:sz w:val="20"/>
                <w:szCs w:val="20"/>
                <w:color w:val="auto"/>
              </w:rPr>
            </w:pPr>
            <w:r>
              <w:rPr>
                <w:rFonts w:ascii="Arial" w:cs="Arial" w:eastAsia="Arial" w:hAnsi="Arial"/>
                <w:sz w:val="10"/>
                <w:szCs w:val="10"/>
                <w:b w:val="1"/>
                <w:bCs w:val="1"/>
                <w:color w:val="auto"/>
              </w:rPr>
              <w:t>Shares Issued</w:t>
            </w:r>
          </w:p>
        </w:tc>
      </w:tr>
      <w:tr>
        <w:trPr>
          <w:trHeight w:val="150"/>
        </w:trPr>
        <w:tc>
          <w:tcPr>
            <w:tcW w:w="20" w:type="dxa"/>
            <w:vAlign w:val="bottom"/>
          </w:tcPr>
          <w:p>
            <w:pPr>
              <w:spacing w:after="0"/>
              <w:rPr>
                <w:sz w:val="13"/>
                <w:szCs w:val="13"/>
                <w:color w:val="auto"/>
              </w:rPr>
            </w:pPr>
          </w:p>
        </w:tc>
        <w:tc>
          <w:tcPr>
            <w:tcW w:w="2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November 4, 2020</w:t>
            </w:r>
          </w:p>
        </w:tc>
        <w:tc>
          <w:tcPr>
            <w:tcW w:w="10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80"/>
              </w:rPr>
              <w:t>Base</w:t>
            </w:r>
          </w:p>
        </w:tc>
        <w:tc>
          <w:tcPr>
            <w:tcW w:w="100" w:type="dxa"/>
            <w:vAlign w:val="bottom"/>
            <w:tcBorders>
              <w:top w:val="single" w:sz="8" w:color="CFF0FC"/>
            </w:tcBorders>
            <w:shd w:val="clear" w:color="auto" w:fill="CFF0FC"/>
          </w:tcPr>
          <w:p>
            <w:pPr>
              <w:spacing w:after="0"/>
              <w:rPr>
                <w:sz w:val="13"/>
                <w:szCs w:val="13"/>
                <w:color w:val="auto"/>
              </w:rPr>
            </w:pP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December 15, 2020</w:t>
            </w:r>
          </w:p>
        </w:tc>
        <w:tc>
          <w:tcPr>
            <w:tcW w:w="12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January 15, 2021</w:t>
            </w:r>
          </w:p>
        </w:tc>
        <w:tc>
          <w:tcPr>
            <w:tcW w:w="120" w:type="dxa"/>
            <w:vAlign w:val="bottom"/>
            <w:tcBorders>
              <w:top w:val="single" w:sz="8" w:color="CFF0FC"/>
            </w:tcBorders>
            <w:shd w:val="clear" w:color="auto" w:fill="CFF0FC"/>
          </w:tcPr>
          <w:p>
            <w:pPr>
              <w:spacing w:after="0"/>
              <w:rPr>
                <w:sz w:val="13"/>
                <w:szCs w:val="13"/>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211,904</w:t>
            </w:r>
          </w:p>
        </w:tc>
        <w:tc>
          <w:tcPr>
            <w:tcW w:w="80" w:type="dxa"/>
            <w:vAlign w:val="bottom"/>
            <w:tcBorders>
              <w:top w:val="single" w:sz="8" w:color="CFF0FC"/>
            </w:tcBorders>
            <w:shd w:val="clear" w:color="auto" w:fill="CFF0FC"/>
          </w:tcPr>
          <w:p>
            <w:pPr>
              <w:spacing w:after="0"/>
              <w:rPr>
                <w:sz w:val="13"/>
                <w:szCs w:val="13"/>
                <w:color w:val="auto"/>
              </w:rPr>
            </w:pPr>
          </w:p>
        </w:tc>
      </w:tr>
      <w:tr>
        <w:trPr>
          <w:trHeight w:val="161"/>
        </w:trPr>
        <w:tc>
          <w:tcPr>
            <w:tcW w:w="2320" w:type="dxa"/>
            <w:vAlign w:val="bottom"/>
            <w:gridSpan w:val="3"/>
          </w:tcPr>
          <w:p>
            <w:pPr>
              <w:spacing w:after="0"/>
              <w:rPr>
                <w:sz w:val="20"/>
                <w:szCs w:val="20"/>
                <w:color w:val="auto"/>
              </w:rPr>
            </w:pPr>
            <w:r>
              <w:rPr>
                <w:rFonts w:ascii="Arial" w:cs="Arial" w:eastAsia="Arial" w:hAnsi="Arial"/>
                <w:sz w:val="13"/>
                <w:szCs w:val="13"/>
                <w:color w:val="auto"/>
              </w:rPr>
              <w:t>February 17, 2021</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Supplemental</w:t>
            </w:r>
          </w:p>
        </w:tc>
        <w:tc>
          <w:tcPr>
            <w:tcW w:w="2740" w:type="dxa"/>
            <w:vAlign w:val="bottom"/>
            <w:gridSpan w:val="3"/>
          </w:tcPr>
          <w:p>
            <w:pPr>
              <w:jc w:val="right"/>
              <w:ind w:right="720"/>
              <w:spacing w:after="0"/>
              <w:rPr>
                <w:sz w:val="20"/>
                <w:szCs w:val="20"/>
                <w:color w:val="auto"/>
              </w:rPr>
            </w:pPr>
            <w:r>
              <w:rPr>
                <w:rFonts w:ascii="Arial" w:cs="Arial" w:eastAsia="Arial" w:hAnsi="Arial"/>
                <w:sz w:val="13"/>
                <w:szCs w:val="13"/>
                <w:color w:val="auto"/>
              </w:rPr>
              <w:t>February 26, 2021</w:t>
            </w:r>
          </w:p>
        </w:tc>
        <w:tc>
          <w:tcPr>
            <w:tcW w:w="1340" w:type="dxa"/>
            <w:vAlign w:val="bottom"/>
            <w:gridSpan w:val="2"/>
          </w:tcPr>
          <w:p>
            <w:pPr>
              <w:jc w:val="right"/>
              <w:ind w:right="120"/>
              <w:spacing w:after="0"/>
              <w:rPr>
                <w:sz w:val="20"/>
                <w:szCs w:val="20"/>
                <w:color w:val="auto"/>
              </w:rPr>
            </w:pPr>
            <w:r>
              <w:rPr>
                <w:rFonts w:ascii="Arial" w:cs="Arial" w:eastAsia="Arial" w:hAnsi="Arial"/>
                <w:sz w:val="13"/>
                <w:szCs w:val="13"/>
                <w:color w:val="auto"/>
              </w:rPr>
              <w:t>March 31, 2021</w:t>
            </w:r>
          </w:p>
        </w:tc>
        <w:tc>
          <w:tcPr>
            <w:tcW w:w="1520" w:type="dxa"/>
            <w:vAlign w:val="bottom"/>
          </w:tcPr>
          <w:p>
            <w:pPr>
              <w:jc w:val="right"/>
              <w:spacing w:after="0"/>
              <w:rPr>
                <w:sz w:val="20"/>
                <w:szCs w:val="20"/>
                <w:color w:val="auto"/>
              </w:rPr>
            </w:pPr>
            <w:r>
              <w:rPr>
                <w:rFonts w:ascii="Arial" w:cs="Arial" w:eastAsia="Arial" w:hAnsi="Arial"/>
                <w:sz w:val="13"/>
                <w:szCs w:val="13"/>
                <w:color w:val="auto"/>
              </w:rPr>
              <w:t>24,196</w:t>
            </w:r>
          </w:p>
        </w:tc>
        <w:tc>
          <w:tcPr>
            <w:tcW w:w="8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2300" w:type="dxa"/>
            <w:vAlign w:val="bottom"/>
            <w:tcBorders>
              <w:top w:val="single" w:sz="8" w:color="CFF0FC"/>
              <w:bottom w:val="single" w:sz="8" w:color="CFF0FC"/>
            </w:tcBorders>
            <w:gridSpan w:val="2"/>
            <w:shd w:val="clear" w:color="auto" w:fill="CFF0FC"/>
          </w:tcPr>
          <w:p>
            <w:pPr>
              <w:ind w:left="160"/>
              <w:spacing w:after="0"/>
              <w:rPr>
                <w:sz w:val="20"/>
                <w:szCs w:val="20"/>
                <w:color w:val="auto"/>
              </w:rPr>
            </w:pPr>
            <w:r>
              <w:rPr>
                <w:rFonts w:ascii="Arial" w:cs="Arial" w:eastAsia="Arial" w:hAnsi="Arial"/>
                <w:sz w:val="13"/>
                <w:szCs w:val="13"/>
                <w:b w:val="1"/>
                <w:bCs w:val="1"/>
                <w:color w:val="auto"/>
              </w:rPr>
              <w:t>Total Shares Issued</w:t>
            </w:r>
          </w:p>
        </w:tc>
        <w:tc>
          <w:tcPr>
            <w:tcW w:w="94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20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CFF0FC"/>
              <w:bottom w:val="single" w:sz="8" w:color="CFF0FC"/>
            </w:tcBorders>
            <w:shd w:val="clear" w:color="auto" w:fill="CFF0FC"/>
          </w:tcPr>
          <w:p>
            <w:pPr>
              <w:spacing w:after="0"/>
              <w:rPr>
                <w:sz w:val="13"/>
                <w:szCs w:val="13"/>
                <w:color w:val="auto"/>
              </w:rPr>
            </w:pPr>
          </w:p>
        </w:tc>
        <w:tc>
          <w:tcPr>
            <w:tcW w:w="1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236,100</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r>
    </w:tbl>
    <w:p>
      <w:pPr>
        <w:spacing w:after="0" w:line="171" w:lineRule="exact"/>
        <w:rPr>
          <w:sz w:val="20"/>
          <w:szCs w:val="20"/>
          <w:color w:val="auto"/>
        </w:rPr>
      </w:pPr>
    </w:p>
    <w:p>
      <w:pPr>
        <w:ind w:left="504" w:hanging="504"/>
        <w:spacing w:after="0"/>
        <w:tabs>
          <w:tab w:leader="none" w:pos="504"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See Note 11 for further information on base, supplemental and special dividends.</w:t>
      </w:r>
    </w:p>
    <w:p>
      <w:pPr>
        <w:spacing w:after="0" w:line="153" w:lineRule="exact"/>
        <w:rPr>
          <w:sz w:val="20"/>
          <w:szCs w:val="20"/>
          <w:color w:val="auto"/>
        </w:rPr>
      </w:pPr>
    </w:p>
    <w:p>
      <w:pPr>
        <w:ind w:left="4" w:right="140" w:firstLine="256"/>
        <w:spacing w:after="0" w:line="282" w:lineRule="auto"/>
        <w:rPr>
          <w:sz w:val="20"/>
          <w:szCs w:val="20"/>
          <w:color w:val="auto"/>
        </w:rPr>
      </w:pPr>
      <w:r>
        <w:rPr>
          <w:rFonts w:ascii="Arial" w:cs="Arial" w:eastAsia="Arial" w:hAnsi="Arial"/>
          <w:sz w:val="12"/>
          <w:szCs w:val="12"/>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3, 2022. The amount and timing of stock repurchases under the program may vary depending on market conditions, and no assurance can be given that any particular amount of common stock will be repurchased.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4"/>
          </w:cols>
          <w:pgMar w:left="296" w:top="310" w:right="339" w:bottom="1440" w:gutter="0" w:footer="0" w:header="0"/>
        </w:sectPr>
      </w:pPr>
    </w:p>
    <w:bookmarkStart w:id="43" w:name="page44"/>
    <w:bookmarkEnd w:id="43"/>
    <w:p>
      <w:pPr>
        <w:ind w:left="260"/>
        <w:spacing w:after="0"/>
        <w:rPr>
          <w:sz w:val="20"/>
          <w:szCs w:val="20"/>
          <w:color w:val="auto"/>
        </w:rPr>
      </w:pPr>
      <w:r>
        <w:rPr>
          <w:rFonts w:ascii="Arial" w:cs="Arial" w:eastAsia="Arial" w:hAnsi="Arial"/>
          <w:sz w:val="13"/>
          <w:szCs w:val="13"/>
          <w:color w:val="auto"/>
        </w:rPr>
        <w:t>No shares were repurchased during the three months ended March 31, 2022 and 2021.</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Earnings per share</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sets forth the computation of basic and diluted earnings per common share for the three months ended March 31, 2022 and 2021:</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19"/>
        </w:trPr>
        <w:tc>
          <w:tcPr>
            <w:tcW w:w="4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0"/>
                <w:szCs w:val="10"/>
                <w:b w:val="1"/>
                <w:bCs w:val="1"/>
                <w:color w:val="auto"/>
              </w:rPr>
              <w:t>Three Months Ended</w:t>
            </w:r>
          </w:p>
        </w:tc>
        <w:tc>
          <w:tcPr>
            <w:tcW w:w="1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3"/>
        </w:trPr>
        <w:tc>
          <w:tcPr>
            <w:tcW w:w="4260" w:type="dxa"/>
            <w:vAlign w:val="bottom"/>
            <w:tcBorders>
              <w:bottom w:val="single" w:sz="8" w:color="CFF0FC"/>
            </w:tcBorders>
          </w:tcPr>
          <w:p>
            <w:pPr>
              <w:spacing w:after="0"/>
              <w:rPr>
                <w:sz w:val="8"/>
                <w:szCs w:val="8"/>
                <w:color w:val="auto"/>
              </w:rPr>
            </w:pPr>
          </w:p>
        </w:tc>
        <w:tc>
          <w:tcPr>
            <w:tcW w:w="1380" w:type="dxa"/>
            <w:vAlign w:val="bottom"/>
            <w:tcBorders>
              <w:bottom w:val="single" w:sz="8" w:color="CFF0FC"/>
            </w:tcBorders>
          </w:tcPr>
          <w:p>
            <w:pPr>
              <w:spacing w:after="0"/>
              <w:rPr>
                <w:sz w:val="8"/>
                <w:szCs w:val="8"/>
                <w:color w:val="auto"/>
              </w:rPr>
            </w:pPr>
          </w:p>
        </w:tc>
        <w:tc>
          <w:tcPr>
            <w:tcW w:w="1420" w:type="dxa"/>
            <w:vAlign w:val="bottom"/>
            <w:tcBorders>
              <w:bottom w:val="single" w:sz="8" w:color="auto"/>
            </w:tcBorders>
          </w:tcPr>
          <w:p>
            <w:pPr>
              <w:jc w:val="right"/>
              <w:ind w:right="10"/>
              <w:spacing w:after="0" w:line="103" w:lineRule="exact"/>
              <w:rPr>
                <w:sz w:val="20"/>
                <w:szCs w:val="20"/>
                <w:color w:val="auto"/>
              </w:rPr>
            </w:pPr>
            <w:r>
              <w:rPr>
                <w:rFonts w:ascii="Arial" w:cs="Arial" w:eastAsia="Arial" w:hAnsi="Arial"/>
                <w:sz w:val="10"/>
                <w:szCs w:val="10"/>
                <w:b w:val="1"/>
                <w:bCs w:val="1"/>
                <w:color w:val="auto"/>
              </w:rPr>
              <w:t>March 31, 2022</w:t>
            </w: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CFF0FC"/>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jc w:val="right"/>
              <w:ind w:right="658"/>
              <w:spacing w:after="0" w:line="103" w:lineRule="exact"/>
              <w:rPr>
                <w:sz w:val="20"/>
                <w:szCs w:val="20"/>
                <w:color w:val="auto"/>
              </w:rPr>
            </w:pPr>
            <w:r>
              <w:rPr>
                <w:rFonts w:ascii="Arial" w:cs="Arial" w:eastAsia="Arial" w:hAnsi="Arial"/>
                <w:sz w:val="10"/>
                <w:szCs w:val="10"/>
                <w:b w:val="1"/>
                <w:bCs w:val="1"/>
                <w:color w:val="auto"/>
              </w:rPr>
              <w:t>March 31, 2021</w:t>
            </w:r>
          </w:p>
        </w:tc>
        <w:tc>
          <w:tcPr>
            <w:tcW w:w="80" w:type="dxa"/>
            <w:vAlign w:val="bottom"/>
            <w:tcBorders>
              <w:bottom w:val="single" w:sz="8" w:color="CFF0FC"/>
            </w:tcBorders>
          </w:tcPr>
          <w:p>
            <w:pPr>
              <w:spacing w:after="0"/>
              <w:rPr>
                <w:sz w:val="8"/>
                <w:szCs w:val="8"/>
                <w:color w:val="auto"/>
              </w:rPr>
            </w:pPr>
          </w:p>
        </w:tc>
      </w:tr>
      <w:tr>
        <w:trPr>
          <w:trHeight w:val="150"/>
        </w:trPr>
        <w:tc>
          <w:tcPr>
            <w:tcW w:w="42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Earnings per common share—basic</w:t>
            </w:r>
          </w:p>
        </w:tc>
        <w:tc>
          <w:tcPr>
            <w:tcW w:w="13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3"/>
                <w:szCs w:val="13"/>
                <w:color w:val="auto"/>
              </w:rPr>
              <w:t>Numerator for basic earnings per share</w:t>
            </w:r>
          </w:p>
        </w:tc>
        <w:tc>
          <w:tcPr>
            <w:tcW w:w="2800" w:type="dxa"/>
            <w:vAlign w:val="bottom"/>
            <w:gridSpan w:val="2"/>
          </w:tcPr>
          <w:p>
            <w:pPr>
              <w:jc w:val="right"/>
              <w:ind w:right="131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40,885</w:t>
            </w:r>
          </w:p>
        </w:tc>
        <w:tc>
          <w:tcPr>
            <w:tcW w:w="30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56,652</w:t>
            </w:r>
          </w:p>
        </w:tc>
        <w:tc>
          <w:tcPr>
            <w:tcW w:w="80" w:type="dxa"/>
            <w:vAlign w:val="bottom"/>
          </w:tcPr>
          <w:p>
            <w:pPr>
              <w:spacing w:after="0"/>
              <w:rPr>
                <w:sz w:val="13"/>
                <w:szCs w:val="13"/>
                <w:color w:val="auto"/>
              </w:rPr>
            </w:pPr>
          </w:p>
        </w:tc>
      </w:tr>
      <w:tr>
        <w:trPr>
          <w:trHeight w:val="161"/>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Denominator for basic weighted average shares</w:t>
            </w:r>
          </w:p>
        </w:tc>
        <w:tc>
          <w:tcPr>
            <w:tcW w:w="1380" w:type="dxa"/>
            <w:vAlign w:val="bottom"/>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75,972,079</w:t>
            </w:r>
          </w:p>
        </w:tc>
        <w:tc>
          <w:tcPr>
            <w:tcW w:w="3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69,691,162</w:t>
            </w:r>
          </w:p>
        </w:tc>
        <w:tc>
          <w:tcPr>
            <w:tcW w:w="80" w:type="dxa"/>
            <w:vAlign w:val="bottom"/>
            <w:shd w:val="clear" w:color="auto" w:fill="CFF0FC"/>
          </w:tcPr>
          <w:p>
            <w:pPr>
              <w:spacing w:after="0"/>
              <w:rPr>
                <w:sz w:val="13"/>
                <w:szCs w:val="13"/>
                <w:color w:val="auto"/>
              </w:rPr>
            </w:pPr>
          </w:p>
        </w:tc>
      </w:tr>
      <w:tr>
        <w:trPr>
          <w:trHeight w:val="150"/>
        </w:trPr>
        <w:tc>
          <w:tcPr>
            <w:tcW w:w="4260" w:type="dxa"/>
            <w:vAlign w:val="bottom"/>
          </w:tcPr>
          <w:p>
            <w:pPr>
              <w:spacing w:after="0"/>
              <w:rPr>
                <w:sz w:val="20"/>
                <w:szCs w:val="20"/>
                <w:color w:val="auto"/>
              </w:rPr>
            </w:pPr>
            <w:r>
              <w:rPr>
                <w:rFonts w:ascii="Arial" w:cs="Arial" w:eastAsia="Arial" w:hAnsi="Arial"/>
                <w:sz w:val="13"/>
                <w:szCs w:val="13"/>
                <w:color w:val="auto"/>
              </w:rPr>
              <w:t>Earnings per common share—basic</w:t>
            </w:r>
          </w:p>
        </w:tc>
        <w:tc>
          <w:tcPr>
            <w:tcW w:w="2800" w:type="dxa"/>
            <w:vAlign w:val="bottom"/>
            <w:gridSpan w:val="2"/>
          </w:tcPr>
          <w:p>
            <w:pPr>
              <w:jc w:val="right"/>
              <w:ind w:right="131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0.54</w:t>
            </w:r>
          </w:p>
        </w:tc>
        <w:tc>
          <w:tcPr>
            <w:tcW w:w="30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0.81</w:t>
            </w:r>
          </w:p>
        </w:tc>
        <w:tc>
          <w:tcPr>
            <w:tcW w:w="80" w:type="dxa"/>
            <w:vAlign w:val="bottom"/>
          </w:tcPr>
          <w:p>
            <w:pPr>
              <w:spacing w:after="0"/>
              <w:rPr>
                <w:sz w:val="13"/>
                <w:szCs w:val="13"/>
                <w:color w:val="auto"/>
              </w:rPr>
            </w:pPr>
          </w:p>
        </w:tc>
      </w:tr>
      <w:tr>
        <w:trPr>
          <w:trHeight w:val="150"/>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Earnings per common share—diluted</w:t>
            </w:r>
          </w:p>
        </w:tc>
        <w:tc>
          <w:tcPr>
            <w:tcW w:w="1380" w:type="dxa"/>
            <w:vAlign w:val="bottom"/>
            <w:tcBorders>
              <w:top w:val="single" w:sz="8" w:color="CFF0FC"/>
            </w:tcBorders>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5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3"/>
                <w:szCs w:val="13"/>
                <w:color w:val="auto"/>
              </w:rPr>
              <w:t>Numerator for increase in net assets per share</w:t>
            </w:r>
          </w:p>
        </w:tc>
        <w:tc>
          <w:tcPr>
            <w:tcW w:w="2800" w:type="dxa"/>
            <w:vAlign w:val="bottom"/>
            <w:gridSpan w:val="2"/>
          </w:tcPr>
          <w:p>
            <w:pPr>
              <w:jc w:val="right"/>
              <w:ind w:right="131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40,885</w:t>
            </w:r>
          </w:p>
        </w:tc>
        <w:tc>
          <w:tcPr>
            <w:tcW w:w="30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56,652</w:t>
            </w:r>
          </w:p>
        </w:tc>
        <w:tc>
          <w:tcPr>
            <w:tcW w:w="80" w:type="dxa"/>
            <w:vAlign w:val="bottom"/>
          </w:tcPr>
          <w:p>
            <w:pPr>
              <w:spacing w:after="0"/>
              <w:rPr>
                <w:sz w:val="13"/>
                <w:szCs w:val="13"/>
                <w:color w:val="auto"/>
              </w:rPr>
            </w:pPr>
          </w:p>
        </w:tc>
      </w:tr>
      <w:tr>
        <w:trPr>
          <w:trHeight w:val="152"/>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Adjustment for interest expense and deferred financing</w:t>
            </w:r>
          </w:p>
        </w:tc>
        <w:tc>
          <w:tcPr>
            <w:tcW w:w="13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1"/>
        </w:trPr>
        <w:tc>
          <w:tcPr>
            <w:tcW w:w="42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costs on 2022 Convertible Notes, incentive fee and</w:t>
            </w:r>
          </w:p>
        </w:tc>
        <w:tc>
          <w:tcPr>
            <w:tcW w:w="13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60"/>
        </w:trPr>
        <w:tc>
          <w:tcPr>
            <w:tcW w:w="426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excise tax, net</w:t>
            </w:r>
          </w:p>
        </w:tc>
        <w:tc>
          <w:tcPr>
            <w:tcW w:w="1380" w:type="dxa"/>
            <w:vAlign w:val="bottom"/>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998</w:t>
            </w:r>
          </w:p>
        </w:tc>
        <w:tc>
          <w:tcPr>
            <w:tcW w:w="3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1,439</w:t>
            </w:r>
          </w:p>
        </w:tc>
        <w:tc>
          <w:tcPr>
            <w:tcW w:w="80" w:type="dxa"/>
            <w:vAlign w:val="bottom"/>
            <w:shd w:val="clear" w:color="auto" w:fill="CFF0FC"/>
          </w:tcPr>
          <w:p>
            <w:pPr>
              <w:spacing w:after="0"/>
              <w:rPr>
                <w:sz w:val="13"/>
                <w:szCs w:val="13"/>
                <w:color w:val="auto"/>
              </w:rPr>
            </w:pPr>
          </w:p>
        </w:tc>
      </w:tr>
      <w:tr>
        <w:trPr>
          <w:trHeight w:val="150"/>
        </w:trPr>
        <w:tc>
          <w:tcPr>
            <w:tcW w:w="4260" w:type="dxa"/>
            <w:vAlign w:val="bottom"/>
          </w:tcPr>
          <w:p>
            <w:pPr>
              <w:spacing w:after="0"/>
              <w:rPr>
                <w:sz w:val="20"/>
                <w:szCs w:val="20"/>
                <w:color w:val="auto"/>
              </w:rPr>
            </w:pPr>
            <w:r>
              <w:rPr>
                <w:rFonts w:ascii="Arial" w:cs="Arial" w:eastAsia="Arial" w:hAnsi="Arial"/>
                <w:sz w:val="13"/>
                <w:szCs w:val="13"/>
                <w:color w:val="auto"/>
              </w:rPr>
              <w:t>Numerator for diluted earnings per share</w:t>
            </w:r>
          </w:p>
        </w:tc>
        <w:tc>
          <w:tcPr>
            <w:tcW w:w="2800" w:type="dxa"/>
            <w:vAlign w:val="bottom"/>
            <w:gridSpan w:val="2"/>
          </w:tcPr>
          <w:p>
            <w:pPr>
              <w:jc w:val="right"/>
              <w:ind w:right="131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41,883</w:t>
            </w:r>
          </w:p>
        </w:tc>
        <w:tc>
          <w:tcPr>
            <w:tcW w:w="30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58,091</w:t>
            </w:r>
          </w:p>
        </w:tc>
        <w:tc>
          <w:tcPr>
            <w:tcW w:w="80" w:type="dxa"/>
            <w:vAlign w:val="bottom"/>
          </w:tcPr>
          <w:p>
            <w:pPr>
              <w:spacing w:after="0"/>
              <w:rPr>
                <w:sz w:val="13"/>
                <w:szCs w:val="13"/>
                <w:color w:val="auto"/>
              </w:rPr>
            </w:pPr>
          </w:p>
        </w:tc>
      </w:tr>
      <w:tr>
        <w:trPr>
          <w:trHeight w:val="161"/>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Denominator for basic weighted average shares</w:t>
            </w:r>
          </w:p>
        </w:tc>
        <w:tc>
          <w:tcPr>
            <w:tcW w:w="13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75,972,079</w:t>
            </w:r>
          </w:p>
        </w:tc>
        <w:tc>
          <w:tcPr>
            <w:tcW w:w="3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69,691,162</w:t>
            </w:r>
          </w:p>
        </w:tc>
        <w:tc>
          <w:tcPr>
            <w:tcW w:w="80" w:type="dxa"/>
            <w:vAlign w:val="bottom"/>
            <w:shd w:val="clear" w:color="auto" w:fill="CFF0FC"/>
          </w:tcPr>
          <w:p>
            <w:pPr>
              <w:spacing w:after="0"/>
              <w:rPr>
                <w:sz w:val="13"/>
                <w:szCs w:val="13"/>
                <w:color w:val="auto"/>
              </w:rPr>
            </w:pPr>
          </w:p>
        </w:tc>
      </w:tr>
      <w:tr>
        <w:trPr>
          <w:trHeight w:val="161"/>
        </w:trPr>
        <w:tc>
          <w:tcPr>
            <w:tcW w:w="42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Adjustment for dilutive effect of 2022 Convertible Notes</w:t>
            </w:r>
          </w:p>
        </w:tc>
        <w:tc>
          <w:tcPr>
            <w:tcW w:w="138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5,564,172</w:t>
            </w:r>
          </w:p>
        </w:tc>
        <w:tc>
          <w:tcPr>
            <w:tcW w:w="3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7,665,330</w:t>
            </w:r>
          </w:p>
        </w:tc>
        <w:tc>
          <w:tcPr>
            <w:tcW w:w="80" w:type="dxa"/>
            <w:vAlign w:val="bottom"/>
            <w:tcBorders>
              <w:bottom w:val="single" w:sz="8" w:color="CFF0FC"/>
            </w:tcBorders>
          </w:tcPr>
          <w:p>
            <w:pPr>
              <w:spacing w:after="0"/>
              <w:rPr>
                <w:sz w:val="13"/>
                <w:szCs w:val="13"/>
                <w:color w:val="auto"/>
              </w:rPr>
            </w:pPr>
          </w:p>
        </w:tc>
      </w:tr>
      <w:tr>
        <w:trPr>
          <w:trHeight w:val="150"/>
        </w:trPr>
        <w:tc>
          <w:tcPr>
            <w:tcW w:w="4260" w:type="dxa"/>
            <w:vAlign w:val="bottom"/>
            <w:shd w:val="clear" w:color="auto" w:fill="CFF0FC"/>
          </w:tcPr>
          <w:p>
            <w:pPr>
              <w:spacing w:after="0"/>
              <w:rPr>
                <w:sz w:val="20"/>
                <w:szCs w:val="20"/>
                <w:color w:val="auto"/>
              </w:rPr>
            </w:pPr>
            <w:r>
              <w:rPr>
                <w:rFonts w:ascii="Arial" w:cs="Arial" w:eastAsia="Arial" w:hAnsi="Arial"/>
                <w:sz w:val="13"/>
                <w:szCs w:val="13"/>
                <w:color w:val="auto"/>
              </w:rPr>
              <w:t>Denominator for diluted weighted average shares</w:t>
            </w:r>
          </w:p>
        </w:tc>
        <w:tc>
          <w:tcPr>
            <w:tcW w:w="1380" w:type="dxa"/>
            <w:vAlign w:val="bottom"/>
            <w:shd w:val="clear" w:color="auto" w:fill="CFF0FC"/>
          </w:tcPr>
          <w:p>
            <w:pPr>
              <w:spacing w:after="0"/>
              <w:rPr>
                <w:sz w:val="13"/>
                <w:szCs w:val="13"/>
                <w:color w:val="auto"/>
              </w:rPr>
            </w:pPr>
          </w:p>
        </w:tc>
        <w:tc>
          <w:tcPr>
            <w:tcW w:w="142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5"/>
              </w:rPr>
              <w:t>81,536,251</w:t>
            </w:r>
          </w:p>
        </w:tc>
        <w:tc>
          <w:tcPr>
            <w:tcW w:w="300" w:type="dxa"/>
            <w:vAlign w:val="bottom"/>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spacing w:after="0"/>
              <w:rPr>
                <w:sz w:val="13"/>
                <w:szCs w:val="13"/>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77,356,492</w:t>
            </w:r>
          </w:p>
        </w:tc>
        <w:tc>
          <w:tcPr>
            <w:tcW w:w="80" w:type="dxa"/>
            <w:vAlign w:val="bottom"/>
            <w:shd w:val="clear" w:color="auto" w:fill="CFF0FC"/>
          </w:tcPr>
          <w:p>
            <w:pPr>
              <w:spacing w:after="0"/>
              <w:rPr>
                <w:sz w:val="13"/>
                <w:szCs w:val="13"/>
                <w:color w:val="auto"/>
              </w:rPr>
            </w:pPr>
          </w:p>
        </w:tc>
      </w:tr>
      <w:tr>
        <w:trPr>
          <w:trHeight w:val="150"/>
        </w:trPr>
        <w:tc>
          <w:tcPr>
            <w:tcW w:w="4260" w:type="dxa"/>
            <w:vAlign w:val="bottom"/>
          </w:tcPr>
          <w:p>
            <w:pPr>
              <w:spacing w:after="0"/>
              <w:rPr>
                <w:sz w:val="20"/>
                <w:szCs w:val="20"/>
                <w:color w:val="auto"/>
              </w:rPr>
            </w:pPr>
            <w:r>
              <w:rPr>
                <w:rFonts w:ascii="Arial" w:cs="Arial" w:eastAsia="Arial" w:hAnsi="Arial"/>
                <w:sz w:val="13"/>
                <w:szCs w:val="13"/>
                <w:color w:val="auto"/>
              </w:rPr>
              <w:t>Earnings per common share—diluted</w:t>
            </w:r>
          </w:p>
        </w:tc>
        <w:tc>
          <w:tcPr>
            <w:tcW w:w="2800" w:type="dxa"/>
            <w:vAlign w:val="bottom"/>
            <w:gridSpan w:val="2"/>
          </w:tcPr>
          <w:p>
            <w:pPr>
              <w:jc w:val="right"/>
              <w:ind w:right="131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0.51</w:t>
            </w:r>
          </w:p>
        </w:tc>
        <w:tc>
          <w:tcPr>
            <w:tcW w:w="300" w:type="dxa"/>
            <w:vAlign w:val="bottom"/>
          </w:tcPr>
          <w:p>
            <w:pPr>
              <w:spacing w:after="0"/>
              <w:rPr>
                <w:sz w:val="13"/>
                <w:szCs w:val="13"/>
                <w:color w:val="auto"/>
              </w:rPr>
            </w:pPr>
          </w:p>
        </w:tc>
        <w:tc>
          <w:tcPr>
            <w:tcW w:w="500" w:type="dxa"/>
            <w:vAlign w:val="bottom"/>
          </w:tcPr>
          <w:p>
            <w:pPr>
              <w:jc w:val="right"/>
              <w:ind w:right="39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0.75</w:t>
            </w:r>
          </w:p>
        </w:tc>
        <w:tc>
          <w:tcPr>
            <w:tcW w:w="80" w:type="dxa"/>
            <w:vAlign w:val="bottom"/>
          </w:tcPr>
          <w:p>
            <w:pPr>
              <w:spacing w:after="0"/>
              <w:rPr>
                <w:sz w:val="13"/>
                <w:szCs w:val="13"/>
                <w:color w:val="auto"/>
              </w:rPr>
            </w:pPr>
          </w:p>
        </w:tc>
      </w:tr>
      <w:tr>
        <w:trPr>
          <w:trHeight w:val="20"/>
        </w:trPr>
        <w:tc>
          <w:tcPr>
            <w:tcW w:w="4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256"/>
        <w:spacing w:after="0" w:line="247" w:lineRule="auto"/>
        <w:rPr>
          <w:sz w:val="20"/>
          <w:szCs w:val="20"/>
          <w:color w:val="auto"/>
        </w:rPr>
      </w:pPr>
      <w:r>
        <w:rPr>
          <w:rFonts w:ascii="Arial" w:cs="Arial" w:eastAsia="Arial" w:hAnsi="Arial"/>
          <w:sz w:val="13"/>
          <w:szCs w:val="13"/>
          <w:color w:val="auto"/>
        </w:rPr>
        <w:t>The 2022 Convertible Notes will be convertible into a combination of cash and shares of the Company’s common stock, at the Company’s election which can be dilutive to common stockholders. Diluted earnings (loss) per share is the amount of earnings (loss)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is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spacing w:after="0" w:line="138" w:lineRule="exact"/>
        <w:rPr>
          <w:sz w:val="20"/>
          <w:szCs w:val="20"/>
          <w:color w:val="auto"/>
        </w:rPr>
      </w:pPr>
    </w:p>
    <w:p>
      <w:pPr>
        <w:jc w:val="both"/>
        <w:ind w:right="240" w:firstLine="256"/>
        <w:spacing w:after="0" w:line="251" w:lineRule="auto"/>
        <w:rPr>
          <w:sz w:val="20"/>
          <w:szCs w:val="20"/>
          <w:color w:val="auto"/>
        </w:rPr>
      </w:pPr>
      <w:r>
        <w:rPr>
          <w:rFonts w:ascii="Arial" w:cs="Arial" w:eastAsia="Arial" w:hAnsi="Arial"/>
          <w:sz w:val="13"/>
          <w:szCs w:val="13"/>
          <w:color w:val="auto"/>
        </w:rPr>
        <w:t>For the purpose of calculating diluted earnings per common share, the average daily closing price of the Company’s common stock for the three months ended March 31, 2022 and March 31, 2021, respectively, was greater than the estimated adjusted conversion price for the 2022 Convertible Notes outstanding as of March 31, 2022 and March 31, 2021, respectively. Therefore, for these periods presented in the consolidated financial statements the Company applied the if-converted method for purposes of calculating diluted earnings per common share.</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11. Dividends</w:t>
      </w:r>
    </w:p>
    <w:p>
      <w:pPr>
        <w:spacing w:after="0" w:line="81" w:lineRule="exact"/>
        <w:rPr>
          <w:sz w:val="20"/>
          <w:szCs w:val="20"/>
          <w:color w:val="auto"/>
        </w:rPr>
      </w:pPr>
    </w:p>
    <w:p>
      <w:pPr>
        <w:ind w:right="180" w:firstLine="256"/>
        <w:spacing w:after="0" w:line="260" w:lineRule="auto"/>
        <w:rPr>
          <w:sz w:val="20"/>
          <w:szCs w:val="20"/>
          <w:color w:val="auto"/>
        </w:rPr>
      </w:pPr>
      <w:r>
        <w:rPr>
          <w:rFonts w:ascii="Arial" w:cs="Arial" w:eastAsia="Arial" w:hAnsi="Arial"/>
          <w:sz w:val="13"/>
          <w:szCs w:val="13"/>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tables summarize dividends declared during the three months ended March 31, 2022 and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gridSpan w:val="3"/>
          </w:tcPr>
          <w:p>
            <w:pPr>
              <w:jc w:val="right"/>
              <w:ind w:right="1141"/>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100" w:type="dxa"/>
            <w:vAlign w:val="bottom"/>
            <w:gridSpan w:val="2"/>
            <w:vMerge w:val="restart"/>
          </w:tcPr>
          <w:p>
            <w:pPr>
              <w:ind w:left="1120"/>
              <w:spacing w:after="0"/>
              <w:rPr>
                <w:sz w:val="20"/>
                <w:szCs w:val="20"/>
                <w:color w:val="auto"/>
              </w:rPr>
            </w:pPr>
            <w:r>
              <w:rPr>
                <w:rFonts w:ascii="Arial" w:cs="Arial" w:eastAsia="Arial" w:hAnsi="Arial"/>
                <w:sz w:val="10"/>
                <w:szCs w:val="10"/>
                <w:b w:val="1"/>
                <w:bCs w:val="1"/>
                <w:color w:val="auto"/>
              </w:rPr>
              <w:t>Date Declared</w:t>
            </w: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2"/>
          </w:tcPr>
          <w:p>
            <w:pPr>
              <w:jc w:val="right"/>
              <w:ind w:right="1281"/>
              <w:spacing w:after="0"/>
              <w:rPr>
                <w:sz w:val="20"/>
                <w:szCs w:val="20"/>
                <w:color w:val="auto"/>
              </w:rPr>
            </w:pPr>
            <w:r>
              <w:rPr>
                <w:rFonts w:ascii="Arial" w:cs="Arial" w:eastAsia="Arial" w:hAnsi="Arial"/>
                <w:sz w:val="10"/>
                <w:szCs w:val="10"/>
                <w:b w:val="1"/>
                <w:bCs w:val="1"/>
                <w:color w:val="auto"/>
                <w:w w:val="92"/>
              </w:rPr>
              <w:t>March 31, 2022</w:t>
            </w: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100" w:type="dxa"/>
            <w:vAlign w:val="bottom"/>
            <w:gridSpan w:val="2"/>
            <w:vMerge w:val="continue"/>
          </w:tcPr>
          <w:p>
            <w:pPr>
              <w:spacing w:after="0"/>
              <w:rPr>
                <w:sz w:val="8"/>
                <w:szCs w:val="8"/>
                <w:color w:val="auto"/>
              </w:rPr>
            </w:pPr>
          </w:p>
        </w:tc>
        <w:tc>
          <w:tcPr>
            <w:tcW w:w="840" w:type="dxa"/>
            <w:vAlign w:val="bottom"/>
            <w:gridSpan w:val="2"/>
          </w:tcPr>
          <w:p>
            <w:pPr>
              <w:jc w:val="center"/>
              <w:ind w:right="140"/>
              <w:spacing w:after="0" w:line="103" w:lineRule="exact"/>
              <w:rPr>
                <w:sz w:val="20"/>
                <w:szCs w:val="20"/>
                <w:color w:val="auto"/>
              </w:rPr>
            </w:pPr>
            <w:r>
              <w:rPr>
                <w:rFonts w:ascii="Arial" w:cs="Arial" w:eastAsia="Arial" w:hAnsi="Arial"/>
                <w:sz w:val="10"/>
                <w:szCs w:val="10"/>
                <w:b w:val="1"/>
                <w:bCs w:val="1"/>
                <w:color w:val="auto"/>
                <w:w w:val="89"/>
              </w:rPr>
              <w:t>Dividend</w:t>
            </w:r>
          </w:p>
        </w:tc>
        <w:tc>
          <w:tcPr>
            <w:tcW w:w="1780" w:type="dxa"/>
            <w:vAlign w:val="bottom"/>
          </w:tcPr>
          <w:p>
            <w:pPr>
              <w:jc w:val="right"/>
              <w:ind w:right="582"/>
              <w:spacing w:after="0" w:line="103" w:lineRule="exact"/>
              <w:rPr>
                <w:sz w:val="20"/>
                <w:szCs w:val="20"/>
                <w:color w:val="auto"/>
              </w:rPr>
            </w:pPr>
            <w:r>
              <w:rPr>
                <w:rFonts w:ascii="Arial" w:cs="Arial" w:eastAsia="Arial" w:hAnsi="Arial"/>
                <w:sz w:val="10"/>
                <w:szCs w:val="10"/>
                <w:b w:val="1"/>
                <w:bCs w:val="1"/>
                <w:color w:val="auto"/>
              </w:rPr>
              <w:t>Record Date</w:t>
            </w:r>
          </w:p>
        </w:tc>
        <w:tc>
          <w:tcPr>
            <w:tcW w:w="120" w:type="dxa"/>
            <w:vAlign w:val="bottom"/>
          </w:tcPr>
          <w:p>
            <w:pPr>
              <w:spacing w:after="0"/>
              <w:rPr>
                <w:sz w:val="8"/>
                <w:szCs w:val="8"/>
                <w:color w:val="auto"/>
              </w:rPr>
            </w:pPr>
          </w:p>
        </w:tc>
        <w:tc>
          <w:tcPr>
            <w:tcW w:w="1900" w:type="dxa"/>
            <w:vAlign w:val="bottom"/>
          </w:tcPr>
          <w:p>
            <w:pPr>
              <w:jc w:val="right"/>
              <w:ind w:right="601"/>
              <w:spacing w:after="0" w:line="103" w:lineRule="exact"/>
              <w:rPr>
                <w:sz w:val="20"/>
                <w:szCs w:val="20"/>
                <w:color w:val="auto"/>
              </w:rPr>
            </w:pPr>
            <w:r>
              <w:rPr>
                <w:rFonts w:ascii="Arial" w:cs="Arial" w:eastAsia="Arial" w:hAnsi="Arial"/>
                <w:sz w:val="10"/>
                <w:szCs w:val="10"/>
                <w:b w:val="1"/>
                <w:bCs w:val="1"/>
                <w:color w:val="auto"/>
              </w:rPr>
              <w:t>Payment Date</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jc w:val="right"/>
              <w:ind w:right="140"/>
              <w:spacing w:after="0" w:line="103" w:lineRule="exact"/>
              <w:rPr>
                <w:sz w:val="20"/>
                <w:szCs w:val="20"/>
                <w:color w:val="auto"/>
              </w:rPr>
            </w:pPr>
            <w:r>
              <w:rPr>
                <w:rFonts w:ascii="Arial" w:cs="Arial" w:eastAsia="Arial" w:hAnsi="Arial"/>
                <w:sz w:val="10"/>
                <w:szCs w:val="10"/>
                <w:b w:val="1"/>
                <w:bCs w:val="1"/>
                <w:color w:val="auto"/>
                <w:w w:val="96"/>
              </w:rPr>
              <w:t>Dividend per Share</w:t>
            </w: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February 17, 2022</w:t>
            </w: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tcPr>
          <w:p>
            <w:pPr>
              <w:spacing w:after="0"/>
              <w:rPr>
                <w:sz w:val="13"/>
                <w:szCs w:val="13"/>
                <w:color w:val="auto"/>
              </w:rPr>
            </w:pPr>
          </w:p>
        </w:tc>
        <w:tc>
          <w:tcPr>
            <w:tcW w:w="296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8"/>
              </w:rPr>
              <w:t>Supplemental</w:t>
            </w:r>
          </w:p>
        </w:tc>
        <w:tc>
          <w:tcPr>
            <w:tcW w:w="120" w:type="dxa"/>
            <w:vAlign w:val="bottom"/>
            <w:shd w:val="clear" w:color="auto" w:fill="CFF0FC"/>
          </w:tcPr>
          <w:p>
            <w:pPr>
              <w:spacing w:after="0"/>
              <w:rPr>
                <w:sz w:val="13"/>
                <w:szCs w:val="13"/>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February 28, 2022</w:t>
            </w:r>
          </w:p>
        </w:tc>
        <w:tc>
          <w:tcPr>
            <w:tcW w:w="12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March 31, 2022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0.11</w:t>
            </w:r>
          </w:p>
        </w:tc>
        <w:tc>
          <w:tcPr>
            <w:tcW w:w="80" w:type="dxa"/>
            <w:vAlign w:val="bottom"/>
            <w:shd w:val="clear" w:color="auto" w:fill="CFF0FC"/>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00" w:type="dxa"/>
            <w:vAlign w:val="bottom"/>
            <w:gridSpan w:val="2"/>
          </w:tcPr>
          <w:p>
            <w:pPr>
              <w:ind w:left="1120"/>
              <w:spacing w:after="0"/>
              <w:rPr>
                <w:sz w:val="20"/>
                <w:szCs w:val="20"/>
                <w:color w:val="auto"/>
              </w:rPr>
            </w:pPr>
            <w:r>
              <w:rPr>
                <w:rFonts w:ascii="Arial" w:cs="Arial" w:eastAsia="Arial" w:hAnsi="Arial"/>
                <w:sz w:val="13"/>
                <w:szCs w:val="13"/>
                <w:color w:val="auto"/>
              </w:rPr>
              <w:t>February 17, 2022</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Base</w:t>
            </w:r>
          </w:p>
        </w:tc>
        <w:tc>
          <w:tcPr>
            <w:tcW w:w="1780" w:type="dxa"/>
            <w:vAlign w:val="bottom"/>
          </w:tcPr>
          <w:p>
            <w:pPr>
              <w:jc w:val="right"/>
              <w:spacing w:after="0"/>
              <w:rPr>
                <w:sz w:val="20"/>
                <w:szCs w:val="20"/>
                <w:color w:val="auto"/>
              </w:rPr>
            </w:pPr>
            <w:r>
              <w:rPr>
                <w:rFonts w:ascii="Arial" w:cs="Arial" w:eastAsia="Arial" w:hAnsi="Arial"/>
                <w:sz w:val="13"/>
                <w:szCs w:val="13"/>
                <w:color w:val="auto"/>
              </w:rPr>
              <w:t>March 15, 2022</w:t>
            </w:r>
          </w:p>
        </w:tc>
        <w:tc>
          <w:tcPr>
            <w:tcW w:w="120" w:type="dxa"/>
            <w:vAlign w:val="bottom"/>
          </w:tcPr>
          <w:p>
            <w:pPr>
              <w:spacing w:after="0"/>
              <w:rPr>
                <w:sz w:val="13"/>
                <w:szCs w:val="13"/>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April 18, 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0.41</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60" w:type="dxa"/>
            <w:vAlign w:val="bottom"/>
            <w:vMerge w:val="restart"/>
            <w:shd w:val="clear" w:color="auto" w:fill="CFF0FC"/>
          </w:tcPr>
          <w:p>
            <w:pPr>
              <w:ind w:left="160"/>
              <w:spacing w:after="0"/>
              <w:rPr>
                <w:sz w:val="20"/>
                <w:szCs w:val="20"/>
                <w:color w:val="auto"/>
              </w:rPr>
            </w:pPr>
            <w:r>
              <w:rPr>
                <w:rFonts w:ascii="Arial" w:cs="Arial" w:eastAsia="Arial" w:hAnsi="Arial"/>
                <w:sz w:val="13"/>
                <w:szCs w:val="13"/>
                <w:b w:val="1"/>
                <w:bCs w:val="1"/>
                <w:color w:val="auto"/>
              </w:rPr>
              <w:t>Total Dividends Declared</w:t>
            </w: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140" w:type="dxa"/>
            <w:vAlign w:val="bottom"/>
          </w:tcPr>
          <w:p>
            <w:pPr>
              <w:spacing w:after="0"/>
              <w:rPr>
                <w:sz w:val="14"/>
                <w:szCs w:val="14"/>
                <w:color w:val="auto"/>
              </w:rPr>
            </w:pPr>
          </w:p>
        </w:tc>
        <w:tc>
          <w:tcPr>
            <w:tcW w:w="2960" w:type="dxa"/>
            <w:vAlign w:val="bottom"/>
            <w:vMerge w:val="continue"/>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0.52</w:t>
            </w:r>
          </w:p>
        </w:tc>
        <w:tc>
          <w:tcPr>
            <w:tcW w:w="8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296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780" w:type="dxa"/>
            <w:vAlign w:val="bottom"/>
            <w:tcBorders>
              <w:top w:val="single" w:sz="8" w:color="CFF0FC"/>
            </w:tcBorders>
          </w:tcPr>
          <w:p>
            <w:pPr>
              <w:jc w:val="right"/>
              <w:ind w:right="962"/>
              <w:spacing w:after="0"/>
              <w:rPr>
                <w:sz w:val="20"/>
                <w:szCs w:val="20"/>
                <w:color w:val="auto"/>
              </w:rPr>
            </w:pPr>
            <w:r>
              <w:rPr>
                <w:rFonts w:ascii="Arial" w:cs="Arial" w:eastAsia="Arial" w:hAnsi="Arial"/>
                <w:sz w:val="13"/>
                <w:szCs w:val="13"/>
                <w:color w:val="auto"/>
              </w:rPr>
              <w:t>44</w:t>
            </w:r>
          </w:p>
        </w:tc>
        <w:tc>
          <w:tcPr>
            <w:tcW w:w="120" w:type="dxa"/>
            <w:vAlign w:val="bottom"/>
            <w:tcBorders>
              <w:top w:val="single" w:sz="8" w:color="CFF0FC"/>
            </w:tcBorders>
          </w:tcPr>
          <w:p>
            <w:pPr>
              <w:spacing w:after="0"/>
              <w:rPr>
                <w:sz w:val="24"/>
                <w:szCs w:val="24"/>
                <w:color w:val="auto"/>
              </w:rPr>
            </w:pPr>
          </w:p>
        </w:tc>
        <w:tc>
          <w:tcPr>
            <w:tcW w:w="19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14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9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433" w:right="279" w:bottom="1440" w:gutter="0" w:footer="0" w:header="0"/>
        </w:sectPr>
      </w:pPr>
    </w:p>
    <w:bookmarkStart w:id="44" w:name="page45"/>
    <w:bookmarkEnd w:id="44"/>
    <w:tbl>
      <w:tblPr>
        <w:tblLayout w:type="fixed"/>
        <w:tblInd w:w="11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920" w:type="dxa"/>
            <w:vAlign w:val="bottom"/>
            <w:gridSpan w:val="4"/>
          </w:tcPr>
          <w:p>
            <w:pPr>
              <w:jc w:val="center"/>
              <w:ind w:left="302"/>
              <w:spacing w:after="0"/>
              <w:rPr>
                <w:sz w:val="20"/>
                <w:szCs w:val="20"/>
                <w:color w:val="auto"/>
              </w:rPr>
            </w:pPr>
            <w:r>
              <w:rPr>
                <w:rFonts w:ascii="Arial" w:cs="Arial" w:eastAsia="Arial" w:hAnsi="Arial"/>
                <w:sz w:val="10"/>
                <w:szCs w:val="10"/>
                <w:b w:val="1"/>
                <w:bCs w:val="1"/>
                <w:color w:val="auto"/>
                <w:w w:val="92"/>
              </w:rPr>
              <w:t>Three Months Ended</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9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Date Declared</w:t>
            </w: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jc w:val="center"/>
              <w:ind w:right="1440"/>
              <w:spacing w:after="0"/>
              <w:rPr>
                <w:sz w:val="20"/>
                <w:szCs w:val="20"/>
                <w:color w:val="auto"/>
              </w:rPr>
            </w:pPr>
            <w:r>
              <w:rPr>
                <w:rFonts w:ascii="Arial" w:cs="Arial" w:eastAsia="Arial" w:hAnsi="Arial"/>
                <w:sz w:val="10"/>
                <w:szCs w:val="10"/>
                <w:b w:val="1"/>
                <w:bCs w:val="1"/>
                <w:color w:val="auto"/>
                <w:w w:val="92"/>
              </w:rPr>
              <w:t>March 31, 2021</w:t>
            </w: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980" w:type="dxa"/>
            <w:vAlign w:val="bottom"/>
            <w:gridSpan w:val="2"/>
            <w:vMerge w:val="continue"/>
          </w:tcPr>
          <w:p>
            <w:pPr>
              <w:spacing w:after="0"/>
              <w:rPr>
                <w:sz w:val="8"/>
                <w:szCs w:val="8"/>
                <w:color w:val="auto"/>
              </w:rPr>
            </w:pPr>
          </w:p>
        </w:tc>
        <w:tc>
          <w:tcPr>
            <w:tcW w:w="840" w:type="dxa"/>
            <w:vAlign w:val="bottom"/>
            <w:gridSpan w:val="2"/>
          </w:tcPr>
          <w:p>
            <w:pPr>
              <w:jc w:val="center"/>
              <w:ind w:right="140"/>
              <w:spacing w:after="0" w:line="103" w:lineRule="exact"/>
              <w:rPr>
                <w:sz w:val="20"/>
                <w:szCs w:val="20"/>
                <w:color w:val="auto"/>
              </w:rPr>
            </w:pPr>
            <w:r>
              <w:rPr>
                <w:rFonts w:ascii="Arial" w:cs="Arial" w:eastAsia="Arial" w:hAnsi="Arial"/>
                <w:sz w:val="10"/>
                <w:szCs w:val="10"/>
                <w:b w:val="1"/>
                <w:bCs w:val="1"/>
                <w:color w:val="auto"/>
                <w:w w:val="89"/>
              </w:rPr>
              <w:t>Dividend</w:t>
            </w:r>
          </w:p>
        </w:tc>
        <w:tc>
          <w:tcPr>
            <w:tcW w:w="1780" w:type="dxa"/>
            <w:vAlign w:val="bottom"/>
          </w:tcPr>
          <w:p>
            <w:pPr>
              <w:jc w:val="right"/>
              <w:ind w:right="582"/>
              <w:spacing w:after="0" w:line="103" w:lineRule="exact"/>
              <w:rPr>
                <w:sz w:val="20"/>
                <w:szCs w:val="20"/>
                <w:color w:val="auto"/>
              </w:rPr>
            </w:pPr>
            <w:r>
              <w:rPr>
                <w:rFonts w:ascii="Arial" w:cs="Arial" w:eastAsia="Arial" w:hAnsi="Arial"/>
                <w:sz w:val="10"/>
                <w:szCs w:val="10"/>
                <w:b w:val="1"/>
                <w:bCs w:val="1"/>
                <w:color w:val="auto"/>
              </w:rPr>
              <w:t>Record Date</w:t>
            </w:r>
          </w:p>
        </w:tc>
        <w:tc>
          <w:tcPr>
            <w:tcW w:w="120" w:type="dxa"/>
            <w:vAlign w:val="bottom"/>
          </w:tcPr>
          <w:p>
            <w:pPr>
              <w:spacing w:after="0"/>
              <w:rPr>
                <w:sz w:val="8"/>
                <w:szCs w:val="8"/>
                <w:color w:val="auto"/>
              </w:rPr>
            </w:pPr>
          </w:p>
        </w:tc>
        <w:tc>
          <w:tcPr>
            <w:tcW w:w="2020" w:type="dxa"/>
            <w:vAlign w:val="bottom"/>
            <w:gridSpan w:val="2"/>
          </w:tcPr>
          <w:p>
            <w:pPr>
              <w:ind w:left="640"/>
              <w:spacing w:after="0" w:line="103" w:lineRule="exact"/>
              <w:rPr>
                <w:sz w:val="20"/>
                <w:szCs w:val="20"/>
                <w:color w:val="auto"/>
              </w:rPr>
            </w:pPr>
            <w:r>
              <w:rPr>
                <w:rFonts w:ascii="Arial" w:cs="Arial" w:eastAsia="Arial" w:hAnsi="Arial"/>
                <w:sz w:val="10"/>
                <w:szCs w:val="10"/>
                <w:b w:val="1"/>
                <w:bCs w:val="1"/>
                <w:color w:val="auto"/>
              </w:rPr>
              <w:t>Payment Date</w:t>
            </w:r>
          </w:p>
        </w:tc>
        <w:tc>
          <w:tcPr>
            <w:tcW w:w="120" w:type="dxa"/>
            <w:vAlign w:val="bottom"/>
          </w:tcPr>
          <w:p>
            <w:pPr>
              <w:spacing w:after="0"/>
              <w:rPr>
                <w:sz w:val="8"/>
                <w:szCs w:val="8"/>
                <w:color w:val="auto"/>
              </w:rPr>
            </w:pPr>
          </w:p>
        </w:tc>
        <w:tc>
          <w:tcPr>
            <w:tcW w:w="1100" w:type="dxa"/>
            <w:vAlign w:val="bottom"/>
          </w:tcPr>
          <w:p>
            <w:pPr>
              <w:jc w:val="right"/>
              <w:ind w:right="140"/>
              <w:spacing w:after="0" w:line="103" w:lineRule="exact"/>
              <w:rPr>
                <w:sz w:val="20"/>
                <w:szCs w:val="20"/>
                <w:color w:val="auto"/>
              </w:rPr>
            </w:pPr>
            <w:r>
              <w:rPr>
                <w:rFonts w:ascii="Arial" w:cs="Arial" w:eastAsia="Arial" w:hAnsi="Arial"/>
                <w:sz w:val="10"/>
                <w:szCs w:val="10"/>
                <w:b w:val="1"/>
                <w:bCs w:val="1"/>
                <w:color w:val="auto"/>
                <w:w w:val="96"/>
              </w:rPr>
              <w:t>Dividend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February 17, 2021</w:t>
            </w: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960" w:type="dxa"/>
            <w:vAlign w:val="bottom"/>
            <w:vMerge w:val="continue"/>
            <w:shd w:val="clear" w:color="auto" w:fill="CFF0FC"/>
          </w:tcPr>
          <w:p>
            <w:pPr>
              <w:spacing w:after="0"/>
              <w:rPr>
                <w:sz w:val="13"/>
                <w:szCs w:val="13"/>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8"/>
              </w:rPr>
              <w:t>Supplemental</w:t>
            </w:r>
          </w:p>
        </w:tc>
        <w:tc>
          <w:tcPr>
            <w:tcW w:w="120" w:type="dxa"/>
            <w:vAlign w:val="bottom"/>
            <w:shd w:val="clear" w:color="auto" w:fill="CFF0FC"/>
          </w:tcPr>
          <w:p>
            <w:pPr>
              <w:spacing w:after="0"/>
              <w:rPr>
                <w:sz w:val="13"/>
                <w:szCs w:val="13"/>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February 26, 2021</w:t>
            </w:r>
          </w:p>
        </w:tc>
        <w:tc>
          <w:tcPr>
            <w:tcW w:w="120" w:type="dxa"/>
            <w:vAlign w:val="bottom"/>
            <w:shd w:val="clear" w:color="auto" w:fill="CFF0FC"/>
          </w:tcPr>
          <w:p>
            <w:pPr>
              <w:spacing w:after="0"/>
              <w:rPr>
                <w:sz w:val="13"/>
                <w:szCs w:val="13"/>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March 31, 2021</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80" w:type="dxa"/>
            <w:vAlign w:val="bottom"/>
            <w:gridSpan w:val="2"/>
          </w:tcPr>
          <w:p>
            <w:pPr>
              <w:spacing w:after="0"/>
              <w:rPr>
                <w:sz w:val="20"/>
                <w:szCs w:val="20"/>
                <w:color w:val="auto"/>
              </w:rPr>
            </w:pPr>
            <w:r>
              <w:rPr>
                <w:rFonts w:ascii="Arial" w:cs="Arial" w:eastAsia="Arial" w:hAnsi="Arial"/>
                <w:sz w:val="13"/>
                <w:szCs w:val="13"/>
                <w:color w:val="auto"/>
              </w:rPr>
              <w:t>February 17, 2021</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color w:val="auto"/>
                <w:w w:val="80"/>
              </w:rPr>
              <w:t>Base</w:t>
            </w:r>
          </w:p>
        </w:tc>
        <w:tc>
          <w:tcPr>
            <w:tcW w:w="1780" w:type="dxa"/>
            <w:vAlign w:val="bottom"/>
          </w:tcPr>
          <w:p>
            <w:pPr>
              <w:jc w:val="right"/>
              <w:spacing w:after="0"/>
              <w:rPr>
                <w:sz w:val="20"/>
                <w:szCs w:val="20"/>
                <w:color w:val="auto"/>
              </w:rPr>
            </w:pPr>
            <w:r>
              <w:rPr>
                <w:rFonts w:ascii="Arial" w:cs="Arial" w:eastAsia="Arial" w:hAnsi="Arial"/>
                <w:sz w:val="13"/>
                <w:szCs w:val="13"/>
                <w:color w:val="auto"/>
              </w:rPr>
              <w:t>March 15, 2021</w:t>
            </w:r>
          </w:p>
        </w:tc>
        <w:tc>
          <w:tcPr>
            <w:tcW w:w="120" w:type="dxa"/>
            <w:vAlign w:val="bottom"/>
          </w:tcPr>
          <w:p>
            <w:pPr>
              <w:spacing w:after="0"/>
              <w:rPr>
                <w:sz w:val="13"/>
                <w:szCs w:val="13"/>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3"/>
                <w:szCs w:val="13"/>
                <w:color w:val="auto"/>
              </w:rPr>
              <w:t>April 15, 2021</w:t>
            </w: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0.41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3"/>
                <w:szCs w:val="13"/>
                <w:color w:val="auto"/>
              </w:rPr>
              <w:t>February 17, 2021</w:t>
            </w:r>
          </w:p>
        </w:tc>
        <w:tc>
          <w:tcPr>
            <w:tcW w:w="840" w:type="dxa"/>
            <w:vAlign w:val="bottom"/>
            <w:gridSpan w:val="2"/>
            <w:shd w:val="clear" w:color="auto" w:fill="CFF0FC"/>
          </w:tcPr>
          <w:p>
            <w:pPr>
              <w:jc w:val="center"/>
              <w:ind w:right="140"/>
              <w:spacing w:after="0"/>
              <w:rPr>
                <w:sz w:val="20"/>
                <w:szCs w:val="20"/>
                <w:color w:val="auto"/>
              </w:rPr>
            </w:pPr>
            <w:r>
              <w:rPr>
                <w:rFonts w:ascii="Arial" w:cs="Arial" w:eastAsia="Arial" w:hAnsi="Arial"/>
                <w:sz w:val="13"/>
                <w:szCs w:val="13"/>
                <w:color w:val="auto"/>
                <w:w w:val="89"/>
              </w:rPr>
              <w:t>Special</w:t>
            </w:r>
          </w:p>
        </w:tc>
        <w:tc>
          <w:tcPr>
            <w:tcW w:w="1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March 25, 2021</w:t>
            </w:r>
          </w:p>
        </w:tc>
        <w:tc>
          <w:tcPr>
            <w:tcW w:w="120" w:type="dxa"/>
            <w:vAlign w:val="bottom"/>
            <w:shd w:val="clear" w:color="auto" w:fill="CFF0FC"/>
          </w:tcPr>
          <w:p>
            <w:pPr>
              <w:spacing w:after="0"/>
              <w:rPr>
                <w:sz w:val="13"/>
                <w:szCs w:val="13"/>
                <w:color w:val="auto"/>
              </w:rPr>
            </w:pPr>
          </w:p>
        </w:tc>
        <w:tc>
          <w:tcPr>
            <w:tcW w:w="20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April 8, 2021</w:t>
            </w:r>
          </w:p>
        </w:tc>
        <w:tc>
          <w:tcPr>
            <w:tcW w:w="12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60" w:type="dxa"/>
            <w:vAlign w:val="bottom"/>
          </w:tcPr>
          <w:p>
            <w:pPr>
              <w:ind w:left="160"/>
              <w:spacing w:after="0"/>
              <w:rPr>
                <w:sz w:val="20"/>
                <w:szCs w:val="20"/>
                <w:color w:val="auto"/>
              </w:rPr>
            </w:pPr>
            <w:r>
              <w:rPr>
                <w:rFonts w:ascii="Arial" w:cs="Arial" w:eastAsia="Arial" w:hAnsi="Arial"/>
                <w:sz w:val="13"/>
                <w:szCs w:val="13"/>
                <w:b w:val="1"/>
                <w:bCs w:val="1"/>
                <w:color w:val="auto"/>
              </w:rPr>
              <w:t>Total Dividends Declared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dividends declared during the three months ended March 31, 2022 and 2021 were derived from net investment income, determined on a tax basis.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Income Taxes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tax character of shareholder distributions attributable to the three months ended March 31, 2022 and 2021 were as follows</w:t>
      </w:r>
    </w:p>
    <w:p>
      <w:pPr>
        <w:spacing w:after="0" w:line="202" w:lineRule="exact"/>
        <w:rPr>
          <w:sz w:val="20"/>
          <w:szCs w:val="20"/>
          <w:color w:val="auto"/>
        </w:rPr>
      </w:pPr>
    </w:p>
    <w:tbl>
      <w:tblPr>
        <w:tblLayout w:type="fixed"/>
        <w:tblInd w:w="26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2"/>
              </w:rPr>
              <w:t>Three Months Ended</w:t>
            </w: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496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March 31, 2022</w:t>
            </w: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100" w:type="dxa"/>
            <w:vAlign w:val="bottom"/>
            <w:tcBorders>
              <w:bottom w:val="single" w:sz="8" w:color="CFF0FC"/>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center"/>
              <w:ind w:right="220"/>
              <w:spacing w:after="0"/>
              <w:rPr>
                <w:sz w:val="20"/>
                <w:szCs w:val="20"/>
                <w:color w:val="auto"/>
              </w:rPr>
            </w:pPr>
            <w:r>
              <w:rPr>
                <w:rFonts w:ascii="Arial" w:cs="Arial" w:eastAsia="Arial" w:hAnsi="Arial"/>
                <w:sz w:val="10"/>
                <w:szCs w:val="10"/>
                <w:b w:val="1"/>
                <w:bCs w:val="1"/>
                <w:color w:val="auto"/>
                <w:w w:val="92"/>
              </w:rPr>
              <w:t>March 31, 2021</w:t>
            </w:r>
          </w:p>
        </w:tc>
        <w:tc>
          <w:tcPr>
            <w:tcW w:w="8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3"/>
                <w:szCs w:val="13"/>
                <w:color w:val="auto"/>
              </w:rPr>
              <w:t>Ordinary Income</w:t>
            </w:r>
          </w:p>
        </w:tc>
        <w:tc>
          <w:tcPr>
            <w:tcW w:w="1480" w:type="dxa"/>
            <w:vAlign w:val="bottom"/>
            <w:gridSpan w:val="2"/>
            <w:shd w:val="clear" w:color="auto" w:fill="CFF0FC"/>
          </w:tcPr>
          <w:p>
            <w:pPr>
              <w:jc w:val="right"/>
              <w:ind w:right="127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39,522</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123,004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40" w:type="dxa"/>
            <w:vAlign w:val="bottom"/>
            <w:gridSpan w:val="2"/>
          </w:tcPr>
          <w:p>
            <w:pPr>
              <w:ind w:left="860"/>
              <w:spacing w:after="0"/>
              <w:rPr>
                <w:sz w:val="20"/>
                <w:szCs w:val="20"/>
                <w:color w:val="auto"/>
              </w:rPr>
            </w:pPr>
            <w:r>
              <w:rPr>
                <w:rFonts w:ascii="Arial" w:cs="Arial" w:eastAsia="Arial" w:hAnsi="Arial"/>
                <w:sz w:val="13"/>
                <w:szCs w:val="13"/>
                <w:color w:val="auto"/>
              </w:rPr>
              <w:t>Capital Gains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6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tcPr>
          <w:p>
            <w:pPr>
              <w:spacing w:after="0"/>
              <w:rPr>
                <w:sz w:val="13"/>
                <w:szCs w:val="13"/>
                <w:color w:val="auto"/>
              </w:rPr>
            </w:pPr>
          </w:p>
        </w:tc>
        <w:tc>
          <w:tcPr>
            <w:tcW w:w="4960" w:type="dxa"/>
            <w:vAlign w:val="bottom"/>
            <w:vMerge w:val="continue"/>
            <w:shd w:val="clear" w:color="auto" w:fill="CFF0FC"/>
          </w:tcPr>
          <w:p>
            <w:pPr>
              <w:spacing w:after="0"/>
              <w:rPr>
                <w:sz w:val="13"/>
                <w:szCs w:val="13"/>
                <w:color w:val="auto"/>
              </w:rPr>
            </w:pPr>
          </w:p>
        </w:tc>
        <w:tc>
          <w:tcPr>
            <w:tcW w:w="1480" w:type="dxa"/>
            <w:vAlign w:val="bottom"/>
            <w:gridSpan w:val="2"/>
            <w:shd w:val="clear" w:color="auto" w:fill="CFF0FC"/>
          </w:tcPr>
          <w:p>
            <w:pPr>
              <w:jc w:val="right"/>
              <w:ind w:right="127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39,522</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123,004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8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15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5840" w:type="dxa"/>
            <w:vAlign w:val="bottom"/>
            <w:gridSpan w:val="2"/>
          </w:tcPr>
          <w:p>
            <w:pPr>
              <w:spacing w:after="0"/>
              <w:rPr>
                <w:sz w:val="20"/>
                <w:szCs w:val="20"/>
                <w:color w:val="auto"/>
              </w:rPr>
            </w:pPr>
            <w:r>
              <w:rPr>
                <w:rFonts w:ascii="Arial" w:cs="Arial" w:eastAsia="Arial" w:hAnsi="Arial"/>
                <w:sz w:val="13"/>
                <w:szCs w:val="13"/>
                <w:color w:val="auto"/>
                <w:w w:val="88"/>
              </w:rPr>
              <w:t>The tax basis components of distributable earnings as of March 31, 2022 and December 31, 2021 were as follows:</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80" w:type="dxa"/>
            <w:vAlign w:val="bottom"/>
          </w:tcPr>
          <w:p>
            <w:pPr>
              <w:spacing w:after="0"/>
              <w:rPr>
                <w:sz w:val="24"/>
                <w:szCs w:val="24"/>
                <w:color w:val="auto"/>
              </w:rPr>
            </w:pPr>
          </w:p>
        </w:tc>
        <w:tc>
          <w:tcPr>
            <w:tcW w:w="496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March 31, 2022</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220"/>
              <w:spacing w:after="0"/>
              <w:rPr>
                <w:sz w:val="20"/>
                <w:szCs w:val="20"/>
                <w:color w:val="auto"/>
              </w:rPr>
            </w:pPr>
            <w:r>
              <w:rPr>
                <w:rFonts w:ascii="Arial" w:cs="Arial" w:eastAsia="Arial" w:hAnsi="Arial"/>
                <w:sz w:val="10"/>
                <w:szCs w:val="10"/>
                <w:b w:val="1"/>
                <w:bCs w:val="1"/>
                <w:color w:val="auto"/>
                <w:w w:val="91"/>
              </w:rPr>
              <w:t>December 31, 2021</w:t>
            </w:r>
          </w:p>
        </w:tc>
        <w:tc>
          <w:tcPr>
            <w:tcW w:w="8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3"/>
                <w:szCs w:val="13"/>
                <w:color w:val="auto"/>
              </w:rPr>
              <w:t>Undistributed net investment income - tax basis</w:t>
            </w:r>
          </w:p>
        </w:tc>
        <w:tc>
          <w:tcPr>
            <w:tcW w:w="1480" w:type="dxa"/>
            <w:vAlign w:val="bottom"/>
            <w:gridSpan w:val="2"/>
            <w:shd w:val="clear" w:color="auto" w:fill="CFF0FC"/>
          </w:tcPr>
          <w:p>
            <w:pPr>
              <w:jc w:val="right"/>
              <w:ind w:right="127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42,619</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17,209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40" w:type="dxa"/>
            <w:vAlign w:val="bottom"/>
            <w:gridSpan w:val="2"/>
          </w:tcPr>
          <w:p>
            <w:pPr>
              <w:ind w:left="860"/>
              <w:spacing w:after="0"/>
              <w:rPr>
                <w:sz w:val="20"/>
                <w:szCs w:val="20"/>
                <w:color w:val="auto"/>
              </w:rPr>
            </w:pPr>
            <w:r>
              <w:rPr>
                <w:rFonts w:ascii="Arial" w:cs="Arial" w:eastAsia="Arial" w:hAnsi="Arial"/>
                <w:sz w:val="13"/>
                <w:szCs w:val="13"/>
                <w:color w:val="auto"/>
              </w:rPr>
              <w:t>Undistributed net realized gains - tax basis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33,228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14,818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3"/>
                <w:szCs w:val="13"/>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3"/>
                <w:szCs w:val="13"/>
                <w:color w:val="auto"/>
              </w:rPr>
              <w:t>Net unrealized gains on investments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67,675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77,220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840" w:type="dxa"/>
            <w:vAlign w:val="bottom"/>
            <w:gridSpan w:val="2"/>
          </w:tcPr>
          <w:p>
            <w:pPr>
              <w:ind w:left="860"/>
              <w:spacing w:after="0"/>
              <w:rPr>
                <w:sz w:val="20"/>
                <w:szCs w:val="20"/>
                <w:color w:val="auto"/>
              </w:rPr>
            </w:pPr>
            <w:r>
              <w:rPr>
                <w:rFonts w:ascii="Arial" w:cs="Arial" w:eastAsia="Arial" w:hAnsi="Arial"/>
                <w:sz w:val="13"/>
                <w:szCs w:val="13"/>
                <w:color w:val="auto"/>
              </w:rPr>
              <w:t>Other temporary differences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(51,705)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3"/>
                <w:szCs w:val="13"/>
                <w:color w:val="auto"/>
              </w:rPr>
              <w:t>(19,144)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960" w:type="dxa"/>
            <w:vAlign w:val="bottom"/>
            <w:vMerge w:val="restart"/>
            <w:shd w:val="clear" w:color="auto" w:fill="CFF0FC"/>
          </w:tcPr>
          <w:p>
            <w:pPr>
              <w:ind w:left="340"/>
              <w:spacing w:after="0"/>
              <w:rPr>
                <w:sz w:val="20"/>
                <w:szCs w:val="20"/>
                <w:color w:val="auto"/>
              </w:rPr>
            </w:pPr>
            <w:r>
              <w:rPr>
                <w:rFonts w:ascii="Arial" w:cs="Arial" w:eastAsia="Arial" w:hAnsi="Arial"/>
                <w:sz w:val="13"/>
                <w:szCs w:val="13"/>
                <w:b w:val="1"/>
                <w:bCs w:val="1"/>
                <w:color w:val="auto"/>
              </w:rPr>
              <w:t>Total distributable earnings - book basis</w:t>
            </w:r>
          </w:p>
        </w:tc>
        <w:tc>
          <w:tcPr>
            <w:tcW w:w="1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80" w:type="dxa"/>
            <w:vAlign w:val="bottom"/>
          </w:tcPr>
          <w:p>
            <w:pPr>
              <w:spacing w:after="0"/>
              <w:rPr>
                <w:sz w:val="13"/>
                <w:szCs w:val="13"/>
                <w:color w:val="auto"/>
              </w:rPr>
            </w:pPr>
          </w:p>
        </w:tc>
        <w:tc>
          <w:tcPr>
            <w:tcW w:w="4960" w:type="dxa"/>
            <w:vAlign w:val="bottom"/>
            <w:vMerge w:val="continue"/>
            <w:shd w:val="clear" w:color="auto" w:fill="CFF0FC"/>
          </w:tcPr>
          <w:p>
            <w:pPr>
              <w:spacing w:after="0"/>
              <w:rPr>
                <w:sz w:val="13"/>
                <w:szCs w:val="13"/>
                <w:color w:val="auto"/>
              </w:rPr>
            </w:pPr>
          </w:p>
        </w:tc>
        <w:tc>
          <w:tcPr>
            <w:tcW w:w="1480" w:type="dxa"/>
            <w:vAlign w:val="bottom"/>
            <w:gridSpan w:val="2"/>
            <w:shd w:val="clear" w:color="auto" w:fill="CFF0FC"/>
          </w:tcPr>
          <w:p>
            <w:pPr>
              <w:jc w:val="right"/>
              <w:ind w:right="1270"/>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91,817</w:t>
            </w:r>
          </w:p>
        </w:tc>
        <w:tc>
          <w:tcPr>
            <w:tcW w:w="1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90,103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4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reconciles increase in net assets resulting from operations for the three months ended March 31, 2022 and 2021 to taxable income at March 31, 2022 and 2021:</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0" w:type="dxa"/>
            <w:vAlign w:val="bottom"/>
          </w:tcPr>
          <w:p>
            <w:pPr>
              <w:jc w:val="right"/>
              <w:ind w:right="130"/>
              <w:spacing w:after="0"/>
              <w:rPr>
                <w:sz w:val="20"/>
                <w:szCs w:val="20"/>
                <w:color w:val="auto"/>
              </w:rPr>
            </w:pPr>
            <w:r>
              <w:rPr>
                <w:rFonts w:ascii="Arial" w:cs="Arial" w:eastAsia="Arial" w:hAnsi="Arial"/>
                <w:sz w:val="10"/>
                <w:szCs w:val="10"/>
                <w:b w:val="1"/>
                <w:bCs w:val="1"/>
                <w:color w:val="auto"/>
              </w:rPr>
              <w:t>March 31, 2022</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March 31, 2021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Increase in net assets resulting from</w:t>
            </w:r>
          </w:p>
        </w:tc>
        <w:tc>
          <w:tcPr>
            <w:tcW w:w="1280" w:type="dxa"/>
            <w:vAlign w:val="bottom"/>
            <w:tcBorders>
              <w:top w:val="single" w:sz="8" w:color="CFF0FC"/>
            </w:tcBorders>
            <w:shd w:val="clear" w:color="auto" w:fill="CFF0FC"/>
          </w:tcPr>
          <w:p>
            <w:pPr>
              <w:spacing w:after="0"/>
              <w:rPr>
                <w:sz w:val="12"/>
                <w:szCs w:val="12"/>
                <w:color w:val="auto"/>
              </w:rPr>
            </w:pPr>
          </w:p>
        </w:tc>
        <w:tc>
          <w:tcPr>
            <w:tcW w:w="140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80" w:type="dxa"/>
            <w:vAlign w:val="bottom"/>
            <w:shd w:val="clear" w:color="auto" w:fill="CFF0FC"/>
          </w:tcPr>
          <w:p>
            <w:pPr>
              <w:ind w:left="80"/>
              <w:spacing w:after="0"/>
              <w:rPr>
                <w:sz w:val="20"/>
                <w:szCs w:val="20"/>
                <w:color w:val="auto"/>
              </w:rPr>
            </w:pPr>
            <w:r>
              <w:rPr>
                <w:rFonts w:ascii="Arial" w:cs="Arial" w:eastAsia="Arial" w:hAnsi="Arial"/>
                <w:sz w:val="13"/>
                <w:szCs w:val="13"/>
                <w:color w:val="auto"/>
              </w:rPr>
              <w:t>operations</w:t>
            </w:r>
          </w:p>
        </w:tc>
        <w:tc>
          <w:tcPr>
            <w:tcW w:w="2680" w:type="dxa"/>
            <w:vAlign w:val="bottom"/>
            <w:gridSpan w:val="2"/>
            <w:shd w:val="clear" w:color="auto" w:fill="CFF0FC"/>
          </w:tcPr>
          <w:p>
            <w:pPr>
              <w:jc w:val="right"/>
              <w:ind w:right="1290"/>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5"/>
              </w:rPr>
              <w:t>40,885</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53"/>
              <w:spacing w:after="0"/>
              <w:rPr>
                <w:sz w:val="20"/>
                <w:szCs w:val="20"/>
                <w:color w:val="auto"/>
              </w:rPr>
            </w:pPr>
            <w:r>
              <w:rPr>
                <w:rFonts w:ascii="Arial" w:cs="Arial" w:eastAsia="Arial" w:hAnsi="Arial"/>
                <w:sz w:val="9"/>
                <w:szCs w:val="9"/>
                <w:color w:val="auto"/>
                <w:w w:val="78"/>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56,652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3"/>
                <w:szCs w:val="13"/>
                <w:color w:val="auto"/>
              </w:rPr>
              <w:t>Adjustments:</w:t>
            </w: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Net unrealized (gains) losses on investments</w:t>
            </w:r>
          </w:p>
        </w:tc>
        <w:tc>
          <w:tcPr>
            <w:tcW w:w="1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8,495</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(9,755)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80" w:type="dxa"/>
            <w:vAlign w:val="bottom"/>
          </w:tcPr>
          <w:p>
            <w:pPr>
              <w:ind w:left="160"/>
              <w:spacing w:after="0"/>
              <w:rPr>
                <w:sz w:val="20"/>
                <w:szCs w:val="20"/>
                <w:color w:val="auto"/>
              </w:rPr>
            </w:pPr>
            <w:r>
              <w:rPr>
                <w:rFonts w:ascii="Arial" w:cs="Arial" w:eastAsia="Arial" w:hAnsi="Arial"/>
                <w:sz w:val="13"/>
                <w:szCs w:val="13"/>
                <w:color w:val="auto"/>
              </w:rPr>
              <w:t>Other income (loss) for tax purposes, not book</w:t>
            </w: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999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Deferred organization costs</w:t>
            </w:r>
          </w:p>
        </w:tc>
        <w:tc>
          <w:tcPr>
            <w:tcW w:w="1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w:t>
            </w:r>
          </w:p>
        </w:tc>
        <w:tc>
          <w:tcPr>
            <w:tcW w:w="2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80" w:type="dxa"/>
            <w:vAlign w:val="bottom"/>
          </w:tcPr>
          <w:p>
            <w:pPr>
              <w:ind w:left="160"/>
              <w:spacing w:after="0"/>
              <w:rPr>
                <w:sz w:val="20"/>
                <w:szCs w:val="20"/>
                <w:color w:val="auto"/>
              </w:rPr>
            </w:pPr>
            <w:r>
              <w:rPr>
                <w:rFonts w:ascii="Arial" w:cs="Arial" w:eastAsia="Arial" w:hAnsi="Arial"/>
                <w:sz w:val="13"/>
                <w:szCs w:val="13"/>
                <w:color w:val="auto"/>
              </w:rPr>
              <w:t>Other expenses not currently deductible</w:t>
            </w:r>
          </w:p>
        </w:tc>
        <w:tc>
          <w:tcPr>
            <w:tcW w:w="1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351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460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 book-tax differences</w:t>
            </w:r>
          </w:p>
        </w:tc>
        <w:tc>
          <w:tcPr>
            <w:tcW w:w="12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1,475</w:t>
            </w: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Taxable Income</w:t>
            </w:r>
          </w:p>
        </w:tc>
        <w:tc>
          <w:tcPr>
            <w:tcW w:w="12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780" w:type="dxa"/>
            <w:vAlign w:val="bottom"/>
            <w:vMerge w:val="continue"/>
          </w:tcPr>
          <w:p>
            <w:pPr>
              <w:spacing w:after="0"/>
              <w:rPr>
                <w:sz w:val="13"/>
                <w:szCs w:val="13"/>
                <w:color w:val="auto"/>
              </w:rPr>
            </w:pPr>
          </w:p>
        </w:tc>
        <w:tc>
          <w:tcPr>
            <w:tcW w:w="2680" w:type="dxa"/>
            <w:vAlign w:val="bottom"/>
            <w:gridSpan w:val="2"/>
          </w:tcPr>
          <w:p>
            <w:pPr>
              <w:jc w:val="right"/>
              <w:ind w:right="129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52,180</w:t>
            </w:r>
          </w:p>
        </w:tc>
        <w:tc>
          <w:tcPr>
            <w:tcW w:w="220" w:type="dxa"/>
            <w:vAlign w:val="bottom"/>
          </w:tcPr>
          <w:p>
            <w:pPr>
              <w:spacing w:after="0"/>
              <w:rPr>
                <w:sz w:val="13"/>
                <w:szCs w:val="13"/>
                <w:color w:val="auto"/>
              </w:rPr>
            </w:pPr>
          </w:p>
        </w:tc>
        <w:tc>
          <w:tcPr>
            <w:tcW w:w="260" w:type="dxa"/>
            <w:vAlign w:val="bottom"/>
          </w:tcPr>
          <w:p>
            <w:pPr>
              <w:jc w:val="right"/>
              <w:ind w:right="153"/>
              <w:spacing w:after="0"/>
              <w:rPr>
                <w:sz w:val="20"/>
                <w:szCs w:val="20"/>
                <w:color w:val="auto"/>
              </w:rPr>
            </w:pPr>
            <w:r>
              <w:rPr>
                <w:rFonts w:ascii="Arial" w:cs="Arial" w:eastAsia="Arial" w:hAnsi="Arial"/>
                <w:sz w:val="9"/>
                <w:szCs w:val="9"/>
                <w:color w:val="auto"/>
                <w:w w:val="78"/>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44,783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Note: Taxable income is an estimate and is not fully determined until the Company’s tax return is filed. The Company’s tax year end is March 31</w:t>
      </w:r>
      <w:r>
        <w:rPr>
          <w:rFonts w:ascii="Arial" w:cs="Arial" w:eastAsia="Arial" w:hAnsi="Arial"/>
          <w:sz w:val="10"/>
          <w:szCs w:val="10"/>
          <w:color w:val="auto"/>
        </w:rPr>
        <w:t>st</w:t>
      </w:r>
      <w:r>
        <w:rPr>
          <w:rFonts w:ascii="Arial" w:cs="Arial" w:eastAsia="Arial" w:hAnsi="Arial"/>
          <w:sz w:val="13"/>
          <w:szCs w:val="13"/>
          <w:color w:val="auto"/>
        </w:rPr>
        <w:t>.</w:t>
      </w:r>
    </w:p>
    <w:p>
      <w:pPr>
        <w:spacing w:after="0" w:line="153" w:lineRule="exact"/>
        <w:rPr>
          <w:sz w:val="20"/>
          <w:szCs w:val="20"/>
          <w:color w:val="auto"/>
        </w:rPr>
      </w:pPr>
    </w:p>
    <w:p>
      <w:pPr>
        <w:ind w:firstLine="256"/>
        <w:spacing w:after="0" w:line="260" w:lineRule="auto"/>
        <w:rPr>
          <w:sz w:val="20"/>
          <w:szCs w:val="20"/>
          <w:color w:val="auto"/>
        </w:rPr>
      </w:pPr>
      <w:r>
        <w:rPr>
          <w:rFonts w:ascii="Arial" w:cs="Arial" w:eastAsia="Arial" w:hAnsi="Arial"/>
          <w:sz w:val="13"/>
          <w:szCs w:val="13"/>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30" w:lineRule="exact"/>
        <w:rPr>
          <w:sz w:val="20"/>
          <w:szCs w:val="20"/>
          <w:color w:val="auto"/>
        </w:rPr>
      </w:pPr>
    </w:p>
    <w:p>
      <w:pPr>
        <w:jc w:val="both"/>
        <w:ind w:right="40" w:firstLine="256"/>
        <w:spacing w:after="0" w:line="319" w:lineRule="auto"/>
        <w:rPr>
          <w:sz w:val="20"/>
          <w:szCs w:val="20"/>
          <w:color w:val="auto"/>
        </w:rPr>
      </w:pPr>
      <w:r>
        <w:rPr>
          <w:rFonts w:ascii="Arial" w:cs="Arial" w:eastAsia="Arial" w:hAnsi="Arial"/>
          <w:sz w:val="11"/>
          <w:szCs w:val="11"/>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40"/>
          </w:cols>
          <w:pgMar w:left="300" w:top="331" w:right="359" w:bottom="1440" w:gutter="0" w:footer="0" w:header="0"/>
        </w:sectPr>
      </w:pPr>
    </w:p>
    <w:bookmarkStart w:id="45" w:name="page46"/>
    <w:bookmarkEnd w:id="45"/>
    <w:p>
      <w:pPr>
        <w:ind w:right="320" w:firstLine="256"/>
        <w:spacing w:after="0" w:line="260" w:lineRule="auto"/>
        <w:rPr>
          <w:sz w:val="20"/>
          <w:szCs w:val="20"/>
          <w:color w:val="auto"/>
        </w:rPr>
      </w:pPr>
      <w:r>
        <w:rPr>
          <w:rFonts w:ascii="Arial" w:cs="Arial" w:eastAsia="Arial" w:hAnsi="Arial"/>
          <w:sz w:val="13"/>
          <w:szCs w:val="13"/>
          <w:color w:val="auto"/>
        </w:rPr>
        <w:t>During the three months ended March 31, 2022 and 2021, the Company increased distributable earnings and decreased additional paid in capital by $0.4 million and $0.5 million, respectively, which was primarily attributable to U.S. federal excise taxes.</w:t>
      </w:r>
    </w:p>
    <w:p>
      <w:pPr>
        <w:spacing w:after="0" w:line="130" w:lineRule="exact"/>
        <w:rPr>
          <w:sz w:val="20"/>
          <w:szCs w:val="20"/>
          <w:color w:val="auto"/>
        </w:rPr>
      </w:pPr>
    </w:p>
    <w:p>
      <w:pPr>
        <w:ind w:right="100" w:firstLine="256"/>
        <w:spacing w:after="0" w:line="251" w:lineRule="auto"/>
        <w:rPr>
          <w:sz w:val="20"/>
          <w:szCs w:val="20"/>
          <w:color w:val="auto"/>
        </w:rPr>
      </w:pPr>
      <w:r>
        <w:rPr>
          <w:rFonts w:ascii="Arial" w:cs="Arial" w:eastAsia="Arial" w:hAnsi="Arial"/>
          <w:sz w:val="13"/>
          <w:szCs w:val="13"/>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1"/>
          <w:szCs w:val="11"/>
          <w:color w:val="auto"/>
        </w:rPr>
        <w:t>As of March 31, 2022 and December 31, 2021, the Company had a net deferred tax liability of $1.9 million, pertaining to net operating losses and unrealized gains related to five and six of its investments,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The Company carried back a portion of its operating losses to the previous tax years generating a $0.3 million tax refund for the year ended December 31, 2021.</w:t>
      </w:r>
    </w:p>
    <w:p>
      <w:pPr>
        <w:spacing w:after="0" w:line="144"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During the period April 1, 2021 through March 31, 2022, the Company’s estimated U.S. federal taxable income exceeded its distributions made from such taxable income during the tax year; consequently, the Company has elected to carry forward the excess for distribution to shareholders. The amount carried forward is estimated to be approximately $44.7 million, which is inclusive of dividends payable as of March 31, 2022 of $31.2 million, all of which is expected to be ordinary income, although these amounts will not be finalized until the 2021 tax returns are filed in 2022.</w:t>
      </w:r>
    </w:p>
    <w:p>
      <w:pPr>
        <w:spacing w:after="0" w:line="136" w:lineRule="exact"/>
        <w:rPr>
          <w:sz w:val="20"/>
          <w:szCs w:val="20"/>
          <w:color w:val="auto"/>
        </w:rPr>
      </w:pPr>
    </w:p>
    <w:p>
      <w:pPr>
        <w:ind w:right="20" w:firstLine="282"/>
        <w:spacing w:after="0" w:line="301" w:lineRule="auto"/>
        <w:rPr>
          <w:sz w:val="20"/>
          <w:szCs w:val="20"/>
          <w:color w:val="auto"/>
        </w:rPr>
      </w:pPr>
      <w:r>
        <w:rPr>
          <w:rFonts w:ascii="Arial" w:cs="Arial" w:eastAsia="Arial" w:hAnsi="Arial"/>
          <w:sz w:val="12"/>
          <w:szCs w:val="12"/>
          <w:color w:val="auto"/>
        </w:rPr>
        <w:t>To the extent that the Company determines that its estimated current year annual taxable income will exceed its estimated current year dividends from such taxable income, the Company accrues excise tax on estimated excess taxable income. For the three months ended March 31, 2022 and 2021, a net expense of $0.4 million and $0.5 million, respectively, was recorded for U.S. federal excise tax.</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46" w:name="page47"/>
    <w:bookmarkEnd w:id="46"/>
    <w:p>
      <w:pPr>
        <w:ind w:left="4"/>
        <w:spacing w:after="0"/>
        <w:rPr>
          <w:sz w:val="20"/>
          <w:szCs w:val="20"/>
          <w:color w:val="auto"/>
        </w:rPr>
      </w:pPr>
      <w:r>
        <w:rPr>
          <w:rFonts w:ascii="Arial" w:cs="Arial" w:eastAsia="Arial" w:hAnsi="Arial"/>
          <w:sz w:val="13"/>
          <w:szCs w:val="13"/>
          <w:b w:val="1"/>
          <w:bCs w:val="1"/>
          <w:color w:val="auto"/>
        </w:rPr>
        <w:t>13. Financial Highlights</w:t>
      </w:r>
    </w:p>
    <w:p>
      <w:pPr>
        <w:spacing w:after="0" w:line="81" w:lineRule="exact"/>
        <w:rPr>
          <w:sz w:val="20"/>
          <w:szCs w:val="20"/>
          <w:color w:val="auto"/>
        </w:rPr>
      </w:pPr>
    </w:p>
    <w:p>
      <w:pPr>
        <w:ind w:left="4" w:right="220" w:firstLine="256"/>
        <w:spacing w:after="0" w:line="260" w:lineRule="auto"/>
        <w:rPr>
          <w:sz w:val="20"/>
          <w:szCs w:val="20"/>
          <w:color w:val="auto"/>
        </w:rPr>
      </w:pPr>
      <w:r>
        <w:rPr>
          <w:rFonts w:ascii="Arial" w:cs="Arial" w:eastAsia="Arial" w:hAnsi="Arial"/>
          <w:sz w:val="13"/>
          <w:szCs w:val="13"/>
          <w:color w:val="auto"/>
        </w:rPr>
        <w:t>The following per share data and ratios have been derived from information provided in the consolidated financial statements. The following are the financial highlights for one share of common stock outstanding during the three months ended March 31, 2022 and 2021.</w:t>
      </w:r>
    </w:p>
    <w:p>
      <w:pPr>
        <w:spacing w:after="0" w:line="179" w:lineRule="exact"/>
        <w:rPr>
          <w:sz w:val="20"/>
          <w:szCs w:val="20"/>
          <w:color w:val="auto"/>
        </w:rPr>
      </w:pPr>
    </w:p>
    <w:tbl>
      <w:tblPr>
        <w:tblLayout w:type="fixed"/>
        <w:tblInd w:w="1124"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90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rPr>
              <w:t>March 31, 2022</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0"/>
                <w:szCs w:val="10"/>
                <w:b w:val="1"/>
                <w:bCs w:val="1"/>
                <w:color w:val="auto"/>
              </w:rPr>
              <w:t>March 31, 2021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 xml:space="preserve">Per Share Data </w:t>
            </w:r>
            <w:r>
              <w:rPr>
                <w:rFonts w:ascii="Arial" w:cs="Arial" w:eastAsia="Arial" w:hAnsi="Arial"/>
                <w:sz w:val="10"/>
                <w:szCs w:val="10"/>
                <w:b w:val="1"/>
                <w:bCs w:val="1"/>
                <w:color w:val="auto"/>
              </w:rPr>
              <w:t>(7)</w:t>
            </w:r>
          </w:p>
        </w:tc>
        <w:tc>
          <w:tcPr>
            <w:tcW w:w="138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6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rPr>
                <w:sz w:val="20"/>
                <w:szCs w:val="20"/>
                <w:color w:val="auto"/>
              </w:rPr>
            </w:pPr>
            <w:r>
              <w:rPr>
                <w:rFonts w:ascii="Arial" w:cs="Arial" w:eastAsia="Arial" w:hAnsi="Arial"/>
                <w:sz w:val="13"/>
                <w:szCs w:val="13"/>
                <w:color w:val="auto"/>
              </w:rPr>
              <w:t>Net asset value, beginning of period</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16.84</w:t>
            </w: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17.16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rPr>
                <w:sz w:val="20"/>
                <w:szCs w:val="20"/>
                <w:color w:val="auto"/>
              </w:rPr>
            </w:pPr>
            <w:r>
              <w:rPr>
                <w:rFonts w:ascii="Arial" w:cs="Arial" w:eastAsia="Arial" w:hAnsi="Arial"/>
                <w:sz w:val="13"/>
                <w:szCs w:val="13"/>
                <w:color w:val="auto"/>
              </w:rPr>
              <w:t xml:space="preserve">Net investment income </w:t>
            </w:r>
            <w:r>
              <w:rPr>
                <w:rFonts w:ascii="Arial" w:cs="Arial" w:eastAsia="Arial" w:hAnsi="Arial"/>
                <w:sz w:val="10"/>
                <w:szCs w:val="10"/>
                <w:color w:val="auto"/>
              </w:rPr>
              <w:t>(1)</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0.47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0.46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Net realized and unrealized</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shd w:val="clear" w:color="auto" w:fill="CFF0FC"/>
          </w:tcPr>
          <w:p>
            <w:pPr>
              <w:ind w:left="80"/>
              <w:spacing w:after="0"/>
              <w:rPr>
                <w:sz w:val="20"/>
                <w:szCs w:val="20"/>
                <w:color w:val="auto"/>
              </w:rPr>
            </w:pPr>
            <w:r>
              <w:rPr>
                <w:rFonts w:ascii="Arial" w:cs="Arial" w:eastAsia="Arial" w:hAnsi="Arial"/>
                <w:sz w:val="13"/>
                <w:szCs w:val="13"/>
                <w:color w:val="auto"/>
              </w:rPr>
              <w:t xml:space="preserve">gain </w:t>
            </w:r>
            <w:r>
              <w:rPr>
                <w:rFonts w:ascii="Arial" w:cs="Arial" w:eastAsia="Arial" w:hAnsi="Arial"/>
                <w:sz w:val="10"/>
                <w:szCs w:val="10"/>
                <w:color w:val="auto"/>
              </w:rPr>
              <w:t>(1)</w:t>
            </w:r>
          </w:p>
        </w:tc>
        <w:tc>
          <w:tcPr>
            <w:tcW w:w="138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tcPr>
          <w:p>
            <w:pPr>
              <w:ind w:left="160"/>
              <w:spacing w:after="0"/>
              <w:rPr>
                <w:sz w:val="20"/>
                <w:szCs w:val="20"/>
                <w:color w:val="auto"/>
              </w:rPr>
            </w:pPr>
            <w:r>
              <w:rPr>
                <w:rFonts w:ascii="Arial" w:cs="Arial" w:eastAsia="Arial" w:hAnsi="Arial"/>
                <w:sz w:val="13"/>
                <w:szCs w:val="13"/>
                <w:color w:val="auto"/>
              </w:rPr>
              <w:t>Total from operations</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0.54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0.81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 net of</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shd w:val="clear" w:color="auto" w:fill="CFF0FC"/>
          </w:tcPr>
          <w:p>
            <w:pPr>
              <w:ind w:left="80"/>
              <w:spacing w:after="0"/>
              <w:rPr>
                <w:sz w:val="20"/>
                <w:szCs w:val="20"/>
                <w:color w:val="auto"/>
              </w:rPr>
            </w:pPr>
            <w:r>
              <w:rPr>
                <w:rFonts w:ascii="Arial" w:cs="Arial" w:eastAsia="Arial" w:hAnsi="Arial"/>
                <w:sz w:val="13"/>
                <w:szCs w:val="13"/>
                <w:color w:val="auto"/>
              </w:rPr>
              <w:t xml:space="preserve">offering costs </w:t>
            </w:r>
            <w:r>
              <w:rPr>
                <w:rFonts w:ascii="Arial" w:cs="Arial" w:eastAsia="Arial" w:hAnsi="Arial"/>
                <w:sz w:val="10"/>
                <w:szCs w:val="10"/>
                <w:color w:val="auto"/>
              </w:rPr>
              <w:t>(2)</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gridSpan w:val="2"/>
          </w:tcPr>
          <w:p>
            <w:pPr>
              <w:spacing w:after="0"/>
              <w:rPr>
                <w:sz w:val="20"/>
                <w:szCs w:val="20"/>
                <w:color w:val="auto"/>
              </w:rPr>
            </w:pPr>
            <w:r>
              <w:rPr>
                <w:rFonts w:ascii="Arial" w:cs="Arial" w:eastAsia="Arial" w:hAnsi="Arial"/>
                <w:sz w:val="13"/>
                <w:szCs w:val="13"/>
                <w:color w:val="auto"/>
              </w:rPr>
              <w:t>Dividends declared from net</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ind w:left="80"/>
              <w:spacing w:after="0"/>
              <w:rPr>
                <w:sz w:val="20"/>
                <w:szCs w:val="20"/>
                <w:color w:val="auto"/>
              </w:rPr>
            </w:pPr>
            <w:r>
              <w:rPr>
                <w:rFonts w:ascii="Arial" w:cs="Arial" w:eastAsia="Arial" w:hAnsi="Arial"/>
                <w:sz w:val="13"/>
                <w:szCs w:val="13"/>
                <w:color w:val="auto"/>
              </w:rPr>
              <w:t xml:space="preserve">investment income </w:t>
            </w:r>
            <w:r>
              <w:rPr>
                <w:rFonts w:ascii="Arial" w:cs="Arial" w:eastAsia="Arial" w:hAnsi="Arial"/>
                <w:sz w:val="10"/>
                <w:szCs w:val="10"/>
                <w:color w:val="auto"/>
              </w:rPr>
              <w:t>(2)</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3"/>
                <w:szCs w:val="13"/>
                <w:color w:val="auto"/>
              </w:rPr>
              <w:t>(0.52)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increase/(decrease) in net assets</w:t>
            </w:r>
          </w:p>
        </w:tc>
        <w:tc>
          <w:tcPr>
            <w:tcW w:w="1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3260" w:type="dxa"/>
            <w:vAlign w:val="bottom"/>
            <w:vMerge w:val="continue"/>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0.04</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(0.67)</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Asset Value, End of Period</w:t>
            </w: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280" w:type="dxa"/>
            <w:vAlign w:val="bottom"/>
            <w:gridSpan w:val="2"/>
            <w:vMerge w:val="continue"/>
          </w:tcPr>
          <w:p>
            <w:pPr>
              <w:spacing w:after="0"/>
              <w:rPr>
                <w:sz w:val="13"/>
                <w:szCs w:val="1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16.88</w:t>
            </w: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16.47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260" w:type="dxa"/>
            <w:vAlign w:val="bottom"/>
            <w:tcBorders>
              <w:top w:val="single" w:sz="8" w:color="CFF0FC"/>
            </w:tcBorders>
            <w:shd w:val="clear" w:color="auto" w:fill="CFF0FC"/>
          </w:tcPr>
          <w:p>
            <w:pPr>
              <w:spacing w:after="0" w:line="141" w:lineRule="exact"/>
              <w:rPr>
                <w:sz w:val="20"/>
                <w:szCs w:val="20"/>
                <w:color w:val="auto"/>
              </w:rPr>
            </w:pPr>
            <w:r>
              <w:rPr>
                <w:rFonts w:ascii="Arial" w:cs="Arial" w:eastAsia="Arial" w:hAnsi="Arial"/>
                <w:sz w:val="13"/>
                <w:szCs w:val="13"/>
                <w:color w:val="auto"/>
              </w:rPr>
              <w:t>Per share market value at end of</w:t>
            </w:r>
          </w:p>
        </w:tc>
        <w:tc>
          <w:tcPr>
            <w:tcW w:w="138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shd w:val="clear" w:color="auto" w:fill="CFF0FC"/>
          </w:tcPr>
          <w:p>
            <w:pPr>
              <w:ind w:left="80"/>
              <w:spacing w:after="0"/>
              <w:rPr>
                <w:sz w:val="20"/>
                <w:szCs w:val="20"/>
                <w:color w:val="auto"/>
              </w:rPr>
            </w:pPr>
            <w:r>
              <w:rPr>
                <w:rFonts w:ascii="Arial" w:cs="Arial" w:eastAsia="Arial" w:hAnsi="Arial"/>
                <w:sz w:val="13"/>
                <w:szCs w:val="13"/>
                <w:color w:val="auto"/>
              </w:rPr>
              <w:t>period</w:t>
            </w: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23.29</w:t>
            </w:r>
          </w:p>
        </w:tc>
        <w:tc>
          <w:tcPr>
            <w:tcW w:w="2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gridSpan w:val="2"/>
          </w:tcPr>
          <w:p>
            <w:pPr>
              <w:spacing w:after="0"/>
              <w:rPr>
                <w:sz w:val="20"/>
                <w:szCs w:val="20"/>
                <w:color w:val="auto"/>
              </w:rPr>
            </w:pPr>
            <w:r>
              <w:rPr>
                <w:rFonts w:ascii="Arial" w:cs="Arial" w:eastAsia="Arial" w:hAnsi="Arial"/>
                <w:sz w:val="13"/>
                <w:szCs w:val="13"/>
                <w:color w:val="auto"/>
              </w:rPr>
              <w:t>Total return based on market value</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ind w:left="80"/>
              <w:spacing w:after="0"/>
              <w:rPr>
                <w:sz w:val="20"/>
                <w:szCs w:val="20"/>
                <w:color w:val="auto"/>
              </w:rPr>
            </w:pPr>
            <w:r>
              <w:rPr>
                <w:rFonts w:ascii="Arial" w:cs="Arial" w:eastAsia="Arial" w:hAnsi="Arial"/>
                <w:sz w:val="13"/>
                <w:szCs w:val="13"/>
                <w:color w:val="auto"/>
              </w:rPr>
              <w:t xml:space="preserve">with reinvestment of dividends </w:t>
            </w:r>
            <w:r>
              <w:rPr>
                <w:rFonts w:ascii="Arial" w:cs="Arial" w:eastAsia="Arial" w:hAnsi="Arial"/>
                <w:sz w:val="10"/>
                <w:szCs w:val="10"/>
                <w:color w:val="auto"/>
              </w:rPr>
              <w:t>(3)</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3"/>
                <w:szCs w:val="13"/>
                <w:color w:val="auto"/>
              </w:rPr>
              <w:t>1.83%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Total return based on market value </w:t>
            </w:r>
            <w:r>
              <w:rPr>
                <w:rFonts w:ascii="Arial" w:cs="Arial" w:eastAsia="Arial" w:hAnsi="Arial"/>
                <w:sz w:val="10"/>
                <w:szCs w:val="10"/>
                <w:color w:val="auto"/>
              </w:rPr>
              <w:t>(4)</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9.59%</w:t>
            </w:r>
          </w:p>
        </w:tc>
        <w:tc>
          <w:tcPr>
            <w:tcW w:w="0" w:type="dxa"/>
            <w:vAlign w:val="bottom"/>
          </w:tcPr>
          <w:p>
            <w:pPr>
              <w:spacing w:after="0"/>
              <w:rPr>
                <w:sz w:val="1"/>
                <w:szCs w:val="1"/>
                <w:color w:val="auto"/>
              </w:rPr>
            </w:pPr>
          </w:p>
        </w:tc>
      </w:tr>
      <w:tr>
        <w:trPr>
          <w:trHeight w:val="152"/>
        </w:trPr>
        <w:tc>
          <w:tcPr>
            <w:tcW w:w="3280" w:type="dxa"/>
            <w:vAlign w:val="bottom"/>
            <w:gridSpan w:val="2"/>
          </w:tcPr>
          <w:p>
            <w:pPr>
              <w:spacing w:after="0"/>
              <w:rPr>
                <w:sz w:val="20"/>
                <w:szCs w:val="20"/>
                <w:color w:val="auto"/>
              </w:rPr>
            </w:pPr>
            <w:r>
              <w:rPr>
                <w:rFonts w:ascii="Arial" w:cs="Arial" w:eastAsia="Arial" w:hAnsi="Arial"/>
                <w:sz w:val="13"/>
                <w:szCs w:val="13"/>
                <w:color w:val="auto"/>
              </w:rPr>
              <w:t>Total return based on net asset</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ind w:left="80"/>
              <w:spacing w:after="0"/>
              <w:rPr>
                <w:sz w:val="20"/>
                <w:szCs w:val="20"/>
                <w:color w:val="auto"/>
              </w:rPr>
            </w:pPr>
            <w:r>
              <w:rPr>
                <w:rFonts w:ascii="Arial" w:cs="Arial" w:eastAsia="Arial" w:hAnsi="Arial"/>
                <w:sz w:val="13"/>
                <w:szCs w:val="13"/>
                <w:color w:val="auto"/>
              </w:rPr>
              <w:t xml:space="preserve">value </w:t>
            </w:r>
            <w:r>
              <w:rPr>
                <w:rFonts w:ascii="Arial" w:cs="Arial" w:eastAsia="Arial" w:hAnsi="Arial"/>
                <w:sz w:val="10"/>
                <w:szCs w:val="10"/>
                <w:color w:val="auto"/>
              </w:rPr>
              <w:t>(5)</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3"/>
                <w:szCs w:val="13"/>
                <w:color w:val="auto"/>
              </w:rPr>
              <w:t>3.33%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Shares Outstanding, End of Period</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76,070,680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71,969,998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3"/>
                <w:szCs w:val="13"/>
                <w:b w:val="1"/>
                <w:bCs w:val="1"/>
                <w:color w:val="auto"/>
              </w:rPr>
              <w:t xml:space="preserve">Ratios / Supplemental Data </w:t>
            </w:r>
            <w:r>
              <w:rPr>
                <w:rFonts w:ascii="Arial" w:cs="Arial" w:eastAsia="Arial" w:hAnsi="Arial"/>
                <w:sz w:val="10"/>
                <w:szCs w:val="10"/>
                <w:b w:val="1"/>
                <w:bCs w:val="1"/>
                <w:color w:val="auto"/>
              </w:rPr>
              <w:t>(6)</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Ratio of net expenses to average</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shd w:val="clear" w:color="auto" w:fill="CFF0FC"/>
          </w:tcPr>
          <w:p>
            <w:pPr>
              <w:ind w:left="80"/>
              <w:spacing w:after="0"/>
              <w:rPr>
                <w:sz w:val="20"/>
                <w:szCs w:val="20"/>
                <w:color w:val="auto"/>
              </w:rPr>
            </w:pPr>
            <w:r>
              <w:rPr>
                <w:rFonts w:ascii="Arial" w:cs="Arial" w:eastAsia="Arial" w:hAnsi="Arial"/>
                <w:sz w:val="13"/>
                <w:szCs w:val="13"/>
                <w:color w:val="auto"/>
              </w:rPr>
              <w:t>net assets</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9.91%</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11.57%</w:t>
            </w:r>
          </w:p>
        </w:tc>
        <w:tc>
          <w:tcPr>
            <w:tcW w:w="0" w:type="dxa"/>
            <w:vAlign w:val="bottom"/>
          </w:tcPr>
          <w:p>
            <w:pPr>
              <w:spacing w:after="0"/>
              <w:rPr>
                <w:sz w:val="1"/>
                <w:szCs w:val="1"/>
                <w:color w:val="auto"/>
              </w:rPr>
            </w:pPr>
          </w:p>
        </w:tc>
      </w:tr>
      <w:tr>
        <w:trPr>
          <w:trHeight w:val="152"/>
        </w:trPr>
        <w:tc>
          <w:tcPr>
            <w:tcW w:w="3280" w:type="dxa"/>
            <w:vAlign w:val="bottom"/>
            <w:gridSpan w:val="2"/>
          </w:tcPr>
          <w:p>
            <w:pPr>
              <w:spacing w:after="0"/>
              <w:rPr>
                <w:sz w:val="20"/>
                <w:szCs w:val="20"/>
                <w:color w:val="auto"/>
              </w:rPr>
            </w:pPr>
            <w:r>
              <w:rPr>
                <w:rFonts w:ascii="Arial" w:cs="Arial" w:eastAsia="Arial" w:hAnsi="Arial"/>
                <w:sz w:val="13"/>
                <w:szCs w:val="13"/>
                <w:color w:val="auto"/>
              </w:rPr>
              <w:t>Ratio of net investment income</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ind w:left="140"/>
              <w:spacing w:after="0"/>
              <w:rPr>
                <w:sz w:val="20"/>
                <w:szCs w:val="20"/>
                <w:color w:val="auto"/>
              </w:rPr>
            </w:pPr>
            <w:r>
              <w:rPr>
                <w:rFonts w:ascii="Arial" w:cs="Arial" w:eastAsia="Arial" w:hAnsi="Arial"/>
                <w:sz w:val="13"/>
                <w:szCs w:val="13"/>
                <w:color w:val="auto"/>
              </w:rPr>
              <w:t>to average net assets</w:t>
            </w: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3"/>
                <w:szCs w:val="13"/>
                <w:color w:val="auto"/>
              </w:rPr>
              <w:t>11.16%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3"/>
                <w:szCs w:val="13"/>
                <w:color w:val="auto"/>
              </w:rPr>
              <w:t>11.01%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3"/>
                <w:szCs w:val="13"/>
                <w:color w:val="auto"/>
              </w:rPr>
              <w:t>Portfolio turnover</w:t>
            </w:r>
          </w:p>
        </w:tc>
        <w:tc>
          <w:tcPr>
            <w:tcW w:w="13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13.55%</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18.77%</w:t>
            </w: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rPr>
                <w:sz w:val="20"/>
                <w:szCs w:val="20"/>
                <w:color w:val="auto"/>
              </w:rPr>
            </w:pPr>
            <w:r>
              <w:rPr>
                <w:rFonts w:ascii="Arial" w:cs="Arial" w:eastAsia="Arial" w:hAnsi="Arial"/>
                <w:sz w:val="13"/>
                <w:szCs w:val="13"/>
                <w:color w:val="auto"/>
              </w:rPr>
              <w:t>Net assets, end of period</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1,283,985</w:t>
            </w:r>
          </w:p>
        </w:tc>
        <w:tc>
          <w:tcPr>
            <w:tcW w:w="22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1,185,332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4" w:hanging="504"/>
        <w:spacing w:after="0"/>
        <w:tabs>
          <w:tab w:leader="none" w:pos="5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per share data was derived by using the weighted average shares outstanding during the period.</w:t>
      </w:r>
    </w:p>
    <w:p>
      <w:pPr>
        <w:spacing w:after="0" w:line="10" w:lineRule="exact"/>
        <w:rPr>
          <w:rFonts w:ascii="Arial" w:cs="Arial" w:eastAsia="Arial" w:hAnsi="Arial"/>
          <w:sz w:val="13"/>
          <w:szCs w:val="13"/>
          <w:color w:val="auto"/>
        </w:rPr>
      </w:pPr>
    </w:p>
    <w:p>
      <w:pPr>
        <w:ind w:left="504" w:hanging="504"/>
        <w:spacing w:after="0"/>
        <w:tabs>
          <w:tab w:leader="none" w:pos="504"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per share data was derived by using the actual shares outstanding at the date of the relevant transactions.</w:t>
      </w:r>
    </w:p>
    <w:p>
      <w:pPr>
        <w:spacing w:after="0" w:line="1" w:lineRule="exact"/>
        <w:rPr>
          <w:rFonts w:ascii="Arial" w:cs="Arial" w:eastAsia="Arial" w:hAnsi="Arial"/>
          <w:sz w:val="13"/>
          <w:szCs w:val="13"/>
          <w:color w:val="auto"/>
        </w:rPr>
      </w:pPr>
    </w:p>
    <w:p>
      <w:pPr>
        <w:ind w:left="504" w:hanging="481"/>
        <w:spacing w:after="0" w:line="242" w:lineRule="auto"/>
        <w:tabs>
          <w:tab w:leader="none" w:pos="319" w:val="left"/>
        </w:tabs>
        <w:numPr>
          <w:ilvl w:val="1"/>
          <w:numId w:val="33"/>
        </w:numPr>
        <w:rPr>
          <w:rFonts w:ascii="Arial" w:cs="Arial" w:eastAsia="Arial" w:hAnsi="Arial"/>
          <w:sz w:val="13"/>
          <w:szCs w:val="13"/>
          <w:color w:val="auto"/>
        </w:rPr>
      </w:pPr>
      <w:r>
        <w:rPr>
          <w:rFonts w:ascii="Arial" w:cs="Arial" w:eastAsia="Arial" w:hAnsi="Arial"/>
          <w:sz w:val="13"/>
          <w:szCs w:val="13"/>
          <w:color w:val="auto"/>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sz w:val="20"/>
          <w:szCs w:val="20"/>
          <w:color w:val="auto"/>
        </w:rPr>
      </w:pPr>
    </w:p>
    <w:p>
      <w:pPr>
        <w:ind w:left="504" w:hanging="504"/>
        <w:spacing w:after="0"/>
        <w:tabs>
          <w:tab w:leader="none" w:pos="504"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Total return based on market value is calculated as the change in market value per share during the period plus declared dividends per share, divided by the beginning market value per share.</w:t>
      </w:r>
    </w:p>
    <w:p>
      <w:pPr>
        <w:spacing w:after="0" w:line="13" w:lineRule="exact"/>
        <w:rPr>
          <w:rFonts w:ascii="Arial" w:cs="Arial" w:eastAsia="Arial" w:hAnsi="Arial"/>
          <w:sz w:val="12"/>
          <w:szCs w:val="12"/>
          <w:color w:val="auto"/>
        </w:rPr>
      </w:pPr>
    </w:p>
    <w:p>
      <w:pPr>
        <w:ind w:left="504" w:hanging="504"/>
        <w:spacing w:after="0"/>
        <w:tabs>
          <w:tab w:leader="none" w:pos="504" w:val="left"/>
        </w:tabs>
        <w:numPr>
          <w:ilvl w:val="0"/>
          <w:numId w:val="34"/>
        </w:numPr>
        <w:rPr>
          <w:rFonts w:ascii="Arial" w:cs="Arial" w:eastAsia="Arial" w:hAnsi="Arial"/>
          <w:sz w:val="12"/>
          <w:szCs w:val="12"/>
          <w:color w:val="auto"/>
        </w:rPr>
      </w:pPr>
      <w:r>
        <w:rPr>
          <w:rFonts w:ascii="Arial" w:cs="Arial" w:eastAsia="Arial" w:hAnsi="Arial"/>
          <w:sz w:val="12"/>
          <w:szCs w:val="12"/>
          <w:color w:val="auto"/>
        </w:rPr>
        <w:t>Total return based on net asset value is calculated as the change in net asset value per share during the period plus declared dividends per share, divided by the beginning net asset value per share.</w:t>
      </w:r>
    </w:p>
    <w:p>
      <w:pPr>
        <w:spacing w:after="0" w:line="13" w:lineRule="exact"/>
        <w:rPr>
          <w:rFonts w:ascii="Arial" w:cs="Arial" w:eastAsia="Arial" w:hAnsi="Arial"/>
          <w:sz w:val="12"/>
          <w:szCs w:val="12"/>
          <w:color w:val="auto"/>
        </w:rPr>
      </w:pPr>
    </w:p>
    <w:p>
      <w:pPr>
        <w:ind w:left="504" w:hanging="504"/>
        <w:spacing w:after="0"/>
        <w:tabs>
          <w:tab w:leader="none" w:pos="504"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ratios reflect an annualized amount.</w:t>
      </w:r>
    </w:p>
    <w:p>
      <w:pPr>
        <w:spacing w:after="0" w:line="1" w:lineRule="exact"/>
        <w:rPr>
          <w:rFonts w:ascii="Arial" w:cs="Arial" w:eastAsia="Arial" w:hAnsi="Arial"/>
          <w:sz w:val="13"/>
          <w:szCs w:val="13"/>
          <w:color w:val="auto"/>
        </w:rPr>
      </w:pPr>
    </w:p>
    <w:p>
      <w:pPr>
        <w:ind w:left="504" w:hanging="504"/>
        <w:spacing w:after="0"/>
        <w:tabs>
          <w:tab w:leader="none" w:pos="504" w:val="left"/>
        </w:tabs>
        <w:numPr>
          <w:ilvl w:val="0"/>
          <w:numId w:val="34"/>
        </w:numPr>
        <w:rPr>
          <w:rFonts w:ascii="Arial" w:cs="Arial" w:eastAsia="Arial" w:hAnsi="Arial"/>
          <w:sz w:val="13"/>
          <w:szCs w:val="13"/>
          <w:color w:val="auto"/>
        </w:rPr>
      </w:pPr>
      <w:r>
        <w:rPr>
          <w:rFonts w:ascii="Arial" w:cs="Arial" w:eastAsia="Arial" w:hAnsi="Arial"/>
          <w:sz w:val="13"/>
          <w:szCs w:val="13"/>
          <w:color w:val="auto"/>
        </w:rPr>
        <w:t>Table may not sum due to rounding.</w:t>
      </w:r>
    </w:p>
    <w:p>
      <w:pPr>
        <w:spacing w:after="0" w:line="272"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14. Subsequent Events</w:t>
      </w:r>
    </w:p>
    <w:p>
      <w:pPr>
        <w:spacing w:after="0" w:line="81" w:lineRule="exact"/>
        <w:rPr>
          <w:sz w:val="20"/>
          <w:szCs w:val="20"/>
          <w:color w:val="auto"/>
        </w:rPr>
      </w:pPr>
    </w:p>
    <w:p>
      <w:pPr>
        <w:ind w:left="4" w:right="40" w:firstLine="256"/>
        <w:spacing w:after="0" w:line="351" w:lineRule="auto"/>
        <w:rPr>
          <w:sz w:val="20"/>
          <w:szCs w:val="20"/>
          <w:color w:val="auto"/>
        </w:rPr>
      </w:pPr>
      <w:r>
        <w:rPr>
          <w:rFonts w:ascii="Arial" w:cs="Arial" w:eastAsia="Arial" w:hAnsi="Arial"/>
          <w:sz w:val="11"/>
          <w:szCs w:val="11"/>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2022.</w:t>
      </w:r>
    </w:p>
    <w:p>
      <w:pPr>
        <w:spacing w:after="0" w:line="84" w:lineRule="exact"/>
        <w:rPr>
          <w:sz w:val="20"/>
          <w:szCs w:val="20"/>
          <w:color w:val="auto"/>
        </w:rPr>
      </w:pPr>
    </w:p>
    <w:p>
      <w:pPr>
        <w:jc w:val="center"/>
        <w:ind w:right="-123"/>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64"/>
          </w:cols>
          <w:pgMar w:left="296" w:top="382" w:right="4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color w:val="auto"/>
        </w:rPr>
        <w:t>ITEM 2. MANAGEMENT’S DISCUSSION AND ANALYSIS OF FINANCIAL CONDITION AND RESULTS OF OPERATIONS</w:t>
      </w:r>
    </w:p>
    <w:p>
      <w:pPr>
        <w:spacing w:after="0" w:line="81" w:lineRule="exact"/>
        <w:rPr>
          <w:sz w:val="20"/>
          <w:szCs w:val="20"/>
          <w:color w:val="auto"/>
        </w:rPr>
      </w:pPr>
    </w:p>
    <w:p>
      <w:pPr>
        <w:ind w:firstLine="256"/>
        <w:spacing w:after="0" w:line="260" w:lineRule="auto"/>
        <w:rPr>
          <w:sz w:val="20"/>
          <w:szCs w:val="20"/>
          <w:color w:val="auto"/>
        </w:rPr>
      </w:pPr>
      <w:r>
        <w:rPr>
          <w:rFonts w:ascii="Arial" w:cs="Arial" w:eastAsia="Arial" w:hAnsi="Arial"/>
          <w:sz w:val="13"/>
          <w:szCs w:val="13"/>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81" w:lineRule="exact"/>
        <w:rPr>
          <w:sz w:val="20"/>
          <w:szCs w:val="20"/>
          <w:color w:val="auto"/>
        </w:rPr>
      </w:pPr>
    </w:p>
    <w:p>
      <w:pPr>
        <w:jc w:val="both"/>
        <w:ind w:right="200" w:firstLine="256"/>
        <w:spacing w:after="0" w:line="248" w:lineRule="auto"/>
        <w:rPr>
          <w:sz w:val="20"/>
          <w:szCs w:val="20"/>
          <w:color w:val="auto"/>
        </w:rPr>
      </w:pPr>
      <w:r>
        <w:rPr>
          <w:rFonts w:ascii="Arial" w:cs="Arial" w:eastAsia="Arial" w:hAnsi="Arial"/>
          <w:sz w:val="13"/>
          <w:szCs w:val="13"/>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p>
    <w:p>
      <w:pPr>
        <w:spacing w:after="0" w:line="138" w:lineRule="exact"/>
        <w:rPr>
          <w:sz w:val="20"/>
          <w:szCs w:val="20"/>
          <w:color w:val="auto"/>
        </w:rPr>
      </w:pPr>
    </w:p>
    <w:p>
      <w:pPr>
        <w:ind w:right="180" w:firstLine="256"/>
        <w:spacing w:after="0" w:line="260" w:lineRule="auto"/>
        <w:rPr>
          <w:sz w:val="20"/>
          <w:szCs w:val="20"/>
          <w:color w:val="auto"/>
        </w:rPr>
      </w:pPr>
      <w:r>
        <w:rPr>
          <w:rFonts w:ascii="Arial" w:cs="Arial" w:eastAsia="Arial" w:hAnsi="Arial"/>
          <w:sz w:val="13"/>
          <w:szCs w:val="13"/>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00" w:hanging="249"/>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requirement to invest at least 70% of our assets in “qualifying assets”;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source of income limitations;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asset diversification requirements; and</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requirement to distribute (or be treated as distributing) in each taxable year at least 90% of our investment company taxable income and tax-exempt interest for that taxable year.</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shares are listed on the NYSE under the symbol “TSLX.”</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Investment Framework</w:t>
      </w:r>
    </w:p>
    <w:p>
      <w:pPr>
        <w:spacing w:after="0" w:line="81" w:lineRule="exact"/>
        <w:rPr>
          <w:sz w:val="20"/>
          <w:szCs w:val="20"/>
          <w:color w:val="auto"/>
        </w:rPr>
      </w:pPr>
    </w:p>
    <w:p>
      <w:pPr>
        <w:jc w:val="both"/>
        <w:ind w:right="160" w:firstLine="256"/>
        <w:spacing w:after="0" w:line="248" w:lineRule="auto"/>
        <w:rPr>
          <w:sz w:val="20"/>
          <w:szCs w:val="20"/>
          <w:color w:val="auto"/>
        </w:rPr>
      </w:pPr>
      <w:r>
        <w:rPr>
          <w:rFonts w:ascii="Arial" w:cs="Arial" w:eastAsia="Arial" w:hAnsi="Arial"/>
          <w:sz w:val="13"/>
          <w:szCs w:val="13"/>
          <w:color w:val="auto"/>
        </w:rPr>
        <w:t>We are a specialty finance company focused on lending to middle-market companies. Since we began our investment activities in July 2011, through March 31, 2022, we have originated approximately $20.4 billion aggregate principal amount of investments and retained approximately $8.4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38" w:lineRule="exact"/>
        <w:rPr>
          <w:sz w:val="20"/>
          <w:szCs w:val="20"/>
          <w:color w:val="auto"/>
        </w:rPr>
      </w:pPr>
    </w:p>
    <w:p>
      <w:pPr>
        <w:ind w:right="80" w:firstLine="256"/>
        <w:spacing w:after="0" w:line="251" w:lineRule="auto"/>
        <w:rPr>
          <w:sz w:val="20"/>
          <w:szCs w:val="20"/>
          <w:color w:val="auto"/>
        </w:rPr>
      </w:pPr>
      <w:r>
        <w:rPr>
          <w:rFonts w:ascii="Arial" w:cs="Arial" w:eastAsia="Arial" w:hAnsi="Arial"/>
          <w:sz w:val="13"/>
          <w:szCs w:val="13"/>
          <w:color w:val="auto"/>
        </w:rPr>
        <w:t>By “middle-market companies,” we mean companies that have annual EBITDA, which we believe is a useful proxy for cash flow, of $10 million to $250 million, although we may invest in larger or smaller companies on occasion. As of March 31, 2022, our core portfolio companies, which exclude certain investments that fall outside of our typical borrower profile and represent 90.6% of our total investments based on fair value, had weighted average annual revenue of $117.4 million and weighted average annual EBITDA of $31.0 million.</w:t>
      </w:r>
    </w:p>
    <w:p>
      <w:pPr>
        <w:spacing w:after="0" w:line="136" w:lineRule="exact"/>
        <w:rPr>
          <w:sz w:val="20"/>
          <w:szCs w:val="20"/>
          <w:color w:val="auto"/>
        </w:rPr>
      </w:pPr>
    </w:p>
    <w:p>
      <w:pPr>
        <w:jc w:val="both"/>
        <w:ind w:right="100" w:firstLine="256"/>
        <w:spacing w:after="0" w:line="319" w:lineRule="auto"/>
        <w:rPr>
          <w:sz w:val="20"/>
          <w:szCs w:val="20"/>
          <w:color w:val="auto"/>
        </w:rPr>
      </w:pPr>
      <w:r>
        <w:rPr>
          <w:rFonts w:ascii="Arial" w:cs="Arial" w:eastAsia="Arial" w:hAnsi="Arial"/>
          <w:sz w:val="11"/>
          <w:szCs w:val="11"/>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01" w:lineRule="exact"/>
        <w:rPr>
          <w:sz w:val="20"/>
          <w:szCs w:val="20"/>
          <w:color w:val="auto"/>
        </w:rPr>
      </w:pPr>
    </w:p>
    <w:p>
      <w:pPr>
        <w:ind w:right="340" w:firstLine="256"/>
        <w:spacing w:after="0" w:line="260" w:lineRule="auto"/>
        <w:rPr>
          <w:sz w:val="20"/>
          <w:szCs w:val="20"/>
          <w:color w:val="auto"/>
        </w:rPr>
      </w:pPr>
      <w:r>
        <w:rPr>
          <w:rFonts w:ascii="Arial" w:cs="Arial" w:eastAsia="Arial" w:hAnsi="Arial"/>
          <w:sz w:val="13"/>
          <w:szCs w:val="13"/>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30" w:lineRule="exact"/>
        <w:rPr>
          <w:sz w:val="20"/>
          <w:szCs w:val="20"/>
          <w:color w:val="auto"/>
        </w:rPr>
      </w:pPr>
    </w:p>
    <w:p>
      <w:pPr>
        <w:ind w:right="540" w:firstLine="256"/>
        <w:spacing w:after="0" w:line="260" w:lineRule="auto"/>
        <w:rPr>
          <w:sz w:val="20"/>
          <w:szCs w:val="20"/>
          <w:color w:val="auto"/>
        </w:rPr>
      </w:pPr>
      <w:r>
        <w:rPr>
          <w:rFonts w:ascii="Arial" w:cs="Arial" w:eastAsia="Arial" w:hAnsi="Arial"/>
          <w:sz w:val="13"/>
          <w:szCs w:val="13"/>
          <w:color w:val="auto"/>
        </w:rPr>
        <w:t>The companies in which we invest use our capital to support organic growth, acquisitions, market or product expansion and recapitalizations (including restructurings). As of March 31, 2022, the largest single investment based on fair value represented 3.5% of our total investment portfolio.</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March 31, 2022, the average investment size in each of our portfolio companies was approximately $35.5 million based on fair value.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278" w:right="319" w:bottom="1440" w:gutter="0" w:footer="0" w:header="0"/>
        </w:sectPr>
      </w:pPr>
    </w:p>
    <w:bookmarkStart w:id="48" w:name="page49"/>
    <w:bookmarkEnd w:id="48"/>
    <w:p>
      <w:pPr>
        <w:ind w:left="260"/>
        <w:spacing w:after="0"/>
        <w:rPr>
          <w:sz w:val="20"/>
          <w:szCs w:val="20"/>
          <w:color w:val="auto"/>
        </w:rPr>
      </w:pPr>
      <w:r>
        <w:rPr>
          <w:rFonts w:ascii="Arial" w:cs="Arial" w:eastAsia="Arial" w:hAnsi="Arial"/>
          <w:sz w:val="13"/>
          <w:szCs w:val="13"/>
          <w:color w:val="auto"/>
        </w:rPr>
        <w:t>Through our Adviser, we consider potential investments utilizing a four-tiered investment framework and against our existing portfolio as a whole:</w:t>
      </w:r>
    </w:p>
    <w:p>
      <w:pPr>
        <w:spacing w:after="0" w:line="153" w:lineRule="exact"/>
        <w:rPr>
          <w:sz w:val="20"/>
          <w:szCs w:val="20"/>
          <w:color w:val="auto"/>
        </w:rPr>
      </w:pPr>
    </w:p>
    <w:p>
      <w:pPr>
        <w:ind w:right="160" w:firstLine="256"/>
        <w:spacing w:after="0" w:line="251" w:lineRule="auto"/>
        <w:rPr>
          <w:sz w:val="20"/>
          <w:szCs w:val="20"/>
          <w:color w:val="auto"/>
        </w:rPr>
      </w:pPr>
      <w:r>
        <w:rPr>
          <w:rFonts w:ascii="Arial" w:cs="Arial" w:eastAsia="Arial" w:hAnsi="Arial"/>
          <w:sz w:val="13"/>
          <w:szCs w:val="13"/>
          <w:i w:val="1"/>
          <w:iCs w:val="1"/>
          <w:color w:val="auto"/>
        </w:rPr>
        <w:t xml:space="preserve">Business and sector selection. </w:t>
      </w:r>
      <w:r>
        <w:rPr>
          <w:rFonts w:ascii="Arial" w:cs="Arial" w:eastAsia="Arial" w:hAnsi="Arial"/>
          <w:sz w:val="13"/>
          <w:szCs w:val="13"/>
          <w:color w:val="auto"/>
        </w:rPr>
        <w:t>We focus on companies with enterprise value between $50 million and $1 billion. When reviewing potential investments, we seek to invest in businesses with high marginal cash flow,</w:t>
      </w:r>
      <w:r>
        <w:rPr>
          <w:rFonts w:ascii="Arial" w:cs="Arial" w:eastAsia="Arial" w:hAnsi="Arial"/>
          <w:sz w:val="13"/>
          <w:szCs w:val="13"/>
          <w:i w:val="1"/>
          <w:iCs w:val="1"/>
          <w:color w:val="auto"/>
        </w:rPr>
        <w:t xml:space="preserve"> </w:t>
      </w:r>
      <w:r>
        <w:rPr>
          <w:rFonts w:ascii="Arial" w:cs="Arial" w:eastAsia="Arial" w:hAnsi="Arial"/>
          <w:sz w:val="13"/>
          <w:szCs w:val="13"/>
          <w:color w:val="auto"/>
        </w:rPr>
        <w:t>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36" w:lineRule="exact"/>
        <w:rPr>
          <w:sz w:val="20"/>
          <w:szCs w:val="20"/>
          <w:color w:val="auto"/>
        </w:rPr>
      </w:pPr>
    </w:p>
    <w:p>
      <w:pPr>
        <w:ind w:right="180" w:firstLine="256"/>
        <w:spacing w:after="0" w:line="260" w:lineRule="auto"/>
        <w:rPr>
          <w:sz w:val="20"/>
          <w:szCs w:val="20"/>
          <w:color w:val="auto"/>
        </w:rPr>
      </w:pPr>
      <w:r>
        <w:rPr>
          <w:rFonts w:ascii="Arial" w:cs="Arial" w:eastAsia="Arial" w:hAnsi="Arial"/>
          <w:sz w:val="13"/>
          <w:szCs w:val="13"/>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March 31, 2022, the largest industry represented 16.9% of our total investment portfolio based on fair value.</w:t>
      </w:r>
    </w:p>
    <w:p>
      <w:pPr>
        <w:spacing w:after="0" w:line="153" w:lineRule="exact"/>
        <w:rPr>
          <w:sz w:val="20"/>
          <w:szCs w:val="20"/>
          <w:color w:val="auto"/>
        </w:rPr>
      </w:pPr>
    </w:p>
    <w:p>
      <w:pPr>
        <w:ind w:right="20" w:firstLine="256"/>
        <w:spacing w:after="0" w:line="272" w:lineRule="auto"/>
        <w:rPr>
          <w:sz w:val="20"/>
          <w:szCs w:val="20"/>
          <w:color w:val="auto"/>
        </w:rPr>
      </w:pPr>
      <w:r>
        <w:rPr>
          <w:rFonts w:ascii="Arial" w:cs="Arial" w:eastAsia="Arial" w:hAnsi="Arial"/>
          <w:sz w:val="12"/>
          <w:szCs w:val="12"/>
          <w:i w:val="1"/>
          <w:iCs w:val="1"/>
          <w:color w:val="auto"/>
        </w:rPr>
        <w:t xml:space="preserve">Investment Structuring. </w:t>
      </w:r>
      <w:r>
        <w:rPr>
          <w:rFonts w:ascii="Arial" w:cs="Arial" w:eastAsia="Arial" w:hAnsi="Arial"/>
          <w:sz w:val="12"/>
          <w:szCs w:val="12"/>
          <w:color w:val="auto"/>
        </w:rPr>
        <w:t>We focus on investing at the top of the capital structure and protecting that position. As of March 31, 2022, approximately 93.1% of our portfolio was invested in secured debt, including 91.3% in</w:t>
      </w:r>
      <w:r>
        <w:rPr>
          <w:rFonts w:ascii="Arial" w:cs="Arial" w:eastAsia="Arial" w:hAnsi="Arial"/>
          <w:sz w:val="12"/>
          <w:szCs w:val="12"/>
          <w:i w:val="1"/>
          <w:iCs w:val="1"/>
          <w:color w:val="auto"/>
        </w:rPr>
        <w:t xml:space="preserve"> </w:t>
      </w:r>
      <w:r>
        <w:rPr>
          <w:rFonts w:ascii="Arial" w:cs="Arial" w:eastAsia="Arial" w:hAnsi="Arial"/>
          <w:sz w:val="12"/>
          <w:szCs w:val="12"/>
          <w:color w:val="auto"/>
        </w:rPr>
        <w:t>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2022, the weighted average term on new investment commitments in new portfolio companies was 5.7 years.</w:t>
      </w:r>
    </w:p>
    <w:p>
      <w:pPr>
        <w:spacing w:after="0" w:line="126" w:lineRule="exact"/>
        <w:rPr>
          <w:sz w:val="20"/>
          <w:szCs w:val="20"/>
          <w:color w:val="auto"/>
        </w:rPr>
      </w:pPr>
    </w:p>
    <w:p>
      <w:pPr>
        <w:ind w:right="400" w:firstLine="256"/>
        <w:spacing w:after="0" w:line="260" w:lineRule="auto"/>
        <w:rPr>
          <w:sz w:val="20"/>
          <w:szCs w:val="20"/>
          <w:color w:val="auto"/>
        </w:rPr>
      </w:pPr>
      <w:r>
        <w:rPr>
          <w:rFonts w:ascii="Arial" w:cs="Arial" w:eastAsia="Arial" w:hAnsi="Arial"/>
          <w:sz w:val="13"/>
          <w:szCs w:val="13"/>
          <w:i w:val="1"/>
          <w:iCs w:val="1"/>
          <w:color w:val="auto"/>
        </w:rPr>
        <w:t xml:space="preserve">Deal Dynamics. </w:t>
      </w:r>
      <w:r>
        <w:rPr>
          <w:rFonts w:ascii="Arial" w:cs="Arial" w:eastAsia="Arial" w:hAnsi="Arial"/>
          <w:sz w:val="13"/>
          <w:szCs w:val="13"/>
          <w:color w:val="auto"/>
        </w:rPr>
        <w:t>We focus on, among other deal dynamics, direct origination of investments, where we identify and lead the investment transaction. A substantial majority of our portfolio investments are sourced</w:t>
      </w:r>
      <w:r>
        <w:rPr>
          <w:rFonts w:ascii="Arial" w:cs="Arial" w:eastAsia="Arial" w:hAnsi="Arial"/>
          <w:sz w:val="13"/>
          <w:szCs w:val="13"/>
          <w:i w:val="1"/>
          <w:iCs w:val="1"/>
          <w:color w:val="auto"/>
        </w:rPr>
        <w:t xml:space="preserve"> </w:t>
      </w:r>
      <w:r>
        <w:rPr>
          <w:rFonts w:ascii="Arial" w:cs="Arial" w:eastAsia="Arial" w:hAnsi="Arial"/>
          <w:sz w:val="13"/>
          <w:szCs w:val="13"/>
          <w:color w:val="auto"/>
        </w:rPr>
        <w:t>through our direct or proprietary relationships.</w:t>
      </w:r>
    </w:p>
    <w:p>
      <w:pPr>
        <w:spacing w:after="0" w:line="130" w:lineRule="exact"/>
        <w:rPr>
          <w:sz w:val="20"/>
          <w:szCs w:val="20"/>
          <w:color w:val="auto"/>
        </w:rPr>
      </w:pPr>
    </w:p>
    <w:p>
      <w:pPr>
        <w:ind w:firstLine="256"/>
        <w:spacing w:after="0" w:line="319" w:lineRule="auto"/>
        <w:rPr>
          <w:sz w:val="20"/>
          <w:szCs w:val="20"/>
          <w:color w:val="auto"/>
        </w:rPr>
      </w:pPr>
      <w:r>
        <w:rPr>
          <w:rFonts w:ascii="Arial" w:cs="Arial" w:eastAsia="Arial" w:hAnsi="Arial"/>
          <w:sz w:val="11"/>
          <w:szCs w:val="11"/>
          <w:i w:val="1"/>
          <w:iCs w:val="1"/>
          <w:color w:val="auto"/>
        </w:rPr>
        <w:t xml:space="preserve">Risk Mitigation. </w:t>
      </w:r>
      <w:r>
        <w:rPr>
          <w:rFonts w:ascii="Arial" w:cs="Arial" w:eastAsia="Arial" w:hAnsi="Arial"/>
          <w:sz w:val="11"/>
          <w:szCs w:val="11"/>
          <w:color w:val="auto"/>
        </w:rPr>
        <w:t>We seek to mitigate non-credit-related risk on our returns in several ways, including call protection provisions to protect future interest income. As of March 31, 2022, we had call protection on 95.1% of</w:t>
      </w:r>
      <w:r>
        <w:rPr>
          <w:rFonts w:ascii="Arial" w:cs="Arial" w:eastAsia="Arial" w:hAnsi="Arial"/>
          <w:sz w:val="11"/>
          <w:szCs w:val="11"/>
          <w:i w:val="1"/>
          <w:iCs w:val="1"/>
          <w:color w:val="auto"/>
        </w:rPr>
        <w:t xml:space="preserve"> </w:t>
      </w:r>
      <w:r>
        <w:rPr>
          <w:rFonts w:ascii="Arial" w:cs="Arial" w:eastAsia="Arial" w:hAnsi="Arial"/>
          <w:sz w:val="11"/>
          <w:szCs w:val="11"/>
          <w:color w:val="auto"/>
        </w:rPr>
        <w:t>our debt investments based on fair value, with weighted average call prices of 107.3% for the first year, 104.3% for the second year and 101.3% for the third year, in each case from the date of the initial investment. As of March 31, 2022, 99.0% of our debt investments based on fair value bore interest at floating rates, with 100.0% of these subject to interest rate floors, which we believe helps act as a portfolio-wide hedge against inflation.</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Relationship with our Adviser and Sixth Street</w:t>
      </w:r>
    </w:p>
    <w:p>
      <w:pPr>
        <w:spacing w:after="0" w:line="77" w:lineRule="exact"/>
        <w:rPr>
          <w:sz w:val="20"/>
          <w:szCs w:val="20"/>
          <w:color w:val="auto"/>
        </w:rPr>
      </w:pPr>
    </w:p>
    <w:p>
      <w:pPr>
        <w:ind w:right="20" w:firstLine="256"/>
        <w:spacing w:after="0" w:line="275" w:lineRule="auto"/>
        <w:rPr>
          <w:sz w:val="20"/>
          <w:szCs w:val="20"/>
          <w:color w:val="auto"/>
        </w:rPr>
      </w:pPr>
      <w:r>
        <w:rPr>
          <w:rFonts w:ascii="Arial" w:cs="Arial" w:eastAsia="Arial" w:hAnsi="Arial"/>
          <w:sz w:val="12"/>
          <w:szCs w:val="12"/>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24" w:lineRule="exact"/>
        <w:rPr>
          <w:sz w:val="20"/>
          <w:szCs w:val="20"/>
          <w:color w:val="auto"/>
        </w:rPr>
      </w:pPr>
    </w:p>
    <w:p>
      <w:pPr>
        <w:ind w:right="80" w:firstLine="256"/>
        <w:spacing w:after="0" w:line="297" w:lineRule="auto"/>
        <w:rPr>
          <w:sz w:val="20"/>
          <w:szCs w:val="20"/>
          <w:color w:val="auto"/>
        </w:rPr>
      </w:pPr>
      <w:r>
        <w:rPr>
          <w:rFonts w:ascii="Arial" w:cs="Arial" w:eastAsia="Arial" w:hAnsi="Arial"/>
          <w:sz w:val="11"/>
          <w:szCs w:val="11"/>
          <w:color w:val="auto"/>
        </w:rPr>
        <w:t>Sixth Street is a global investment business with over $60 billion of assets under management as of March 31,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370 investment and operating professionals. As of March 31, 2022, thirty-five (35) of these personnel are dedicated to our business, including twenty-seven (27) investment professionals.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49" w:name="page50"/>
    <w:bookmarkEnd w:id="49"/>
    <w:p>
      <w:pPr>
        <w:ind w:firstLine="256"/>
        <w:spacing w:after="0" w:line="308" w:lineRule="auto"/>
        <w:rPr>
          <w:sz w:val="20"/>
          <w:szCs w:val="20"/>
          <w:color w:val="auto"/>
        </w:rPr>
      </w:pPr>
      <w:r>
        <w:rPr>
          <w:rFonts w:ascii="Arial" w:cs="Arial" w:eastAsia="Arial" w:hAnsi="Arial"/>
          <w:sz w:val="11"/>
          <w:szCs w:val="11"/>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07" w:lineRule="exact"/>
        <w:rPr>
          <w:sz w:val="20"/>
          <w:szCs w:val="20"/>
          <w:color w:val="auto"/>
        </w:rPr>
      </w:pPr>
    </w:p>
    <w:p>
      <w:pPr>
        <w:ind w:right="60" w:firstLine="256"/>
        <w:spacing w:after="0" w:line="272" w:lineRule="auto"/>
        <w:rPr>
          <w:sz w:val="20"/>
          <w:szCs w:val="20"/>
          <w:color w:val="auto"/>
        </w:rPr>
      </w:pPr>
      <w:r>
        <w:rPr>
          <w:rFonts w:ascii="Arial" w:cs="Arial" w:eastAsia="Arial" w:hAnsi="Arial"/>
          <w:sz w:val="12"/>
          <w:szCs w:val="12"/>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December 28, 2021, we filed a further application for co-investment exemptive relief with the SEC to better align our existing co-investment relief with more recent SEC exemptive orders. There can be no assurance when or if the SEC will grant a further order in response to our application. Until such time a new order is granted, we will continue to operate under the terms of our current exemptive order.</w:t>
      </w:r>
    </w:p>
    <w:p>
      <w:pPr>
        <w:spacing w:after="0" w:line="126" w:lineRule="exact"/>
        <w:rPr>
          <w:sz w:val="20"/>
          <w:szCs w:val="20"/>
          <w:color w:val="auto"/>
        </w:rPr>
      </w:pPr>
    </w:p>
    <w:p>
      <w:pPr>
        <w:jc w:val="both"/>
        <w:ind w:right="80" w:firstLine="256"/>
        <w:spacing w:after="0" w:line="251" w:lineRule="auto"/>
        <w:rPr>
          <w:sz w:val="20"/>
          <w:szCs w:val="20"/>
          <w:color w:val="auto"/>
        </w:rPr>
      </w:pPr>
      <w:r>
        <w:rPr>
          <w:rFonts w:ascii="Arial" w:cs="Arial" w:eastAsia="Arial" w:hAnsi="Arial"/>
          <w:sz w:val="13"/>
          <w:szCs w:val="13"/>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36" w:lineRule="exact"/>
        <w:rPr>
          <w:sz w:val="20"/>
          <w:szCs w:val="20"/>
          <w:color w:val="auto"/>
        </w:rPr>
      </w:pPr>
    </w:p>
    <w:p>
      <w:pPr>
        <w:ind w:right="140" w:firstLine="256"/>
        <w:spacing w:after="0" w:line="251" w:lineRule="auto"/>
        <w:rPr>
          <w:sz w:val="20"/>
          <w:szCs w:val="20"/>
          <w:color w:val="auto"/>
        </w:rPr>
      </w:pPr>
      <w:r>
        <w:rPr>
          <w:rFonts w:ascii="Arial" w:cs="Arial" w:eastAsia="Arial" w:hAnsi="Arial"/>
          <w:sz w:val="13"/>
          <w:szCs w:val="13"/>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36" w:lineRule="exact"/>
        <w:rPr>
          <w:sz w:val="20"/>
          <w:szCs w:val="20"/>
          <w:color w:val="auto"/>
        </w:rPr>
      </w:pPr>
    </w:p>
    <w:p>
      <w:pPr>
        <w:ind w:right="100" w:firstLine="256"/>
        <w:spacing w:after="0" w:line="251" w:lineRule="auto"/>
        <w:rPr>
          <w:sz w:val="20"/>
          <w:szCs w:val="20"/>
          <w:color w:val="auto"/>
        </w:rPr>
      </w:pPr>
      <w:r>
        <w:rPr>
          <w:rFonts w:ascii="Arial" w:cs="Arial" w:eastAsia="Arial" w:hAnsi="Arial"/>
          <w:sz w:val="13"/>
          <w:szCs w:val="13"/>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Key Components of Our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focus primarily on the direct origination of loans to middle-market companies domiciled in the United States.</w:t>
      </w:r>
    </w:p>
    <w:p>
      <w:pPr>
        <w:spacing w:after="0" w:line="153" w:lineRule="exact"/>
        <w:rPr>
          <w:sz w:val="20"/>
          <w:szCs w:val="20"/>
          <w:color w:val="auto"/>
        </w:rPr>
      </w:pPr>
    </w:p>
    <w:p>
      <w:pPr>
        <w:ind w:right="260" w:firstLine="256"/>
        <w:spacing w:after="0" w:line="251" w:lineRule="auto"/>
        <w:rPr>
          <w:sz w:val="20"/>
          <w:szCs w:val="20"/>
          <w:color w:val="auto"/>
        </w:rPr>
      </w:pPr>
      <w:r>
        <w:rPr>
          <w:rFonts w:ascii="Arial" w:cs="Arial" w:eastAsia="Arial" w:hAnsi="Arial"/>
          <w:sz w:val="13"/>
          <w:szCs w:val="13"/>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addition, as part of our risk strategy on investments, we may reduce certain levels of investments through partial sales or syndication to additional investors.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77" w:lineRule="exact"/>
        <w:rPr>
          <w:sz w:val="20"/>
          <w:szCs w:val="20"/>
          <w:color w:val="auto"/>
        </w:rPr>
      </w:pPr>
    </w:p>
    <w:p>
      <w:pPr>
        <w:ind w:right="140" w:firstLine="256"/>
        <w:spacing w:after="0" w:line="248" w:lineRule="auto"/>
        <w:rPr>
          <w:sz w:val="20"/>
          <w:szCs w:val="20"/>
          <w:color w:val="auto"/>
        </w:rPr>
      </w:pPr>
      <w:r>
        <w:rPr>
          <w:rFonts w:ascii="Arial" w:cs="Arial" w:eastAsia="Arial" w:hAnsi="Arial"/>
          <w:sz w:val="13"/>
          <w:szCs w:val="13"/>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2022, 99.0% of these investments based on fair value bore interest at a floating rate, with 100.0% of these subject to interest rate floors. Interest on debt investments is generally payable quarterly or semiannually. Some of our debt investments provide for deferred interest payments or PIK interest. For the three months ended March 31, 2022, 4.6% of our total investment income was comprised of PIK interest.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50" w:name="page51"/>
    <w:bookmarkEnd w:id="50"/>
    <w:p>
      <w:pPr>
        <w:jc w:val="both"/>
        <w:ind w:right="40" w:firstLine="256"/>
        <w:spacing w:after="0" w:line="292" w:lineRule="auto"/>
        <w:rPr>
          <w:sz w:val="20"/>
          <w:szCs w:val="20"/>
          <w:color w:val="auto"/>
        </w:rPr>
      </w:pPr>
      <w:r>
        <w:rPr>
          <w:rFonts w:ascii="Arial" w:cs="Arial" w:eastAsia="Arial" w:hAnsi="Arial"/>
          <w:sz w:val="11"/>
          <w:szCs w:val="11"/>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2022 Convertible Notes, 2023 Notes, 2024 Notes and 2026 Notes, after taking into account the effect of the interest rate swaps we have entered into in connection with these securities, all bear interest at floating rates. Macro trends in base interest rates like LIBOR or other reference rates may affect our net investment income over the long term.</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40" w:lineRule="exact"/>
        <w:rPr>
          <w:sz w:val="20"/>
          <w:szCs w:val="20"/>
          <w:color w:val="auto"/>
        </w:rPr>
      </w:pPr>
    </w:p>
    <w:p>
      <w:pPr>
        <w:ind w:right="20" w:firstLine="256"/>
        <w:spacing w:after="0" w:line="248" w:lineRule="auto"/>
        <w:rPr>
          <w:sz w:val="20"/>
          <w:szCs w:val="20"/>
          <w:color w:val="auto"/>
        </w:rPr>
      </w:pPr>
      <w:r>
        <w:rPr>
          <w:rFonts w:ascii="Arial" w:cs="Arial" w:eastAsia="Arial" w:hAnsi="Arial"/>
          <w:sz w:val="13"/>
          <w:szCs w:val="13"/>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38" w:lineRule="exact"/>
        <w:rPr>
          <w:sz w:val="20"/>
          <w:szCs w:val="20"/>
          <w:color w:val="auto"/>
        </w:rPr>
      </w:pPr>
    </w:p>
    <w:p>
      <w:pPr>
        <w:ind w:firstLine="256"/>
        <w:spacing w:after="0" w:line="248" w:lineRule="auto"/>
        <w:rPr>
          <w:sz w:val="20"/>
          <w:szCs w:val="20"/>
          <w:color w:val="auto"/>
        </w:rPr>
      </w:pPr>
      <w:r>
        <w:rPr>
          <w:rFonts w:ascii="Arial" w:cs="Arial" w:eastAsia="Arial" w:hAnsi="Arial"/>
          <w:sz w:val="13"/>
          <w:szCs w:val="13"/>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Dividend income on common equity investments is recorded on the record date for private portfolio companies or on the ex-dividend date for publicly traded portfolio companies.</w:t>
      </w:r>
    </w:p>
    <w:p>
      <w:pPr>
        <w:spacing w:after="0" w:line="153" w:lineRule="exact"/>
        <w:rPr>
          <w:sz w:val="20"/>
          <w:szCs w:val="20"/>
          <w:color w:val="auto"/>
        </w:rPr>
      </w:pPr>
    </w:p>
    <w:p>
      <w:pPr>
        <w:ind w:right="20" w:firstLine="256"/>
        <w:spacing w:after="0" w:line="251" w:lineRule="auto"/>
        <w:rPr>
          <w:sz w:val="20"/>
          <w:szCs w:val="20"/>
          <w:color w:val="auto"/>
        </w:rPr>
      </w:pPr>
      <w:r>
        <w:rPr>
          <w:rFonts w:ascii="Arial" w:cs="Arial" w:eastAsia="Arial" w:hAnsi="Arial"/>
          <w:sz w:val="13"/>
          <w:szCs w:val="13"/>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77" w:lineRule="exact"/>
        <w:rPr>
          <w:sz w:val="20"/>
          <w:szCs w:val="20"/>
          <w:color w:val="auto"/>
        </w:rPr>
      </w:pPr>
    </w:p>
    <w:p>
      <w:pPr>
        <w:ind w:right="140" w:firstLine="256"/>
        <w:spacing w:after="0" w:line="301" w:lineRule="auto"/>
        <w:rPr>
          <w:sz w:val="20"/>
          <w:szCs w:val="20"/>
          <w:color w:val="auto"/>
        </w:rPr>
      </w:pPr>
      <w:r>
        <w:rPr>
          <w:rFonts w:ascii="Arial" w:cs="Arial" w:eastAsia="Arial" w:hAnsi="Arial"/>
          <w:sz w:val="12"/>
          <w:szCs w:val="12"/>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32" w:lineRule="exact"/>
        <w:rPr>
          <w:sz w:val="20"/>
          <w:szCs w:val="20"/>
          <w:color w:val="auto"/>
        </w:rPr>
      </w:pPr>
    </w:p>
    <w:p>
      <w:pPr>
        <w:ind w:left="500" w:hanging="249"/>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calculating individual asset values and our net asset value (including the cost and expenses of any independent valuation firms);</w:t>
      </w:r>
    </w:p>
    <w:p>
      <w:pPr>
        <w:spacing w:after="0" w:line="77" w:lineRule="exact"/>
        <w:rPr>
          <w:rFonts w:ascii="Arial" w:cs="Arial" w:eastAsia="Arial" w:hAnsi="Arial"/>
          <w:sz w:val="13"/>
          <w:szCs w:val="13"/>
          <w:color w:val="auto"/>
        </w:rPr>
      </w:pPr>
    </w:p>
    <w:p>
      <w:pPr>
        <w:ind w:left="500" w:right="240" w:hanging="249"/>
        <w:spacing w:after="0" w:line="260" w:lineRule="auto"/>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4" w:lineRule="exact"/>
        <w:rPr>
          <w:rFonts w:ascii="Arial" w:cs="Arial" w:eastAsia="Arial" w:hAnsi="Arial"/>
          <w:sz w:val="13"/>
          <w:szCs w:val="13"/>
          <w:color w:val="auto"/>
        </w:rPr>
      </w:pPr>
    </w:p>
    <w:p>
      <w:pPr>
        <w:ind w:left="500" w:hanging="249"/>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costs of any public offerings of our common stock and other securities, including registration and listing fees;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Management Fee and any Incentive Fee;</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certain costs and expenses relating to distributions paid on our shares;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administration fees payable under our Administration Agreement;</w:t>
      </w:r>
    </w:p>
    <w:p>
      <w:pPr>
        <w:spacing w:after="0" w:line="77" w:lineRule="exact"/>
        <w:rPr>
          <w:rFonts w:ascii="Arial" w:cs="Arial" w:eastAsia="Arial" w:hAnsi="Arial"/>
          <w:sz w:val="13"/>
          <w:szCs w:val="13"/>
          <w:color w:val="auto"/>
        </w:rPr>
      </w:pPr>
    </w:p>
    <w:p>
      <w:pPr>
        <w:ind w:left="500" w:right="60" w:hanging="249"/>
        <w:spacing w:after="0" w:line="319" w:lineRule="auto"/>
        <w:tabs>
          <w:tab w:leader="none" w:pos="5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25" w:lineRule="exact"/>
        <w:rPr>
          <w:rFonts w:ascii="Arial" w:cs="Arial" w:eastAsia="Arial" w:hAnsi="Arial"/>
          <w:sz w:val="11"/>
          <w:szCs w:val="11"/>
          <w:color w:val="auto"/>
        </w:rPr>
      </w:pPr>
    </w:p>
    <w:p>
      <w:pPr>
        <w:ind w:left="500" w:hanging="249"/>
        <w:spacing w:after="0"/>
        <w:tabs>
          <w:tab w:leader="none" w:pos="5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debt service and other costs of borrowings or other financing arrangements;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51" w:name="page52"/>
    <w:bookmarkEnd w:id="51"/>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Adviser’s allocable share of costs incurred in providing significant managerial assistance to those portfolio companies that request it;</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amounts payable to third parties relating to, or associated with, making or holding investments;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costs of hedging;</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commissions and other compensation payable to brokers or dealers;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taxes;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Independent Director fees and expenses;</w:t>
      </w:r>
    </w:p>
    <w:p>
      <w:pPr>
        <w:spacing w:after="0" w:line="77" w:lineRule="exact"/>
        <w:rPr>
          <w:rFonts w:ascii="Arial" w:cs="Arial" w:eastAsia="Arial" w:hAnsi="Arial"/>
          <w:sz w:val="13"/>
          <w:szCs w:val="13"/>
          <w:color w:val="auto"/>
        </w:rPr>
      </w:pPr>
    </w:p>
    <w:p>
      <w:pPr>
        <w:ind w:left="500" w:right="220" w:hanging="249"/>
        <w:spacing w:after="0" w:line="260" w:lineRule="auto"/>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4"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our fidelity bond;</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directors and officers/errors and omissions liability insurance, and any other insurance premiums;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indemnification payments;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direct costs and expenses of administration, including audit, accounting, consulting and legal costs; and</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all other expenses reasonably incurred by us in connection with making investments and administering our business.</w:t>
      </w:r>
    </w:p>
    <w:p>
      <w:pPr>
        <w:spacing w:after="0" w:line="153" w:lineRule="exact"/>
        <w:rPr>
          <w:sz w:val="20"/>
          <w:szCs w:val="20"/>
          <w:color w:val="auto"/>
        </w:rPr>
      </w:pPr>
    </w:p>
    <w:p>
      <w:pPr>
        <w:ind w:right="360" w:firstLine="256"/>
        <w:spacing w:after="0" w:line="260" w:lineRule="auto"/>
        <w:rPr>
          <w:sz w:val="20"/>
          <w:szCs w:val="20"/>
          <w:color w:val="auto"/>
        </w:rPr>
      </w:pPr>
      <w:r>
        <w:rPr>
          <w:rFonts w:ascii="Arial" w:cs="Arial" w:eastAsia="Arial" w:hAnsi="Arial"/>
          <w:sz w:val="13"/>
          <w:szCs w:val="13"/>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Leverage</w:t>
      </w:r>
    </w:p>
    <w:p>
      <w:pPr>
        <w:spacing w:after="0" w:line="77" w:lineRule="exact"/>
        <w:rPr>
          <w:sz w:val="20"/>
          <w:szCs w:val="20"/>
          <w:color w:val="auto"/>
        </w:rPr>
      </w:pPr>
    </w:p>
    <w:p>
      <w:pPr>
        <w:jc w:val="both"/>
        <w:ind w:right="60" w:firstLine="256"/>
        <w:spacing w:after="0" w:line="275" w:lineRule="auto"/>
        <w:rPr>
          <w:sz w:val="20"/>
          <w:szCs w:val="20"/>
          <w:color w:val="auto"/>
        </w:rPr>
      </w:pPr>
      <w:r>
        <w:rPr>
          <w:rFonts w:ascii="Arial" w:cs="Arial" w:eastAsia="Arial" w:hAnsi="Arial"/>
          <w:sz w:val="12"/>
          <w:szCs w:val="12"/>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Market Trends</w:t>
      </w:r>
    </w:p>
    <w:p>
      <w:pPr>
        <w:spacing w:after="0" w:line="77" w:lineRule="exact"/>
        <w:rPr>
          <w:sz w:val="20"/>
          <w:szCs w:val="20"/>
          <w:color w:val="auto"/>
        </w:rPr>
      </w:pPr>
    </w:p>
    <w:p>
      <w:pPr>
        <w:ind w:right="560" w:firstLine="256"/>
        <w:spacing w:after="0" w:line="260" w:lineRule="auto"/>
        <w:rPr>
          <w:sz w:val="20"/>
          <w:szCs w:val="20"/>
          <w:color w:val="auto"/>
        </w:rPr>
      </w:pPr>
      <w:r>
        <w:rPr>
          <w:rFonts w:ascii="Arial" w:cs="Arial" w:eastAsia="Arial" w:hAnsi="Arial"/>
          <w:sz w:val="13"/>
          <w:szCs w:val="13"/>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30" w:lineRule="exact"/>
        <w:rPr>
          <w:sz w:val="20"/>
          <w:szCs w:val="20"/>
          <w:color w:val="auto"/>
        </w:rPr>
      </w:pPr>
    </w:p>
    <w:p>
      <w:pPr>
        <w:jc w:val="both"/>
        <w:ind w:right="100" w:firstLine="256"/>
        <w:spacing w:after="0" w:line="251" w:lineRule="auto"/>
        <w:rPr>
          <w:sz w:val="20"/>
          <w:szCs w:val="20"/>
          <w:color w:val="auto"/>
        </w:rPr>
      </w:pPr>
      <w:r>
        <w:rPr>
          <w:rFonts w:ascii="Arial" w:cs="Arial" w:eastAsia="Arial" w:hAnsi="Arial"/>
          <w:sz w:val="13"/>
          <w:szCs w:val="13"/>
          <w:color w:val="auto"/>
        </w:rPr>
        <w:t>Subsequent to the global financial crisis, the implementation of regulatory changes such as Basel III requirements, Leverage Lending Guidance, and the Volker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36"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6" w:lineRule="exact"/>
        <w:rPr>
          <w:sz w:val="20"/>
          <w:szCs w:val="20"/>
          <w:color w:val="auto"/>
        </w:rPr>
      </w:pPr>
    </w:p>
    <w:p>
      <w:pPr>
        <w:jc w:val="both"/>
        <w:ind w:right="380" w:firstLine="256"/>
        <w:spacing w:after="0" w:line="319" w:lineRule="auto"/>
        <w:rPr>
          <w:sz w:val="20"/>
          <w:szCs w:val="20"/>
          <w:color w:val="auto"/>
        </w:rPr>
      </w:pPr>
      <w:r>
        <w:rPr>
          <w:rFonts w:ascii="Arial" w:cs="Arial" w:eastAsia="Arial" w:hAnsi="Arial"/>
          <w:sz w:val="11"/>
          <w:szCs w:val="11"/>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358" w:right="299" w:bottom="1440" w:gutter="0" w:footer="0" w:header="0"/>
        </w:sectPr>
      </w:pPr>
    </w:p>
    <w:bookmarkStart w:id="52" w:name="page53"/>
    <w:bookmarkEnd w:id="52"/>
    <w:p>
      <w:pPr>
        <w:ind w:right="40" w:firstLine="256"/>
        <w:spacing w:after="0" w:line="270" w:lineRule="auto"/>
        <w:rPr>
          <w:sz w:val="20"/>
          <w:szCs w:val="20"/>
          <w:color w:val="auto"/>
        </w:rPr>
      </w:pPr>
      <w:r>
        <w:rPr>
          <w:rFonts w:ascii="Arial" w:cs="Arial" w:eastAsia="Arial" w:hAnsi="Arial"/>
          <w:sz w:val="12"/>
          <w:szCs w:val="12"/>
          <w:color w:val="auto"/>
        </w:rPr>
        <w:t>In late 2019 and early 2020, the novel coronavirus SARS-CoV-2 and related respiratory disease COVID-19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The federal government and the Federal Reserve, as well as foreign governments and central banks, have implemented significant fiscal and monetary policies in response to these disruptions, and additional government and regulatory responses may be possible. It is currently impossible to determine the scope of this or any future outbreak, how long any such outbreak and market disruption, volatility or uncertainty may last, the effect any governmental actions and changes in base interest rates will have or the full potential impact on us, our industry and our portfolio companies.</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81" w:lineRule="exact"/>
        <w:rPr>
          <w:sz w:val="20"/>
          <w:szCs w:val="20"/>
          <w:color w:val="auto"/>
        </w:rPr>
      </w:pPr>
    </w:p>
    <w:p>
      <w:pPr>
        <w:ind w:right="120" w:firstLine="256"/>
        <w:spacing w:after="0" w:line="351" w:lineRule="auto"/>
        <w:rPr>
          <w:sz w:val="20"/>
          <w:szCs w:val="20"/>
          <w:color w:val="auto"/>
        </w:rPr>
      </w:pPr>
      <w:r>
        <w:rPr>
          <w:rFonts w:ascii="Arial" w:cs="Arial" w:eastAsia="Arial" w:hAnsi="Arial"/>
          <w:sz w:val="11"/>
          <w:szCs w:val="11"/>
          <w:color w:val="auto"/>
        </w:rPr>
        <w:t>As of March 31, 2022, our portfolio based on fair value consisted of 91.3% first-lien debt investments, 1.7% second-lien investments, 0.6% mezzanine debt investments, and 6.4% equity and other investments. As of December 31, 2021, our portfolio based on fair value consisted of 91.2% first-lien debt investments, 1.7% second-lien debt investments, 0.7% mezzanine debt investments, and 6.4% equity and other investments.</w:t>
      </w:r>
    </w:p>
    <w:p>
      <w:pPr>
        <w:spacing w:after="0" w:line="84"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As of March 31, 2022 and December 31, 2021, our weighted average total yield of debt and income-producing securities at fair value (which includes interest income and amortization of fees and discounts) was 10.1% and 10.0%, respectively, and our weighted average total yield of debt and income-producing securities at amortized cost (which includes interest income and amortization of fees and discounts) was 10.3% and 10.2%, respectively.</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March 31, 2022 and December 31, 2021, we had investments in 69 and 72 portfolio companies, respectively, with an aggregate fair value of $2,451.9 million and $2,521.6 million, respectively.</w:t>
      </w:r>
    </w:p>
    <w:p>
      <w:pPr>
        <w:spacing w:after="0" w:line="165"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For the three months ended March 31, 2022, the principal amount of new investments funded was $52.8 million in two new portfolio companies and eight existing portfolio companies. For this period, we had $144.4 million aggregate principal amount in exits and repayments.</w:t>
      </w:r>
    </w:p>
    <w:p>
      <w:pPr>
        <w:spacing w:after="0" w:line="130" w:lineRule="exact"/>
        <w:rPr>
          <w:sz w:val="20"/>
          <w:szCs w:val="20"/>
          <w:color w:val="auto"/>
        </w:rPr>
      </w:pPr>
    </w:p>
    <w:p>
      <w:pPr>
        <w:ind w:right="220" w:firstLine="256"/>
        <w:spacing w:after="0" w:line="260" w:lineRule="auto"/>
        <w:rPr>
          <w:sz w:val="20"/>
          <w:szCs w:val="20"/>
          <w:color w:val="auto"/>
        </w:rPr>
      </w:pPr>
      <w:r>
        <w:rPr>
          <w:rFonts w:ascii="Arial" w:cs="Arial" w:eastAsia="Arial" w:hAnsi="Arial"/>
          <w:sz w:val="13"/>
          <w:szCs w:val="13"/>
          <w:color w:val="auto"/>
        </w:rPr>
        <w:t>For the three months ended March 31, 2021, the principal amount of new investments funded was $130.4 million in two new portfolio companies and six existing portfolio companies. For this period, we had $85.1 million aggregate principal amount in exits and repayments.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20"/>
          </w:cols>
          <w:pgMar w:left="300" w:top="433" w:right="379" w:bottom="1440" w:gutter="0" w:footer="0" w:header="0"/>
        </w:sectPr>
      </w:pPr>
    </w:p>
    <w:bookmarkStart w:id="53" w:name="page54"/>
    <w:bookmarkEnd w:id="53"/>
    <w:p>
      <w:pPr>
        <w:ind w:left="260"/>
        <w:spacing w:after="0"/>
        <w:rPr>
          <w:sz w:val="20"/>
          <w:szCs w:val="20"/>
          <w:color w:val="auto"/>
        </w:rPr>
      </w:pPr>
      <w:r>
        <w:rPr>
          <w:rFonts w:ascii="Arial" w:cs="Arial" w:eastAsia="Arial" w:hAnsi="Arial"/>
          <w:sz w:val="13"/>
          <w:szCs w:val="13"/>
          <w:color w:val="auto"/>
        </w:rPr>
        <w:t>Our investment activity for the three months ended March 31, 2022 and 2021 is presented below (information presented herein is at par value unless otherwise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0" w:type="dxa"/>
            <w:vAlign w:val="bottom"/>
          </w:tcPr>
          <w:p>
            <w:pPr>
              <w:spacing w:after="0"/>
              <w:rPr>
                <w:sz w:val="10"/>
                <w:szCs w:val="10"/>
                <w:color w:val="auto"/>
              </w:rPr>
            </w:pPr>
          </w:p>
        </w:tc>
        <w:tc>
          <w:tcPr>
            <w:tcW w:w="4460" w:type="dxa"/>
            <w:vAlign w:val="bottom"/>
            <w:gridSpan w:val="2"/>
            <w:vMerge w:val="restart"/>
          </w:tcPr>
          <w:p>
            <w:pPr>
              <w:ind w:left="1140"/>
              <w:spacing w:after="0"/>
              <w:rPr>
                <w:sz w:val="20"/>
                <w:szCs w:val="20"/>
                <w:color w:val="auto"/>
              </w:rPr>
            </w:pPr>
            <w:r>
              <w:rPr>
                <w:rFonts w:ascii="Arial" w:cs="Arial" w:eastAsia="Arial" w:hAnsi="Arial"/>
                <w:sz w:val="10"/>
                <w:szCs w:val="10"/>
                <w:color w:val="auto"/>
              </w:rPr>
              <w:t>($ in millions)</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0"/>
                <w:szCs w:val="10"/>
                <w:b w:val="1"/>
                <w:bCs w:val="1"/>
                <w:color w:val="auto"/>
                <w:w w:val="99"/>
              </w:rPr>
              <w:t>Three Months Ended</w:t>
            </w: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60" w:type="dxa"/>
            <w:vAlign w:val="bottom"/>
          </w:tcPr>
          <w:p>
            <w:pPr>
              <w:spacing w:after="0"/>
              <w:rPr>
                <w:sz w:val="8"/>
                <w:szCs w:val="8"/>
                <w:color w:val="auto"/>
              </w:rPr>
            </w:pPr>
          </w:p>
        </w:tc>
        <w:tc>
          <w:tcPr>
            <w:tcW w:w="44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40" w:type="dxa"/>
            <w:vAlign w:val="bottom"/>
            <w:gridSpan w:val="4"/>
          </w:tcPr>
          <w:p>
            <w:pPr>
              <w:jc w:val="right"/>
              <w:ind w:right="360"/>
              <w:spacing w:after="0" w:line="103" w:lineRule="exact"/>
              <w:rPr>
                <w:sz w:val="20"/>
                <w:szCs w:val="20"/>
                <w:color w:val="auto"/>
              </w:rPr>
            </w:pPr>
            <w:r>
              <w:rPr>
                <w:rFonts w:ascii="Arial" w:cs="Arial" w:eastAsia="Arial" w:hAnsi="Arial"/>
                <w:sz w:val="10"/>
                <w:szCs w:val="10"/>
                <w:b w:val="1"/>
                <w:bCs w:val="1"/>
                <w:color w:val="auto"/>
              </w:rPr>
              <w:t>March 31, 2022</w:t>
            </w:r>
          </w:p>
        </w:tc>
        <w:tc>
          <w:tcPr>
            <w:tcW w:w="100" w:type="dxa"/>
            <w:vAlign w:val="bottom"/>
          </w:tcPr>
          <w:p>
            <w:pPr>
              <w:spacing w:after="0"/>
              <w:rPr>
                <w:sz w:val="8"/>
                <w:szCs w:val="8"/>
                <w:color w:val="auto"/>
              </w:rPr>
            </w:pPr>
          </w:p>
        </w:tc>
        <w:tc>
          <w:tcPr>
            <w:tcW w:w="1100" w:type="dxa"/>
            <w:vAlign w:val="bottom"/>
            <w:gridSpan w:val="3"/>
          </w:tcPr>
          <w:p>
            <w:pPr>
              <w:jc w:val="right"/>
              <w:ind w:right="220"/>
              <w:spacing w:after="0" w:line="103" w:lineRule="exact"/>
              <w:rPr>
                <w:sz w:val="20"/>
                <w:szCs w:val="20"/>
                <w:color w:val="auto"/>
              </w:rPr>
            </w:pPr>
            <w:r>
              <w:rPr>
                <w:rFonts w:ascii="Arial" w:cs="Arial" w:eastAsia="Arial" w:hAnsi="Arial"/>
                <w:sz w:val="10"/>
                <w:szCs w:val="10"/>
                <w:b w:val="1"/>
                <w:bCs w:val="1"/>
                <w:color w:val="auto"/>
              </w:rPr>
              <w:t>March 31, 2021</w:t>
            </w: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New investment commitments:</w:t>
            </w:r>
          </w:p>
        </w:tc>
        <w:tc>
          <w:tcPr>
            <w:tcW w:w="2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Arial" w:cs="Arial" w:eastAsia="Arial" w:hAnsi="Arial"/>
                <w:sz w:val="13"/>
                <w:szCs w:val="13"/>
                <w:color w:val="auto"/>
              </w:rPr>
              <w:t>Gross originations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304.5</w:t>
            </w:r>
          </w:p>
        </w:tc>
        <w:tc>
          <w:tcPr>
            <w:tcW w:w="140" w:type="dxa"/>
            <w:vAlign w:val="bottom"/>
          </w:tcPr>
          <w:p>
            <w:pPr>
              <w:spacing w:after="0"/>
              <w:rPr>
                <w:sz w:val="13"/>
                <w:szCs w:val="13"/>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381.6</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Less: Syndications/sell downs</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225.2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w w:val="85"/>
              </w:rPr>
              <w:t>236.2</w:t>
            </w:r>
          </w:p>
        </w:tc>
        <w:tc>
          <w:tcPr>
            <w:tcW w:w="12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340"/>
              <w:spacing w:after="0"/>
              <w:rPr>
                <w:sz w:val="20"/>
                <w:szCs w:val="20"/>
                <w:color w:val="auto"/>
              </w:rPr>
            </w:pPr>
            <w:r>
              <w:rPr>
                <w:rFonts w:ascii="Arial" w:cs="Arial" w:eastAsia="Arial" w:hAnsi="Arial"/>
                <w:sz w:val="13"/>
                <w:szCs w:val="13"/>
                <w:color w:val="auto"/>
              </w:rPr>
              <w:t>Total new investment commitments</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79.3</w:t>
            </w:r>
          </w:p>
        </w:tc>
        <w:tc>
          <w:tcPr>
            <w:tcW w:w="140" w:type="dxa"/>
            <w:vAlign w:val="bottom"/>
          </w:tcPr>
          <w:p>
            <w:pPr>
              <w:spacing w:after="0"/>
              <w:rPr>
                <w:sz w:val="13"/>
                <w:szCs w:val="13"/>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145.4</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Principal amount of investments funded:</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Arial" w:cs="Arial" w:eastAsia="Arial" w:hAnsi="Arial"/>
                <w:sz w:val="13"/>
                <w:szCs w:val="13"/>
                <w:color w:val="auto"/>
              </w:rPr>
              <w:t>First-lien</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48.5</w:t>
            </w:r>
          </w:p>
        </w:tc>
        <w:tc>
          <w:tcPr>
            <w:tcW w:w="140" w:type="dxa"/>
            <w:vAlign w:val="bottom"/>
          </w:tcPr>
          <w:p>
            <w:pPr>
              <w:spacing w:after="0"/>
              <w:rPr>
                <w:sz w:val="13"/>
                <w:szCs w:val="13"/>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129.2</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Second-lien</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Arial" w:cs="Arial" w:eastAsia="Arial" w:hAnsi="Arial"/>
                <w:sz w:val="13"/>
                <w:szCs w:val="13"/>
                <w:color w:val="auto"/>
              </w:rPr>
              <w:t>Mezzanine</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Equity and other</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3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52.8</w:t>
            </w:r>
          </w:p>
        </w:tc>
        <w:tc>
          <w:tcPr>
            <w:tcW w:w="140" w:type="dxa"/>
            <w:vAlign w:val="bottom"/>
          </w:tcPr>
          <w:p>
            <w:pPr>
              <w:spacing w:after="0"/>
              <w:rPr>
                <w:sz w:val="13"/>
                <w:szCs w:val="13"/>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w w:val="85"/>
              </w:rPr>
              <w:t>130.4</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Principal amount of investments sold or repaid:</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Arial" w:cs="Arial" w:eastAsia="Arial" w:hAnsi="Arial"/>
                <w:sz w:val="13"/>
                <w:szCs w:val="13"/>
                <w:color w:val="auto"/>
              </w:rPr>
              <w:t>First-lien</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140.5</w:t>
            </w:r>
          </w:p>
        </w:tc>
        <w:tc>
          <w:tcPr>
            <w:tcW w:w="140" w:type="dxa"/>
            <w:vAlign w:val="bottom"/>
          </w:tcPr>
          <w:p>
            <w:pPr>
              <w:spacing w:after="0"/>
              <w:rPr>
                <w:sz w:val="13"/>
                <w:szCs w:val="13"/>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81.1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Second-lien</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160"/>
              <w:spacing w:after="0"/>
              <w:rPr>
                <w:sz w:val="20"/>
                <w:szCs w:val="20"/>
                <w:color w:val="auto"/>
              </w:rPr>
            </w:pPr>
            <w:r>
              <w:rPr>
                <w:rFonts w:ascii="Arial" w:cs="Arial" w:eastAsia="Arial" w:hAnsi="Arial"/>
                <w:sz w:val="13"/>
                <w:szCs w:val="13"/>
                <w:color w:val="auto"/>
              </w:rPr>
              <w:t>Mezzanine</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Equity and other</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3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tcPr>
          <w:p>
            <w:pPr>
              <w:ind w:left="340"/>
              <w:spacing w:after="0"/>
              <w:rPr>
                <w:sz w:val="20"/>
                <w:szCs w:val="20"/>
                <w:color w:val="auto"/>
              </w:rPr>
            </w:pPr>
            <w:r>
              <w:rPr>
                <w:rFonts w:ascii="Arial" w:cs="Arial" w:eastAsia="Arial" w:hAnsi="Arial"/>
                <w:sz w:val="13"/>
                <w:szCs w:val="13"/>
                <w:color w:val="auto"/>
              </w:rPr>
              <w:t>Total</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144.4</w:t>
            </w:r>
          </w:p>
        </w:tc>
        <w:tc>
          <w:tcPr>
            <w:tcW w:w="140" w:type="dxa"/>
            <w:vAlign w:val="bottom"/>
          </w:tcPr>
          <w:p>
            <w:pPr>
              <w:spacing w:after="0"/>
              <w:rPr>
                <w:sz w:val="13"/>
                <w:szCs w:val="13"/>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20" w:type="dxa"/>
            <w:vAlign w:val="bottom"/>
            <w:tcBorders>
              <w:top w:val="single" w:sz="8" w:color="CFF0FC"/>
            </w:tcBorders>
            <w:shd w:val="clear" w:color="auto" w:fill="CFF0FC"/>
          </w:tcPr>
          <w:p>
            <w:pPr>
              <w:spacing w:after="0" w:line="138" w:lineRule="exact"/>
              <w:rPr>
                <w:sz w:val="20"/>
                <w:szCs w:val="20"/>
                <w:color w:val="auto"/>
              </w:rPr>
            </w:pPr>
            <w:r>
              <w:rPr>
                <w:rFonts w:ascii="Arial" w:cs="Arial" w:eastAsia="Arial" w:hAnsi="Arial"/>
                <w:sz w:val="13"/>
                <w:szCs w:val="13"/>
                <w:b w:val="1"/>
                <w:bCs w:val="1"/>
                <w:color w:val="auto"/>
              </w:rPr>
              <w:t>Number of new investment commitments in</w:t>
            </w:r>
          </w:p>
        </w:tc>
        <w:tc>
          <w:tcPr>
            <w:tcW w:w="2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new portfolio companies</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line="148" w:lineRule="exact"/>
              <w:rPr>
                <w:sz w:val="20"/>
                <w:szCs w:val="20"/>
                <w:color w:val="auto"/>
              </w:rPr>
            </w:pPr>
            <w:r>
              <w:rPr>
                <w:rFonts w:ascii="Arial" w:cs="Arial" w:eastAsia="Arial" w:hAnsi="Arial"/>
                <w:sz w:val="13"/>
                <w:szCs w:val="13"/>
                <w:b w:val="1"/>
                <w:bCs w:val="1"/>
                <w:color w:val="auto"/>
              </w:rPr>
              <w:t>Average new investment commitment amount in</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Arial" w:cs="Arial" w:eastAsia="Arial" w:hAnsi="Arial"/>
                <w:sz w:val="13"/>
                <w:szCs w:val="13"/>
                <w:b w:val="1"/>
                <w:bCs w:val="1"/>
                <w:color w:val="auto"/>
              </w:rPr>
              <w:t>new portfolio companies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55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16.5</w:t>
            </w:r>
          </w:p>
        </w:tc>
        <w:tc>
          <w:tcPr>
            <w:tcW w:w="140" w:type="dxa"/>
            <w:vAlign w:val="bottom"/>
          </w:tcPr>
          <w:p>
            <w:pPr>
              <w:spacing w:after="0"/>
              <w:rPr>
                <w:sz w:val="14"/>
                <w:szCs w:val="14"/>
                <w:color w:val="auto"/>
              </w:rPr>
            </w:pPr>
          </w:p>
        </w:tc>
        <w:tc>
          <w:tcPr>
            <w:tcW w:w="880" w:type="dxa"/>
            <w:vAlign w:val="bottom"/>
            <w:gridSpan w:val="2"/>
          </w:tcPr>
          <w:p>
            <w:pPr>
              <w:jc w:val="right"/>
              <w:ind w:right="67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36.3</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shd w:val="clear" w:color="auto" w:fill="CFF0FC"/>
          </w:tcPr>
          <w:p>
            <w:pPr>
              <w:spacing w:after="0" w:line="148" w:lineRule="exact"/>
              <w:rPr>
                <w:sz w:val="20"/>
                <w:szCs w:val="20"/>
                <w:color w:val="auto"/>
              </w:rPr>
            </w:pPr>
            <w:r>
              <w:rPr>
                <w:rFonts w:ascii="Arial" w:cs="Arial" w:eastAsia="Arial" w:hAnsi="Arial"/>
                <w:sz w:val="13"/>
                <w:szCs w:val="13"/>
                <w:b w:val="1"/>
                <w:bCs w:val="1"/>
                <w:color w:val="auto"/>
              </w:rPr>
              <w:t>Weighted average term for new investment</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3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commitments in new portfolio companies</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(in years)</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FF0FC"/>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line="148" w:lineRule="exact"/>
              <w:rPr>
                <w:sz w:val="20"/>
                <w:szCs w:val="20"/>
                <w:color w:val="auto"/>
              </w:rPr>
            </w:pPr>
            <w:r>
              <w:rPr>
                <w:rFonts w:ascii="Arial" w:cs="Arial" w:eastAsia="Arial" w:hAnsi="Arial"/>
                <w:sz w:val="13"/>
                <w:szCs w:val="13"/>
                <w:b w:val="1"/>
                <w:bCs w:val="1"/>
                <w:color w:val="auto"/>
              </w:rPr>
              <w:t>Percentage of new debt investment commitments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Arial" w:cs="Arial" w:eastAsia="Arial" w:hAnsi="Arial"/>
                <w:sz w:val="13"/>
                <w:szCs w:val="13"/>
                <w:b w:val="1"/>
                <w:bCs w:val="1"/>
                <w:color w:val="auto"/>
              </w:rPr>
              <w:t>at floating rates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w w:val="90"/>
              </w:rPr>
              <w:t>100.0%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shd w:val="clear" w:color="auto" w:fill="CFF0FC"/>
          </w:tcPr>
          <w:p>
            <w:pPr>
              <w:spacing w:after="0" w:line="148" w:lineRule="exact"/>
              <w:rPr>
                <w:sz w:val="20"/>
                <w:szCs w:val="20"/>
                <w:color w:val="auto"/>
              </w:rPr>
            </w:pPr>
            <w:r>
              <w:rPr>
                <w:rFonts w:ascii="Arial" w:cs="Arial" w:eastAsia="Arial" w:hAnsi="Arial"/>
                <w:sz w:val="13"/>
                <w:szCs w:val="13"/>
                <w:b w:val="1"/>
                <w:bCs w:val="1"/>
                <w:color w:val="auto"/>
              </w:rPr>
              <w:t>Percentage of new debt investment commitments</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at fixed rates</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line="148" w:lineRule="exact"/>
              <w:rPr>
                <w:sz w:val="20"/>
                <w:szCs w:val="20"/>
                <w:color w:val="auto"/>
              </w:rPr>
            </w:pPr>
            <w:r>
              <w:rPr>
                <w:rFonts w:ascii="Arial" w:cs="Arial" w:eastAsia="Arial" w:hAnsi="Arial"/>
                <w:sz w:val="13"/>
                <w:szCs w:val="13"/>
                <w:b w:val="1"/>
                <w:bCs w:val="1"/>
                <w:color w:val="auto"/>
              </w:rPr>
              <w:t>Weighted average interest rate of new</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Arial" w:cs="Arial" w:eastAsia="Arial" w:hAnsi="Arial"/>
                <w:sz w:val="13"/>
                <w:szCs w:val="13"/>
                <w:b w:val="1"/>
                <w:bCs w:val="1"/>
                <w:color w:val="auto"/>
              </w:rPr>
              <w:t>investment commitments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9.8%</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shd w:val="clear" w:color="auto" w:fill="CFF0FC"/>
          </w:tcPr>
          <w:p>
            <w:pPr>
              <w:spacing w:after="0" w:line="148" w:lineRule="exact"/>
              <w:rPr>
                <w:sz w:val="20"/>
                <w:szCs w:val="20"/>
                <w:color w:val="auto"/>
              </w:rPr>
            </w:pPr>
            <w:r>
              <w:rPr>
                <w:rFonts w:ascii="Arial" w:cs="Arial" w:eastAsia="Arial" w:hAnsi="Arial"/>
                <w:sz w:val="13"/>
                <w:szCs w:val="13"/>
                <w:b w:val="1"/>
                <w:bCs w:val="1"/>
                <w:color w:val="auto"/>
              </w:rPr>
              <w:t>Weighted average spread over LIBOR of new</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shd w:val="clear" w:color="auto" w:fill="CFF0FC"/>
          </w:tcPr>
          <w:p>
            <w:pPr>
              <w:ind w:left="80"/>
              <w:spacing w:after="0"/>
              <w:rPr>
                <w:sz w:val="20"/>
                <w:szCs w:val="20"/>
                <w:color w:val="auto"/>
              </w:rPr>
            </w:pPr>
            <w:r>
              <w:rPr>
                <w:rFonts w:ascii="Arial" w:cs="Arial" w:eastAsia="Arial" w:hAnsi="Arial"/>
                <w:sz w:val="13"/>
                <w:szCs w:val="13"/>
                <w:b w:val="1"/>
                <w:bCs w:val="1"/>
                <w:color w:val="auto"/>
              </w:rPr>
              <w:t>floating rate investment commitments</w:t>
            </w: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580" w:type="dxa"/>
            <w:vAlign w:val="bottom"/>
            <w:gridSpan w:val="3"/>
            <w:shd w:val="clear" w:color="auto" w:fill="CFF0FC"/>
          </w:tcPr>
          <w:p>
            <w:pPr>
              <w:jc w:val="right"/>
              <w:ind w:right="4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9.6%</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20" w:type="dxa"/>
            <w:vAlign w:val="bottom"/>
          </w:tcPr>
          <w:p>
            <w:pPr>
              <w:spacing w:after="0" w:line="148" w:lineRule="exact"/>
              <w:rPr>
                <w:sz w:val="20"/>
                <w:szCs w:val="20"/>
                <w:color w:val="auto"/>
              </w:rPr>
            </w:pPr>
            <w:r>
              <w:rPr>
                <w:rFonts w:ascii="Arial" w:cs="Arial" w:eastAsia="Arial" w:hAnsi="Arial"/>
                <w:sz w:val="13"/>
                <w:szCs w:val="13"/>
                <w:b w:val="1"/>
                <w:bCs w:val="1"/>
                <w:color w:val="auto"/>
              </w:rPr>
              <w:t>Weighted average interest rate on investments</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Arial" w:cs="Arial" w:eastAsia="Arial" w:hAnsi="Arial"/>
                <w:sz w:val="13"/>
                <w:szCs w:val="13"/>
                <w:b w:val="1"/>
                <w:bCs w:val="1"/>
                <w:color w:val="auto"/>
              </w:rPr>
              <w:t>fully sold or paid down</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color w:val="auto"/>
              </w:rPr>
              <w:t>11.0%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020" w:type="dxa"/>
            <w:vAlign w:val="bottom"/>
            <w:gridSpan w:val="3"/>
          </w:tcPr>
          <w:p>
            <w:pPr>
              <w:ind w:left="260"/>
              <w:spacing w:after="0"/>
              <w:rPr>
                <w:sz w:val="20"/>
                <w:szCs w:val="20"/>
                <w:color w:val="auto"/>
              </w:rPr>
            </w:pPr>
            <w:r>
              <w:rPr>
                <w:rFonts w:ascii="Arial" w:cs="Arial" w:eastAsia="Arial" w:hAnsi="Arial"/>
                <w:sz w:val="13"/>
                <w:szCs w:val="13"/>
                <w:color w:val="auto"/>
                <w:w w:val="91"/>
              </w:rPr>
              <w:t>As of March 31, 2022 and December 31, 2021, our investments consisted of the following:</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0" w:type="dxa"/>
            <w:vAlign w:val="bottom"/>
            <w:vMerge w:val="restart"/>
          </w:tcPr>
          <w:p>
            <w:pPr>
              <w:spacing w:after="0"/>
              <w:rPr>
                <w:sz w:val="24"/>
                <w:szCs w:val="24"/>
                <w:color w:val="auto"/>
              </w:rPr>
            </w:pPr>
          </w:p>
        </w:tc>
        <w:tc>
          <w:tcPr>
            <w:tcW w:w="4460" w:type="dxa"/>
            <w:vAlign w:val="bottom"/>
            <w:gridSpan w:val="2"/>
            <w:vMerge w:val="restart"/>
          </w:tcPr>
          <w:p>
            <w:pPr>
              <w:spacing w:after="0"/>
              <w:rPr>
                <w:sz w:val="20"/>
                <w:szCs w:val="20"/>
                <w:color w:val="auto"/>
              </w:rPr>
            </w:pPr>
            <w:r>
              <w:rPr>
                <w:rFonts w:ascii="Arial" w:cs="Arial" w:eastAsia="Arial" w:hAnsi="Arial"/>
                <w:sz w:val="10"/>
                <w:szCs w:val="10"/>
                <w:color w:val="auto"/>
              </w:rPr>
              <w:t>($ in millions)</w:t>
            </w:r>
          </w:p>
        </w:tc>
        <w:tc>
          <w:tcPr>
            <w:tcW w:w="22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0"/>
                <w:szCs w:val="10"/>
                <w:b w:val="1"/>
                <w:bCs w:val="1"/>
                <w:color w:val="auto"/>
              </w:rPr>
              <w:t>March 31, 2022</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6"/>
          </w:tcPr>
          <w:p>
            <w:pPr>
              <w:ind w:left="480"/>
              <w:spacing w:after="0"/>
              <w:rPr>
                <w:sz w:val="20"/>
                <w:szCs w:val="20"/>
                <w:color w:val="auto"/>
              </w:rPr>
            </w:pPr>
            <w:r>
              <w:rPr>
                <w:rFonts w:ascii="Arial" w:cs="Arial" w:eastAsia="Arial" w:hAnsi="Arial"/>
                <w:sz w:val="10"/>
                <w:szCs w:val="10"/>
                <w:b w:val="1"/>
                <w:bCs w:val="1"/>
                <w:color w:val="auto"/>
              </w:rPr>
              <w:t>December 31, 2021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60" w:type="dxa"/>
            <w:vAlign w:val="bottom"/>
            <w:vMerge w:val="continue"/>
          </w:tcPr>
          <w:p>
            <w:pPr>
              <w:spacing w:after="0"/>
              <w:rPr>
                <w:sz w:val="8"/>
                <w:szCs w:val="8"/>
                <w:color w:val="auto"/>
              </w:rPr>
            </w:pPr>
          </w:p>
        </w:tc>
        <w:tc>
          <w:tcPr>
            <w:tcW w:w="4460" w:type="dxa"/>
            <w:vAlign w:val="bottom"/>
            <w:tcBorders>
              <w:bottom w:val="single" w:sz="8" w:color="CFF0FC"/>
            </w:tcBorders>
            <w:gridSpan w:val="2"/>
            <w:vMerge w:val="continue"/>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000" w:type="dxa"/>
            <w:vAlign w:val="bottom"/>
            <w:tcBorders>
              <w:top w:val="single" w:sz="8" w:color="auto"/>
              <w:bottom w:val="single" w:sz="8" w:color="auto"/>
            </w:tcBorders>
          </w:tcPr>
          <w:p>
            <w:pPr>
              <w:jc w:val="right"/>
              <w:ind w:right="340"/>
              <w:spacing w:after="0" w:line="103" w:lineRule="exact"/>
              <w:rPr>
                <w:sz w:val="20"/>
                <w:szCs w:val="20"/>
                <w:color w:val="auto"/>
              </w:rPr>
            </w:pPr>
            <w:r>
              <w:rPr>
                <w:rFonts w:ascii="Arial" w:cs="Arial" w:eastAsia="Arial" w:hAnsi="Arial"/>
                <w:sz w:val="10"/>
                <w:szCs w:val="10"/>
                <w:b w:val="1"/>
                <w:bCs w:val="1"/>
                <w:color w:val="auto"/>
              </w:rPr>
              <w:t>Fair Value</w:t>
            </w:r>
          </w:p>
        </w:tc>
        <w:tc>
          <w:tcPr>
            <w:tcW w:w="240" w:type="dxa"/>
            <w:vAlign w:val="bottom"/>
            <w:tcBorders>
              <w:top w:val="single" w:sz="8" w:color="auto"/>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000" w:type="dxa"/>
            <w:vAlign w:val="bottom"/>
            <w:tcBorders>
              <w:top w:val="single" w:sz="8" w:color="auto"/>
              <w:bottom w:val="single" w:sz="8" w:color="auto"/>
            </w:tcBorders>
            <w:gridSpan w:val="2"/>
          </w:tcPr>
          <w:p>
            <w:pPr>
              <w:jc w:val="right"/>
              <w:ind w:right="230"/>
              <w:spacing w:after="0" w:line="103" w:lineRule="exact"/>
              <w:rPr>
                <w:sz w:val="20"/>
                <w:szCs w:val="20"/>
                <w:color w:val="auto"/>
              </w:rPr>
            </w:pPr>
            <w:r>
              <w:rPr>
                <w:rFonts w:ascii="Arial" w:cs="Arial" w:eastAsia="Arial" w:hAnsi="Arial"/>
                <w:sz w:val="10"/>
                <w:szCs w:val="10"/>
                <w:b w:val="1"/>
                <w:bCs w:val="1"/>
                <w:color w:val="auto"/>
                <w:w w:val="94"/>
              </w:rPr>
              <w:t>Amortized Cost</w:t>
            </w:r>
          </w:p>
        </w:tc>
        <w:tc>
          <w:tcPr>
            <w:tcW w:w="220" w:type="dxa"/>
            <w:vAlign w:val="bottom"/>
            <w:tcBorders>
              <w:bottom w:val="single" w:sz="8" w:color="CFF0FC"/>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gridSpan w:val="2"/>
          </w:tcPr>
          <w:p>
            <w:pPr>
              <w:jc w:val="right"/>
              <w:ind w:right="350"/>
              <w:spacing w:after="0" w:line="103" w:lineRule="exact"/>
              <w:rPr>
                <w:sz w:val="20"/>
                <w:szCs w:val="20"/>
                <w:color w:val="auto"/>
              </w:rPr>
            </w:pPr>
            <w:r>
              <w:rPr>
                <w:rFonts w:ascii="Arial" w:cs="Arial" w:eastAsia="Arial" w:hAnsi="Arial"/>
                <w:sz w:val="10"/>
                <w:szCs w:val="10"/>
                <w:b w:val="1"/>
                <w:bCs w:val="1"/>
                <w:color w:val="auto"/>
                <w:w w:val="96"/>
              </w:rPr>
              <w:t>Fair Value</w:t>
            </w:r>
          </w:p>
        </w:tc>
        <w:tc>
          <w:tcPr>
            <w:tcW w:w="240" w:type="dxa"/>
            <w:vAlign w:val="bottom"/>
            <w:tcBorders>
              <w:top w:val="single" w:sz="8" w:color="auto"/>
              <w:bottom w:val="single" w:sz="8" w:color="CFF0FC"/>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020" w:type="dxa"/>
            <w:vAlign w:val="bottom"/>
            <w:tcBorders>
              <w:top w:val="single" w:sz="8" w:color="auto"/>
              <w:bottom w:val="single" w:sz="8" w:color="auto"/>
            </w:tcBorders>
          </w:tcPr>
          <w:p>
            <w:pPr>
              <w:jc w:val="right"/>
              <w:ind w:right="219"/>
              <w:spacing w:after="0" w:line="103" w:lineRule="exact"/>
              <w:rPr>
                <w:sz w:val="20"/>
                <w:szCs w:val="20"/>
                <w:color w:val="auto"/>
              </w:rPr>
            </w:pPr>
            <w:r>
              <w:rPr>
                <w:rFonts w:ascii="Arial" w:cs="Arial" w:eastAsia="Arial" w:hAnsi="Arial"/>
                <w:sz w:val="10"/>
                <w:szCs w:val="10"/>
                <w:b w:val="1"/>
                <w:bCs w:val="1"/>
                <w:color w:val="auto"/>
                <w:w w:val="97"/>
              </w:rPr>
              <w:t>Amortized Cost</w:t>
            </w:r>
          </w:p>
        </w:tc>
        <w:tc>
          <w:tcPr>
            <w:tcW w:w="100" w:type="dxa"/>
            <w:vAlign w:val="bottom"/>
            <w:tcBorders>
              <w:bottom w:val="single" w:sz="8" w:color="CFF0FC"/>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4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First-lien debt investments</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2,239.0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2,207.3</w:t>
            </w:r>
          </w:p>
        </w:tc>
        <w:tc>
          <w:tcPr>
            <w:tcW w:w="44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2,298.9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2,265.6</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020" w:type="dxa"/>
            <w:vAlign w:val="bottom"/>
            <w:gridSpan w:val="3"/>
          </w:tcPr>
          <w:p>
            <w:pPr>
              <w:ind w:left="560"/>
              <w:spacing w:after="0"/>
              <w:rPr>
                <w:sz w:val="20"/>
                <w:szCs w:val="20"/>
                <w:color w:val="auto"/>
              </w:rPr>
            </w:pPr>
            <w:r>
              <w:rPr>
                <w:rFonts w:ascii="Arial" w:cs="Arial" w:eastAsia="Arial" w:hAnsi="Arial"/>
                <w:sz w:val="13"/>
                <w:szCs w:val="13"/>
                <w:color w:val="auto"/>
              </w:rPr>
              <w:t>Second-lien debt investments</w:t>
            </w:r>
          </w:p>
        </w:tc>
        <w:tc>
          <w:tcPr>
            <w:tcW w:w="2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42.5</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color w:val="auto"/>
              </w:rPr>
              <w:t>42.6</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42.7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4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Mezzanine debt investments</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460" w:type="dxa"/>
            <w:vAlign w:val="bottom"/>
            <w:tcBorders>
              <w:bottom w:val="single" w:sz="8" w:color="CFF0FC"/>
            </w:tcBorders>
            <w:gridSpan w:val="2"/>
          </w:tcPr>
          <w:p>
            <w:pPr>
              <w:spacing w:after="0"/>
              <w:rPr>
                <w:sz w:val="20"/>
                <w:szCs w:val="20"/>
                <w:color w:val="auto"/>
              </w:rPr>
            </w:pPr>
            <w:r>
              <w:rPr>
                <w:rFonts w:ascii="Arial" w:cs="Arial" w:eastAsia="Arial" w:hAnsi="Arial"/>
                <w:sz w:val="13"/>
                <w:szCs w:val="13"/>
                <w:color w:val="auto"/>
              </w:rPr>
              <w:t>Equity and other investments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156.2</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108.8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161.4</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114.4</w:t>
            </w:r>
          </w:p>
        </w:tc>
        <w:tc>
          <w:tcPr>
            <w:tcW w:w="10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60" w:type="dxa"/>
            <w:vAlign w:val="bottom"/>
          </w:tcPr>
          <w:p>
            <w:pPr>
              <w:spacing w:after="0"/>
              <w:rPr>
                <w:sz w:val="13"/>
                <w:szCs w:val="13"/>
                <w:color w:val="auto"/>
              </w:rPr>
            </w:pPr>
          </w:p>
        </w:tc>
        <w:tc>
          <w:tcPr>
            <w:tcW w:w="4460" w:type="dxa"/>
            <w:vAlign w:val="bottom"/>
            <w:gridSpan w:val="2"/>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2,451.9</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2,366.0</w:t>
            </w:r>
          </w:p>
        </w:tc>
        <w:tc>
          <w:tcPr>
            <w:tcW w:w="44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2,521.6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2,432.0</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4"/>
        </w:trPr>
        <w:tc>
          <w:tcPr>
            <w:tcW w:w="560" w:type="dxa"/>
            <w:vAlign w:val="bottom"/>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480"/>
              <w:spacing w:after="0"/>
              <w:rPr>
                <w:sz w:val="20"/>
                <w:szCs w:val="20"/>
                <w:color w:val="auto"/>
              </w:rPr>
            </w:pPr>
            <w:r>
              <w:rPr>
                <w:rFonts w:ascii="Arial" w:cs="Arial" w:eastAsia="Arial" w:hAnsi="Arial"/>
                <w:sz w:val="13"/>
                <w:szCs w:val="13"/>
                <w:color w:val="auto"/>
              </w:rPr>
              <w:t>54</w:t>
            </w:r>
          </w:p>
        </w:tc>
        <w:tc>
          <w:tcPr>
            <w:tcW w:w="2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6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33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433" w:right="279" w:bottom="1440" w:gutter="0" w:footer="0" w:header="0"/>
        </w:sectPr>
      </w:pPr>
    </w:p>
    <w:bookmarkStart w:id="54" w:name="page55"/>
    <w:bookmarkEnd w:id="54"/>
    <w:p>
      <w:pPr>
        <w:ind w:left="264"/>
        <w:spacing w:after="0"/>
        <w:rPr>
          <w:sz w:val="20"/>
          <w:szCs w:val="20"/>
          <w:color w:val="auto"/>
        </w:rPr>
      </w:pPr>
      <w:r>
        <w:rPr>
          <w:rFonts w:ascii="Arial" w:cs="Arial" w:eastAsia="Arial" w:hAnsi="Arial"/>
          <w:sz w:val="13"/>
          <w:szCs w:val="13"/>
          <w:color w:val="auto"/>
        </w:rPr>
        <w:t>The following tables show the fair value and amortized cost of our performing and non-accrual investments as of March 31, 2022 and December 31, 2021:</w:t>
      </w:r>
    </w:p>
    <w:p>
      <w:pPr>
        <w:spacing w:after="0" w:line="204" w:lineRule="exact"/>
        <w:rPr>
          <w:sz w:val="20"/>
          <w:szCs w:val="20"/>
          <w:color w:val="auto"/>
        </w:rPr>
      </w:pPr>
    </w:p>
    <w:tbl>
      <w:tblPr>
        <w:tblLayout w:type="fixed"/>
        <w:tblInd w:w="564" w:type="dxa"/>
        <w:tblCellMar>
          <w:top w:w="0" w:type="dxa"/>
          <w:left w:w="0" w:type="dxa"/>
          <w:bottom w:w="0" w:type="dxa"/>
          <w:right w:w="0" w:type="dxa"/>
        </w:tblCellMar>
      </w:tblPr>
      <w:tr>
        <w:trPr>
          <w:trHeight w:val="119"/>
        </w:trPr>
        <w:tc>
          <w:tcPr>
            <w:tcW w:w="2600" w:type="dxa"/>
            <w:vAlign w:val="bottom"/>
            <w:vMerge w:val="restart"/>
          </w:tcPr>
          <w:p>
            <w:pPr>
              <w:spacing w:after="0"/>
              <w:rPr>
                <w:sz w:val="20"/>
                <w:szCs w:val="20"/>
                <w:color w:val="auto"/>
              </w:rPr>
            </w:pPr>
            <w:r>
              <w:rPr>
                <w:rFonts w:ascii="Arial" w:cs="Arial" w:eastAsia="Arial" w:hAnsi="Arial"/>
                <w:sz w:val="10"/>
                <w:szCs w:val="10"/>
                <w:color w:val="auto"/>
              </w:rPr>
              <w:t>($ in millions)</w:t>
            </w:r>
          </w:p>
        </w:tc>
        <w:tc>
          <w:tcPr>
            <w:tcW w:w="18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March 31, 2022</w:t>
            </w: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w w:val="93"/>
              </w:rPr>
              <w:t>December 31, 2021</w:t>
            </w: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600" w:type="dxa"/>
            <w:vAlign w:val="bottom"/>
            <w:tcBorders>
              <w:bottom w:val="single" w:sz="8" w:color="CFF0FC"/>
            </w:tcBorders>
            <w:vMerge w:val="continue"/>
          </w:tcPr>
          <w:p>
            <w:pPr>
              <w:spacing w:after="0"/>
              <w:rPr>
                <w:sz w:val="8"/>
                <w:szCs w:val="8"/>
                <w:color w:val="auto"/>
              </w:rPr>
            </w:pPr>
          </w:p>
        </w:tc>
        <w:tc>
          <w:tcPr>
            <w:tcW w:w="184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322"/>
              <w:spacing w:after="0" w:line="103" w:lineRule="exact"/>
              <w:rPr>
                <w:sz w:val="20"/>
                <w:szCs w:val="20"/>
                <w:color w:val="auto"/>
              </w:rPr>
            </w:pPr>
            <w:r>
              <w:rPr>
                <w:rFonts w:ascii="Arial" w:cs="Arial" w:eastAsia="Arial" w:hAnsi="Arial"/>
                <w:sz w:val="10"/>
                <w:szCs w:val="10"/>
                <w:b w:val="1"/>
                <w:bCs w:val="1"/>
                <w:color w:val="auto"/>
              </w:rPr>
              <w:t>Fair Value</w:t>
            </w:r>
          </w:p>
        </w:tc>
        <w:tc>
          <w:tcPr>
            <w:tcW w:w="240" w:type="dxa"/>
            <w:vAlign w:val="bottom"/>
            <w:tcBorders>
              <w:bottom w:val="single" w:sz="8" w:color="CFF0FC"/>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80"/>
              <w:spacing w:after="0" w:line="103" w:lineRule="exact"/>
              <w:rPr>
                <w:sz w:val="20"/>
                <w:szCs w:val="20"/>
                <w:color w:val="auto"/>
              </w:rPr>
            </w:pPr>
            <w:r>
              <w:rPr>
                <w:rFonts w:ascii="Arial" w:cs="Arial" w:eastAsia="Arial" w:hAnsi="Arial"/>
                <w:sz w:val="10"/>
                <w:szCs w:val="10"/>
                <w:b w:val="1"/>
                <w:bCs w:val="1"/>
                <w:color w:val="auto"/>
                <w:w w:val="92"/>
              </w:rPr>
              <w:t>Percentage</w:t>
            </w: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342"/>
              <w:spacing w:after="0" w:line="103" w:lineRule="exact"/>
              <w:rPr>
                <w:sz w:val="20"/>
                <w:szCs w:val="20"/>
                <w:color w:val="auto"/>
              </w:rPr>
            </w:pPr>
            <w:r>
              <w:rPr>
                <w:rFonts w:ascii="Arial" w:cs="Arial" w:eastAsia="Arial" w:hAnsi="Arial"/>
                <w:sz w:val="10"/>
                <w:szCs w:val="10"/>
                <w:b w:val="1"/>
                <w:bCs w:val="1"/>
                <w:color w:val="auto"/>
              </w:rPr>
              <w:t>Fair Value</w:t>
            </w:r>
          </w:p>
        </w:tc>
        <w:tc>
          <w:tcPr>
            <w:tcW w:w="24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20"/>
              <w:spacing w:after="0" w:line="103" w:lineRule="exact"/>
              <w:rPr>
                <w:sz w:val="20"/>
                <w:szCs w:val="20"/>
                <w:color w:val="auto"/>
              </w:rPr>
            </w:pPr>
            <w:r>
              <w:rPr>
                <w:rFonts w:ascii="Arial" w:cs="Arial" w:eastAsia="Arial" w:hAnsi="Arial"/>
                <w:sz w:val="10"/>
                <w:szCs w:val="10"/>
                <w:b w:val="1"/>
                <w:bCs w:val="1"/>
                <w:color w:val="auto"/>
                <w:w w:val="92"/>
              </w:rPr>
              <w:t>Percentage</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600" w:type="dxa"/>
            <w:vAlign w:val="bottom"/>
            <w:shd w:val="clear" w:color="auto" w:fill="CFF0FC"/>
          </w:tcPr>
          <w:p>
            <w:pPr>
              <w:spacing w:after="0"/>
              <w:rPr>
                <w:sz w:val="20"/>
                <w:szCs w:val="20"/>
                <w:color w:val="auto"/>
              </w:rPr>
            </w:pPr>
            <w:r>
              <w:rPr>
                <w:rFonts w:ascii="Arial" w:cs="Arial" w:eastAsia="Arial" w:hAnsi="Arial"/>
                <w:sz w:val="13"/>
                <w:szCs w:val="13"/>
                <w:color w:val="auto"/>
              </w:rPr>
              <w:t>Performing</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2,451.7</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w w:val="95"/>
              </w:rPr>
              <w:t>100.0%</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2,521.4</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1"/>
        </w:trPr>
        <w:tc>
          <w:tcPr>
            <w:tcW w:w="26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 xml:space="preserve">Non-accrual </w:t>
            </w:r>
            <w:r>
              <w:rPr>
                <w:rFonts w:ascii="Arial" w:cs="Arial" w:eastAsia="Arial" w:hAnsi="Arial"/>
                <w:sz w:val="10"/>
                <w:szCs w:val="10"/>
                <w:color w:val="auto"/>
              </w:rPr>
              <w:t>(1)</w:t>
            </w:r>
          </w:p>
        </w:tc>
        <w:tc>
          <w:tcPr>
            <w:tcW w:w="18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2,451.9</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w w:val="95"/>
              </w:rPr>
              <w:t>100.0%</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2,521.6</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8"/>
        </w:trPr>
        <w:tc>
          <w:tcPr>
            <w:tcW w:w="2600" w:type="dxa"/>
            <w:vAlign w:val="bottom"/>
            <w:shd w:val="clear" w:color="auto" w:fill="CFF0FC"/>
          </w:tcPr>
          <w:p>
            <w:pPr>
              <w:spacing w:after="0"/>
              <w:rPr>
                <w:sz w:val="2"/>
                <w:szCs w:val="2"/>
                <w:color w:val="auto"/>
              </w:rPr>
            </w:pPr>
          </w:p>
        </w:tc>
        <w:tc>
          <w:tcPr>
            <w:tcW w:w="18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3"/>
        </w:trPr>
        <w:tc>
          <w:tcPr>
            <w:tcW w:w="2600" w:type="dxa"/>
            <w:vAlign w:val="bottom"/>
            <w:vMerge w:val="restart"/>
          </w:tcPr>
          <w:p>
            <w:pPr>
              <w:spacing w:after="0"/>
              <w:rPr>
                <w:sz w:val="20"/>
                <w:szCs w:val="20"/>
                <w:color w:val="auto"/>
              </w:rPr>
            </w:pPr>
            <w:r>
              <w:rPr>
                <w:rFonts w:ascii="Arial" w:cs="Arial" w:eastAsia="Arial" w:hAnsi="Arial"/>
                <w:sz w:val="10"/>
                <w:szCs w:val="10"/>
                <w:color w:val="auto"/>
              </w:rPr>
              <w:t>($ in millions)</w:t>
            </w:r>
          </w:p>
        </w:tc>
        <w:tc>
          <w:tcPr>
            <w:tcW w:w="1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820"/>
              <w:spacing w:after="0"/>
              <w:rPr>
                <w:sz w:val="20"/>
                <w:szCs w:val="20"/>
                <w:color w:val="auto"/>
              </w:rPr>
            </w:pPr>
            <w:r>
              <w:rPr>
                <w:rFonts w:ascii="Arial" w:cs="Arial" w:eastAsia="Arial" w:hAnsi="Arial"/>
                <w:sz w:val="10"/>
                <w:szCs w:val="10"/>
                <w:b w:val="1"/>
                <w:bCs w:val="1"/>
                <w:color w:val="auto"/>
              </w:rPr>
              <w:t>March 31, 2022</w:t>
            </w: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w w:val="93"/>
              </w:rPr>
              <w:t>December 31, 2021</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600" w:type="dxa"/>
            <w:vAlign w:val="bottom"/>
            <w:tcBorders>
              <w:bottom w:val="single" w:sz="8" w:color="CFF0FC"/>
            </w:tcBorders>
            <w:vMerge w:val="continue"/>
          </w:tcPr>
          <w:p>
            <w:pPr>
              <w:spacing w:after="0"/>
              <w:rPr>
                <w:sz w:val="8"/>
                <w:szCs w:val="8"/>
                <w:color w:val="auto"/>
              </w:rPr>
            </w:pPr>
          </w:p>
        </w:tc>
        <w:tc>
          <w:tcPr>
            <w:tcW w:w="184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202"/>
              <w:spacing w:after="0" w:line="103" w:lineRule="exact"/>
              <w:rPr>
                <w:sz w:val="20"/>
                <w:szCs w:val="20"/>
                <w:color w:val="auto"/>
              </w:rPr>
            </w:pPr>
            <w:r>
              <w:rPr>
                <w:rFonts w:ascii="Arial" w:cs="Arial" w:eastAsia="Arial" w:hAnsi="Arial"/>
                <w:sz w:val="10"/>
                <w:szCs w:val="10"/>
                <w:b w:val="1"/>
                <w:bCs w:val="1"/>
                <w:color w:val="auto"/>
              </w:rPr>
              <w:t>Amortized Cost</w:t>
            </w:r>
          </w:p>
        </w:tc>
        <w:tc>
          <w:tcPr>
            <w:tcW w:w="240" w:type="dxa"/>
            <w:vAlign w:val="bottom"/>
            <w:tcBorders>
              <w:bottom w:val="single" w:sz="8" w:color="CFF0FC"/>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80"/>
              <w:spacing w:after="0" w:line="103" w:lineRule="exact"/>
              <w:rPr>
                <w:sz w:val="20"/>
                <w:szCs w:val="20"/>
                <w:color w:val="auto"/>
              </w:rPr>
            </w:pPr>
            <w:r>
              <w:rPr>
                <w:rFonts w:ascii="Arial" w:cs="Arial" w:eastAsia="Arial" w:hAnsi="Arial"/>
                <w:sz w:val="10"/>
                <w:szCs w:val="10"/>
                <w:b w:val="1"/>
                <w:bCs w:val="1"/>
                <w:color w:val="auto"/>
                <w:w w:val="92"/>
              </w:rPr>
              <w:t>Percentage</w:t>
            </w: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CFF0FC"/>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222"/>
              <w:spacing w:after="0" w:line="103" w:lineRule="exact"/>
              <w:rPr>
                <w:sz w:val="20"/>
                <w:szCs w:val="20"/>
                <w:color w:val="auto"/>
              </w:rPr>
            </w:pPr>
            <w:r>
              <w:rPr>
                <w:rFonts w:ascii="Arial" w:cs="Arial" w:eastAsia="Arial" w:hAnsi="Arial"/>
                <w:sz w:val="10"/>
                <w:szCs w:val="10"/>
                <w:b w:val="1"/>
                <w:bCs w:val="1"/>
                <w:color w:val="auto"/>
              </w:rPr>
              <w:t>Amortized Cost</w:t>
            </w:r>
          </w:p>
        </w:tc>
        <w:tc>
          <w:tcPr>
            <w:tcW w:w="240" w:type="dxa"/>
            <w:vAlign w:val="bottom"/>
            <w:tcBorders>
              <w:bottom w:val="single" w:sz="8" w:color="CFF0FC"/>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320"/>
              <w:spacing w:after="0" w:line="103" w:lineRule="exact"/>
              <w:rPr>
                <w:sz w:val="20"/>
                <w:szCs w:val="20"/>
                <w:color w:val="auto"/>
              </w:rPr>
            </w:pPr>
            <w:r>
              <w:rPr>
                <w:rFonts w:ascii="Arial" w:cs="Arial" w:eastAsia="Arial" w:hAnsi="Arial"/>
                <w:sz w:val="10"/>
                <w:szCs w:val="10"/>
                <w:b w:val="1"/>
                <w:bCs w:val="1"/>
                <w:color w:val="auto"/>
                <w:w w:val="92"/>
              </w:rPr>
              <w:t>Percentage</w:t>
            </w:r>
          </w:p>
        </w:tc>
        <w:tc>
          <w:tcPr>
            <w:tcW w:w="12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600" w:type="dxa"/>
            <w:vAlign w:val="bottom"/>
            <w:shd w:val="clear" w:color="auto" w:fill="CFF0FC"/>
          </w:tcPr>
          <w:p>
            <w:pPr>
              <w:spacing w:after="0"/>
              <w:rPr>
                <w:sz w:val="20"/>
                <w:szCs w:val="20"/>
                <w:color w:val="auto"/>
              </w:rPr>
            </w:pPr>
            <w:r>
              <w:rPr>
                <w:rFonts w:ascii="Arial" w:cs="Arial" w:eastAsia="Arial" w:hAnsi="Arial"/>
                <w:sz w:val="13"/>
                <w:szCs w:val="13"/>
                <w:color w:val="auto"/>
              </w:rPr>
              <w:t>Performing</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2,362.6</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99.9%</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2,428.6</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99.9%</w:t>
            </w:r>
          </w:p>
        </w:tc>
        <w:tc>
          <w:tcPr>
            <w:tcW w:w="0" w:type="dxa"/>
            <w:vAlign w:val="bottom"/>
          </w:tcPr>
          <w:p>
            <w:pPr>
              <w:spacing w:after="0"/>
              <w:rPr>
                <w:sz w:val="1"/>
                <w:szCs w:val="1"/>
                <w:color w:val="auto"/>
              </w:rPr>
            </w:pPr>
          </w:p>
        </w:tc>
      </w:tr>
      <w:tr>
        <w:trPr>
          <w:trHeight w:val="161"/>
        </w:trPr>
        <w:tc>
          <w:tcPr>
            <w:tcW w:w="26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 xml:space="preserve">Non-accrual </w:t>
            </w:r>
            <w:r>
              <w:rPr>
                <w:rFonts w:ascii="Arial" w:cs="Arial" w:eastAsia="Arial" w:hAnsi="Arial"/>
                <w:sz w:val="10"/>
                <w:szCs w:val="10"/>
                <w:color w:val="auto"/>
              </w:rPr>
              <w:t>(1)</w:t>
            </w:r>
          </w:p>
        </w:tc>
        <w:tc>
          <w:tcPr>
            <w:tcW w:w="18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2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shd w:val="clear" w:color="auto" w:fill="CFF0FC"/>
          </w:tcPr>
          <w:p>
            <w:pPr>
              <w:ind w:left="180"/>
              <w:spacing w:after="0"/>
              <w:rPr>
                <w:sz w:val="20"/>
                <w:szCs w:val="20"/>
                <w:color w:val="auto"/>
              </w:rPr>
            </w:pPr>
            <w:r>
              <w:rPr>
                <w:rFonts w:ascii="Arial" w:cs="Arial" w:eastAsia="Arial" w:hAnsi="Arial"/>
                <w:sz w:val="13"/>
                <w:szCs w:val="13"/>
                <w:b w:val="1"/>
                <w:bCs w:val="1"/>
                <w:color w:val="auto"/>
              </w:rPr>
              <w:t>Total</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2,366.0</w:t>
            </w:r>
          </w:p>
        </w:tc>
        <w:tc>
          <w:tcPr>
            <w:tcW w:w="2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w w:val="95"/>
              </w:rPr>
              <w:t>100.0%</w:t>
            </w:r>
          </w:p>
        </w:tc>
        <w:tc>
          <w:tcPr>
            <w:tcW w:w="160" w:type="dxa"/>
            <w:vAlign w:val="bottom"/>
            <w:shd w:val="clear" w:color="auto" w:fill="CFF0FC"/>
          </w:tcPr>
          <w:p>
            <w:pPr>
              <w:jc w:val="right"/>
              <w:ind w:right="5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2,432.0</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8"/>
        </w:trPr>
        <w:tc>
          <w:tcPr>
            <w:tcW w:w="2600" w:type="dxa"/>
            <w:vAlign w:val="bottom"/>
            <w:shd w:val="clear" w:color="auto" w:fill="CFF0FC"/>
          </w:tcPr>
          <w:p>
            <w:pPr>
              <w:spacing w:after="0"/>
              <w:rPr>
                <w:sz w:val="2"/>
                <w:szCs w:val="2"/>
                <w:color w:val="auto"/>
              </w:rPr>
            </w:pPr>
          </w:p>
        </w:tc>
        <w:tc>
          <w:tcPr>
            <w:tcW w:w="18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04" w:hanging="504"/>
        <w:spacing w:after="0" w:line="248" w:lineRule="auto"/>
        <w:tabs>
          <w:tab w:leader="none" w:pos="504" w:val="left"/>
        </w:tabs>
        <w:numPr>
          <w:ilvl w:val="0"/>
          <w:numId w:val="38"/>
        </w:numPr>
        <w:rPr>
          <w:rFonts w:ascii="Arial" w:cs="Arial" w:eastAsia="Arial" w:hAnsi="Arial"/>
          <w:sz w:val="13"/>
          <w:szCs w:val="13"/>
          <w:color w:val="auto"/>
        </w:rPr>
      </w:pPr>
      <w:r>
        <w:rPr>
          <w:rFonts w:ascii="Arial" w:cs="Arial" w:eastAsia="Arial" w:hAnsi="Arial"/>
          <w:sz w:val="13"/>
          <w:szCs w:val="13"/>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48" w:lineRule="exact"/>
        <w:rPr>
          <w:sz w:val="20"/>
          <w:szCs w:val="20"/>
          <w:color w:val="auto"/>
        </w:rPr>
      </w:pPr>
    </w:p>
    <w:p>
      <w:pPr>
        <w:ind w:left="264"/>
        <w:spacing w:after="0"/>
        <w:rPr>
          <w:sz w:val="20"/>
          <w:szCs w:val="20"/>
          <w:color w:val="auto"/>
        </w:rPr>
      </w:pPr>
      <w:r>
        <w:rPr>
          <w:rFonts w:ascii="Arial" w:cs="Arial" w:eastAsia="Arial" w:hAnsi="Arial"/>
          <w:sz w:val="13"/>
          <w:szCs w:val="13"/>
          <w:color w:val="auto"/>
        </w:rPr>
        <w:t>The weighted average yields and interest rates of our performing debt investments at fair value as of March 31, 2022 and December 31, 2021 were as follows:</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60" w:type="dxa"/>
            <w:vAlign w:val="bottom"/>
            <w:tcBorders>
              <w:bottom w:val="single" w:sz="8" w:color="CFF0FC"/>
            </w:tcBorders>
          </w:tcPr>
          <w:p>
            <w:pPr>
              <w:spacing w:after="0"/>
              <w:rPr>
                <w:sz w:val="10"/>
                <w:szCs w:val="1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0"/>
                <w:szCs w:val="10"/>
                <w:b w:val="1"/>
                <w:bCs w:val="1"/>
                <w:color w:val="auto"/>
              </w:rPr>
              <w:t>March 31, 2022</w:t>
            </w: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CFF0FC"/>
            </w:tcBorders>
          </w:tcPr>
          <w:p>
            <w:pPr>
              <w:spacing w:after="0"/>
              <w:rPr>
                <w:sz w:val="10"/>
                <w:szCs w:val="10"/>
                <w:color w:val="auto"/>
              </w:rPr>
            </w:pPr>
          </w:p>
        </w:tc>
        <w:tc>
          <w:tcPr>
            <w:tcW w:w="14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December 31, 2021</w:t>
            </w:r>
          </w:p>
        </w:tc>
        <w:tc>
          <w:tcPr>
            <w:tcW w:w="120" w:type="dxa"/>
            <w:vAlign w:val="bottom"/>
            <w:tcBorders>
              <w:bottom w:val="single" w:sz="8" w:color="CFF0FC"/>
            </w:tcBorders>
          </w:tcPr>
          <w:p>
            <w:pPr>
              <w:spacing w:after="0"/>
              <w:rPr>
                <w:sz w:val="10"/>
                <w:szCs w:val="10"/>
                <w:color w:val="auto"/>
              </w:rPr>
            </w:pPr>
          </w:p>
        </w:tc>
      </w:tr>
      <w:tr>
        <w:trPr>
          <w:trHeight w:val="141"/>
        </w:trPr>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780" w:type="dxa"/>
            <w:vAlign w:val="bottom"/>
            <w:gridSpan w:val="2"/>
            <w:shd w:val="clear" w:color="auto" w:fill="CFF0FC"/>
          </w:tcPr>
          <w:p>
            <w:pPr>
              <w:spacing w:after="0" w:line="141" w:lineRule="exact"/>
              <w:rPr>
                <w:sz w:val="20"/>
                <w:szCs w:val="20"/>
                <w:color w:val="auto"/>
              </w:rPr>
            </w:pPr>
            <w:r>
              <w:rPr>
                <w:rFonts w:ascii="Arial" w:cs="Arial" w:eastAsia="Arial" w:hAnsi="Arial"/>
                <w:sz w:val="13"/>
                <w:szCs w:val="13"/>
                <w:color w:val="auto"/>
              </w:rPr>
              <w:t>Weighted average total yield of debt and income</w:t>
            </w: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0"/>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7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 xml:space="preserve">producing securities </w:t>
            </w:r>
            <w:r>
              <w:rPr>
                <w:rFonts w:ascii="Arial" w:cs="Arial" w:eastAsia="Arial" w:hAnsi="Arial"/>
                <w:sz w:val="10"/>
                <w:szCs w:val="1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1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10.0%</w:t>
            </w:r>
          </w:p>
        </w:tc>
      </w:tr>
      <w:tr>
        <w:trPr>
          <w:trHeight w:val="152"/>
        </w:trPr>
        <w:tc>
          <w:tcPr>
            <w:tcW w:w="320" w:type="dxa"/>
            <w:vAlign w:val="bottom"/>
          </w:tcPr>
          <w:p>
            <w:pPr>
              <w:spacing w:after="0"/>
              <w:rPr>
                <w:sz w:val="13"/>
                <w:szCs w:val="13"/>
                <w:color w:val="auto"/>
              </w:rPr>
            </w:pPr>
          </w:p>
        </w:tc>
        <w:tc>
          <w:tcPr>
            <w:tcW w:w="7160" w:type="dxa"/>
            <w:vAlign w:val="bottom"/>
            <w:gridSpan w:val="3"/>
          </w:tcPr>
          <w:p>
            <w:pPr>
              <w:ind w:left="1380"/>
              <w:spacing w:after="0"/>
              <w:rPr>
                <w:sz w:val="20"/>
                <w:szCs w:val="20"/>
                <w:color w:val="auto"/>
              </w:rPr>
            </w:pPr>
            <w:r>
              <w:rPr>
                <w:rFonts w:ascii="Arial" w:cs="Arial" w:eastAsia="Arial" w:hAnsi="Arial"/>
                <w:sz w:val="13"/>
                <w:szCs w:val="13"/>
                <w:color w:val="auto"/>
              </w:rPr>
              <w:t>Weighted average interest rate of debt and income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0"/>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780" w:type="dxa"/>
            <w:vAlign w:val="bottom"/>
            <w:gridSpan w:val="2"/>
          </w:tcPr>
          <w:p>
            <w:pPr>
              <w:ind w:left="80"/>
              <w:spacing w:after="0"/>
              <w:rPr>
                <w:sz w:val="20"/>
                <w:szCs w:val="20"/>
                <w:color w:val="auto"/>
              </w:rPr>
            </w:pPr>
            <w:r>
              <w:rPr>
                <w:rFonts w:ascii="Arial" w:cs="Arial" w:eastAsia="Arial" w:hAnsi="Arial"/>
                <w:sz w:val="13"/>
                <w:szCs w:val="13"/>
                <w:color w:val="auto"/>
              </w:rPr>
              <w:t>producing securities</w:t>
            </w:r>
          </w:p>
        </w:tc>
        <w:tc>
          <w:tcPr>
            <w:tcW w:w="420" w:type="dxa"/>
            <w:vAlign w:val="bottom"/>
          </w:tcPr>
          <w:p>
            <w:pPr>
              <w:jc w:val="right"/>
              <w:spacing w:after="0"/>
              <w:rPr>
                <w:sz w:val="20"/>
                <w:szCs w:val="20"/>
                <w:color w:val="auto"/>
              </w:rPr>
            </w:pPr>
            <w:r>
              <w:rPr>
                <w:rFonts w:ascii="Arial" w:cs="Arial" w:eastAsia="Arial" w:hAnsi="Arial"/>
                <w:sz w:val="13"/>
                <w:szCs w:val="13"/>
                <w:color w:val="auto"/>
              </w:rPr>
              <w:t>9.6%</w:t>
            </w:r>
          </w:p>
        </w:tc>
        <w:tc>
          <w:tcPr>
            <w:tcW w:w="160" w:type="dxa"/>
            <w:vAlign w:val="bottom"/>
          </w:tcPr>
          <w:p>
            <w:pPr>
              <w:spacing w:after="0"/>
              <w:rPr>
                <w:sz w:val="13"/>
                <w:szCs w:val="13"/>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3"/>
                <w:szCs w:val="13"/>
                <w:color w:val="auto"/>
              </w:rPr>
              <w:t>9.5%</w:t>
            </w:r>
          </w:p>
        </w:tc>
      </w:tr>
      <w:tr>
        <w:trPr>
          <w:trHeight w:val="152"/>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7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Weighted average spread over LIBOR of all floating</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0"/>
        </w:trPr>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7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 xml:space="preserve">rate investments </w:t>
            </w:r>
            <w:r>
              <w:rPr>
                <w:rFonts w:ascii="Arial" w:cs="Arial" w:eastAsia="Arial" w:hAnsi="Arial"/>
                <w:sz w:val="10"/>
                <w:szCs w:val="1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16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9.4%</w:t>
            </w:r>
          </w:p>
        </w:tc>
      </w:tr>
      <w:tr>
        <w:trPr>
          <w:trHeight w:val="322"/>
        </w:trPr>
        <w:tc>
          <w:tcPr>
            <w:tcW w:w="320" w:type="dxa"/>
            <w:vAlign w:val="bottom"/>
          </w:tcPr>
          <w:p>
            <w:pPr>
              <w:jc w:val="right"/>
              <w:ind w:right="117"/>
              <w:spacing w:after="0"/>
              <w:rPr>
                <w:sz w:val="20"/>
                <w:szCs w:val="20"/>
                <w:color w:val="auto"/>
              </w:rPr>
            </w:pPr>
            <w:r>
              <w:rPr>
                <w:rFonts w:ascii="Arial" w:cs="Arial" w:eastAsia="Arial" w:hAnsi="Arial"/>
                <w:sz w:val="13"/>
                <w:szCs w:val="13"/>
                <w:color w:val="auto"/>
                <w:w w:val="75"/>
              </w:rPr>
              <w:t>(1)</w:t>
            </w:r>
          </w:p>
        </w:tc>
        <w:tc>
          <w:tcPr>
            <w:tcW w:w="7160" w:type="dxa"/>
            <w:vAlign w:val="bottom"/>
            <w:gridSpan w:val="3"/>
          </w:tcPr>
          <w:p>
            <w:pPr>
              <w:ind w:left="180"/>
              <w:spacing w:after="0"/>
              <w:rPr>
                <w:sz w:val="20"/>
                <w:szCs w:val="20"/>
                <w:color w:val="auto"/>
              </w:rPr>
            </w:pPr>
            <w:r>
              <w:rPr>
                <w:rFonts w:ascii="Arial" w:cs="Arial" w:eastAsia="Arial" w:hAnsi="Arial"/>
                <w:sz w:val="13"/>
                <w:szCs w:val="13"/>
                <w:color w:val="auto"/>
              </w:rPr>
              <w:t>Weighted average total portfolio yield at fair value was 9.5% at March 31, 2022 and 9.4% at December 31, 2021.</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0"/>
        </w:trPr>
        <w:tc>
          <w:tcPr>
            <w:tcW w:w="320" w:type="dxa"/>
            <w:vAlign w:val="bottom"/>
          </w:tcPr>
          <w:p>
            <w:pPr>
              <w:jc w:val="right"/>
              <w:ind w:right="117"/>
              <w:spacing w:after="0"/>
              <w:rPr>
                <w:sz w:val="20"/>
                <w:szCs w:val="20"/>
                <w:color w:val="auto"/>
              </w:rPr>
            </w:pPr>
            <w:r>
              <w:rPr>
                <w:rFonts w:ascii="Arial" w:cs="Arial" w:eastAsia="Arial" w:hAnsi="Arial"/>
                <w:sz w:val="13"/>
                <w:szCs w:val="13"/>
                <w:color w:val="auto"/>
                <w:w w:val="75"/>
              </w:rPr>
              <w:t>(2)</w:t>
            </w:r>
          </w:p>
        </w:tc>
        <w:tc>
          <w:tcPr>
            <w:tcW w:w="7160" w:type="dxa"/>
            <w:vAlign w:val="bottom"/>
            <w:gridSpan w:val="3"/>
          </w:tcPr>
          <w:p>
            <w:pPr>
              <w:ind w:left="180"/>
              <w:spacing w:after="0"/>
              <w:rPr>
                <w:sz w:val="20"/>
                <w:szCs w:val="20"/>
                <w:color w:val="auto"/>
              </w:rPr>
            </w:pPr>
            <w:r>
              <w:rPr>
                <w:rFonts w:ascii="Arial" w:cs="Arial" w:eastAsia="Arial" w:hAnsi="Arial"/>
                <w:sz w:val="13"/>
                <w:szCs w:val="13"/>
                <w:color w:val="auto"/>
              </w:rPr>
              <w:t>Includes fixed rate investments for which we entered into interest rate swap agreements to swap to floating rates.</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152" w:lineRule="exact"/>
        <w:rPr>
          <w:sz w:val="20"/>
          <w:szCs w:val="20"/>
          <w:color w:val="auto"/>
        </w:rPr>
      </w:pPr>
    </w:p>
    <w:p>
      <w:pPr>
        <w:ind w:left="4" w:right="260" w:firstLine="256"/>
        <w:spacing w:after="0" w:line="301" w:lineRule="auto"/>
        <w:rPr>
          <w:sz w:val="20"/>
          <w:szCs w:val="20"/>
          <w:color w:val="auto"/>
        </w:rPr>
      </w:pPr>
      <w:r>
        <w:rPr>
          <w:rFonts w:ascii="Arial" w:cs="Arial" w:eastAsia="Arial" w:hAnsi="Arial"/>
          <w:sz w:val="12"/>
          <w:szCs w:val="12"/>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32" w:lineRule="exact"/>
        <w:rPr>
          <w:sz w:val="20"/>
          <w:szCs w:val="20"/>
          <w:color w:val="auto"/>
        </w:rPr>
      </w:pPr>
    </w:p>
    <w:p>
      <w:pPr>
        <w:ind w:left="504" w:hanging="249"/>
        <w:spacing w:after="0"/>
        <w:tabs>
          <w:tab w:leader="none" w:pos="5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assessment of success of the portfolio company in adhering to its business plan and compliance with covenants;</w:t>
      </w:r>
    </w:p>
    <w:p>
      <w:pPr>
        <w:spacing w:after="0" w:line="77" w:lineRule="exact"/>
        <w:rPr>
          <w:rFonts w:ascii="Arial" w:cs="Arial" w:eastAsia="Arial" w:hAnsi="Arial"/>
          <w:sz w:val="13"/>
          <w:szCs w:val="13"/>
          <w:color w:val="auto"/>
        </w:rPr>
      </w:pPr>
    </w:p>
    <w:p>
      <w:pPr>
        <w:ind w:left="504" w:hanging="249"/>
        <w:spacing w:after="0"/>
        <w:tabs>
          <w:tab w:leader="none" w:pos="5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periodic and regular contact with portfolio company management and, if appropriate, the financial or strategic sponsor, to discuss financial position, requirements and accomplishments;</w:t>
      </w:r>
    </w:p>
    <w:p>
      <w:pPr>
        <w:spacing w:after="0" w:line="77" w:lineRule="exact"/>
        <w:rPr>
          <w:rFonts w:ascii="Arial" w:cs="Arial" w:eastAsia="Arial" w:hAnsi="Arial"/>
          <w:sz w:val="13"/>
          <w:szCs w:val="13"/>
          <w:color w:val="auto"/>
        </w:rPr>
      </w:pPr>
    </w:p>
    <w:p>
      <w:pPr>
        <w:ind w:left="504" w:hanging="249"/>
        <w:spacing w:after="0"/>
        <w:tabs>
          <w:tab w:leader="none" w:pos="5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comparisons to other companies in the industry;</w:t>
      </w:r>
    </w:p>
    <w:p>
      <w:pPr>
        <w:spacing w:after="0" w:line="77" w:lineRule="exact"/>
        <w:rPr>
          <w:rFonts w:ascii="Arial" w:cs="Arial" w:eastAsia="Arial" w:hAnsi="Arial"/>
          <w:sz w:val="13"/>
          <w:szCs w:val="13"/>
          <w:color w:val="auto"/>
        </w:rPr>
      </w:pPr>
    </w:p>
    <w:p>
      <w:pPr>
        <w:ind w:left="504" w:hanging="249"/>
        <w:spacing w:after="0"/>
        <w:tabs>
          <w:tab w:leader="none" w:pos="5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attendance at, and participation in, board meetings; and</w:t>
      </w:r>
    </w:p>
    <w:p>
      <w:pPr>
        <w:spacing w:after="0" w:line="77" w:lineRule="exact"/>
        <w:rPr>
          <w:rFonts w:ascii="Arial" w:cs="Arial" w:eastAsia="Arial" w:hAnsi="Arial"/>
          <w:sz w:val="13"/>
          <w:szCs w:val="13"/>
          <w:color w:val="auto"/>
        </w:rPr>
      </w:pPr>
    </w:p>
    <w:p>
      <w:pPr>
        <w:ind w:left="504" w:hanging="249"/>
        <w:spacing w:after="0"/>
        <w:tabs>
          <w:tab w:leader="none" w:pos="504"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review of monthly and quarterly financial statements and financial projections for portfolio companies.</w:t>
      </w:r>
    </w:p>
    <w:p>
      <w:pPr>
        <w:spacing w:after="0" w:line="153" w:lineRule="exact"/>
        <w:rPr>
          <w:sz w:val="20"/>
          <w:szCs w:val="20"/>
          <w:color w:val="auto"/>
        </w:rPr>
      </w:pPr>
    </w:p>
    <w:p>
      <w:pPr>
        <w:ind w:left="4" w:right="20" w:firstLine="256"/>
        <w:spacing w:after="0" w:line="260" w:lineRule="auto"/>
        <w:rPr>
          <w:sz w:val="20"/>
          <w:szCs w:val="20"/>
          <w:color w:val="auto"/>
        </w:rPr>
      </w:pPr>
      <w:r>
        <w:rPr>
          <w:rFonts w:ascii="Arial" w:cs="Arial" w:eastAsia="Arial" w:hAnsi="Arial"/>
          <w:sz w:val="13"/>
          <w:szCs w:val="13"/>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54" w:lineRule="exact"/>
        <w:rPr>
          <w:sz w:val="20"/>
          <w:szCs w:val="20"/>
          <w:color w:val="auto"/>
        </w:rPr>
      </w:pPr>
    </w:p>
    <w:p>
      <w:pPr>
        <w:ind w:left="504" w:right="400" w:hanging="249"/>
        <w:spacing w:after="0" w:line="260" w:lineRule="auto"/>
        <w:tabs>
          <w:tab w:leader="none" w:pos="504"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30" w:lineRule="exact"/>
        <w:rPr>
          <w:sz w:val="20"/>
          <w:szCs w:val="20"/>
          <w:color w:val="auto"/>
        </w:rPr>
      </w:pPr>
    </w:p>
    <w:p>
      <w:pPr>
        <w:jc w:val="center"/>
        <w:ind w:right="-43"/>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44"/>
          </w:cols>
          <w:pgMar w:left="296" w:top="310" w:right="359" w:bottom="1440" w:gutter="0" w:footer="0" w:header="0"/>
        </w:sectPr>
      </w:pPr>
    </w:p>
    <w:bookmarkStart w:id="55" w:name="page56"/>
    <w:bookmarkEnd w:id="55"/>
    <w:p>
      <w:pPr>
        <w:ind w:left="504" w:right="420" w:hanging="249"/>
        <w:spacing w:after="0" w:line="301" w:lineRule="auto"/>
        <w:tabs>
          <w:tab w:leader="none" w:pos="504"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32" w:lineRule="exact"/>
        <w:rPr>
          <w:rFonts w:ascii="Arial" w:cs="Arial" w:eastAsia="Arial" w:hAnsi="Arial"/>
          <w:sz w:val="12"/>
          <w:szCs w:val="12"/>
          <w:color w:val="auto"/>
        </w:rPr>
      </w:pPr>
    </w:p>
    <w:p>
      <w:pPr>
        <w:ind w:left="504" w:right="380" w:hanging="249"/>
        <w:spacing w:after="0" w:line="301" w:lineRule="auto"/>
        <w:tabs>
          <w:tab w:leader="none" w:pos="504"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32" w:lineRule="exact"/>
        <w:rPr>
          <w:rFonts w:ascii="Arial" w:cs="Arial" w:eastAsia="Arial" w:hAnsi="Arial"/>
          <w:sz w:val="12"/>
          <w:szCs w:val="12"/>
          <w:color w:val="auto"/>
        </w:rPr>
      </w:pPr>
    </w:p>
    <w:p>
      <w:pPr>
        <w:ind w:left="504" w:right="80" w:hanging="249"/>
        <w:spacing w:after="0" w:line="275" w:lineRule="auto"/>
        <w:tabs>
          <w:tab w:leader="none" w:pos="504"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48" w:lineRule="exact"/>
        <w:rPr>
          <w:rFonts w:ascii="Arial" w:cs="Arial" w:eastAsia="Arial" w:hAnsi="Arial"/>
          <w:sz w:val="12"/>
          <w:szCs w:val="12"/>
          <w:color w:val="auto"/>
        </w:rPr>
      </w:pPr>
    </w:p>
    <w:p>
      <w:pPr>
        <w:jc w:val="both"/>
        <w:ind w:left="504" w:right="80" w:hanging="249"/>
        <w:spacing w:after="0" w:line="251" w:lineRule="auto"/>
        <w:tabs>
          <w:tab w:leader="none" w:pos="504" w:val="left"/>
        </w:tabs>
        <w:numPr>
          <w:ilvl w:val="0"/>
          <w:numId w:val="41"/>
        </w:numPr>
        <w:rPr>
          <w:rFonts w:ascii="Arial" w:cs="Arial" w:eastAsia="Arial" w:hAnsi="Arial"/>
          <w:sz w:val="13"/>
          <w:szCs w:val="13"/>
          <w:color w:val="auto"/>
        </w:rPr>
      </w:pPr>
      <w:r>
        <w:rPr>
          <w:rFonts w:ascii="Arial" w:cs="Arial" w:eastAsia="Arial" w:hAnsi="Arial"/>
          <w:sz w:val="13"/>
          <w:szCs w:val="13"/>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36" w:lineRule="exact"/>
        <w:rPr>
          <w:sz w:val="20"/>
          <w:szCs w:val="20"/>
          <w:color w:val="auto"/>
        </w:rPr>
      </w:pPr>
    </w:p>
    <w:p>
      <w:pPr>
        <w:ind w:left="4" w:right="160" w:firstLine="256"/>
        <w:spacing w:after="0" w:line="301" w:lineRule="auto"/>
        <w:rPr>
          <w:sz w:val="20"/>
          <w:szCs w:val="20"/>
          <w:color w:val="auto"/>
        </w:rPr>
      </w:pPr>
      <w:r>
        <w:rPr>
          <w:rFonts w:ascii="Arial" w:cs="Arial" w:eastAsia="Arial" w:hAnsi="Arial"/>
          <w:sz w:val="12"/>
          <w:szCs w:val="12"/>
          <w:color w:val="auto"/>
        </w:rPr>
        <w:t>The following table shows the distribution of our investments on the 1 to 5 investment performance rating scale at fair value as of March 31, 2022 and December 31, 2021. Investment performance ratings are accurate only as of those dates and may change due to subsequent developments relating to a portfolio company’s business or financial condition, market conditions or developments, and other factors.</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230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0"/>
              </w:rPr>
              <w:t>Investment</w:t>
            </w:r>
          </w:p>
        </w:tc>
        <w:tc>
          <w:tcPr>
            <w:tcW w:w="36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gridSpan w:val="3"/>
          </w:tcPr>
          <w:p>
            <w:pPr>
              <w:jc w:val="center"/>
              <w:ind w:left="42"/>
              <w:spacing w:after="0"/>
              <w:rPr>
                <w:sz w:val="20"/>
                <w:szCs w:val="20"/>
                <w:color w:val="auto"/>
              </w:rPr>
            </w:pPr>
            <w:r>
              <w:rPr>
                <w:rFonts w:ascii="Arial" w:cs="Arial" w:eastAsia="Arial" w:hAnsi="Arial"/>
                <w:sz w:val="10"/>
                <w:szCs w:val="10"/>
                <w:b w:val="1"/>
                <w:bCs w:val="1"/>
                <w:color w:val="auto"/>
                <w:w w:val="92"/>
              </w:rPr>
              <w:t>March 31, 2022</w:t>
            </w:r>
          </w:p>
        </w:tc>
        <w:tc>
          <w:tcPr>
            <w:tcW w:w="4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3"/>
          </w:tcPr>
          <w:p>
            <w:pPr>
              <w:jc w:val="center"/>
              <w:ind w:left="660"/>
              <w:spacing w:after="0"/>
              <w:rPr>
                <w:sz w:val="20"/>
                <w:szCs w:val="20"/>
                <w:color w:val="auto"/>
              </w:rPr>
            </w:pPr>
            <w:r>
              <w:rPr>
                <w:rFonts w:ascii="Arial" w:cs="Arial" w:eastAsia="Arial" w:hAnsi="Arial"/>
                <w:sz w:val="10"/>
                <w:szCs w:val="10"/>
                <w:b w:val="1"/>
                <w:bCs w:val="1"/>
                <w:color w:val="auto"/>
                <w:w w:val="88"/>
              </w:rPr>
              <w:t>December 31, 2021</w:t>
            </w:r>
          </w:p>
        </w:tc>
        <w:tc>
          <w:tcPr>
            <w:tcW w:w="15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0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00" w:type="dxa"/>
            <w:vAlign w:val="bottom"/>
          </w:tcPr>
          <w:p>
            <w:pPr>
              <w:jc w:val="center"/>
              <w:ind w:right="322"/>
              <w:spacing w:after="0" w:line="98" w:lineRule="exact"/>
              <w:rPr>
                <w:sz w:val="20"/>
                <w:szCs w:val="20"/>
                <w:color w:val="auto"/>
              </w:rPr>
            </w:pPr>
            <w:r>
              <w:rPr>
                <w:rFonts w:ascii="Arial" w:cs="Arial" w:eastAsia="Arial" w:hAnsi="Arial"/>
                <w:sz w:val="10"/>
                <w:szCs w:val="10"/>
                <w:b w:val="1"/>
                <w:bCs w:val="1"/>
                <w:color w:val="auto"/>
                <w:w w:val="88"/>
              </w:rPr>
              <w:t>Investments at</w:t>
            </w: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98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Investments at</w:t>
            </w: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30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91"/>
              </w:rPr>
              <w:t>Performance</w:t>
            </w:r>
          </w:p>
        </w:tc>
        <w:tc>
          <w:tcPr>
            <w:tcW w:w="360" w:type="dxa"/>
            <w:vAlign w:val="bottom"/>
          </w:tcPr>
          <w:p>
            <w:pPr>
              <w:spacing w:after="0"/>
              <w:rPr>
                <w:sz w:val="9"/>
                <w:szCs w:val="9"/>
                <w:color w:val="auto"/>
              </w:rPr>
            </w:pPr>
          </w:p>
        </w:tc>
        <w:tc>
          <w:tcPr>
            <w:tcW w:w="1600" w:type="dxa"/>
            <w:vAlign w:val="bottom"/>
          </w:tcPr>
          <w:p>
            <w:pPr>
              <w:jc w:val="center"/>
              <w:ind w:right="322"/>
              <w:spacing w:after="0" w:line="114" w:lineRule="exact"/>
              <w:rPr>
                <w:sz w:val="20"/>
                <w:szCs w:val="20"/>
                <w:color w:val="auto"/>
              </w:rPr>
            </w:pPr>
            <w:r>
              <w:rPr>
                <w:rFonts w:ascii="Arial" w:cs="Arial" w:eastAsia="Arial" w:hAnsi="Arial"/>
                <w:sz w:val="10"/>
                <w:szCs w:val="10"/>
                <w:b w:val="1"/>
                <w:bCs w:val="1"/>
                <w:color w:val="auto"/>
                <w:w w:val="96"/>
              </w:rPr>
              <w:t>Fair Value</w:t>
            </w:r>
          </w:p>
        </w:tc>
        <w:tc>
          <w:tcPr>
            <w:tcW w:w="320" w:type="dxa"/>
            <w:vAlign w:val="bottom"/>
          </w:tcPr>
          <w:p>
            <w:pPr>
              <w:spacing w:after="0"/>
              <w:rPr>
                <w:sz w:val="9"/>
                <w:szCs w:val="9"/>
                <w:color w:val="auto"/>
              </w:rPr>
            </w:pPr>
          </w:p>
        </w:tc>
        <w:tc>
          <w:tcPr>
            <w:tcW w:w="1480" w:type="dxa"/>
            <w:vAlign w:val="bottom"/>
          </w:tcPr>
          <w:p>
            <w:pPr>
              <w:jc w:val="center"/>
              <w:ind w:left="430"/>
              <w:spacing w:after="0" w:line="114" w:lineRule="exact"/>
              <w:rPr>
                <w:sz w:val="20"/>
                <w:szCs w:val="20"/>
                <w:color w:val="auto"/>
              </w:rPr>
            </w:pPr>
            <w:r>
              <w:rPr>
                <w:rFonts w:ascii="Arial" w:cs="Arial" w:eastAsia="Arial" w:hAnsi="Arial"/>
                <w:sz w:val="10"/>
                <w:szCs w:val="10"/>
                <w:b w:val="1"/>
                <w:bCs w:val="1"/>
                <w:color w:val="auto"/>
                <w:w w:val="90"/>
              </w:rPr>
              <w:t>Percentage of</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980" w:type="dxa"/>
            <w:vAlign w:val="bottom"/>
            <w:gridSpan w:val="2"/>
          </w:tcPr>
          <w:p>
            <w:pPr>
              <w:jc w:val="right"/>
              <w:ind w:right="700"/>
              <w:spacing w:after="0" w:line="114" w:lineRule="exact"/>
              <w:rPr>
                <w:sz w:val="20"/>
                <w:szCs w:val="20"/>
                <w:color w:val="auto"/>
              </w:rPr>
            </w:pPr>
            <w:r>
              <w:rPr>
                <w:rFonts w:ascii="Arial" w:cs="Arial" w:eastAsia="Arial" w:hAnsi="Arial"/>
                <w:sz w:val="10"/>
                <w:szCs w:val="10"/>
                <w:b w:val="1"/>
                <w:bCs w:val="1"/>
                <w:color w:val="auto"/>
              </w:rPr>
              <w:t>Fair Value</w:t>
            </w: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60" w:type="dxa"/>
            <w:vAlign w:val="bottom"/>
            <w:gridSpan w:val="2"/>
          </w:tcPr>
          <w:p>
            <w:pPr>
              <w:jc w:val="right"/>
              <w:ind w:right="840"/>
              <w:spacing w:after="0" w:line="114" w:lineRule="exact"/>
              <w:rPr>
                <w:sz w:val="20"/>
                <w:szCs w:val="20"/>
                <w:color w:val="auto"/>
              </w:rPr>
            </w:pPr>
            <w:r>
              <w:rPr>
                <w:rFonts w:ascii="Arial" w:cs="Arial" w:eastAsia="Arial" w:hAnsi="Arial"/>
                <w:sz w:val="10"/>
                <w:szCs w:val="10"/>
                <w:b w:val="1"/>
                <w:bCs w:val="1"/>
                <w:color w:val="auto"/>
              </w:rPr>
              <w:t>Percentage of</w:t>
            </w:r>
          </w:p>
        </w:tc>
        <w:tc>
          <w:tcPr>
            <w:tcW w:w="0" w:type="dxa"/>
            <w:vAlign w:val="bottom"/>
          </w:tcPr>
          <w:p>
            <w:pPr>
              <w:spacing w:after="0"/>
              <w:rPr>
                <w:sz w:val="1"/>
                <w:szCs w:val="1"/>
                <w:color w:val="auto"/>
              </w:rPr>
            </w:pPr>
          </w:p>
        </w:tc>
      </w:tr>
      <w:tr>
        <w:trPr>
          <w:trHeight w:val="119"/>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Rating</w:t>
            </w:r>
          </w:p>
        </w:tc>
        <w:tc>
          <w:tcPr>
            <w:tcW w:w="320" w:type="dxa"/>
            <w:vAlign w:val="bottom"/>
            <w:tcBorders>
              <w:bottom w:val="single" w:sz="8" w:color="CFF0FC"/>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center"/>
              <w:ind w:right="322"/>
              <w:spacing w:after="0"/>
              <w:rPr>
                <w:sz w:val="20"/>
                <w:szCs w:val="20"/>
                <w:color w:val="auto"/>
              </w:rPr>
            </w:pPr>
            <w:r>
              <w:rPr>
                <w:rFonts w:ascii="Arial" w:cs="Arial" w:eastAsia="Arial" w:hAnsi="Arial"/>
                <w:sz w:val="10"/>
                <w:szCs w:val="10"/>
                <w:b w:val="1"/>
                <w:bCs w:val="1"/>
                <w:color w:val="auto"/>
                <w:w w:val="89"/>
              </w:rPr>
              <w:t>($ in millions)</w:t>
            </w:r>
          </w:p>
        </w:tc>
        <w:tc>
          <w:tcPr>
            <w:tcW w:w="320" w:type="dxa"/>
            <w:vAlign w:val="bottom"/>
            <w:tcBorders>
              <w:bottom w:val="single" w:sz="8" w:color="CFF0FC"/>
            </w:tcBorders>
          </w:tcPr>
          <w:p>
            <w:pPr>
              <w:spacing w:after="0"/>
              <w:rPr>
                <w:sz w:val="10"/>
                <w:szCs w:val="10"/>
                <w:color w:val="auto"/>
              </w:rPr>
            </w:pPr>
          </w:p>
        </w:tc>
        <w:tc>
          <w:tcPr>
            <w:tcW w:w="1480" w:type="dxa"/>
            <w:vAlign w:val="bottom"/>
            <w:tcBorders>
              <w:bottom w:val="single" w:sz="8" w:color="auto"/>
            </w:tcBorders>
          </w:tcPr>
          <w:p>
            <w:pPr>
              <w:jc w:val="center"/>
              <w:ind w:left="430"/>
              <w:spacing w:after="0"/>
              <w:rPr>
                <w:sz w:val="20"/>
                <w:szCs w:val="20"/>
                <w:color w:val="auto"/>
              </w:rPr>
            </w:pPr>
            <w:r>
              <w:rPr>
                <w:rFonts w:ascii="Arial" w:cs="Arial" w:eastAsia="Arial" w:hAnsi="Arial"/>
                <w:sz w:val="10"/>
                <w:szCs w:val="10"/>
                <w:b w:val="1"/>
                <w:bCs w:val="1"/>
                <w:color w:val="auto"/>
                <w:w w:val="94"/>
              </w:rPr>
              <w:t>Total Portfolio</w:t>
            </w:r>
          </w:p>
        </w:tc>
        <w:tc>
          <w:tcPr>
            <w:tcW w:w="480" w:type="dxa"/>
            <w:vAlign w:val="bottom"/>
            <w:tcBorders>
              <w:bottom w:val="single" w:sz="8" w:color="auto"/>
            </w:tcBorders>
          </w:tcPr>
          <w:p>
            <w:pPr>
              <w:spacing w:after="0"/>
              <w:rPr>
                <w:sz w:val="10"/>
                <w:szCs w:val="10"/>
                <w:color w:val="auto"/>
              </w:rPr>
            </w:pPr>
          </w:p>
        </w:tc>
        <w:tc>
          <w:tcPr>
            <w:tcW w:w="340" w:type="dxa"/>
            <w:vAlign w:val="bottom"/>
            <w:tcBorders>
              <w:bottom w:val="single" w:sz="8" w:color="CFF0FC"/>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1180" w:type="dxa"/>
            <w:vAlign w:val="bottom"/>
            <w:tcBorders>
              <w:bottom w:val="single" w:sz="8" w:color="auto"/>
            </w:tcBorders>
          </w:tcPr>
          <w:p>
            <w:pPr>
              <w:jc w:val="right"/>
              <w:ind w:right="640"/>
              <w:spacing w:after="0"/>
              <w:rPr>
                <w:sz w:val="20"/>
                <w:szCs w:val="20"/>
                <w:color w:val="auto"/>
              </w:rPr>
            </w:pPr>
            <w:r>
              <w:rPr>
                <w:rFonts w:ascii="Arial" w:cs="Arial" w:eastAsia="Arial" w:hAnsi="Arial"/>
                <w:sz w:val="10"/>
                <w:szCs w:val="10"/>
                <w:b w:val="1"/>
                <w:bCs w:val="1"/>
                <w:color w:val="auto"/>
                <w:w w:val="87"/>
              </w:rPr>
              <w:t>in millions)</w:t>
            </w:r>
          </w:p>
        </w:tc>
        <w:tc>
          <w:tcPr>
            <w:tcW w:w="320" w:type="dxa"/>
            <w:vAlign w:val="bottom"/>
            <w:tcBorders>
              <w:bottom w:val="single" w:sz="8" w:color="CFF0FC"/>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620"/>
              <w:spacing w:after="0"/>
              <w:rPr>
                <w:sz w:val="20"/>
                <w:szCs w:val="20"/>
                <w:color w:val="auto"/>
              </w:rPr>
            </w:pPr>
            <w:r>
              <w:rPr>
                <w:rFonts w:ascii="Arial" w:cs="Arial" w:eastAsia="Arial" w:hAnsi="Arial"/>
                <w:sz w:val="10"/>
                <w:szCs w:val="10"/>
                <w:b w:val="1"/>
                <w:bCs w:val="1"/>
                <w:color w:val="auto"/>
              </w:rPr>
              <w:t>Total Portfolio</w:t>
            </w:r>
          </w:p>
        </w:tc>
        <w:tc>
          <w:tcPr>
            <w:tcW w:w="14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980" w:type="dxa"/>
            <w:vAlign w:val="bottom"/>
            <w:shd w:val="clear" w:color="auto" w:fill="CFF0FC"/>
          </w:tcPr>
          <w:p>
            <w:pPr>
              <w:jc w:val="right"/>
              <w:ind w:right="861"/>
              <w:spacing w:after="0"/>
              <w:rPr>
                <w:sz w:val="20"/>
                <w:szCs w:val="20"/>
                <w:color w:val="auto"/>
              </w:rPr>
            </w:pPr>
            <w:r>
              <w:rPr>
                <w:rFonts w:ascii="Arial" w:cs="Arial" w:eastAsia="Arial" w:hAnsi="Arial"/>
                <w:sz w:val="13"/>
                <w:szCs w:val="13"/>
                <w:color w:val="auto"/>
              </w:rPr>
              <w:t>1</w:t>
            </w: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53"/>
              <w:spacing w:after="0"/>
              <w:rPr>
                <w:sz w:val="20"/>
                <w:szCs w:val="20"/>
                <w:color w:val="auto"/>
              </w:rPr>
            </w:pPr>
            <w:r>
              <w:rPr>
                <w:rFonts w:ascii="Arial" w:cs="Arial" w:eastAsia="Arial" w:hAnsi="Arial"/>
                <w:sz w:val="9"/>
                <w:szCs w:val="9"/>
                <w:color w:val="auto"/>
                <w:w w:val="78"/>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2,181.5</w:t>
            </w:r>
          </w:p>
        </w:tc>
        <w:tc>
          <w:tcPr>
            <w:tcW w:w="3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89.0%</w:t>
            </w:r>
          </w:p>
        </w:tc>
        <w:tc>
          <w:tcPr>
            <w:tcW w:w="800" w:type="dxa"/>
            <w:vAlign w:val="bottom"/>
            <w:shd w:val="clear" w:color="auto" w:fill="CFF0FC"/>
          </w:tcPr>
          <w:p>
            <w:pPr>
              <w:jc w:val="right"/>
              <w:ind w:right="665"/>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2,264.8</w:t>
            </w: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89.8%</w:t>
            </w:r>
          </w:p>
        </w:tc>
        <w:tc>
          <w:tcPr>
            <w:tcW w:w="0" w:type="dxa"/>
            <w:vAlign w:val="bottom"/>
          </w:tcPr>
          <w:p>
            <w:pPr>
              <w:spacing w:after="0"/>
              <w:rPr>
                <w:sz w:val="1"/>
                <w:szCs w:val="1"/>
                <w:color w:val="auto"/>
              </w:rPr>
            </w:pPr>
          </w:p>
        </w:tc>
      </w:tr>
      <w:tr>
        <w:trPr>
          <w:trHeight w:val="161"/>
        </w:trPr>
        <w:tc>
          <w:tcPr>
            <w:tcW w:w="1980" w:type="dxa"/>
            <w:vAlign w:val="bottom"/>
          </w:tcPr>
          <w:p>
            <w:pPr>
              <w:jc w:val="right"/>
              <w:ind w:right="861"/>
              <w:spacing w:after="0"/>
              <w:rPr>
                <w:sz w:val="20"/>
                <w:szCs w:val="20"/>
                <w:color w:val="auto"/>
              </w:rPr>
            </w:pPr>
            <w:r>
              <w:rPr>
                <w:rFonts w:ascii="Arial" w:cs="Arial" w:eastAsia="Arial" w:hAnsi="Arial"/>
                <w:sz w:val="13"/>
                <w:szCs w:val="13"/>
                <w:color w:val="auto"/>
              </w:rPr>
              <w:t>2</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219.6</w:t>
            </w: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8.9</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175.8</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7.0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shd w:val="clear" w:color="auto" w:fill="CFF0FC"/>
          </w:tcPr>
          <w:p>
            <w:pPr>
              <w:jc w:val="right"/>
              <w:ind w:right="861"/>
              <w:spacing w:after="0"/>
              <w:rPr>
                <w:sz w:val="20"/>
                <w:szCs w:val="20"/>
                <w:color w:val="auto"/>
              </w:rPr>
            </w:pPr>
            <w:r>
              <w:rPr>
                <w:rFonts w:ascii="Arial" w:cs="Arial" w:eastAsia="Arial" w:hAnsi="Arial"/>
                <w:sz w:val="13"/>
                <w:szCs w:val="13"/>
                <w:color w:val="auto"/>
              </w:rPr>
              <w:t>3</w:t>
            </w:r>
          </w:p>
        </w:tc>
        <w:tc>
          <w:tcPr>
            <w:tcW w:w="3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50.6</w:t>
            </w:r>
          </w:p>
        </w:tc>
        <w:tc>
          <w:tcPr>
            <w:tcW w:w="3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3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80.8</w:t>
            </w:r>
          </w:p>
        </w:tc>
        <w:tc>
          <w:tcPr>
            <w:tcW w:w="32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980" w:type="dxa"/>
            <w:vAlign w:val="bottom"/>
          </w:tcPr>
          <w:p>
            <w:pPr>
              <w:jc w:val="right"/>
              <w:ind w:right="861"/>
              <w:spacing w:after="0"/>
              <w:rPr>
                <w:sz w:val="20"/>
                <w:szCs w:val="20"/>
                <w:color w:val="auto"/>
              </w:rPr>
            </w:pPr>
            <w:r>
              <w:rPr>
                <w:rFonts w:ascii="Arial" w:cs="Arial" w:eastAsia="Arial" w:hAnsi="Arial"/>
                <w:sz w:val="13"/>
                <w:szCs w:val="13"/>
                <w:color w:val="auto"/>
              </w:rPr>
              <w:t>4</w:t>
            </w: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980" w:type="dxa"/>
            <w:vAlign w:val="bottom"/>
            <w:shd w:val="clear" w:color="auto" w:fill="CFF0FC"/>
          </w:tcPr>
          <w:p>
            <w:pPr>
              <w:jc w:val="right"/>
              <w:ind w:right="861"/>
              <w:spacing w:after="0"/>
              <w:rPr>
                <w:sz w:val="20"/>
                <w:szCs w:val="20"/>
                <w:color w:val="auto"/>
              </w:rPr>
            </w:pPr>
            <w:r>
              <w:rPr>
                <w:rFonts w:ascii="Arial" w:cs="Arial" w:eastAsia="Arial" w:hAnsi="Arial"/>
                <w:sz w:val="13"/>
                <w:szCs w:val="13"/>
                <w:color w:val="auto"/>
              </w:rPr>
              <w:t>5</w:t>
            </w:r>
          </w:p>
        </w:tc>
        <w:tc>
          <w:tcPr>
            <w:tcW w:w="32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320" w:type="dxa"/>
            <w:vAlign w:val="bottom"/>
            <w:shd w:val="clear" w:color="auto" w:fill="CFF0FC"/>
          </w:tcPr>
          <w:p>
            <w:pPr>
              <w:jc w:val="right"/>
              <w:ind w:right="46"/>
              <w:spacing w:after="0"/>
              <w:rPr>
                <w:sz w:val="20"/>
                <w:szCs w:val="20"/>
                <w:color w:val="auto"/>
              </w:rPr>
            </w:pPr>
            <w:r>
              <w:rPr>
                <w:rFonts w:ascii="Arial" w:cs="Arial" w:eastAsia="Arial" w:hAnsi="Arial"/>
                <w:sz w:val="11"/>
                <w:szCs w:val="11"/>
                <w:color w:val="auto"/>
              </w:rPr>
              <w:t>(1)</w:t>
            </w:r>
          </w:p>
        </w:tc>
        <w:tc>
          <w:tcPr>
            <w:tcW w:w="148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340" w:type="dxa"/>
            <w:vAlign w:val="bottom"/>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32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(1)</w:t>
            </w:r>
          </w:p>
        </w:tc>
        <w:tc>
          <w:tcPr>
            <w:tcW w:w="460" w:type="dxa"/>
            <w:vAlign w:val="bottom"/>
            <w:tcBorders>
              <w:bottom w:val="single" w:sz="8" w:color="auto"/>
            </w:tcBorders>
            <w:shd w:val="clear" w:color="auto" w:fill="CFF0FC"/>
          </w:tcPr>
          <w:p>
            <w:pPr>
              <w:spacing w:after="0"/>
              <w:rPr>
                <w:sz w:val="13"/>
                <w:szCs w:val="13"/>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300" w:type="dxa"/>
            <w:vAlign w:val="bottom"/>
            <w:gridSpan w:val="2"/>
          </w:tcPr>
          <w:p>
            <w:pPr>
              <w:jc w:val="center"/>
              <w:ind w:right="340"/>
              <w:spacing w:after="0"/>
              <w:rPr>
                <w:sz w:val="20"/>
                <w:szCs w:val="20"/>
                <w:color w:val="auto"/>
              </w:rPr>
            </w:pPr>
            <w:r>
              <w:rPr>
                <w:rFonts w:ascii="Arial" w:cs="Arial" w:eastAsia="Arial" w:hAnsi="Arial"/>
                <w:sz w:val="13"/>
                <w:szCs w:val="13"/>
                <w:color w:val="auto"/>
                <w:w w:val="82"/>
              </w:rPr>
              <w:t>Total</w:t>
            </w:r>
          </w:p>
        </w:tc>
        <w:tc>
          <w:tcPr>
            <w:tcW w:w="360" w:type="dxa"/>
            <w:vAlign w:val="bottom"/>
          </w:tcPr>
          <w:p>
            <w:pPr>
              <w:jc w:val="right"/>
              <w:ind w:right="253"/>
              <w:spacing w:after="0"/>
              <w:rPr>
                <w:sz w:val="20"/>
                <w:szCs w:val="20"/>
                <w:color w:val="auto"/>
              </w:rPr>
            </w:pPr>
            <w:r>
              <w:rPr>
                <w:rFonts w:ascii="Arial" w:cs="Arial" w:eastAsia="Arial" w:hAnsi="Arial"/>
                <w:sz w:val="9"/>
                <w:szCs w:val="9"/>
                <w:color w:val="auto"/>
                <w:w w:val="78"/>
              </w:rPr>
              <w:t>$</w:t>
            </w:r>
          </w:p>
        </w:tc>
        <w:tc>
          <w:tcPr>
            <w:tcW w:w="1600" w:type="dxa"/>
            <w:vAlign w:val="bottom"/>
          </w:tcPr>
          <w:p>
            <w:pPr>
              <w:jc w:val="right"/>
              <w:spacing w:after="0"/>
              <w:rPr>
                <w:sz w:val="20"/>
                <w:szCs w:val="20"/>
                <w:color w:val="auto"/>
              </w:rPr>
            </w:pPr>
            <w:r>
              <w:rPr>
                <w:rFonts w:ascii="Arial" w:cs="Arial" w:eastAsia="Arial" w:hAnsi="Arial"/>
                <w:sz w:val="13"/>
                <w:szCs w:val="13"/>
                <w:color w:val="auto"/>
              </w:rPr>
              <w:t>2,451.9</w:t>
            </w: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100.0%</w:t>
            </w:r>
          </w:p>
        </w:tc>
        <w:tc>
          <w:tcPr>
            <w:tcW w:w="800" w:type="dxa"/>
            <w:vAlign w:val="bottom"/>
          </w:tcPr>
          <w:p>
            <w:pPr>
              <w:jc w:val="right"/>
              <w:ind w:right="665"/>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2,521.6</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28"/>
        </w:trPr>
        <w:tc>
          <w:tcPr>
            <w:tcW w:w="1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4" w:hanging="504"/>
        <w:spacing w:after="0"/>
        <w:tabs>
          <w:tab w:leader="none" w:pos="504"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investments with an amortized cost of $1.5 million for which the fair value as of March 31, 2022 and December 31, 2021 was $0.</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Results of Operations</w:t>
      </w:r>
    </w:p>
    <w:p>
      <w:pPr>
        <w:spacing w:after="0" w:line="81" w:lineRule="exact"/>
        <w:rPr>
          <w:sz w:val="20"/>
          <w:szCs w:val="20"/>
          <w:color w:val="auto"/>
        </w:rPr>
      </w:pPr>
    </w:p>
    <w:p>
      <w:pPr>
        <w:ind w:left="264"/>
        <w:spacing w:after="0"/>
        <w:rPr>
          <w:sz w:val="20"/>
          <w:szCs w:val="20"/>
          <w:color w:val="auto"/>
        </w:rPr>
      </w:pPr>
      <w:r>
        <w:rPr>
          <w:rFonts w:ascii="Arial" w:cs="Arial" w:eastAsia="Arial" w:hAnsi="Arial"/>
          <w:sz w:val="13"/>
          <w:szCs w:val="13"/>
          <w:color w:val="auto"/>
        </w:rPr>
        <w:t>Operating results for the three months ended March 31, 2022 and 2021 were as follows: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37"/>
        </w:trPr>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13"/>
        </w:trPr>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96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color w:val="auto"/>
              </w:rPr>
              <w:t>($ in millions)</w:t>
            </w:r>
          </w:p>
        </w:tc>
        <w:tc>
          <w:tcPr>
            <w:tcW w:w="300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320"/>
              <w:spacing w:after="0" w:line="114" w:lineRule="exact"/>
              <w:rPr>
                <w:sz w:val="20"/>
                <w:szCs w:val="20"/>
                <w:color w:val="auto"/>
              </w:rPr>
            </w:pPr>
            <w:r>
              <w:rPr>
                <w:rFonts w:ascii="Arial" w:cs="Arial" w:eastAsia="Arial" w:hAnsi="Arial"/>
                <w:sz w:val="10"/>
                <w:szCs w:val="10"/>
                <w:b w:val="1"/>
                <w:bCs w:val="1"/>
                <w:color w:val="auto"/>
              </w:rPr>
              <w:t>March 31, 2022</w:t>
            </w:r>
          </w:p>
        </w:tc>
        <w:tc>
          <w:tcPr>
            <w:tcW w:w="32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18"/>
              <w:spacing w:after="0" w:line="114" w:lineRule="exact"/>
              <w:rPr>
                <w:sz w:val="20"/>
                <w:szCs w:val="20"/>
                <w:color w:val="auto"/>
              </w:rPr>
            </w:pPr>
            <w:r>
              <w:rPr>
                <w:rFonts w:ascii="Arial" w:cs="Arial" w:eastAsia="Arial" w:hAnsi="Arial"/>
                <w:sz w:val="10"/>
                <w:szCs w:val="10"/>
                <w:b w:val="1"/>
                <w:bCs w:val="1"/>
                <w:color w:val="auto"/>
                <w:w w:val="95"/>
              </w:rPr>
              <w:t>March 31, 2021</w:t>
            </w:r>
          </w:p>
        </w:tc>
        <w:tc>
          <w:tcPr>
            <w:tcW w:w="80" w:type="dxa"/>
            <w:vAlign w:val="bottom"/>
            <w:tcBorders>
              <w:bottom w:val="single" w:sz="8" w:color="CFF0FC"/>
            </w:tcBorders>
          </w:tcPr>
          <w:p>
            <w:pPr>
              <w:spacing w:after="0"/>
              <w:rPr>
                <w:sz w:val="9"/>
                <w:szCs w:val="9"/>
                <w:color w:val="auto"/>
              </w:rPr>
            </w:pPr>
          </w:p>
        </w:tc>
        <w:tc>
          <w:tcPr>
            <w:tcW w:w="600" w:type="dxa"/>
            <w:vAlign w:val="bottom"/>
          </w:tcPr>
          <w:p>
            <w:pPr>
              <w:spacing w:after="0"/>
              <w:rPr>
                <w:sz w:val="9"/>
                <w:szCs w:val="9"/>
                <w:color w:val="auto"/>
              </w:rPr>
            </w:pPr>
          </w:p>
        </w:tc>
      </w:tr>
      <w:tr>
        <w:trPr>
          <w:trHeight w:val="150"/>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3"/>
                <w:szCs w:val="13"/>
                <w:color w:val="auto"/>
              </w:rPr>
              <w:t>Total investment income</w:t>
            </w:r>
          </w:p>
        </w:tc>
        <w:tc>
          <w:tcPr>
            <w:tcW w:w="322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66.2</w:t>
            </w:r>
          </w:p>
        </w:tc>
        <w:tc>
          <w:tcPr>
            <w:tcW w:w="8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320" w:type="dxa"/>
            <w:vAlign w:val="bottom"/>
          </w:tcPr>
          <w:p>
            <w:pPr>
              <w:spacing w:after="0"/>
              <w:rPr>
                <w:sz w:val="13"/>
                <w:szCs w:val="13"/>
                <w:color w:val="auto"/>
              </w:rPr>
            </w:pPr>
          </w:p>
        </w:tc>
        <w:tc>
          <w:tcPr>
            <w:tcW w:w="4200" w:type="dxa"/>
            <w:vAlign w:val="bottom"/>
            <w:gridSpan w:val="2"/>
          </w:tcPr>
          <w:p>
            <w:pPr>
              <w:ind w:left="240"/>
              <w:spacing w:after="0"/>
              <w:rPr>
                <w:sz w:val="20"/>
                <w:szCs w:val="20"/>
                <w:color w:val="auto"/>
              </w:rPr>
            </w:pPr>
            <w:r>
              <w:rPr>
                <w:rFonts w:ascii="Arial" w:cs="Arial" w:eastAsia="Arial" w:hAnsi="Arial"/>
                <w:sz w:val="13"/>
                <w:szCs w:val="13"/>
                <w:color w:val="auto"/>
              </w:rPr>
              <w:t>Less: Net expenses</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31.4</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tcBorders>
              <w:top w:val="single" w:sz="8" w:color="CFF0FC"/>
            </w:tcBorders>
            <w:shd w:val="clear" w:color="auto" w:fill="CFF0FC"/>
          </w:tcPr>
          <w:p>
            <w:pPr>
              <w:ind w:left="180"/>
              <w:spacing w:after="0"/>
              <w:rPr>
                <w:sz w:val="20"/>
                <w:szCs w:val="20"/>
                <w:color w:val="auto"/>
              </w:rPr>
            </w:pPr>
            <w:r>
              <w:rPr>
                <w:rFonts w:ascii="Arial" w:cs="Arial" w:eastAsia="Arial" w:hAnsi="Arial"/>
                <w:sz w:val="13"/>
                <w:szCs w:val="13"/>
                <w:color w:val="auto"/>
              </w:rPr>
              <w:t>Net investment income before income taxes</w:t>
            </w:r>
          </w:p>
        </w:tc>
        <w:tc>
          <w:tcPr>
            <w:tcW w:w="30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36.0</w:t>
            </w:r>
          </w:p>
        </w:tc>
        <w:tc>
          <w:tcPr>
            <w:tcW w:w="32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32.8</w:t>
            </w:r>
          </w:p>
        </w:tc>
        <w:tc>
          <w:tcPr>
            <w:tcW w:w="80" w:type="dxa"/>
            <w:vAlign w:val="bottom"/>
            <w:tcBorders>
              <w:top w:val="single" w:sz="8" w:color="CFF0FC"/>
            </w:tcBorders>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Less: Income taxes, including excise taxes</w:t>
            </w:r>
          </w:p>
        </w:tc>
        <w:tc>
          <w:tcPr>
            <w:tcW w:w="3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3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8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r>
      <w:tr>
        <w:trPr>
          <w:trHeight w:val="150"/>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Net investment income</w:t>
            </w:r>
          </w:p>
        </w:tc>
        <w:tc>
          <w:tcPr>
            <w:tcW w:w="3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320" w:type="dxa"/>
            <w:vAlign w:val="bottom"/>
          </w:tcPr>
          <w:p>
            <w:pPr>
              <w:spacing w:after="0"/>
              <w:rPr>
                <w:sz w:val="13"/>
                <w:szCs w:val="13"/>
                <w:color w:val="auto"/>
              </w:rPr>
            </w:pPr>
          </w:p>
        </w:tc>
        <w:tc>
          <w:tcPr>
            <w:tcW w:w="4200" w:type="dxa"/>
            <w:vAlign w:val="bottom"/>
            <w:gridSpan w:val="2"/>
          </w:tcPr>
          <w:p>
            <w:pPr>
              <w:ind w:left="240"/>
              <w:spacing w:after="0"/>
              <w:rPr>
                <w:sz w:val="20"/>
                <w:szCs w:val="20"/>
                <w:color w:val="auto"/>
              </w:rPr>
            </w:pPr>
            <w:r>
              <w:rPr>
                <w:rFonts w:ascii="Arial" w:cs="Arial" w:eastAsia="Arial" w:hAnsi="Arial"/>
                <w:sz w:val="13"/>
                <w:szCs w:val="13"/>
                <w:color w:val="auto"/>
              </w:rPr>
              <w:t xml:space="preserve">Net realized gains </w:t>
            </w:r>
            <w:r>
              <w:rPr>
                <w:rFonts w:ascii="Arial" w:cs="Arial" w:eastAsia="Arial" w:hAnsi="Arial"/>
                <w:sz w:val="10"/>
                <w:szCs w:val="10"/>
                <w:color w:val="auto"/>
              </w:rPr>
              <w:t>(1)</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1"/>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3"/>
                <w:szCs w:val="13"/>
                <w:color w:val="auto"/>
              </w:rPr>
              <w:t xml:space="preserve">Net change in unrealized gains (losses) </w:t>
            </w:r>
            <w:r>
              <w:rPr>
                <w:rFonts w:ascii="Arial" w:cs="Arial" w:eastAsia="Arial" w:hAnsi="Arial"/>
                <w:sz w:val="10"/>
                <w:szCs w:val="10"/>
                <w:color w:val="auto"/>
              </w:rPr>
              <w:t>(1)</w:t>
            </w:r>
          </w:p>
        </w:tc>
        <w:tc>
          <w:tcPr>
            <w:tcW w:w="3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(8.5)</w:t>
            </w: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r>
      <w:tr>
        <w:trPr>
          <w:trHeight w:val="159"/>
        </w:trPr>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60" w:type="dxa"/>
            <w:vAlign w:val="bottom"/>
          </w:tcPr>
          <w:p>
            <w:pPr>
              <w:ind w:left="18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30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40.9</w:t>
            </w:r>
          </w:p>
        </w:tc>
        <w:tc>
          <w:tcPr>
            <w:tcW w:w="3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31"/>
        </w:trPr>
        <w:tc>
          <w:tcPr>
            <w:tcW w:w="320" w:type="dxa"/>
            <w:vAlign w:val="bottom"/>
          </w:tcPr>
          <w:p>
            <w:pPr>
              <w:jc w:val="right"/>
              <w:ind w:right="117"/>
              <w:spacing w:after="0"/>
              <w:rPr>
                <w:sz w:val="20"/>
                <w:szCs w:val="20"/>
                <w:color w:val="auto"/>
              </w:rPr>
            </w:pPr>
            <w:r>
              <w:rPr>
                <w:rFonts w:ascii="Arial" w:cs="Arial" w:eastAsia="Arial" w:hAnsi="Arial"/>
                <w:sz w:val="13"/>
                <w:szCs w:val="13"/>
                <w:color w:val="auto"/>
                <w:w w:val="75"/>
              </w:rPr>
              <w:t>(1)</w:t>
            </w:r>
          </w:p>
        </w:tc>
        <w:tc>
          <w:tcPr>
            <w:tcW w:w="4200" w:type="dxa"/>
            <w:vAlign w:val="bottom"/>
            <w:gridSpan w:val="2"/>
          </w:tcPr>
          <w:p>
            <w:pPr>
              <w:ind w:left="180"/>
              <w:spacing w:after="0"/>
              <w:rPr>
                <w:sz w:val="20"/>
                <w:szCs w:val="20"/>
                <w:color w:val="auto"/>
              </w:rPr>
            </w:pPr>
            <w:r>
              <w:rPr>
                <w:rFonts w:ascii="Arial" w:cs="Arial" w:eastAsia="Arial" w:hAnsi="Arial"/>
                <w:sz w:val="13"/>
                <w:szCs w:val="13"/>
                <w:color w:val="auto"/>
              </w:rPr>
              <w:t>Includes foreign exchange hedging activity.</w:t>
            </w: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4"/>
        </w:trPr>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0" w:type="dxa"/>
            <w:vAlign w:val="bottom"/>
          </w:tcPr>
          <w:p>
            <w:pPr>
              <w:jc w:val="right"/>
              <w:ind w:right="1757"/>
              <w:spacing w:after="0"/>
              <w:rPr>
                <w:sz w:val="20"/>
                <w:szCs w:val="20"/>
                <w:color w:val="auto"/>
              </w:rPr>
            </w:pPr>
            <w:r>
              <w:rPr>
                <w:rFonts w:ascii="Arial" w:cs="Arial" w:eastAsia="Arial" w:hAnsi="Arial"/>
                <w:sz w:val="13"/>
                <w:szCs w:val="13"/>
                <w:color w:val="auto"/>
              </w:rPr>
              <w:t>56</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5"/>
        </w:trPr>
        <w:tc>
          <w:tcPr>
            <w:tcW w:w="32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960" w:type="dxa"/>
            <w:vAlign w:val="bottom"/>
            <w:tcBorders>
              <w:bottom w:val="single" w:sz="8" w:color="9A9A9A"/>
            </w:tcBorders>
          </w:tcPr>
          <w:p>
            <w:pPr>
              <w:spacing w:after="0"/>
              <w:rPr>
                <w:sz w:val="6"/>
                <w:szCs w:val="6"/>
                <w:color w:val="auto"/>
              </w:rPr>
            </w:pPr>
          </w:p>
        </w:tc>
        <w:tc>
          <w:tcPr>
            <w:tcW w:w="3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-24130</wp:posOffset>
            </wp:positionV>
            <wp:extent cx="3111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-24130</wp:posOffset>
            </wp:positionV>
            <wp:extent cx="3111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4"/>
          </w:cols>
          <w:pgMar w:left="296" w:top="357" w:right="27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37"/>
        </w:trPr>
        <w:tc>
          <w:tcPr>
            <w:tcW w:w="42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0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3"/>
        </w:trPr>
        <w:tc>
          <w:tcPr>
            <w:tcW w:w="422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color w:val="auto"/>
              </w:rPr>
              <w:t>($ in millions)</w:t>
            </w:r>
          </w:p>
        </w:tc>
        <w:tc>
          <w:tcPr>
            <w:tcW w:w="2740" w:type="dxa"/>
            <w:vAlign w:val="bottom"/>
            <w:tcBorders>
              <w:bottom w:val="single" w:sz="8" w:color="CFF0FC"/>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321"/>
              <w:spacing w:after="0" w:line="114" w:lineRule="exact"/>
              <w:rPr>
                <w:sz w:val="20"/>
                <w:szCs w:val="20"/>
                <w:color w:val="auto"/>
              </w:rPr>
            </w:pPr>
            <w:r>
              <w:rPr>
                <w:rFonts w:ascii="Arial" w:cs="Arial" w:eastAsia="Arial" w:hAnsi="Arial"/>
                <w:sz w:val="10"/>
                <w:szCs w:val="10"/>
                <w:b w:val="1"/>
                <w:bCs w:val="1"/>
                <w:color w:val="auto"/>
              </w:rPr>
              <w:t>March 31, 2022</w:t>
            </w:r>
          </w:p>
        </w:tc>
        <w:tc>
          <w:tcPr>
            <w:tcW w:w="32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20"/>
              <w:spacing w:after="0" w:line="114" w:lineRule="exact"/>
              <w:rPr>
                <w:sz w:val="20"/>
                <w:szCs w:val="20"/>
                <w:color w:val="auto"/>
              </w:rPr>
            </w:pPr>
            <w:r>
              <w:rPr>
                <w:rFonts w:ascii="Arial" w:cs="Arial" w:eastAsia="Arial" w:hAnsi="Arial"/>
                <w:sz w:val="10"/>
                <w:szCs w:val="10"/>
                <w:b w:val="1"/>
                <w:bCs w:val="1"/>
                <w:color w:val="auto"/>
                <w:w w:val="95"/>
              </w:rPr>
              <w:t>March 31, 2021</w:t>
            </w:r>
          </w:p>
        </w:tc>
        <w:tc>
          <w:tcPr>
            <w:tcW w:w="80" w:type="dxa"/>
            <w:vAlign w:val="bottom"/>
            <w:tcBorders>
              <w:bottom w:val="single" w:sz="8" w:color="CFF0FC"/>
            </w:tcBorders>
          </w:tcPr>
          <w:p>
            <w:pPr>
              <w:spacing w:after="0"/>
              <w:rPr>
                <w:sz w:val="9"/>
                <w:szCs w:val="9"/>
                <w:color w:val="auto"/>
              </w:rPr>
            </w:pPr>
          </w:p>
        </w:tc>
      </w:tr>
      <w:tr>
        <w:trPr>
          <w:trHeight w:val="150"/>
        </w:trPr>
        <w:tc>
          <w:tcPr>
            <w:tcW w:w="4220" w:type="dxa"/>
            <w:vAlign w:val="bottom"/>
            <w:shd w:val="clear" w:color="auto" w:fill="CFF0FC"/>
          </w:tcPr>
          <w:p>
            <w:pPr>
              <w:spacing w:after="0"/>
              <w:rPr>
                <w:sz w:val="20"/>
                <w:szCs w:val="20"/>
                <w:color w:val="auto"/>
              </w:rPr>
            </w:pPr>
            <w:r>
              <w:rPr>
                <w:rFonts w:ascii="Arial" w:cs="Arial" w:eastAsia="Arial" w:hAnsi="Arial"/>
                <w:sz w:val="13"/>
                <w:szCs w:val="13"/>
                <w:color w:val="auto"/>
              </w:rPr>
              <w:t>Interest from investments</w:t>
            </w:r>
          </w:p>
        </w:tc>
        <w:tc>
          <w:tcPr>
            <w:tcW w:w="2960" w:type="dxa"/>
            <w:vAlign w:val="bottom"/>
            <w:gridSpan w:val="2"/>
            <w:shd w:val="clear" w:color="auto" w:fill="CFF0FC"/>
          </w:tcPr>
          <w:p>
            <w:pPr>
              <w:jc w:val="right"/>
              <w:ind w:right="113"/>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w:t>
            </w:r>
          </w:p>
        </w:tc>
        <w:tc>
          <w:tcPr>
            <w:tcW w:w="32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13"/>
              <w:spacing w:after="0"/>
              <w:rPr>
                <w:sz w:val="20"/>
                <w:szCs w:val="20"/>
                <w:color w:val="auto"/>
              </w:rPr>
            </w:pPr>
            <w:r>
              <w:rPr>
                <w:rFonts w:ascii="Arial" w:cs="Arial" w:eastAsia="Arial" w:hAnsi="Arial"/>
                <w:sz w:val="9"/>
                <w:szCs w:val="9"/>
                <w:color w:val="auto"/>
                <w:w w:val="78"/>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w:t>
            </w:r>
          </w:p>
        </w:tc>
        <w:tc>
          <w:tcPr>
            <w:tcW w:w="80" w:type="dxa"/>
            <w:vAlign w:val="bottom"/>
            <w:shd w:val="clear" w:color="auto" w:fill="CFF0FC"/>
          </w:tcPr>
          <w:p>
            <w:pPr>
              <w:spacing w:after="0"/>
              <w:rPr>
                <w:sz w:val="13"/>
                <w:szCs w:val="13"/>
                <w:color w:val="auto"/>
              </w:rPr>
            </w:pPr>
          </w:p>
        </w:tc>
      </w:tr>
      <w:tr>
        <w:trPr>
          <w:trHeight w:val="161"/>
        </w:trPr>
        <w:tc>
          <w:tcPr>
            <w:tcW w:w="4220" w:type="dxa"/>
            <w:vAlign w:val="bottom"/>
          </w:tcPr>
          <w:p>
            <w:pPr>
              <w:spacing w:after="0"/>
              <w:rPr>
                <w:sz w:val="20"/>
                <w:szCs w:val="20"/>
                <w:color w:val="auto"/>
              </w:rPr>
            </w:pPr>
            <w:r>
              <w:rPr>
                <w:rFonts w:ascii="Arial" w:cs="Arial" w:eastAsia="Arial" w:hAnsi="Arial"/>
                <w:sz w:val="13"/>
                <w:szCs w:val="13"/>
                <w:color w:val="auto"/>
              </w:rPr>
              <w:t>Dividend income</w:t>
            </w:r>
          </w:p>
        </w:tc>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0.2</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3"/>
                <w:szCs w:val="13"/>
                <w:color w:val="auto"/>
              </w:rPr>
            </w:pPr>
          </w:p>
        </w:tc>
      </w:tr>
      <w:tr>
        <w:trPr>
          <w:trHeight w:val="161"/>
        </w:trPr>
        <w:tc>
          <w:tcPr>
            <w:tcW w:w="422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274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320" w:type="dxa"/>
            <w:vAlign w:val="bottom"/>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80" w:type="dxa"/>
            <w:vAlign w:val="bottom"/>
            <w:shd w:val="clear" w:color="auto" w:fill="CFF0FC"/>
          </w:tcPr>
          <w:p>
            <w:pPr>
              <w:spacing w:after="0"/>
              <w:rPr>
                <w:sz w:val="13"/>
                <w:szCs w:val="13"/>
                <w:color w:val="auto"/>
              </w:rPr>
            </w:pPr>
          </w:p>
        </w:tc>
      </w:tr>
      <w:tr>
        <w:trPr>
          <w:trHeight w:val="159"/>
        </w:trPr>
        <w:tc>
          <w:tcPr>
            <w:tcW w:w="4220" w:type="dxa"/>
            <w:vAlign w:val="bottom"/>
          </w:tcPr>
          <w:p>
            <w:pPr>
              <w:ind w:left="180"/>
              <w:spacing w:after="0"/>
              <w:rPr>
                <w:sz w:val="20"/>
                <w:szCs w:val="20"/>
                <w:color w:val="auto"/>
              </w:rPr>
            </w:pPr>
            <w:r>
              <w:rPr>
                <w:rFonts w:ascii="Arial" w:cs="Arial" w:eastAsia="Arial" w:hAnsi="Arial"/>
                <w:sz w:val="13"/>
                <w:szCs w:val="13"/>
                <w:b w:val="1"/>
                <w:bCs w:val="1"/>
                <w:color w:val="auto"/>
              </w:rPr>
              <w:t>Total investment income</w:t>
            </w:r>
          </w:p>
        </w:tc>
        <w:tc>
          <w:tcPr>
            <w:tcW w:w="2740" w:type="dxa"/>
            <w:vAlign w:val="bottom"/>
          </w:tcPr>
          <w:p>
            <w:pPr>
              <w:spacing w:after="0"/>
              <w:rPr>
                <w:sz w:val="13"/>
                <w:szCs w:val="13"/>
                <w:color w:val="auto"/>
              </w:rPr>
            </w:pPr>
          </w:p>
        </w:tc>
        <w:tc>
          <w:tcPr>
            <w:tcW w:w="220" w:type="dxa"/>
            <w:vAlign w:val="bottom"/>
            <w:tcBorders>
              <w:bottom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w:t>
            </w:r>
          </w:p>
        </w:tc>
        <w:tc>
          <w:tcPr>
            <w:tcW w:w="320" w:type="dxa"/>
            <w:vAlign w:val="bottom"/>
          </w:tcPr>
          <w:p>
            <w:pPr>
              <w:spacing w:after="0"/>
              <w:rPr>
                <w:sz w:val="13"/>
                <w:szCs w:val="13"/>
                <w:color w:val="auto"/>
              </w:rPr>
            </w:pP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66.2</w:t>
            </w:r>
          </w:p>
        </w:tc>
        <w:tc>
          <w:tcPr>
            <w:tcW w:w="80" w:type="dxa"/>
            <w:vAlign w:val="bottom"/>
          </w:tcPr>
          <w:p>
            <w:pPr>
              <w:spacing w:after="0"/>
              <w:rPr>
                <w:sz w:val="13"/>
                <w:szCs w:val="13"/>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Interest from investments, which includes amortization of upfront fees and prepayment fees, increased from $62.9 million for the three months ended March 31, 2021 to $65.4 million for the three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March 31, 2022. The increase in interest from investments was primarily the result of an increase in prepayment fees related to paydowns, and an increase in interest earned due to a larger average portfolio size for the period</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ended March 31, 2022 compared to the same period in 2021. Accelerated amortization of upfront fees, which were primarily from unscheduled paydowns, decreased from $4.6 million for the three months ended March 31,</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2021 to $1.8 million for the three months ended March 31, 2022. Prepayment fees increased from $3.4 million for the three months ended March 31, 2021 to $5.1 million for the three months ended March 31, 2022.</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Accelerated amortization of upfront fees and prepayment fees primarily resulted from full paydowns on three portfolio investments, partial paydowns on one portfolio investment, and earning prepayment fees on three</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portfolio investments during the three months ended March 31, 2021. Accelerated amortization of upfront fees and prepayment fees primarily resulted from full paydowns on four portfolio investments, partial paydowns on</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four portfolio investments, a partial realization of one portfolio investment and earning prepayment fees on seven portfolio investments during the three months ended March 31, 2022. Other income decreased from $2.3</w:t>
      </w:r>
    </w:p>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million for the three months ended March 31, 2021 to $1.8 million for the three months ended March 31, 2022, primarily due to decreased amendment and other fees during the three months ended March 31, 2022 compared</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to the same period in 2021.</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Operating expenses for the three months ended March 31, 2022 and 2021 were as follows: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19"/>
        </w:trPr>
        <w:tc>
          <w:tcPr>
            <w:tcW w:w="4940" w:type="dxa"/>
            <w:vAlign w:val="bottom"/>
            <w:vMerge w:val="restart"/>
          </w:tcPr>
          <w:p>
            <w:pPr>
              <w:spacing w:after="0"/>
              <w:rPr>
                <w:sz w:val="20"/>
                <w:szCs w:val="20"/>
                <w:color w:val="auto"/>
              </w:rPr>
            </w:pPr>
            <w:r>
              <w:rPr>
                <w:rFonts w:ascii="Arial" w:cs="Arial" w:eastAsia="Arial" w:hAnsi="Arial"/>
                <w:sz w:val="10"/>
                <w:szCs w:val="10"/>
                <w:color w:val="auto"/>
              </w:rPr>
              <w:t>($ in millions)</w:t>
            </w:r>
          </w:p>
        </w:tc>
        <w:tc>
          <w:tcPr>
            <w:tcW w:w="20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940" w:type="dxa"/>
            <w:vAlign w:val="bottom"/>
            <w:tcBorders>
              <w:bottom w:val="single" w:sz="8" w:color="CFF0FC"/>
            </w:tcBorders>
            <w:vMerge w:val="continue"/>
          </w:tcPr>
          <w:p>
            <w:pPr>
              <w:spacing w:after="0"/>
              <w:rPr>
                <w:sz w:val="8"/>
                <w:szCs w:val="8"/>
                <w:color w:val="auto"/>
              </w:rPr>
            </w:pPr>
          </w:p>
        </w:tc>
        <w:tc>
          <w:tcPr>
            <w:tcW w:w="2080" w:type="dxa"/>
            <w:vAlign w:val="bottom"/>
            <w:tcBorders>
              <w:bottom w:val="single" w:sz="8" w:color="CFF0FC"/>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jc w:val="right"/>
              <w:ind w:right="320"/>
              <w:spacing w:after="0" w:line="103" w:lineRule="exact"/>
              <w:rPr>
                <w:sz w:val="20"/>
                <w:szCs w:val="20"/>
                <w:color w:val="auto"/>
              </w:rPr>
            </w:pPr>
            <w:r>
              <w:rPr>
                <w:rFonts w:ascii="Arial" w:cs="Arial" w:eastAsia="Arial" w:hAnsi="Arial"/>
                <w:sz w:val="10"/>
                <w:szCs w:val="10"/>
                <w:b w:val="1"/>
                <w:bCs w:val="1"/>
                <w:color w:val="auto"/>
              </w:rPr>
              <w:t>March 31, 2022</w:t>
            </w:r>
          </w:p>
        </w:tc>
        <w:tc>
          <w:tcPr>
            <w:tcW w:w="26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318"/>
              <w:spacing w:after="0" w:line="103" w:lineRule="exact"/>
              <w:rPr>
                <w:sz w:val="20"/>
                <w:szCs w:val="20"/>
                <w:color w:val="auto"/>
              </w:rPr>
            </w:pPr>
            <w:r>
              <w:rPr>
                <w:rFonts w:ascii="Arial" w:cs="Arial" w:eastAsia="Arial" w:hAnsi="Arial"/>
                <w:sz w:val="10"/>
                <w:szCs w:val="10"/>
                <w:b w:val="1"/>
                <w:bCs w:val="1"/>
                <w:color w:val="auto"/>
                <w:w w:val="92"/>
              </w:rPr>
              <w:t>March 31, 2021</w:t>
            </w:r>
          </w:p>
        </w:tc>
        <w:tc>
          <w:tcPr>
            <w:tcW w:w="80" w:type="dxa"/>
            <w:vAlign w:val="bottom"/>
            <w:tcBorders>
              <w:bottom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940" w:type="dxa"/>
            <w:vAlign w:val="bottom"/>
            <w:shd w:val="clear" w:color="auto" w:fill="CFF0FC"/>
          </w:tcPr>
          <w:p>
            <w:pPr>
              <w:spacing w:after="0"/>
              <w:rPr>
                <w:sz w:val="20"/>
                <w:szCs w:val="20"/>
                <w:color w:val="auto"/>
              </w:rPr>
            </w:pPr>
            <w:r>
              <w:rPr>
                <w:rFonts w:ascii="Arial" w:cs="Arial" w:eastAsia="Arial" w:hAnsi="Arial"/>
                <w:sz w:val="13"/>
                <w:szCs w:val="13"/>
                <w:color w:val="auto"/>
              </w:rPr>
              <w:t>Interest</w:t>
            </w:r>
          </w:p>
        </w:tc>
        <w:tc>
          <w:tcPr>
            <w:tcW w:w="22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3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20"/>
                <w:szCs w:val="20"/>
                <w:color w:val="auto"/>
              </w:rPr>
            </w:pPr>
            <w:r>
              <w:rPr>
                <w:rFonts w:ascii="Arial" w:cs="Arial" w:eastAsia="Arial" w:hAnsi="Arial"/>
                <w:sz w:val="13"/>
                <w:szCs w:val="13"/>
                <w:color w:val="auto"/>
              </w:rPr>
              <w:t>Management fees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9.3</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40" w:type="dxa"/>
            <w:vAlign w:val="bottom"/>
            <w:shd w:val="clear" w:color="auto" w:fill="CFF0FC"/>
          </w:tcPr>
          <w:p>
            <w:pPr>
              <w:spacing w:after="0"/>
              <w:rPr>
                <w:sz w:val="20"/>
                <w:szCs w:val="20"/>
                <w:color w:val="auto"/>
              </w:rPr>
            </w:pPr>
            <w:r>
              <w:rPr>
                <w:rFonts w:ascii="Arial" w:cs="Arial" w:eastAsia="Arial" w:hAnsi="Arial"/>
                <w:sz w:val="13"/>
                <w:szCs w:val="13"/>
                <w:color w:val="auto"/>
              </w:rPr>
              <w:t>Incentive fees related to pre-incentive fee net investment</w:t>
            </w:r>
          </w:p>
        </w:tc>
        <w:tc>
          <w:tcPr>
            <w:tcW w:w="2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9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income</w:t>
            </w:r>
          </w:p>
        </w:tc>
        <w:tc>
          <w:tcPr>
            <w:tcW w:w="2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20"/>
                <w:szCs w:val="20"/>
                <w:color w:val="auto"/>
              </w:rPr>
            </w:pPr>
            <w:r>
              <w:rPr>
                <w:rFonts w:ascii="Arial" w:cs="Arial" w:eastAsia="Arial" w:hAnsi="Arial"/>
                <w:sz w:val="13"/>
                <w:szCs w:val="13"/>
                <w:color w:val="auto"/>
              </w:rPr>
              <w:t>Incentive fees related to realized/unrealized capital gains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40" w:type="dxa"/>
            <w:vAlign w:val="bottom"/>
            <w:shd w:val="clear" w:color="auto" w:fill="CFF0FC"/>
          </w:tcPr>
          <w:p>
            <w:pPr>
              <w:spacing w:after="0"/>
              <w:rPr>
                <w:sz w:val="20"/>
                <w:szCs w:val="20"/>
                <w:color w:val="auto"/>
              </w:rPr>
            </w:pPr>
            <w:r>
              <w:rPr>
                <w:rFonts w:ascii="Arial" w:cs="Arial" w:eastAsia="Arial" w:hAnsi="Arial"/>
                <w:sz w:val="13"/>
                <w:szCs w:val="13"/>
                <w:color w:val="auto"/>
              </w:rPr>
              <w:t>Professional fees</w:t>
            </w:r>
          </w:p>
        </w:tc>
        <w:tc>
          <w:tcPr>
            <w:tcW w:w="20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20"/>
                <w:szCs w:val="20"/>
                <w:color w:val="auto"/>
              </w:rPr>
            </w:pPr>
            <w:r>
              <w:rPr>
                <w:rFonts w:ascii="Arial" w:cs="Arial" w:eastAsia="Arial" w:hAnsi="Arial"/>
                <w:sz w:val="13"/>
                <w:szCs w:val="13"/>
                <w:color w:val="auto"/>
              </w:rPr>
              <w:t>Directors fees</w:t>
            </w: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0.2</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940" w:type="dxa"/>
            <w:vAlign w:val="bottom"/>
            <w:shd w:val="clear" w:color="auto" w:fill="CFF0FC"/>
          </w:tcPr>
          <w:p>
            <w:pPr>
              <w:spacing w:after="0"/>
              <w:rPr>
                <w:sz w:val="20"/>
                <w:szCs w:val="20"/>
                <w:color w:val="auto"/>
              </w:rPr>
            </w:pPr>
            <w:r>
              <w:rPr>
                <w:rFonts w:ascii="Arial" w:cs="Arial" w:eastAsia="Arial" w:hAnsi="Arial"/>
                <w:sz w:val="13"/>
                <w:szCs w:val="13"/>
                <w:color w:val="auto"/>
              </w:rPr>
              <w:t>Other general and administrative</w:t>
            </w:r>
          </w:p>
        </w:tc>
        <w:tc>
          <w:tcPr>
            <w:tcW w:w="20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940" w:type="dxa"/>
            <w:vAlign w:val="bottom"/>
          </w:tcPr>
          <w:p>
            <w:pPr>
              <w:spacing w:after="0"/>
              <w:rPr>
                <w:sz w:val="20"/>
                <w:szCs w:val="20"/>
                <w:color w:val="auto"/>
              </w:rPr>
            </w:pPr>
            <w:r>
              <w:rPr>
                <w:rFonts w:ascii="Arial" w:cs="Arial" w:eastAsia="Arial" w:hAnsi="Arial"/>
                <w:sz w:val="13"/>
                <w:szCs w:val="13"/>
                <w:b w:val="1"/>
                <w:bCs w:val="1"/>
                <w:color w:val="auto"/>
              </w:rPr>
              <w:t>Net Expenses</w:t>
            </w:r>
          </w:p>
        </w:tc>
        <w:tc>
          <w:tcPr>
            <w:tcW w:w="22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31.4</w:t>
            </w:r>
          </w:p>
        </w:tc>
        <w:tc>
          <w:tcPr>
            <w:tcW w:w="260" w:type="dxa"/>
            <w:vAlign w:val="bottom"/>
          </w:tcPr>
          <w:p>
            <w:pPr>
              <w:spacing w:after="0"/>
              <w:rPr>
                <w:sz w:val="13"/>
                <w:szCs w:val="13"/>
                <w:color w:val="auto"/>
              </w:rPr>
            </w:pPr>
          </w:p>
        </w:tc>
        <w:tc>
          <w:tcPr>
            <w:tcW w:w="340" w:type="dxa"/>
            <w:vAlign w:val="bottom"/>
          </w:tcPr>
          <w:p>
            <w:pPr>
              <w:jc w:val="right"/>
              <w:ind w:right="23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9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Interest</w:t>
      </w:r>
    </w:p>
    <w:p>
      <w:pPr>
        <w:spacing w:after="0" w:line="77"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Interest expense, including other debt financing expenses, increased from $9.0 million for the three months ended March 31, 2021 to $9.6 million for the three months ended March 31, 2022. This increase was primarily due to an increase in the average debt outstanding from $1,112.7 million for the three months ended March 31, 2021 to $1,211.0 million for the three months ended March 31, 2022. The average interest rate on our debt outstanding remained constant at 2.3% for the three months ended March 31, 2022 and 2021.</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Management Fees</w:t>
      </w:r>
    </w:p>
    <w:p>
      <w:pPr>
        <w:spacing w:after="0" w:line="77" w:lineRule="exact"/>
        <w:rPr>
          <w:sz w:val="20"/>
          <w:szCs w:val="20"/>
          <w:color w:val="auto"/>
        </w:rPr>
      </w:pPr>
    </w:p>
    <w:p>
      <w:pPr>
        <w:ind w:right="260" w:firstLine="256"/>
        <w:spacing w:after="0" w:line="301" w:lineRule="auto"/>
        <w:rPr>
          <w:sz w:val="20"/>
          <w:szCs w:val="20"/>
          <w:color w:val="auto"/>
        </w:rPr>
      </w:pPr>
      <w:r>
        <w:rPr>
          <w:rFonts w:ascii="Arial" w:cs="Arial" w:eastAsia="Arial" w:hAnsi="Arial"/>
          <w:sz w:val="12"/>
          <w:szCs w:val="12"/>
          <w:color w:val="auto"/>
        </w:rPr>
        <w:t>Management Fees increased from $8.7 million for the three months ended March 31, 2021 to $9.3 million for the three months ended March 31, 2022 due to an increase in average assets for the three months ended March 31, 2022 compared to the same period in 2021. The Adviser did not waive any Management Fees for the three months ended March 31, 2022 and 2021.</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386" w:right="339" w:bottom="1440" w:gutter="0" w:footer="0" w:header="0"/>
        </w:sectPr>
      </w:pPr>
    </w:p>
    <w:bookmarkStart w:id="57" w:name="page58"/>
    <w:bookmarkEnd w:id="57"/>
    <w:p>
      <w:pPr>
        <w:ind w:left="260"/>
        <w:spacing w:after="0"/>
        <w:rPr>
          <w:sz w:val="20"/>
          <w:szCs w:val="20"/>
          <w:color w:val="auto"/>
        </w:rPr>
      </w:pPr>
      <w:r>
        <w:rPr>
          <w:rFonts w:ascii="Arial" w:cs="Arial" w:eastAsia="Arial" w:hAnsi="Arial"/>
          <w:sz w:val="13"/>
          <w:szCs w:val="13"/>
          <w:i w:val="1"/>
          <w:iCs w:val="1"/>
          <w:color w:val="auto"/>
        </w:rPr>
        <w:t>Incentive Fees</w:t>
      </w:r>
    </w:p>
    <w:p>
      <w:pPr>
        <w:spacing w:after="0" w:line="77" w:lineRule="exact"/>
        <w:rPr>
          <w:sz w:val="20"/>
          <w:szCs w:val="20"/>
          <w:color w:val="auto"/>
        </w:rPr>
      </w:pPr>
    </w:p>
    <w:p>
      <w:pPr>
        <w:ind w:right="40" w:firstLine="256"/>
        <w:spacing w:after="0" w:line="247" w:lineRule="auto"/>
        <w:rPr>
          <w:sz w:val="20"/>
          <w:szCs w:val="20"/>
          <w:color w:val="auto"/>
        </w:rPr>
      </w:pPr>
      <w:r>
        <w:rPr>
          <w:rFonts w:ascii="Arial" w:cs="Arial" w:eastAsia="Arial" w:hAnsi="Arial"/>
          <w:sz w:val="13"/>
          <w:szCs w:val="13"/>
          <w:color w:val="auto"/>
        </w:rPr>
        <w:t>Incentive Fees related to pre-Incentive Fee net investment income increased from $7.8 million for the three months ended March 31, 2021 to $7.9 million for the three months ended March 31, 2022. This increase resulted from an increase in interest from investments and an increase in prepayment fees for the three months ended March 31, 2022. The Adviser did not waive any Incentive Fees related to pre-Incentive Fee net investment income for the three months ended March 31, 2022 or 2021. For the three months ended March 31, 2022 and 2021, $1.4 million and $4.5 million, respectively, of Incentive Fees were accrued related to cumulative unrealized capital gains in excess of cumulative net realized capital gains less cumulative unrealized losses and capital gains incentive fees paid inception to date. As of March 31, 2022, these accrued Incentive Fees are not contractually payable to the Adviser.</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3"/>
          <w:szCs w:val="13"/>
          <w:i w:val="1"/>
          <w:iCs w:val="1"/>
          <w:color w:val="auto"/>
        </w:rPr>
        <w:t>Professional Fees and Other General and Administrative Expenses</w:t>
      </w:r>
    </w:p>
    <w:p>
      <w:pPr>
        <w:spacing w:after="0" w:line="77" w:lineRule="exact"/>
        <w:rPr>
          <w:sz w:val="20"/>
          <w:szCs w:val="20"/>
          <w:color w:val="auto"/>
        </w:rPr>
      </w:pPr>
    </w:p>
    <w:p>
      <w:pPr>
        <w:ind w:right="560" w:firstLine="256"/>
        <w:spacing w:after="0" w:line="260" w:lineRule="auto"/>
        <w:rPr>
          <w:sz w:val="20"/>
          <w:szCs w:val="20"/>
          <w:color w:val="auto"/>
        </w:rPr>
      </w:pPr>
      <w:r>
        <w:rPr>
          <w:rFonts w:ascii="Arial" w:cs="Arial" w:eastAsia="Arial" w:hAnsi="Arial"/>
          <w:sz w:val="13"/>
          <w:szCs w:val="13"/>
          <w:color w:val="auto"/>
        </w:rPr>
        <w:t>Professional fees increased from $1.4 million for the three months ended March 31, 2021 to $1.5 million for the three months ended March 31, 2022. Other general and administrative expenses decreased from $1.8 million for the three months ended March 31, 2021 to $1.5 million for the three months ended March 31, 2022.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Income Taxes, Including Excise Taxes</w:t>
      </w:r>
    </w:p>
    <w:p>
      <w:pPr>
        <w:spacing w:after="0" w:line="77" w:lineRule="exact"/>
        <w:rPr>
          <w:sz w:val="20"/>
          <w:szCs w:val="20"/>
          <w:color w:val="auto"/>
        </w:rPr>
      </w:pPr>
    </w:p>
    <w:p>
      <w:pPr>
        <w:ind w:right="160" w:firstLine="256"/>
        <w:spacing w:after="0" w:line="319" w:lineRule="auto"/>
        <w:rPr>
          <w:sz w:val="20"/>
          <w:szCs w:val="20"/>
          <w:color w:val="auto"/>
        </w:rPr>
      </w:pPr>
      <w:r>
        <w:rPr>
          <w:rFonts w:ascii="Arial" w:cs="Arial" w:eastAsia="Arial" w:hAnsi="Arial"/>
          <w:sz w:val="11"/>
          <w:szCs w:val="11"/>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01" w:lineRule="exact"/>
        <w:rPr>
          <w:sz w:val="20"/>
          <w:szCs w:val="20"/>
          <w:color w:val="auto"/>
        </w:rPr>
      </w:pPr>
    </w:p>
    <w:p>
      <w:pPr>
        <w:ind w:right="20" w:firstLine="256"/>
        <w:spacing w:after="0" w:line="251" w:lineRule="auto"/>
        <w:rPr>
          <w:sz w:val="20"/>
          <w:szCs w:val="20"/>
          <w:color w:val="auto"/>
        </w:rPr>
      </w:pPr>
      <w:r>
        <w:rPr>
          <w:rFonts w:ascii="Arial" w:cs="Arial" w:eastAsia="Arial" w:hAnsi="Arial"/>
          <w:sz w:val="13"/>
          <w:szCs w:val="13"/>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For the three months ended March 31, 2022 and 2021, we recorded a net expense of $0.4 million and $0.5 million, respectively, for U.S. federal excise tax and other taxes.</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and Unrealized Gains and Losses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summarizes our net realized and unrealized gains (losses) for the three months ended March 31, 2022 and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0" w:type="dxa"/>
            <w:vAlign w:val="bottom"/>
            <w:vMerge w:val="restart"/>
          </w:tcPr>
          <w:p>
            <w:pPr>
              <w:spacing w:after="0"/>
              <w:rPr>
                <w:sz w:val="10"/>
                <w:szCs w:val="10"/>
                <w:color w:val="auto"/>
              </w:rPr>
            </w:pPr>
          </w:p>
        </w:tc>
        <w:tc>
          <w:tcPr>
            <w:tcW w:w="4000" w:type="dxa"/>
            <w:vAlign w:val="bottom"/>
            <w:vMerge w:val="restart"/>
          </w:tcPr>
          <w:p>
            <w:pPr>
              <w:spacing w:after="0"/>
              <w:rPr>
                <w:sz w:val="20"/>
                <w:szCs w:val="20"/>
                <w:color w:val="auto"/>
              </w:rPr>
            </w:pPr>
            <w:r>
              <w:rPr>
                <w:rFonts w:ascii="Arial" w:cs="Arial" w:eastAsia="Arial" w:hAnsi="Arial"/>
                <w:sz w:val="10"/>
                <w:szCs w:val="10"/>
                <w:color w:val="auto"/>
              </w:rPr>
              <w:t>($ in millions)</w:t>
            </w:r>
          </w:p>
        </w:tc>
        <w:tc>
          <w:tcPr>
            <w:tcW w:w="30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Three Months Ended</w:t>
            </w: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560" w:type="dxa"/>
            <w:vAlign w:val="bottom"/>
            <w:vMerge w:val="continue"/>
          </w:tcPr>
          <w:p>
            <w:pPr>
              <w:spacing w:after="0"/>
              <w:rPr>
                <w:sz w:val="8"/>
                <w:szCs w:val="8"/>
                <w:color w:val="auto"/>
              </w:rPr>
            </w:pPr>
          </w:p>
        </w:tc>
        <w:tc>
          <w:tcPr>
            <w:tcW w:w="4000" w:type="dxa"/>
            <w:vAlign w:val="bottom"/>
            <w:tcBorders>
              <w:bottom w:val="single" w:sz="8" w:color="CFF0FC"/>
            </w:tcBorders>
            <w:vMerge w:val="continue"/>
          </w:tcPr>
          <w:p>
            <w:pPr>
              <w:spacing w:after="0"/>
              <w:rPr>
                <w:sz w:val="8"/>
                <w:szCs w:val="8"/>
                <w:color w:val="auto"/>
              </w:rPr>
            </w:pPr>
          </w:p>
        </w:tc>
        <w:tc>
          <w:tcPr>
            <w:tcW w:w="3000" w:type="dxa"/>
            <w:vAlign w:val="bottom"/>
            <w:tcBorders>
              <w:bottom w:val="single" w:sz="8" w:color="CFF0FC"/>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jc w:val="right"/>
              <w:ind w:right="319"/>
              <w:spacing w:after="0" w:line="103" w:lineRule="exact"/>
              <w:rPr>
                <w:sz w:val="20"/>
                <w:szCs w:val="20"/>
                <w:color w:val="auto"/>
              </w:rPr>
            </w:pPr>
            <w:r>
              <w:rPr>
                <w:rFonts w:ascii="Arial" w:cs="Arial" w:eastAsia="Arial" w:hAnsi="Arial"/>
                <w:sz w:val="10"/>
                <w:szCs w:val="10"/>
                <w:b w:val="1"/>
                <w:bCs w:val="1"/>
                <w:color w:val="auto"/>
              </w:rPr>
              <w:t>March 31, 2022</w:t>
            </w:r>
          </w:p>
        </w:tc>
        <w:tc>
          <w:tcPr>
            <w:tcW w:w="140" w:type="dxa"/>
            <w:vAlign w:val="bottom"/>
            <w:tcBorders>
              <w:bottom w:val="single" w:sz="8" w:color="CFF0FC"/>
            </w:tcBorders>
          </w:tcPr>
          <w:p>
            <w:pPr>
              <w:spacing w:after="0"/>
              <w:rPr>
                <w:sz w:val="8"/>
                <w:szCs w:val="8"/>
                <w:color w:val="auto"/>
              </w:rPr>
            </w:pPr>
          </w:p>
        </w:tc>
        <w:tc>
          <w:tcPr>
            <w:tcW w:w="120" w:type="dxa"/>
            <w:vAlign w:val="bottom"/>
            <w:tcBorders>
              <w:bottom w:val="single" w:sz="8" w:color="CFF0FC"/>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jc w:val="right"/>
              <w:ind w:right="318"/>
              <w:spacing w:after="0" w:line="103" w:lineRule="exact"/>
              <w:rPr>
                <w:sz w:val="20"/>
                <w:szCs w:val="20"/>
                <w:color w:val="auto"/>
              </w:rPr>
            </w:pPr>
            <w:r>
              <w:rPr>
                <w:rFonts w:ascii="Arial" w:cs="Arial" w:eastAsia="Arial" w:hAnsi="Arial"/>
                <w:sz w:val="10"/>
                <w:szCs w:val="10"/>
                <w:b w:val="1"/>
                <w:bCs w:val="1"/>
                <w:color w:val="auto"/>
                <w:w w:val="92"/>
              </w:rPr>
              <w:t>March 31, 2021</w:t>
            </w:r>
          </w:p>
        </w:tc>
        <w:tc>
          <w:tcPr>
            <w:tcW w:w="100" w:type="dxa"/>
            <w:vAlign w:val="bottom"/>
            <w:tcBorders>
              <w:bottom w:val="single" w:sz="8" w:color="CFF0FC"/>
            </w:tcBorders>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Net realized gains on investments</w:t>
            </w:r>
          </w:p>
        </w:tc>
        <w:tc>
          <w:tcPr>
            <w:tcW w:w="3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60" w:type="dxa"/>
            <w:vAlign w:val="bottom"/>
            <w:gridSpan w:val="2"/>
          </w:tcPr>
          <w:p>
            <w:pPr>
              <w:ind w:left="560"/>
              <w:spacing w:after="0"/>
              <w:rPr>
                <w:sz w:val="20"/>
                <w:szCs w:val="20"/>
                <w:color w:val="auto"/>
              </w:rPr>
            </w:pPr>
            <w:r>
              <w:rPr>
                <w:rFonts w:ascii="Arial" w:cs="Arial" w:eastAsia="Arial" w:hAnsi="Arial"/>
                <w:sz w:val="13"/>
                <w:szCs w:val="13"/>
                <w:color w:val="auto"/>
              </w:rPr>
              <w:t>Net realized gains (losses) on foreign currency transactions</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(0.0)</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Net realized gains (losses) on foreign currency investments</w:t>
            </w:r>
          </w:p>
        </w:tc>
        <w:tc>
          <w:tcPr>
            <w:tcW w:w="3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(0.0)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Net realized losses on foreign currency borrowings</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(0.0)</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Net Realized Gains (Losses)</w:t>
            </w:r>
          </w:p>
        </w:tc>
        <w:tc>
          <w:tcPr>
            <w:tcW w:w="30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0" w:type="dxa"/>
            <w:vAlign w:val="bottom"/>
          </w:tcPr>
          <w:p>
            <w:pPr>
              <w:spacing w:after="0"/>
              <w:rPr>
                <w:sz w:val="13"/>
                <w:szCs w:val="13"/>
                <w:color w:val="auto"/>
              </w:rPr>
            </w:pPr>
          </w:p>
        </w:tc>
        <w:tc>
          <w:tcPr>
            <w:tcW w:w="4000" w:type="dxa"/>
            <w:vAlign w:val="bottom"/>
            <w:vMerge w:val="continue"/>
            <w:shd w:val="clear" w:color="auto" w:fill="CFF0FC"/>
          </w:tcPr>
          <w:p>
            <w:pPr>
              <w:spacing w:after="0"/>
              <w:rPr>
                <w:sz w:val="13"/>
                <w:szCs w:val="13"/>
                <w:color w:val="auto"/>
              </w:rPr>
            </w:pPr>
          </w:p>
        </w:tc>
        <w:tc>
          <w:tcPr>
            <w:tcW w:w="3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000" w:type="dxa"/>
            <w:vAlign w:val="bottom"/>
            <w:tcBorders>
              <w:top w:val="single" w:sz="8" w:color="CFF0FC"/>
            </w:tcBorders>
          </w:tcPr>
          <w:p>
            <w:pPr>
              <w:spacing w:after="0"/>
              <w:rPr>
                <w:sz w:val="13"/>
                <w:szCs w:val="13"/>
                <w:color w:val="auto"/>
              </w:rPr>
            </w:pPr>
          </w:p>
        </w:tc>
        <w:tc>
          <w:tcPr>
            <w:tcW w:w="30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Change in unrealized gains on investments</w:t>
            </w:r>
          </w:p>
        </w:tc>
        <w:tc>
          <w:tcPr>
            <w:tcW w:w="3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1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FF0FC"/>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60" w:type="dxa"/>
            <w:vAlign w:val="bottom"/>
            <w:gridSpan w:val="2"/>
          </w:tcPr>
          <w:p>
            <w:pPr>
              <w:ind w:left="560"/>
              <w:spacing w:after="0"/>
              <w:rPr>
                <w:sz w:val="20"/>
                <w:szCs w:val="20"/>
                <w:color w:val="auto"/>
              </w:rPr>
            </w:pPr>
            <w:r>
              <w:rPr>
                <w:rFonts w:ascii="Arial" w:cs="Arial" w:eastAsia="Arial" w:hAnsi="Arial"/>
                <w:sz w:val="13"/>
                <w:szCs w:val="13"/>
                <w:color w:val="auto"/>
              </w:rPr>
              <w:t>Change in unrealized losses on investments</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(33.5)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(19.4)</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4000" w:type="dxa"/>
            <w:vAlign w:val="bottom"/>
            <w:tcBorders>
              <w:top w:val="single" w:sz="8" w:color="CFF0FC"/>
            </w:tcBorders>
            <w:shd w:val="clear" w:color="auto" w:fill="CFF0FC"/>
          </w:tcPr>
          <w:p>
            <w:pPr>
              <w:spacing w:after="0" w:line="138" w:lineRule="exact"/>
              <w:rPr>
                <w:sz w:val="20"/>
                <w:szCs w:val="20"/>
                <w:color w:val="auto"/>
              </w:rPr>
            </w:pPr>
            <w:r>
              <w:rPr>
                <w:rFonts w:ascii="Arial" w:cs="Arial" w:eastAsia="Arial" w:hAnsi="Arial"/>
                <w:sz w:val="13"/>
                <w:szCs w:val="13"/>
                <w:b w:val="1"/>
                <w:bCs w:val="1"/>
                <w:color w:val="auto"/>
              </w:rPr>
              <w:t>Net Change in Unrealized Gains (Losses) on</w:t>
            </w:r>
          </w:p>
        </w:tc>
        <w:tc>
          <w:tcPr>
            <w:tcW w:w="30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4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Investments</w:t>
            </w:r>
          </w:p>
        </w:tc>
        <w:tc>
          <w:tcPr>
            <w:tcW w:w="3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(3.8)</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FF0FC"/>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560" w:type="dxa"/>
            <w:vAlign w:val="bottom"/>
            <w:gridSpan w:val="2"/>
          </w:tcPr>
          <w:p>
            <w:pPr>
              <w:ind w:left="560"/>
              <w:spacing w:after="0"/>
              <w:rPr>
                <w:sz w:val="20"/>
                <w:szCs w:val="20"/>
                <w:color w:val="auto"/>
              </w:rPr>
            </w:pPr>
            <w:r>
              <w:rPr>
                <w:rFonts w:ascii="Arial" w:cs="Arial" w:eastAsia="Arial" w:hAnsi="Arial"/>
                <w:sz w:val="13"/>
                <w:szCs w:val="13"/>
                <w:color w:val="auto"/>
              </w:rPr>
              <w:t>Unrealized gains (losses) on foreign currency borrowings</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3"/>
                <w:szCs w:val="13"/>
                <w:color w:val="auto"/>
              </w:rPr>
              <w:t>Unrealized losses on foreign currency cash</w:t>
            </w:r>
          </w:p>
        </w:tc>
        <w:tc>
          <w:tcPr>
            <w:tcW w:w="30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(0.0)</w:t>
            </w: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560" w:type="dxa"/>
            <w:vAlign w:val="bottom"/>
            <w:gridSpan w:val="2"/>
          </w:tcPr>
          <w:p>
            <w:pPr>
              <w:ind w:left="560"/>
              <w:spacing w:after="0"/>
              <w:rPr>
                <w:sz w:val="20"/>
                <w:szCs w:val="20"/>
                <w:color w:val="auto"/>
              </w:rPr>
            </w:pPr>
            <w:r>
              <w:rPr>
                <w:rFonts w:ascii="Arial" w:cs="Arial" w:eastAsia="Arial" w:hAnsi="Arial"/>
                <w:sz w:val="13"/>
                <w:szCs w:val="13"/>
                <w:color w:val="auto"/>
              </w:rPr>
              <w:t>Unrealized losses on interest rate swaps</w:t>
            </w:r>
          </w:p>
        </w:tc>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(1.8)</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4000" w:type="dxa"/>
            <w:vAlign w:val="bottom"/>
            <w:tcBorders>
              <w:top w:val="single" w:sz="8" w:color="CFF0FC"/>
            </w:tcBorders>
            <w:shd w:val="clear" w:color="auto" w:fill="CFF0FC"/>
          </w:tcPr>
          <w:p>
            <w:pPr>
              <w:spacing w:after="0" w:line="138" w:lineRule="exact"/>
              <w:rPr>
                <w:sz w:val="20"/>
                <w:szCs w:val="20"/>
                <w:color w:val="auto"/>
              </w:rPr>
            </w:pPr>
            <w:r>
              <w:rPr>
                <w:rFonts w:ascii="Arial" w:cs="Arial" w:eastAsia="Arial" w:hAnsi="Arial"/>
                <w:sz w:val="13"/>
                <w:szCs w:val="13"/>
                <w:b w:val="1"/>
                <w:bCs w:val="1"/>
                <w:color w:val="auto"/>
              </w:rPr>
              <w:t>Net Change in Unrealized Gains (Losses) on Foreign</w:t>
            </w:r>
          </w:p>
        </w:tc>
        <w:tc>
          <w:tcPr>
            <w:tcW w:w="30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4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Currency Transactions and Interest Rate Swaps</w:t>
            </w:r>
          </w:p>
        </w:tc>
        <w:tc>
          <w:tcPr>
            <w:tcW w:w="3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(4.7)</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0" w:type="dxa"/>
            <w:vAlign w:val="bottom"/>
          </w:tcPr>
          <w:p>
            <w:pPr>
              <w:spacing w:after="0"/>
              <w:rPr>
                <w:sz w:val="14"/>
                <w:szCs w:val="14"/>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Net Change in Unrealized Gains (Losses)</w:t>
            </w:r>
          </w:p>
        </w:tc>
        <w:tc>
          <w:tcPr>
            <w:tcW w:w="32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(8.5)</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FF0FC"/>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2"/>
        </w:trPr>
        <w:tc>
          <w:tcPr>
            <w:tcW w:w="560" w:type="dxa"/>
            <w:vAlign w:val="bottom"/>
          </w:tcPr>
          <w:p>
            <w:pPr>
              <w:spacing w:after="0"/>
              <w:rPr>
                <w:sz w:val="24"/>
                <w:szCs w:val="24"/>
                <w:color w:val="auto"/>
              </w:rPr>
            </w:pPr>
          </w:p>
        </w:tc>
        <w:tc>
          <w:tcPr>
            <w:tcW w:w="4000" w:type="dxa"/>
            <w:vAlign w:val="bottom"/>
            <w:tcBorders>
              <w:top w:val="single" w:sz="8" w:color="CFF0FC"/>
            </w:tcBorders>
          </w:tcPr>
          <w:p>
            <w:pPr>
              <w:spacing w:after="0"/>
              <w:rPr>
                <w:sz w:val="24"/>
                <w:szCs w:val="24"/>
                <w:color w:val="auto"/>
              </w:rPr>
            </w:pPr>
          </w:p>
        </w:tc>
        <w:tc>
          <w:tcPr>
            <w:tcW w:w="3000" w:type="dxa"/>
            <w:vAlign w:val="bottom"/>
            <w:tcBorders>
              <w:top w:val="single" w:sz="8" w:color="CFF0FC"/>
            </w:tcBorders>
          </w:tcPr>
          <w:p>
            <w:pPr>
              <w:jc w:val="right"/>
              <w:ind w:right="1797"/>
              <w:spacing w:after="0"/>
              <w:rPr>
                <w:sz w:val="20"/>
                <w:szCs w:val="20"/>
                <w:color w:val="auto"/>
              </w:rPr>
            </w:pPr>
            <w:r>
              <w:rPr>
                <w:rFonts w:ascii="Arial" w:cs="Arial" w:eastAsia="Arial" w:hAnsi="Arial"/>
                <w:sz w:val="13"/>
                <w:szCs w:val="13"/>
                <w:color w:val="auto"/>
              </w:rPr>
              <w:t>58</w:t>
            </w: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560" w:type="dxa"/>
            <w:vAlign w:val="bottom"/>
            <w:tcBorders>
              <w:bottom w:val="single" w:sz="8" w:color="9A9A9A"/>
            </w:tcBorders>
          </w:tcPr>
          <w:p>
            <w:pPr>
              <w:spacing w:after="0"/>
              <w:rPr>
                <w:sz w:val="6"/>
                <w:szCs w:val="6"/>
                <w:color w:val="auto"/>
              </w:rPr>
            </w:pPr>
          </w:p>
        </w:tc>
        <w:tc>
          <w:tcPr>
            <w:tcW w:w="4000" w:type="dxa"/>
            <w:vAlign w:val="bottom"/>
            <w:tcBorders>
              <w:bottom w:val="single" w:sz="8" w:color="9A9A9A"/>
            </w:tcBorders>
          </w:tcPr>
          <w:p>
            <w:pPr>
              <w:spacing w:after="0"/>
              <w:rPr>
                <w:sz w:val="6"/>
                <w:szCs w:val="6"/>
                <w:color w:val="auto"/>
              </w:rPr>
            </w:pPr>
          </w:p>
        </w:tc>
        <w:tc>
          <w:tcPr>
            <w:tcW w:w="30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509" w:right="279" w:bottom="1440" w:gutter="0" w:footer="0" w:header="0"/>
        </w:sectPr>
      </w:pPr>
    </w:p>
    <w:bookmarkStart w:id="58" w:name="page59"/>
    <w:bookmarkEnd w:id="58"/>
    <w:p>
      <w:pPr>
        <w:ind w:right="20" w:firstLine="256"/>
        <w:spacing w:after="0" w:line="246" w:lineRule="auto"/>
        <w:rPr>
          <w:sz w:val="20"/>
          <w:szCs w:val="20"/>
          <w:color w:val="auto"/>
        </w:rPr>
      </w:pPr>
      <w:r>
        <w:rPr>
          <w:rFonts w:ascii="Arial" w:cs="Arial" w:eastAsia="Arial" w:hAnsi="Arial"/>
          <w:sz w:val="13"/>
          <w:szCs w:val="13"/>
          <w:color w:val="auto"/>
        </w:rPr>
        <w:t>For the three months ended March 31, 2022, and 2021, we had net realized gains on investments of $13.7 million and $14.6 million, respectively, primarily driven by one investment and two investments, respectively. For the three months ended March 31, 2022, we had net realized losses of less than $0.1 million on foreign currency transactions and for the three months ended March 31 2021, we had net realized gains on foreign currency transactions of less than $0.1 million, primarily as a result of translating foreign currency related to our non-USD denominated investments. For the three months ended March 31, 2022, we had net realized gains of $0.1 million on foreign currency investments and for the three months ended March 31, 2021 we had net realized losses of less than $0.1 million, on foreign currency investments. For the three months ended March 31, 2022 and 2021, we had net realized losses of $0.1 million and less than $0.1 million, respectively, on foreign currency borrowings. The net realized losses on foreign currency borrowings were a result of payments on our revolving credit facility.</w:t>
      </w:r>
    </w:p>
    <w:p>
      <w:pPr>
        <w:spacing w:after="0" w:line="139" w:lineRule="exact"/>
        <w:rPr>
          <w:sz w:val="20"/>
          <w:szCs w:val="20"/>
          <w:color w:val="auto"/>
        </w:rPr>
      </w:pPr>
    </w:p>
    <w:p>
      <w:pPr>
        <w:ind w:right="20" w:firstLine="256"/>
        <w:spacing w:after="0" w:line="303" w:lineRule="auto"/>
        <w:rPr>
          <w:sz w:val="20"/>
          <w:szCs w:val="20"/>
          <w:color w:val="auto"/>
        </w:rPr>
      </w:pPr>
      <w:r>
        <w:rPr>
          <w:rFonts w:ascii="Arial" w:cs="Arial" w:eastAsia="Arial" w:hAnsi="Arial"/>
          <w:sz w:val="11"/>
          <w:szCs w:val="11"/>
          <w:color w:val="auto"/>
        </w:rPr>
        <w:t>For the three months ended March 31, 2022, we had $29.7 million in unrealized gains on 31 portfolio company investments, which was offset by $33.5 million in unrealized losses on 40 portfolio company investments. Unrealized gains resulted from an increase in fair value, primarily due to positive portfolio company specific developments. Unrealized losses primarily resulted from widening credit spreads, the reversal of prior period unrealized gains due to realizations and negative portfolio company specific developments. For the three months ended March 31, 2021, we had $30.9 million in unrealized gains on 48 portfolio company investments, which was offset by $19.4 million in unrealized losses on 20 portfolio company investments. Unrealized gains resulted from an increase in fair value, primarily due to tightening of credit spreads and positive portfolio company specific developments. Unrealized losses primarily resulted from the reversal of prior period unrealized gains due to realizations and negative portfolio company specific developments.</w:t>
      </w:r>
    </w:p>
    <w:p>
      <w:pPr>
        <w:spacing w:after="0" w:line="109" w:lineRule="exact"/>
        <w:rPr>
          <w:sz w:val="20"/>
          <w:szCs w:val="20"/>
          <w:color w:val="auto"/>
        </w:rPr>
      </w:pPr>
    </w:p>
    <w:p>
      <w:pPr>
        <w:ind w:firstLine="256"/>
        <w:spacing w:after="0" w:line="248" w:lineRule="auto"/>
        <w:rPr>
          <w:sz w:val="20"/>
          <w:szCs w:val="20"/>
          <w:color w:val="auto"/>
        </w:rPr>
      </w:pPr>
      <w:r>
        <w:rPr>
          <w:rFonts w:ascii="Arial" w:cs="Arial" w:eastAsia="Arial" w:hAnsi="Arial"/>
          <w:sz w:val="13"/>
          <w:szCs w:val="13"/>
          <w:color w:val="auto"/>
        </w:rPr>
        <w:t>For the three months ended March 31, 2022, we had unrealized losses on foreign currency borrowings of $1.8 million, and for the three months ended March 31, 2021, we had unrealized gains of $0.1 million on foreign currency borrowings, as a result of fluctuations in the AUD, CAD, EUR and GBP exchange rates. For the three months ended March 31, 2022, we had unrealized losses on foreign currency cash of less than $0.1 million. For the three months ended March 31, 2022 and 2021, we had unrealized losses on interest rate swaps of $2.9 million and $1.8 million, respectively, due to fluctuations in interest rates and the periodic settlement of interest rate swaps.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Realized Gross Internal Rate of Return</w:t>
      </w:r>
    </w:p>
    <w:p>
      <w:pPr>
        <w:spacing w:after="0" w:line="77" w:lineRule="exact"/>
        <w:rPr>
          <w:sz w:val="20"/>
          <w:szCs w:val="20"/>
          <w:color w:val="auto"/>
        </w:rPr>
      </w:pPr>
    </w:p>
    <w:p>
      <w:pPr>
        <w:ind w:right="260" w:firstLine="256"/>
        <w:spacing w:after="0" w:line="351" w:lineRule="auto"/>
        <w:rPr>
          <w:sz w:val="20"/>
          <w:szCs w:val="20"/>
          <w:color w:val="auto"/>
        </w:rPr>
      </w:pPr>
      <w:r>
        <w:rPr>
          <w:rFonts w:ascii="Arial" w:cs="Arial" w:eastAsia="Arial" w:hAnsi="Arial"/>
          <w:sz w:val="11"/>
          <w:szCs w:val="11"/>
          <w:color w:val="auto"/>
        </w:rPr>
        <w:t>Since we began investing in 2011 through March 31, 2022, weighted by capital invested, our exited investments have generated an average realized gross internal rate of return to us of 18.6% (based on total capital invested of $6.0 billion and total proceeds from these exited investments of $7.6 billion). Ninety-two percent of these exited investments resulted in a realized gross internal rate of return to us of 10% or greater.</w:t>
      </w:r>
    </w:p>
    <w:p>
      <w:pPr>
        <w:spacing w:after="0" w:line="84" w:lineRule="exact"/>
        <w:rPr>
          <w:sz w:val="20"/>
          <w:szCs w:val="20"/>
          <w:color w:val="auto"/>
        </w:rPr>
      </w:pPr>
    </w:p>
    <w:p>
      <w:pPr>
        <w:ind w:right="120" w:firstLine="256"/>
        <w:spacing w:after="0" w:line="260" w:lineRule="auto"/>
        <w:rPr>
          <w:sz w:val="20"/>
          <w:szCs w:val="20"/>
          <w:color w:val="auto"/>
        </w:rPr>
      </w:pPr>
      <w:r>
        <w:rPr>
          <w:rFonts w:ascii="Arial" w:cs="Arial" w:eastAsia="Arial" w:hAnsi="Arial"/>
          <w:sz w:val="13"/>
          <w:szCs w:val="13"/>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30" w:lineRule="exact"/>
        <w:rPr>
          <w:sz w:val="20"/>
          <w:szCs w:val="20"/>
          <w:color w:val="auto"/>
        </w:rPr>
      </w:pPr>
    </w:p>
    <w:p>
      <w:pPr>
        <w:ind w:firstLine="256"/>
        <w:spacing w:after="0" w:line="260" w:lineRule="auto"/>
        <w:rPr>
          <w:sz w:val="20"/>
          <w:szCs w:val="20"/>
          <w:color w:val="auto"/>
        </w:rPr>
      </w:pPr>
      <w:r>
        <w:rPr>
          <w:rFonts w:ascii="Arial" w:cs="Arial" w:eastAsia="Arial" w:hAnsi="Arial"/>
          <w:sz w:val="13"/>
          <w:szCs w:val="13"/>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Average gross IRR is the average of the gross IRR for each of our exited investments (each calculated as described above), weighted by the total capital invested for each of those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Average gross IRR on our exited investments reflects only invested and realized cash amounts as described above, and does not reflect any unrealized gains or losses in our portfolio.</w:t>
      </w:r>
    </w:p>
    <w:p>
      <w:pPr>
        <w:spacing w:after="0" w:line="153" w:lineRule="exact"/>
        <w:rPr>
          <w:sz w:val="20"/>
          <w:szCs w:val="20"/>
          <w:color w:val="auto"/>
        </w:rPr>
      </w:pPr>
    </w:p>
    <w:p>
      <w:pPr>
        <w:ind w:right="80" w:firstLine="256"/>
        <w:spacing w:after="0" w:line="301" w:lineRule="auto"/>
        <w:rPr>
          <w:sz w:val="20"/>
          <w:szCs w:val="20"/>
          <w:color w:val="auto"/>
        </w:rPr>
      </w:pPr>
      <w:r>
        <w:rPr>
          <w:rFonts w:ascii="Arial" w:cs="Arial" w:eastAsia="Arial" w:hAnsi="Arial"/>
          <w:sz w:val="12"/>
          <w:szCs w:val="12"/>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08" w:lineRule="exact"/>
        <w:rPr>
          <w:sz w:val="20"/>
          <w:szCs w:val="20"/>
          <w:color w:val="auto"/>
        </w:rPr>
      </w:pPr>
    </w:p>
    <w:p>
      <w:pPr>
        <w:jc w:val="both"/>
        <w:ind w:right="60" w:firstLine="256"/>
        <w:spacing w:after="0" w:line="251" w:lineRule="auto"/>
        <w:rPr>
          <w:sz w:val="20"/>
          <w:szCs w:val="20"/>
          <w:color w:val="auto"/>
        </w:rPr>
      </w:pPr>
      <w:r>
        <w:rPr>
          <w:rFonts w:ascii="Arial" w:cs="Arial" w:eastAsia="Arial" w:hAnsi="Arial"/>
          <w:sz w:val="13"/>
          <w:szCs w:val="13"/>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or foreign currency borrowings allocable to the investment, if 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310" w:right="339" w:bottom="1440" w:gutter="0" w:footer="0" w:header="0"/>
        </w:sectPr>
      </w:pPr>
    </w:p>
    <w:bookmarkStart w:id="59" w:name="page60"/>
    <w:bookmarkEnd w:id="59"/>
    <w:p>
      <w:pPr>
        <w:jc w:val="both"/>
        <w:ind w:right="80" w:firstLine="256"/>
        <w:spacing w:after="0" w:line="319" w:lineRule="auto"/>
        <w:rPr>
          <w:sz w:val="20"/>
          <w:szCs w:val="20"/>
          <w:color w:val="auto"/>
        </w:rPr>
      </w:pPr>
      <w:r>
        <w:rPr>
          <w:rFonts w:ascii="Arial" w:cs="Arial" w:eastAsia="Arial" w:hAnsi="Arial"/>
          <w:sz w:val="11"/>
          <w:szCs w:val="11"/>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or foreign currency borrowings allocable to the investment, if any.</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Interest Rate and Foreign Currency Hedging</w:t>
      </w:r>
    </w:p>
    <w:p>
      <w:pPr>
        <w:spacing w:after="0" w:line="77" w:lineRule="exact"/>
        <w:rPr>
          <w:sz w:val="20"/>
          <w:szCs w:val="20"/>
          <w:color w:val="auto"/>
        </w:rPr>
      </w:pPr>
    </w:p>
    <w:p>
      <w:pPr>
        <w:ind w:right="40" w:firstLine="256"/>
        <w:spacing w:after="0" w:line="270" w:lineRule="auto"/>
        <w:rPr>
          <w:sz w:val="20"/>
          <w:szCs w:val="20"/>
          <w:color w:val="auto"/>
        </w:rPr>
      </w:pPr>
      <w:r>
        <w:rPr>
          <w:rFonts w:ascii="Arial" w:cs="Arial" w:eastAsia="Arial" w:hAnsi="Arial"/>
          <w:sz w:val="12"/>
          <w:szCs w:val="12"/>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months ended March 31, 2022 and 2021, we incurred $1.8 million of unrealized losses and $0.1 million of unrealized gains, respectively, on the translation of our non-U.S. dollar denominated debt into U.S. dollars; such amounts approximate the corresponding unrealized gains and losses on the translation of our non-U.S. dollar denominated investments into U.S. dollars for the three months ended March 31, 2022 and 2021.</w:t>
      </w:r>
    </w:p>
    <w:p>
      <w:pPr>
        <w:spacing w:after="0" w:line="52" w:lineRule="exact"/>
        <w:rPr>
          <w:sz w:val="20"/>
          <w:szCs w:val="20"/>
          <w:color w:val="auto"/>
        </w:rPr>
      </w:pPr>
    </w:p>
    <w:p>
      <w:pPr>
        <w:ind w:right="220" w:firstLine="256"/>
        <w:spacing w:after="0" w:line="301" w:lineRule="auto"/>
        <w:rPr>
          <w:sz w:val="20"/>
          <w:szCs w:val="20"/>
          <w:color w:val="auto"/>
        </w:rPr>
      </w:pPr>
      <w:r>
        <w:rPr>
          <w:rFonts w:ascii="Arial" w:cs="Arial" w:eastAsia="Arial" w:hAnsi="Arial"/>
          <w:sz w:val="12"/>
          <w:szCs w:val="12"/>
          <w:color w:val="auto"/>
        </w:rPr>
        <w:t>See Note 2 for additional disclosure regarding our accounting for foreign currency. See Note 7 for additional disclosure regarding the amounts of outstanding debt denominated in each foreign currency at March 31, 2022. See our consolidated schedule of investments for additional disclosure regarding the foreign currency amounts (in both par and fair value) of our non-U.S. dollar denominated investments.</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Condition, Liquidity and Capital Resources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1"/>
          <w:szCs w:val="11"/>
          <w:color w:val="auto"/>
        </w:rPr>
        <w:t>Our liquidity and capital resources are derived primarily from proceeds from equity issuances, advances from our credit facilities, and cash flows from operations. The primary uses of our cash and cash equivalents are:</w:t>
      </w:r>
    </w:p>
    <w:p>
      <w:pPr>
        <w:spacing w:after="0" w:line="100" w:lineRule="exact"/>
        <w:rPr>
          <w:sz w:val="20"/>
          <w:szCs w:val="20"/>
          <w:color w:val="auto"/>
        </w:rPr>
      </w:pPr>
    </w:p>
    <w:p>
      <w:pPr>
        <w:ind w:left="500" w:hanging="249"/>
        <w:spacing w:after="0"/>
        <w:tabs>
          <w:tab w:leader="none" w:pos="5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investments in portfolio companies and other investments and to comply with certain portfolio diversification requirements;</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cost of operations (including paying our Adviser);</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debt service, repayment, and other financing costs; and</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cash dividends to the holders of our shares.</w:t>
      </w:r>
    </w:p>
    <w:p>
      <w:pPr>
        <w:spacing w:after="0" w:line="153" w:lineRule="exact"/>
        <w:rPr>
          <w:sz w:val="20"/>
          <w:szCs w:val="20"/>
          <w:color w:val="auto"/>
        </w:rPr>
      </w:pPr>
    </w:p>
    <w:p>
      <w:pPr>
        <w:ind w:right="60" w:firstLine="256"/>
        <w:spacing w:after="0" w:line="269" w:lineRule="auto"/>
        <w:rPr>
          <w:sz w:val="20"/>
          <w:szCs w:val="20"/>
          <w:color w:val="auto"/>
        </w:rPr>
      </w:pPr>
      <w:r>
        <w:rPr>
          <w:rFonts w:ascii="Arial" w:cs="Arial" w:eastAsia="Arial" w:hAnsi="Arial"/>
          <w:sz w:val="12"/>
          <w:szCs w:val="12"/>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March 31, 2022 and December 31, 2021, our asset coverage ratio was 209.6% and 205.4%,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27" w:lineRule="exact"/>
        <w:rPr>
          <w:sz w:val="20"/>
          <w:szCs w:val="20"/>
          <w:color w:val="auto"/>
        </w:rPr>
      </w:pPr>
    </w:p>
    <w:p>
      <w:pPr>
        <w:ind w:right="80" w:firstLine="256"/>
        <w:spacing w:after="0" w:line="260" w:lineRule="auto"/>
        <w:rPr>
          <w:sz w:val="20"/>
          <w:szCs w:val="20"/>
          <w:color w:val="auto"/>
        </w:rPr>
      </w:pPr>
      <w:r>
        <w:rPr>
          <w:rFonts w:ascii="Arial" w:cs="Arial" w:eastAsia="Arial" w:hAnsi="Arial"/>
          <w:sz w:val="13"/>
          <w:szCs w:val="13"/>
          <w:color w:val="auto"/>
        </w:rPr>
        <w:t>Cash and cash equivalents as of March 31, 2022, taken together with cash available under our credit facilities, is expected to be sufficient for our investing activities and to conduct our operations in the near term. As of March 31, 2022, we had approximately $1.2 billion of availability on our Revolving Credit Facility, subject to asset coverage limitations.</w:t>
      </w:r>
    </w:p>
    <w:p>
      <w:pPr>
        <w:spacing w:after="0" w:line="130" w:lineRule="exact"/>
        <w:rPr>
          <w:sz w:val="20"/>
          <w:szCs w:val="20"/>
          <w:color w:val="auto"/>
        </w:rPr>
      </w:pPr>
    </w:p>
    <w:p>
      <w:pPr>
        <w:ind w:firstLine="256"/>
        <w:spacing w:after="0" w:line="275" w:lineRule="auto"/>
        <w:rPr>
          <w:sz w:val="20"/>
          <w:szCs w:val="20"/>
          <w:color w:val="auto"/>
        </w:rPr>
      </w:pPr>
      <w:r>
        <w:rPr>
          <w:rFonts w:ascii="Arial" w:cs="Arial" w:eastAsia="Arial" w:hAnsi="Arial"/>
          <w:sz w:val="12"/>
          <w:szCs w:val="12"/>
          <w:color w:val="auto"/>
        </w:rPr>
        <w:t>As of March 31, 2022, we had $23.5 million in cash and cash equivalents, including $19.1 million of restricted cash, an increase of $7.5 million from December 31, 2021. During the three months ended March 31, 2022, cash provided from operating activities was $81.2 million, primarily attributable to repayments and proceeds from investments of $171.9 million and an increase in net assets resulting from operations of $40.9 million which was partially offset by funding portfolio investments of $84.2 million, and other operating activity of $47.4 million. Cash used in financing activities was $73.6 million during the period due to paydowns on our Revolving Credit Facility of $175.6 million, dividends paid of $32.5 million, and deferred financing costs of less than $0.1 million, which was partially offset by borrowings of $134.5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60" w:name="page61"/>
    <w:bookmarkEnd w:id="60"/>
    <w:p>
      <w:pPr>
        <w:ind w:left="4" w:right="60" w:firstLine="256"/>
        <w:spacing w:after="0" w:line="260" w:lineRule="auto"/>
        <w:rPr>
          <w:sz w:val="20"/>
          <w:szCs w:val="20"/>
          <w:color w:val="auto"/>
        </w:rPr>
      </w:pPr>
      <w:r>
        <w:rPr>
          <w:rFonts w:ascii="Arial" w:cs="Arial" w:eastAsia="Arial" w:hAnsi="Arial"/>
          <w:sz w:val="13"/>
          <w:szCs w:val="13"/>
          <w:color w:val="auto"/>
        </w:rPr>
        <w:t>As of March 31, 2022, we had $19.1 million of restricted cash pledged as collateral under our interest rate swap agreements, an increase of $4.7 million from December 31, 2021 primarily due to a decrease in the fair value of our swaps.</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Equity</w:t>
      </w:r>
    </w:p>
    <w:p>
      <w:pPr>
        <w:spacing w:after="0" w:line="77" w:lineRule="exact"/>
        <w:rPr>
          <w:sz w:val="20"/>
          <w:szCs w:val="20"/>
          <w:color w:val="auto"/>
        </w:rPr>
      </w:pPr>
    </w:p>
    <w:p>
      <w:pPr>
        <w:ind w:left="4" w:right="300" w:firstLine="256"/>
        <w:spacing w:after="0" w:line="351" w:lineRule="auto"/>
        <w:rPr>
          <w:sz w:val="20"/>
          <w:szCs w:val="20"/>
          <w:color w:val="auto"/>
        </w:rPr>
      </w:pPr>
      <w:r>
        <w:rPr>
          <w:rFonts w:ascii="Arial" w:cs="Arial" w:eastAsia="Arial" w:hAnsi="Arial"/>
          <w:sz w:val="11"/>
          <w:szCs w:val="11"/>
          <w:color w:val="auto"/>
        </w:rPr>
        <w:t>On February 23, 2021, we issued a total of 4,000,000 shares of common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spacing w:after="0" w:line="8" w:lineRule="exact"/>
        <w:rPr>
          <w:sz w:val="20"/>
          <w:szCs w:val="20"/>
          <w:color w:val="auto"/>
        </w:rPr>
      </w:pPr>
    </w:p>
    <w:p>
      <w:pPr>
        <w:ind w:left="264"/>
        <w:spacing w:after="0"/>
        <w:rPr>
          <w:sz w:val="20"/>
          <w:szCs w:val="20"/>
          <w:color w:val="auto"/>
        </w:rPr>
      </w:pPr>
      <w:r>
        <w:rPr>
          <w:rFonts w:ascii="Arial" w:cs="Arial" w:eastAsia="Arial" w:hAnsi="Arial"/>
          <w:sz w:val="13"/>
          <w:szCs w:val="13"/>
          <w:color w:val="auto"/>
        </w:rPr>
        <w:t>In December 2021, we issued a total of 2,324,820 shares of common stock, or $42.3 million as settlement for the conversion of $42.8 million of the 2022 Convertible Notes.</w:t>
      </w:r>
    </w:p>
    <w:p>
      <w:pPr>
        <w:spacing w:after="0" w:line="77" w:lineRule="exact"/>
        <w:rPr>
          <w:sz w:val="20"/>
          <w:szCs w:val="20"/>
          <w:color w:val="auto"/>
        </w:rPr>
      </w:pPr>
    </w:p>
    <w:p>
      <w:pPr>
        <w:ind w:left="4" w:right="60" w:firstLine="256"/>
        <w:spacing w:after="0" w:line="282" w:lineRule="auto"/>
        <w:rPr>
          <w:sz w:val="20"/>
          <w:szCs w:val="20"/>
          <w:color w:val="auto"/>
        </w:rPr>
      </w:pPr>
      <w:r>
        <w:rPr>
          <w:rFonts w:ascii="Arial" w:cs="Arial" w:eastAsia="Arial" w:hAnsi="Arial"/>
          <w:sz w:val="12"/>
          <w:szCs w:val="12"/>
          <w:color w:val="auto"/>
        </w:rPr>
        <w:t>During the three months ended March 31, 2022 and 2021, we also issued 299,138 and 236,100 shares of our common stock, respectively, to investors who have not opted out of our dividend reinvestment plan for proceeds of $6.8 million and $4.7 million, respectively. On April 18, 2022, we issued 239,376 shares of our common stock through our dividend reinvestment plan for proceeds of $5.3 million, which is not reflected in the number of shares issued for the three months ended March 31, 2022 in this section or the consolidated financial statements for the three months ended March 31, 2022.</w:t>
      </w:r>
    </w:p>
    <w:p>
      <w:pPr>
        <w:spacing w:after="0" w:line="119" w:lineRule="exact"/>
        <w:rPr>
          <w:sz w:val="20"/>
          <w:szCs w:val="20"/>
          <w:color w:val="auto"/>
        </w:rPr>
      </w:pPr>
    </w:p>
    <w:p>
      <w:pPr>
        <w:ind w:left="4" w:firstLine="256"/>
        <w:spacing w:after="0" w:line="251" w:lineRule="auto"/>
        <w:rPr>
          <w:sz w:val="20"/>
          <w:szCs w:val="20"/>
          <w:color w:val="auto"/>
        </w:rPr>
      </w:pPr>
      <w:r>
        <w:rPr>
          <w:rFonts w:ascii="Arial" w:cs="Arial" w:eastAsia="Arial" w:hAnsi="Arial"/>
          <w:sz w:val="13"/>
          <w:szCs w:val="13"/>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3, 2022. The amount and timing of stock repurchases under the program may vary depending on market conditions, and no assurance can be given that any particular amount of common stock will be repurchased.</w:t>
      </w:r>
    </w:p>
    <w:p>
      <w:pPr>
        <w:spacing w:after="0" w:line="136" w:lineRule="exact"/>
        <w:rPr>
          <w:sz w:val="20"/>
          <w:szCs w:val="20"/>
          <w:color w:val="auto"/>
        </w:rPr>
      </w:pPr>
    </w:p>
    <w:p>
      <w:pPr>
        <w:ind w:left="264"/>
        <w:spacing w:after="0"/>
        <w:rPr>
          <w:sz w:val="20"/>
          <w:szCs w:val="20"/>
          <w:color w:val="auto"/>
        </w:rPr>
      </w:pPr>
      <w:r>
        <w:rPr>
          <w:rFonts w:ascii="Arial" w:cs="Arial" w:eastAsia="Arial" w:hAnsi="Arial"/>
          <w:sz w:val="13"/>
          <w:szCs w:val="13"/>
          <w:color w:val="auto"/>
        </w:rPr>
        <w:t>No shares were repurchased during the three months ended March 31, 2022 and 2021.</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Debt</w:t>
      </w:r>
    </w:p>
    <w:p>
      <w:pPr>
        <w:spacing w:after="0" w:line="77" w:lineRule="exact"/>
        <w:rPr>
          <w:sz w:val="20"/>
          <w:szCs w:val="20"/>
          <w:color w:val="auto"/>
        </w:rPr>
      </w:pPr>
    </w:p>
    <w:p>
      <w:pPr>
        <w:ind w:left="264"/>
        <w:spacing w:after="0"/>
        <w:rPr>
          <w:sz w:val="20"/>
          <w:szCs w:val="20"/>
          <w:color w:val="auto"/>
        </w:rPr>
      </w:pPr>
      <w:r>
        <w:rPr>
          <w:rFonts w:ascii="Arial" w:cs="Arial" w:eastAsia="Arial" w:hAnsi="Arial"/>
          <w:sz w:val="13"/>
          <w:szCs w:val="13"/>
          <w:color w:val="auto"/>
        </w:rPr>
        <w:t>Debt obligations consisted of the following as of March 31, 2022 and December 31, 2021:</w:t>
      </w:r>
    </w:p>
    <w:p>
      <w:pPr>
        <w:spacing w:after="0" w:line="157" w:lineRule="exact"/>
        <w:rPr>
          <w:sz w:val="20"/>
          <w:szCs w:val="20"/>
          <w:color w:val="auto"/>
        </w:rPr>
      </w:pPr>
    </w:p>
    <w:tbl>
      <w:tblPr>
        <w:tblLayout w:type="fixed"/>
        <w:tblInd w:w="564" w:type="dxa"/>
        <w:tblCellMar>
          <w:top w:w="0" w:type="dxa"/>
          <w:left w:w="0" w:type="dxa"/>
          <w:bottom w:w="0" w:type="dxa"/>
          <w:right w:w="0" w:type="dxa"/>
        </w:tblCellMar>
      </w:tblPr>
      <w:tr>
        <w:trPr>
          <w:trHeight w:val="119"/>
        </w:trPr>
        <w:tc>
          <w:tcPr>
            <w:tcW w:w="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March 31, 2022</w:t>
            </w: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9"/>
        </w:trPr>
        <w:tc>
          <w:tcPr>
            <w:tcW w:w="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Aggregate Principal</w:t>
            </w:r>
          </w:p>
        </w:tc>
        <w:tc>
          <w:tcPr>
            <w:tcW w:w="220" w:type="dxa"/>
            <w:vAlign w:val="bottom"/>
          </w:tcPr>
          <w:p>
            <w:pPr>
              <w:spacing w:after="0"/>
              <w:rPr>
                <w:sz w:val="10"/>
                <w:szCs w:val="10"/>
                <w:color w:val="auto"/>
              </w:rPr>
            </w:pPr>
          </w:p>
        </w:tc>
        <w:tc>
          <w:tcPr>
            <w:tcW w:w="1060" w:type="dxa"/>
            <w:vAlign w:val="bottom"/>
          </w:tcPr>
          <w:p>
            <w:pPr>
              <w:jc w:val="right"/>
              <w:ind w:right="321"/>
              <w:spacing w:after="0"/>
              <w:rPr>
                <w:sz w:val="20"/>
                <w:szCs w:val="20"/>
                <w:color w:val="auto"/>
              </w:rPr>
            </w:pPr>
            <w:r>
              <w:rPr>
                <w:rFonts w:ascii="Arial" w:cs="Arial" w:eastAsia="Arial" w:hAnsi="Arial"/>
                <w:sz w:val="10"/>
                <w:szCs w:val="10"/>
                <w:b w:val="1"/>
                <w:bCs w:val="1"/>
                <w:color w:val="auto"/>
              </w:rPr>
              <w:t>Outstanding</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1080" w:type="dxa"/>
            <w:vAlign w:val="bottom"/>
          </w:tcPr>
          <w:p>
            <w:pPr>
              <w:jc w:val="right"/>
              <w:ind w:right="400"/>
              <w:spacing w:after="0"/>
              <w:rPr>
                <w:sz w:val="20"/>
                <w:szCs w:val="20"/>
                <w:color w:val="auto"/>
              </w:rPr>
            </w:pPr>
            <w:r>
              <w:rPr>
                <w:rFonts w:ascii="Arial" w:cs="Arial" w:eastAsia="Arial" w:hAnsi="Arial"/>
                <w:sz w:val="10"/>
                <w:szCs w:val="10"/>
                <w:b w:val="1"/>
                <w:bCs w:val="1"/>
                <w:color w:val="auto"/>
              </w:rPr>
              <w:t>Carrying</w:t>
            </w:r>
          </w:p>
        </w:tc>
        <w:tc>
          <w:tcPr>
            <w:tcW w:w="100" w:type="dxa"/>
            <w:vAlign w:val="bottom"/>
          </w:tcPr>
          <w:p>
            <w:pPr>
              <w:spacing w:after="0"/>
              <w:rPr>
                <w:sz w:val="10"/>
                <w:szCs w:val="10"/>
                <w:color w:val="auto"/>
              </w:rPr>
            </w:pPr>
          </w:p>
        </w:tc>
      </w:tr>
      <w:tr>
        <w:trPr>
          <w:trHeight w:val="154"/>
        </w:trPr>
        <w:tc>
          <w:tcPr>
            <w:tcW w:w="2760" w:type="dxa"/>
            <w:vAlign w:val="bottom"/>
            <w:tcBorders>
              <w:bottom w:val="single" w:sz="8" w:color="CFF0FC"/>
            </w:tcBorders>
            <w:gridSpan w:val="2"/>
          </w:tcPr>
          <w:p>
            <w:pPr>
              <w:spacing w:after="0"/>
              <w:rPr>
                <w:sz w:val="20"/>
                <w:szCs w:val="20"/>
                <w:color w:val="auto"/>
              </w:rPr>
            </w:pPr>
            <w:r>
              <w:rPr>
                <w:rFonts w:ascii="Arial" w:cs="Arial" w:eastAsia="Arial" w:hAnsi="Arial"/>
                <w:sz w:val="10"/>
                <w:szCs w:val="10"/>
                <w:color w:val="auto"/>
              </w:rPr>
              <w:t>($ in millions)</w:t>
            </w:r>
          </w:p>
        </w:tc>
        <w:tc>
          <w:tcPr>
            <w:tcW w:w="14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w w:val="99"/>
              </w:rPr>
              <w:t>Amount Committed</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 xml:space="preserve">Available </w:t>
            </w:r>
            <w:r>
              <w:rPr>
                <w:rFonts w:ascii="Arial" w:cs="Arial" w:eastAsia="Arial" w:hAnsi="Arial"/>
                <w:sz w:val="8"/>
                <w:szCs w:val="8"/>
                <w:b w:val="1"/>
                <w:bCs w:val="1"/>
                <w:color w:val="auto"/>
              </w:rPr>
              <w:t>(1)</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8"/>
                <w:szCs w:val="8"/>
                <w:b w:val="1"/>
                <w:bCs w:val="1"/>
                <w:color w:val="auto"/>
              </w:rPr>
              <w:t>(2)(3)</w:t>
            </w:r>
          </w:p>
        </w:tc>
        <w:tc>
          <w:tcPr>
            <w:tcW w:w="100" w:type="dxa"/>
            <w:vAlign w:val="bottom"/>
            <w:tcBorders>
              <w:bottom w:val="single" w:sz="8" w:color="CFF0FC"/>
            </w:tcBorders>
          </w:tcPr>
          <w:p>
            <w:pPr>
              <w:spacing w:after="0"/>
              <w:rPr>
                <w:sz w:val="13"/>
                <w:szCs w:val="13"/>
                <w:color w:val="auto"/>
              </w:rPr>
            </w:pPr>
          </w:p>
        </w:tc>
      </w:tr>
      <w:tr>
        <w:trPr>
          <w:trHeight w:val="150"/>
        </w:trPr>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Revolving Credit Facility</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277.3</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1,232.7</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266.1</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480" w:type="dxa"/>
            <w:vAlign w:val="bottom"/>
          </w:tcPr>
          <w:p>
            <w:pPr>
              <w:spacing w:after="0"/>
              <w:rPr>
                <w:sz w:val="20"/>
                <w:szCs w:val="20"/>
                <w:color w:val="auto"/>
              </w:rPr>
            </w:pPr>
            <w:r>
              <w:rPr>
                <w:rFonts w:ascii="Arial" w:cs="Arial" w:eastAsia="Arial" w:hAnsi="Arial"/>
                <w:sz w:val="13"/>
                <w:szCs w:val="13"/>
                <w:color w:val="auto"/>
              </w:rPr>
              <w:t>Convertible Notes</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2023</w:t>
            </w:r>
          </w:p>
        </w:tc>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2024</w:t>
            </w:r>
          </w:p>
        </w:tc>
        <w:tc>
          <w:tcPr>
            <w:tcW w:w="2480" w:type="dxa"/>
            <w:vAlign w:val="bottom"/>
          </w:tcPr>
          <w:p>
            <w:pPr>
              <w:spacing w:after="0"/>
              <w:rPr>
                <w:sz w:val="20"/>
                <w:szCs w:val="20"/>
                <w:color w:val="auto"/>
              </w:rPr>
            </w:pPr>
            <w:r>
              <w:rPr>
                <w:rFonts w:ascii="Arial" w:cs="Arial" w:eastAsia="Arial" w:hAnsi="Arial"/>
                <w:sz w:val="13"/>
                <w:szCs w:val="13"/>
                <w:color w:val="auto"/>
              </w:rPr>
              <w:t>Notes</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347.5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347.5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335.1</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2026</w:t>
            </w:r>
          </w:p>
        </w:tc>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4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2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270.8</w:t>
            </w:r>
          </w:p>
        </w:tc>
        <w:tc>
          <w:tcPr>
            <w:tcW w:w="100" w:type="dxa"/>
            <w:vAlign w:val="bottom"/>
            <w:shd w:val="clear" w:color="auto" w:fill="CFF0FC"/>
          </w:tcPr>
          <w:p>
            <w:pPr>
              <w:spacing w:after="0"/>
              <w:rPr>
                <w:sz w:val="13"/>
                <w:szCs w:val="13"/>
                <w:color w:val="auto"/>
              </w:rPr>
            </w:pPr>
          </w:p>
        </w:tc>
      </w:tr>
      <w:tr>
        <w:trPr>
          <w:trHeight w:val="150"/>
        </w:trPr>
        <w:tc>
          <w:tcPr>
            <w:tcW w:w="27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Debt</w:t>
            </w:r>
          </w:p>
        </w:tc>
        <w:tc>
          <w:tcPr>
            <w:tcW w:w="14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2,407.5</w:t>
            </w:r>
          </w:p>
        </w:tc>
        <w:tc>
          <w:tcPr>
            <w:tcW w:w="2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1,174.8</w:t>
            </w: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1,232.7</w:t>
            </w:r>
          </w:p>
        </w:tc>
        <w:tc>
          <w:tcPr>
            <w:tcW w:w="20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1,121.2</w:t>
            </w:r>
          </w:p>
        </w:tc>
        <w:tc>
          <w:tcPr>
            <w:tcW w:w="100" w:type="dxa"/>
            <w:vAlign w:val="bottom"/>
          </w:tcPr>
          <w:p>
            <w:pPr>
              <w:spacing w:after="0"/>
              <w:rPr>
                <w:sz w:val="13"/>
                <w:szCs w:val="13"/>
                <w:color w:val="auto"/>
              </w:rPr>
            </w:pPr>
          </w:p>
        </w:tc>
      </w:tr>
      <w:tr>
        <w:trPr>
          <w:trHeight w:val="28"/>
        </w:trPr>
        <w:tc>
          <w:tcPr>
            <w:tcW w:w="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1" w:lineRule="exact"/>
        <w:rPr>
          <w:sz w:val="20"/>
          <w:szCs w:val="20"/>
          <w:color w:val="auto"/>
        </w:rPr>
      </w:pPr>
    </w:p>
    <w:p>
      <w:pPr>
        <w:ind w:left="504" w:hanging="504"/>
        <w:spacing w:after="0"/>
        <w:tabs>
          <w:tab w:leader="none" w:pos="504"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amount available may be subject to limitations related to the borrowing base under the Revolving Credit Facility and asset coverage requirements.</w:t>
      </w:r>
    </w:p>
    <w:p>
      <w:pPr>
        <w:spacing w:after="0" w:line="10" w:lineRule="exact"/>
        <w:rPr>
          <w:rFonts w:ascii="Arial" w:cs="Arial" w:eastAsia="Arial" w:hAnsi="Arial"/>
          <w:sz w:val="13"/>
          <w:szCs w:val="13"/>
          <w:color w:val="auto"/>
        </w:rPr>
      </w:pPr>
    </w:p>
    <w:p>
      <w:pPr>
        <w:ind w:left="504" w:hanging="504"/>
        <w:spacing w:after="0" w:line="242" w:lineRule="auto"/>
        <w:tabs>
          <w:tab w:leader="none" w:pos="504"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carrying values of the Revolving Credit Facility, 2022 Convertible Notes, 2023 Notes, 2024 Notes and 2026 Notes are presented net of the combination of deferred financing costs and original issue discounts totaling $11.2 million, $0.2 million, $0.5 million, $3.6 million and $5.0 million, respectively.</w:t>
      </w:r>
    </w:p>
    <w:p>
      <w:pPr>
        <w:spacing w:after="0" w:line="1" w:lineRule="exact"/>
        <w:rPr>
          <w:rFonts w:ascii="Arial" w:cs="Arial" w:eastAsia="Arial" w:hAnsi="Arial"/>
          <w:sz w:val="13"/>
          <w:szCs w:val="13"/>
          <w:color w:val="auto"/>
        </w:rPr>
      </w:pPr>
    </w:p>
    <w:p>
      <w:pPr>
        <w:ind w:left="504" w:right="40" w:hanging="504"/>
        <w:spacing w:after="0" w:line="245" w:lineRule="auto"/>
        <w:tabs>
          <w:tab w:leader="none" w:pos="504"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carrying values of the 2024 Notes and 2026 Notes are presented inclusive of an incremental ($8.8) million and ($24.2) million, respectively, which represents an adjustment in the carrying values of the 2024 Notes and 2026 Notes, each resulting from a hedge accounting relationship.</w:t>
      </w:r>
    </w:p>
    <w:p>
      <w:pPr>
        <w:spacing w:after="0" w:line="140" w:lineRule="exact"/>
        <w:rPr>
          <w:sz w:val="20"/>
          <w:szCs w:val="20"/>
          <w:color w:val="auto"/>
        </w:rPr>
      </w:pPr>
    </w:p>
    <w:p>
      <w:pPr>
        <w:jc w:val="center"/>
        <w:ind w:right="-103"/>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84"/>
          </w:cols>
          <w:pgMar w:left="296" w:top="433" w:right="419" w:bottom="1440" w:gutter="0" w:footer="0" w:header="0"/>
        </w:sectPr>
      </w:pPr>
    </w:p>
    <w:bookmarkStart w:id="61" w:name="page62"/>
    <w:bookmarkEnd w:id="61"/>
    <w:tbl>
      <w:tblPr>
        <w:tblLayout w:type="fixed"/>
        <w:tblInd w:w="564" w:type="dxa"/>
        <w:tblCellMar>
          <w:top w:w="0" w:type="dxa"/>
          <w:left w:w="0" w:type="dxa"/>
          <w:bottom w:w="0" w:type="dxa"/>
          <w:right w:w="0" w:type="dxa"/>
        </w:tblCellMar>
      </w:tblPr>
      <w:tr>
        <w:trPr>
          <w:trHeight w:val="119"/>
        </w:trPr>
        <w:tc>
          <w:tcPr>
            <w:tcW w:w="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December 31, 2021</w:t>
            </w: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19"/>
        </w:trPr>
        <w:tc>
          <w:tcPr>
            <w:tcW w:w="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ind w:left="80"/>
              <w:spacing w:after="0"/>
              <w:rPr>
                <w:sz w:val="20"/>
                <w:szCs w:val="20"/>
                <w:color w:val="auto"/>
              </w:rPr>
            </w:pPr>
            <w:r>
              <w:rPr>
                <w:rFonts w:ascii="Arial" w:cs="Arial" w:eastAsia="Arial" w:hAnsi="Arial"/>
                <w:sz w:val="10"/>
                <w:szCs w:val="10"/>
                <w:b w:val="1"/>
                <w:bCs w:val="1"/>
                <w:color w:val="auto"/>
              </w:rPr>
              <w:t>Aggregate Principal</w:t>
            </w:r>
          </w:p>
        </w:tc>
        <w:tc>
          <w:tcPr>
            <w:tcW w:w="220" w:type="dxa"/>
            <w:vAlign w:val="bottom"/>
          </w:tcPr>
          <w:p>
            <w:pPr>
              <w:spacing w:after="0"/>
              <w:rPr>
                <w:sz w:val="10"/>
                <w:szCs w:val="10"/>
                <w:color w:val="auto"/>
              </w:rPr>
            </w:pPr>
          </w:p>
        </w:tc>
        <w:tc>
          <w:tcPr>
            <w:tcW w:w="1060" w:type="dxa"/>
            <w:vAlign w:val="bottom"/>
          </w:tcPr>
          <w:p>
            <w:pPr>
              <w:jc w:val="right"/>
              <w:ind w:right="321"/>
              <w:spacing w:after="0"/>
              <w:rPr>
                <w:sz w:val="20"/>
                <w:szCs w:val="20"/>
                <w:color w:val="auto"/>
              </w:rPr>
            </w:pPr>
            <w:r>
              <w:rPr>
                <w:rFonts w:ascii="Arial" w:cs="Arial" w:eastAsia="Arial" w:hAnsi="Arial"/>
                <w:sz w:val="10"/>
                <w:szCs w:val="10"/>
                <w:b w:val="1"/>
                <w:bCs w:val="1"/>
                <w:color w:val="auto"/>
              </w:rPr>
              <w:t>Outstanding</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1080" w:type="dxa"/>
            <w:vAlign w:val="bottom"/>
          </w:tcPr>
          <w:p>
            <w:pPr>
              <w:jc w:val="right"/>
              <w:ind w:right="400"/>
              <w:spacing w:after="0"/>
              <w:rPr>
                <w:sz w:val="20"/>
                <w:szCs w:val="20"/>
                <w:color w:val="auto"/>
              </w:rPr>
            </w:pPr>
            <w:r>
              <w:rPr>
                <w:rFonts w:ascii="Arial" w:cs="Arial" w:eastAsia="Arial" w:hAnsi="Arial"/>
                <w:sz w:val="10"/>
                <w:szCs w:val="10"/>
                <w:b w:val="1"/>
                <w:bCs w:val="1"/>
                <w:color w:val="auto"/>
              </w:rPr>
              <w:t>Carrying</w:t>
            </w:r>
          </w:p>
        </w:tc>
        <w:tc>
          <w:tcPr>
            <w:tcW w:w="100" w:type="dxa"/>
            <w:vAlign w:val="bottom"/>
          </w:tcPr>
          <w:p>
            <w:pPr>
              <w:spacing w:after="0"/>
              <w:rPr>
                <w:sz w:val="10"/>
                <w:szCs w:val="10"/>
                <w:color w:val="auto"/>
              </w:rPr>
            </w:pPr>
          </w:p>
        </w:tc>
      </w:tr>
      <w:tr>
        <w:trPr>
          <w:trHeight w:val="154"/>
        </w:trPr>
        <w:tc>
          <w:tcPr>
            <w:tcW w:w="2760" w:type="dxa"/>
            <w:vAlign w:val="bottom"/>
            <w:tcBorders>
              <w:bottom w:val="single" w:sz="8" w:color="CFF0FC"/>
            </w:tcBorders>
            <w:gridSpan w:val="2"/>
          </w:tcPr>
          <w:p>
            <w:pPr>
              <w:spacing w:after="0"/>
              <w:rPr>
                <w:sz w:val="20"/>
                <w:szCs w:val="20"/>
                <w:color w:val="auto"/>
              </w:rPr>
            </w:pPr>
            <w:r>
              <w:rPr>
                <w:rFonts w:ascii="Arial" w:cs="Arial" w:eastAsia="Arial" w:hAnsi="Arial"/>
                <w:sz w:val="10"/>
                <w:szCs w:val="10"/>
                <w:color w:val="auto"/>
              </w:rPr>
              <w:t>($ in millions)</w:t>
            </w:r>
          </w:p>
        </w:tc>
        <w:tc>
          <w:tcPr>
            <w:tcW w:w="14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0"/>
                <w:szCs w:val="10"/>
                <w:b w:val="1"/>
                <w:bCs w:val="1"/>
                <w:color w:val="auto"/>
                <w:w w:val="99"/>
              </w:rPr>
              <w:t>Amount Committed</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Principal</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w w:val="95"/>
              </w:rPr>
              <w:t xml:space="preserve">Available </w:t>
            </w:r>
            <w:r>
              <w:rPr>
                <w:rFonts w:ascii="Arial" w:cs="Arial" w:eastAsia="Arial" w:hAnsi="Arial"/>
                <w:sz w:val="8"/>
                <w:szCs w:val="8"/>
                <w:b w:val="1"/>
                <w:bCs w:val="1"/>
                <w:color w:val="auto"/>
                <w:w w:val="95"/>
              </w:rPr>
              <w:t>(1)</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0"/>
                <w:szCs w:val="10"/>
                <w:b w:val="1"/>
                <w:bCs w:val="1"/>
                <w:color w:val="auto"/>
              </w:rPr>
              <w:t xml:space="preserve">Value </w:t>
            </w:r>
            <w:r>
              <w:rPr>
                <w:rFonts w:ascii="Arial" w:cs="Arial" w:eastAsia="Arial" w:hAnsi="Arial"/>
                <w:sz w:val="8"/>
                <w:szCs w:val="8"/>
                <w:b w:val="1"/>
                <w:bCs w:val="1"/>
                <w:color w:val="auto"/>
              </w:rPr>
              <w:t>(2)(3)</w:t>
            </w:r>
          </w:p>
        </w:tc>
        <w:tc>
          <w:tcPr>
            <w:tcW w:w="100" w:type="dxa"/>
            <w:vAlign w:val="bottom"/>
            <w:tcBorders>
              <w:bottom w:val="single" w:sz="8" w:color="CFF0FC"/>
            </w:tcBorders>
          </w:tcPr>
          <w:p>
            <w:pPr>
              <w:spacing w:after="0"/>
              <w:rPr>
                <w:sz w:val="13"/>
                <w:szCs w:val="13"/>
                <w:color w:val="auto"/>
              </w:rPr>
            </w:pPr>
          </w:p>
        </w:tc>
      </w:tr>
      <w:tr>
        <w:trPr>
          <w:trHeight w:val="150"/>
        </w:trPr>
        <w:tc>
          <w:tcPr>
            <w:tcW w:w="27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Revolving Credit Facility</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1,510.0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316.4</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1,193.6</w:t>
            </w:r>
          </w:p>
        </w:tc>
        <w:tc>
          <w:tcPr>
            <w:tcW w:w="2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304.6</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2022</w:t>
            </w:r>
          </w:p>
        </w:tc>
        <w:tc>
          <w:tcPr>
            <w:tcW w:w="2480" w:type="dxa"/>
            <w:vAlign w:val="bottom"/>
          </w:tcPr>
          <w:p>
            <w:pPr>
              <w:spacing w:after="0"/>
              <w:rPr>
                <w:sz w:val="20"/>
                <w:szCs w:val="20"/>
                <w:color w:val="auto"/>
              </w:rPr>
            </w:pPr>
            <w:r>
              <w:rPr>
                <w:rFonts w:ascii="Arial" w:cs="Arial" w:eastAsia="Arial" w:hAnsi="Arial"/>
                <w:sz w:val="13"/>
                <w:szCs w:val="13"/>
                <w:color w:val="auto"/>
              </w:rPr>
              <w:t>Convertible Notes</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2023</w:t>
            </w:r>
          </w:p>
        </w:tc>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4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w:t>
            </w:r>
          </w:p>
        </w:tc>
        <w:tc>
          <w:tcPr>
            <w:tcW w:w="100" w:type="dxa"/>
            <w:vAlign w:val="bottom"/>
            <w:shd w:val="clear" w:color="auto" w:fill="CFF0FC"/>
          </w:tcPr>
          <w:p>
            <w:pPr>
              <w:spacing w:after="0"/>
              <w:rPr>
                <w:sz w:val="13"/>
                <w:szCs w:val="13"/>
                <w:color w:val="auto"/>
              </w:rPr>
            </w:pPr>
          </w:p>
        </w:tc>
      </w:tr>
      <w:tr>
        <w:trPr>
          <w:trHeight w:val="161"/>
        </w:trPr>
        <w:tc>
          <w:tcPr>
            <w:tcW w:w="280" w:type="dxa"/>
            <w:vAlign w:val="bottom"/>
          </w:tcPr>
          <w:p>
            <w:pPr>
              <w:spacing w:after="0"/>
              <w:rPr>
                <w:sz w:val="20"/>
                <w:szCs w:val="20"/>
                <w:color w:val="auto"/>
              </w:rPr>
            </w:pPr>
            <w:r>
              <w:rPr>
                <w:rFonts w:ascii="Arial" w:cs="Arial" w:eastAsia="Arial" w:hAnsi="Arial"/>
                <w:sz w:val="13"/>
                <w:szCs w:val="13"/>
                <w:color w:val="auto"/>
                <w:w w:val="89"/>
              </w:rPr>
              <w:t>2024</w:t>
            </w:r>
          </w:p>
        </w:tc>
        <w:tc>
          <w:tcPr>
            <w:tcW w:w="2480" w:type="dxa"/>
            <w:vAlign w:val="bottom"/>
          </w:tcPr>
          <w:p>
            <w:pPr>
              <w:spacing w:after="0"/>
              <w:rPr>
                <w:sz w:val="20"/>
                <w:szCs w:val="20"/>
                <w:color w:val="auto"/>
              </w:rPr>
            </w:pPr>
            <w:r>
              <w:rPr>
                <w:rFonts w:ascii="Arial" w:cs="Arial" w:eastAsia="Arial" w:hAnsi="Arial"/>
                <w:sz w:val="13"/>
                <w:szCs w:val="13"/>
                <w:color w:val="auto"/>
              </w:rPr>
              <w:t>Notes</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347.5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347.5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347.9</w:t>
            </w:r>
          </w:p>
        </w:tc>
        <w:tc>
          <w:tcPr>
            <w:tcW w:w="100" w:type="dxa"/>
            <w:vAlign w:val="bottom"/>
          </w:tcPr>
          <w:p>
            <w:pPr>
              <w:spacing w:after="0"/>
              <w:rPr>
                <w:sz w:val="13"/>
                <w:szCs w:val="13"/>
                <w:color w:val="auto"/>
              </w:rPr>
            </w:pPr>
          </w:p>
        </w:tc>
      </w:tr>
      <w:tr>
        <w:trPr>
          <w:trHeight w:val="161"/>
        </w:trPr>
        <w:tc>
          <w:tcPr>
            <w:tcW w:w="280" w:type="dxa"/>
            <w:vAlign w:val="bottom"/>
            <w:shd w:val="clear" w:color="auto" w:fill="CFF0FC"/>
          </w:tcPr>
          <w:p>
            <w:pPr>
              <w:spacing w:after="0"/>
              <w:rPr>
                <w:sz w:val="20"/>
                <w:szCs w:val="20"/>
                <w:color w:val="auto"/>
              </w:rPr>
            </w:pPr>
            <w:r>
              <w:rPr>
                <w:rFonts w:ascii="Arial" w:cs="Arial" w:eastAsia="Arial" w:hAnsi="Arial"/>
                <w:sz w:val="13"/>
                <w:szCs w:val="13"/>
                <w:color w:val="auto"/>
                <w:w w:val="89"/>
              </w:rPr>
              <w:t>2026</w:t>
            </w:r>
          </w:p>
        </w:tc>
        <w:tc>
          <w:tcPr>
            <w:tcW w:w="2480" w:type="dxa"/>
            <w:vAlign w:val="bottom"/>
            <w:shd w:val="clear" w:color="auto" w:fill="CFF0FC"/>
          </w:tcPr>
          <w:p>
            <w:pPr>
              <w:spacing w:after="0"/>
              <w:rPr>
                <w:sz w:val="20"/>
                <w:szCs w:val="20"/>
                <w:color w:val="auto"/>
              </w:rPr>
            </w:pPr>
            <w:r>
              <w:rPr>
                <w:rFonts w:ascii="Arial" w:cs="Arial" w:eastAsia="Arial" w:hAnsi="Arial"/>
                <w:sz w:val="13"/>
                <w:szCs w:val="13"/>
                <w:color w:val="auto"/>
              </w:rPr>
              <w:t>Notes</w:t>
            </w:r>
          </w:p>
        </w:tc>
        <w:tc>
          <w:tcPr>
            <w:tcW w:w="146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20" w:type="dxa"/>
            <w:vAlign w:val="bottom"/>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2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284.5</w:t>
            </w:r>
          </w:p>
        </w:tc>
        <w:tc>
          <w:tcPr>
            <w:tcW w:w="100" w:type="dxa"/>
            <w:vAlign w:val="bottom"/>
            <w:shd w:val="clear" w:color="auto" w:fill="CFF0FC"/>
          </w:tcPr>
          <w:p>
            <w:pPr>
              <w:spacing w:after="0"/>
              <w:rPr>
                <w:sz w:val="13"/>
                <w:szCs w:val="13"/>
                <w:color w:val="auto"/>
              </w:rPr>
            </w:pPr>
          </w:p>
        </w:tc>
      </w:tr>
      <w:tr>
        <w:trPr>
          <w:trHeight w:val="150"/>
        </w:trPr>
        <w:tc>
          <w:tcPr>
            <w:tcW w:w="27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Debt</w:t>
            </w:r>
          </w:p>
        </w:tc>
        <w:tc>
          <w:tcPr>
            <w:tcW w:w="14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2,407.5</w:t>
            </w:r>
          </w:p>
        </w:tc>
        <w:tc>
          <w:tcPr>
            <w:tcW w:w="220" w:type="dxa"/>
            <w:vAlign w:val="bottom"/>
          </w:tcPr>
          <w:p>
            <w:pPr>
              <w:spacing w:after="0"/>
              <w:rPr>
                <w:sz w:val="13"/>
                <w:szCs w:val="13"/>
                <w:color w:val="auto"/>
              </w:rPr>
            </w:pP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1,213.9</w:t>
            </w:r>
          </w:p>
        </w:tc>
        <w:tc>
          <w:tcPr>
            <w:tcW w:w="5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1,193.6</w:t>
            </w:r>
          </w:p>
        </w:tc>
        <w:tc>
          <w:tcPr>
            <w:tcW w:w="200" w:type="dxa"/>
            <w:vAlign w:val="bottom"/>
          </w:tcPr>
          <w:p>
            <w:pPr>
              <w:spacing w:after="0"/>
              <w:rPr>
                <w:sz w:val="13"/>
                <w:szCs w:val="13"/>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1,186.0</w:t>
            </w:r>
          </w:p>
        </w:tc>
        <w:tc>
          <w:tcPr>
            <w:tcW w:w="100" w:type="dxa"/>
            <w:vAlign w:val="bottom"/>
          </w:tcPr>
          <w:p>
            <w:pPr>
              <w:spacing w:after="0"/>
              <w:rPr>
                <w:sz w:val="13"/>
                <w:szCs w:val="13"/>
                <w:color w:val="auto"/>
              </w:rPr>
            </w:pPr>
          </w:p>
        </w:tc>
      </w:tr>
      <w:tr>
        <w:trPr>
          <w:trHeight w:val="28"/>
        </w:trPr>
        <w:tc>
          <w:tcPr>
            <w:tcW w:w="2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76" w:lineRule="exact"/>
        <w:rPr>
          <w:sz w:val="20"/>
          <w:szCs w:val="20"/>
          <w:color w:val="auto"/>
        </w:rPr>
      </w:pPr>
    </w:p>
    <w:p>
      <w:pPr>
        <w:ind w:left="504" w:hanging="504"/>
        <w:spacing w:after="0"/>
        <w:tabs>
          <w:tab w:leader="none" w:pos="504"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amount available may be subject to limitations related to the borrowing base under the Revolving Credit Facility and asset coverage requirements.</w:t>
      </w:r>
    </w:p>
    <w:p>
      <w:pPr>
        <w:spacing w:after="0" w:line="10" w:lineRule="exact"/>
        <w:rPr>
          <w:rFonts w:ascii="Arial" w:cs="Arial" w:eastAsia="Arial" w:hAnsi="Arial"/>
          <w:sz w:val="13"/>
          <w:szCs w:val="13"/>
          <w:color w:val="auto"/>
        </w:rPr>
      </w:pPr>
    </w:p>
    <w:p>
      <w:pPr>
        <w:ind w:left="504" w:right="100" w:hanging="504"/>
        <w:spacing w:after="0" w:line="242" w:lineRule="auto"/>
        <w:tabs>
          <w:tab w:leader="none" w:pos="504"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carrying values of the Revolving Credit Facility, 2022 Convertible Notes, 2023 Notes, 2024 Notes and 2026 Notes are presented net of the combination of deferred financing costs and original issue discounts totaling $11.8 million, $0.3 million, $0.7 million and $4.0 million and $5.3 million, respectively.</w:t>
      </w:r>
    </w:p>
    <w:p>
      <w:pPr>
        <w:spacing w:after="0" w:line="1" w:lineRule="exact"/>
        <w:rPr>
          <w:rFonts w:ascii="Arial" w:cs="Arial" w:eastAsia="Arial" w:hAnsi="Arial"/>
          <w:sz w:val="13"/>
          <w:szCs w:val="13"/>
          <w:color w:val="auto"/>
        </w:rPr>
      </w:pPr>
    </w:p>
    <w:p>
      <w:pPr>
        <w:ind w:left="504" w:right="80" w:hanging="504"/>
        <w:spacing w:after="0" w:line="245" w:lineRule="auto"/>
        <w:tabs>
          <w:tab w:leader="none" w:pos="504"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carrying values of the 2024 Notes and 2026 Notes are presented inclusive of an incremental $4.4 million and ($10.2) million, which represents an adjustment in the carrying values of the 2024 Notes and 2026 Notes, each resulting from a hedge accounting relationship.</w:t>
      </w:r>
    </w:p>
    <w:p>
      <w:pPr>
        <w:spacing w:after="0" w:line="140" w:lineRule="exact"/>
        <w:rPr>
          <w:sz w:val="20"/>
          <w:szCs w:val="20"/>
          <w:color w:val="auto"/>
        </w:rPr>
      </w:pPr>
    </w:p>
    <w:p>
      <w:pPr>
        <w:ind w:left="4" w:right="160" w:firstLine="256"/>
        <w:spacing w:after="0" w:line="260" w:lineRule="auto"/>
        <w:rPr>
          <w:sz w:val="20"/>
          <w:szCs w:val="20"/>
          <w:color w:val="auto"/>
        </w:rPr>
      </w:pPr>
      <w:r>
        <w:rPr>
          <w:rFonts w:ascii="Arial" w:cs="Arial" w:eastAsia="Arial" w:hAnsi="Arial"/>
          <w:sz w:val="13"/>
          <w:szCs w:val="13"/>
          <w:color w:val="auto"/>
        </w:rPr>
        <w:t>As of March 31, 2022 and December 31, 2021, we were in compliance with the terms of our debt arrangements. We intend to continue to utilize our credit facilities to fund investments and for other general corporate purposes.</w:t>
      </w:r>
    </w:p>
    <w:p>
      <w:pPr>
        <w:spacing w:after="0" w:line="205"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Revolving Credit Facility</w:t>
      </w:r>
    </w:p>
    <w:p>
      <w:pPr>
        <w:spacing w:after="0" w:line="77" w:lineRule="exact"/>
        <w:rPr>
          <w:sz w:val="20"/>
          <w:szCs w:val="20"/>
          <w:color w:val="auto"/>
        </w:rPr>
      </w:pPr>
    </w:p>
    <w:p>
      <w:pPr>
        <w:ind w:left="4" w:right="40" w:firstLine="256"/>
        <w:spacing w:after="0" w:line="260" w:lineRule="auto"/>
        <w:rPr>
          <w:sz w:val="20"/>
          <w:szCs w:val="20"/>
          <w:color w:val="auto"/>
        </w:rPr>
      </w:pPr>
      <w:r>
        <w:rPr>
          <w:rFonts w:ascii="Arial" w:cs="Arial" w:eastAsia="Arial" w:hAnsi="Arial"/>
          <w:sz w:val="13"/>
          <w:szCs w:val="13"/>
          <w:color w:val="auto"/>
        </w:rPr>
        <w:t>On August 23, 2012, we entered into a senior secured revolving credit agreement with Truist Bank (as successor by merger to SunTrust Bank), as administrative agent, and J.P. Morgan Chase Bank, N.A., as syndication agent, and certain other lenders (as amended and restated, the “Revolving Credit Facility”).</w:t>
      </w:r>
    </w:p>
    <w:p>
      <w:pPr>
        <w:spacing w:after="0" w:line="130" w:lineRule="exact"/>
        <w:rPr>
          <w:sz w:val="20"/>
          <w:szCs w:val="20"/>
          <w:color w:val="auto"/>
        </w:rPr>
      </w:pPr>
    </w:p>
    <w:p>
      <w:pPr>
        <w:jc w:val="both"/>
        <w:ind w:left="4" w:right="160" w:firstLine="256"/>
        <w:spacing w:after="0" w:line="351" w:lineRule="auto"/>
        <w:rPr>
          <w:sz w:val="20"/>
          <w:szCs w:val="20"/>
          <w:color w:val="auto"/>
        </w:rPr>
      </w:pPr>
      <w:r>
        <w:rPr>
          <w:rFonts w:ascii="Arial" w:cs="Arial" w:eastAsia="Arial" w:hAnsi="Arial"/>
          <w:sz w:val="11"/>
          <w:szCs w:val="11"/>
          <w:color w:val="auto"/>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us, under certain circumstances, to increase the size of the facility to up to $2.0 billion.</w:t>
      </w:r>
    </w:p>
    <w:p>
      <w:pPr>
        <w:spacing w:after="0" w:line="84" w:lineRule="exact"/>
        <w:rPr>
          <w:sz w:val="20"/>
          <w:szCs w:val="20"/>
          <w:color w:val="auto"/>
        </w:rPr>
      </w:pPr>
    </w:p>
    <w:p>
      <w:pPr>
        <w:ind w:left="4" w:right="160" w:firstLine="256"/>
        <w:spacing w:after="0" w:line="319" w:lineRule="auto"/>
        <w:rPr>
          <w:sz w:val="20"/>
          <w:szCs w:val="20"/>
          <w:color w:val="auto"/>
        </w:rPr>
      </w:pPr>
      <w:r>
        <w:rPr>
          <w:rFonts w:ascii="Arial" w:cs="Arial" w:eastAsia="Arial" w:hAnsi="Arial"/>
          <w:sz w:val="11"/>
          <w:szCs w:val="11"/>
          <w:color w:val="auto"/>
        </w:rPr>
        <w:t>Pursuant to the Twelfth Amendment, with respect to $1.510 billion in commitments, the revolving period, during which period we, subject to certain conditions, may make borrowings under the facility, was extended from to April 24, 2026 and the stated maturity date was extended from to April 23, 2027. For the remaining $75.0 million of commitments, (A) with respect to $25.0 million of commitments, the revolving period ends January 31, 2024 and the stated maturity is January 31, 2025 and (B) with respect to $50.0 million of commitments, the revolving period ends on February 4, 2025 and the stated maturity is February 4, 2026.</w:t>
      </w:r>
    </w:p>
    <w:p>
      <w:pPr>
        <w:spacing w:after="0" w:line="101" w:lineRule="exact"/>
        <w:rPr>
          <w:sz w:val="20"/>
          <w:szCs w:val="20"/>
          <w:color w:val="auto"/>
        </w:rPr>
      </w:pPr>
    </w:p>
    <w:p>
      <w:pPr>
        <w:ind w:left="4" w:right="240" w:firstLine="256"/>
        <w:spacing w:after="0" w:line="301" w:lineRule="auto"/>
        <w:rPr>
          <w:sz w:val="20"/>
          <w:szCs w:val="20"/>
          <w:color w:val="auto"/>
        </w:rPr>
      </w:pPr>
      <w:r>
        <w:rPr>
          <w:rFonts w:ascii="Arial" w:cs="Arial" w:eastAsia="Arial" w:hAnsi="Arial"/>
          <w:sz w:val="12"/>
          <w:szCs w:val="12"/>
          <w:color w:val="auto"/>
        </w:rPr>
        <w:t>We may borrow amounts in U.S. dollars or certain other permitted currencies. As of March 31, 2022, we had outstanding debt denominated in Australian Dollars (AUD) of 59.0 million, British pounds (GBP) of 4.7 million, Canadian Dollars (CAD) of 111.6 million, and Euro (EUR) of 9.4 million on our Revolving Credit Facility, included in the Outstanding Principal amount in the table above.</w:t>
      </w:r>
    </w:p>
    <w:p>
      <w:pPr>
        <w:spacing w:after="0" w:line="108" w:lineRule="exact"/>
        <w:rPr>
          <w:sz w:val="20"/>
          <w:szCs w:val="20"/>
          <w:color w:val="auto"/>
        </w:rPr>
      </w:pPr>
    </w:p>
    <w:p>
      <w:pPr>
        <w:jc w:val="both"/>
        <w:ind w:left="4" w:right="400" w:firstLine="256"/>
        <w:spacing w:after="0" w:line="251" w:lineRule="auto"/>
        <w:rPr>
          <w:sz w:val="20"/>
          <w:szCs w:val="20"/>
          <w:color w:val="auto"/>
        </w:rPr>
      </w:pPr>
      <w:r>
        <w:rPr>
          <w:rFonts w:ascii="Arial" w:cs="Arial" w:eastAsia="Arial" w:hAnsi="Arial"/>
          <w:sz w:val="13"/>
          <w:szCs w:val="13"/>
          <w:color w:val="auto"/>
        </w:rPr>
        <w:t>The Revolving Credit Facility also provides for the issuance of letters of credit up to an aggregate amount of $75.0 million. As of March 31, 2022 we had less than $0.1 million letters of credit issued through the Revolving Credit Facility and as of December 31, 2021, we had no outstanding letters of credit issued through the Revolving Credit Facility. The amount available for borrowing under the Revolving Credit Facility is reduced by any letters of credit issued through the Revolving Credit Facility.</w:t>
      </w:r>
    </w:p>
    <w:p>
      <w:pPr>
        <w:spacing w:after="0" w:line="136" w:lineRule="exact"/>
        <w:rPr>
          <w:sz w:val="20"/>
          <w:szCs w:val="20"/>
          <w:color w:val="auto"/>
        </w:rPr>
      </w:pPr>
    </w:p>
    <w:p>
      <w:pPr>
        <w:ind w:left="4" w:firstLine="256"/>
        <w:spacing w:after="0" w:line="247" w:lineRule="auto"/>
        <w:rPr>
          <w:sz w:val="20"/>
          <w:szCs w:val="20"/>
          <w:color w:val="auto"/>
        </w:rPr>
      </w:pPr>
      <w:r>
        <w:rPr>
          <w:rFonts w:ascii="Arial" w:cs="Arial" w:eastAsia="Arial" w:hAnsi="Arial"/>
          <w:sz w:val="13"/>
          <w:szCs w:val="13"/>
          <w:color w:val="auto"/>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38"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4"/>
          </w:cols>
          <w:pgMar w:left="296" w:top="371" w:right="319" w:bottom="1440" w:gutter="0" w:footer="0" w:header="0"/>
        </w:sectPr>
      </w:pPr>
    </w:p>
    <w:bookmarkStart w:id="62" w:name="page63"/>
    <w:bookmarkEnd w:id="62"/>
    <w:p>
      <w:pPr>
        <w:ind w:right="80" w:firstLine="256"/>
        <w:spacing w:after="0" w:line="301" w:lineRule="auto"/>
        <w:rPr>
          <w:sz w:val="20"/>
          <w:szCs w:val="20"/>
          <w:color w:val="auto"/>
        </w:rPr>
      </w:pPr>
      <w:r>
        <w:rPr>
          <w:rFonts w:ascii="Arial" w:cs="Arial" w:eastAsia="Arial" w:hAnsi="Arial"/>
          <w:sz w:val="12"/>
          <w:szCs w:val="12"/>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08" w:lineRule="exact"/>
        <w:rPr>
          <w:sz w:val="20"/>
          <w:szCs w:val="20"/>
          <w:color w:val="auto"/>
        </w:rPr>
      </w:pPr>
    </w:p>
    <w:p>
      <w:pPr>
        <w:ind w:right="160" w:firstLine="256"/>
        <w:spacing w:after="0" w:line="260" w:lineRule="auto"/>
        <w:rPr>
          <w:sz w:val="20"/>
          <w:szCs w:val="20"/>
          <w:color w:val="auto"/>
        </w:rPr>
      </w:pPr>
      <w:r>
        <w:rPr>
          <w:rFonts w:ascii="Arial" w:cs="Arial" w:eastAsia="Arial" w:hAnsi="Arial"/>
          <w:sz w:val="13"/>
          <w:szCs w:val="13"/>
          <w:color w:val="auto"/>
        </w:rPr>
        <w:t>The Revolving Credit Facility includes customary events of default, as well as customary covenants, including restrictions on certain distributions and financial covenants. In accordance with the terms of the Twelfth Amendment, the financial covenants require:</w:t>
      </w:r>
    </w:p>
    <w:p>
      <w:pPr>
        <w:spacing w:after="0" w:line="54" w:lineRule="exact"/>
        <w:rPr>
          <w:sz w:val="20"/>
          <w:szCs w:val="20"/>
          <w:color w:val="auto"/>
        </w:rPr>
      </w:pPr>
    </w:p>
    <w:p>
      <w:pPr>
        <w:ind w:left="500" w:hanging="249"/>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an asset coverage ratio of no less than 1.5 to 1 on the last day of any fiscal quarter;</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stockholders’ equity of at least $500 million plus 25% of the net proceeds of the sale of equity interests after January 31, 2020; and</w:t>
      </w:r>
    </w:p>
    <w:p>
      <w:pPr>
        <w:spacing w:after="0" w:line="77" w:lineRule="exact"/>
        <w:rPr>
          <w:rFonts w:ascii="Arial" w:cs="Arial" w:eastAsia="Arial" w:hAnsi="Arial"/>
          <w:sz w:val="13"/>
          <w:szCs w:val="13"/>
          <w:color w:val="auto"/>
        </w:rPr>
      </w:pPr>
    </w:p>
    <w:p>
      <w:pPr>
        <w:ind w:left="500" w:right="100" w:hanging="249"/>
        <w:spacing w:after="0" w:line="251" w:lineRule="auto"/>
        <w:tabs>
          <w:tab w:leader="none" w:pos="5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Revolving Credit Facility also contains certain additional concentration limits in connection with the calculation of the borrowing base, based on the Obligor Asset Coverage Ratio.</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1"/>
          <w:szCs w:val="11"/>
          <w:color w:val="auto"/>
        </w:rPr>
        <w:t>Net proceeds received from the Company’s common stock issuance in February 2021 and net proceeds received from the issuance of the 2026 Notes were used to pay down borrowings on the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2022 Convertible Notes</w:t>
      </w:r>
    </w:p>
    <w:p>
      <w:pPr>
        <w:spacing w:after="0" w:line="77" w:lineRule="exact"/>
        <w:rPr>
          <w:sz w:val="20"/>
          <w:szCs w:val="20"/>
          <w:color w:val="auto"/>
        </w:rPr>
      </w:pPr>
    </w:p>
    <w:p>
      <w:pPr>
        <w:ind w:firstLine="256"/>
        <w:spacing w:after="0" w:line="297" w:lineRule="auto"/>
        <w:rPr>
          <w:sz w:val="20"/>
          <w:szCs w:val="20"/>
          <w:color w:val="auto"/>
        </w:rPr>
      </w:pPr>
      <w:r>
        <w:rPr>
          <w:rFonts w:ascii="Arial" w:cs="Arial" w:eastAsia="Arial" w:hAnsi="Arial"/>
          <w:sz w:val="11"/>
          <w:szCs w:val="11"/>
          <w:color w:val="auto"/>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are unsecured, and bear interest at a rate of 4.50% per year, payable semiannually. In June 2018, we issued an additional $57.5 million aggregate principal amount of 2022 Convertible Notes. The additional 2022 Convertible Notes were issued with identical terms, and are fungible with and are part of a single series with the previously outstanding $115.0 million aggregate principal amount of our 2022 Convertible Notes issued in February 2017. The 2022 Convertible Notes will mature on August 1, 2022. The 2022 Convertible Notes will be convertible into a combination of cash and shares of our common stock, at our election. As of March 31, 2022, the estimated adjusted conversion price was approximately $17.97 per share of common stock.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matches the amount of principal outstanding, and matures on August 1, 2022, matching the maturity date of the 2022 Convertible Notes.</w:t>
      </w:r>
    </w:p>
    <w:p>
      <w:pPr>
        <w:spacing w:after="0" w:line="114" w:lineRule="exact"/>
        <w:rPr>
          <w:sz w:val="20"/>
          <w:szCs w:val="20"/>
          <w:color w:val="auto"/>
        </w:rPr>
      </w:pPr>
    </w:p>
    <w:p>
      <w:pPr>
        <w:ind w:firstLine="256"/>
        <w:spacing w:after="0" w:line="272" w:lineRule="auto"/>
        <w:rPr>
          <w:sz w:val="20"/>
          <w:szCs w:val="20"/>
          <w:color w:val="auto"/>
        </w:rPr>
      </w:pPr>
      <w:r>
        <w:rPr>
          <w:rFonts w:ascii="Arial" w:cs="Arial" w:eastAsia="Arial" w:hAnsi="Arial"/>
          <w:sz w:val="12"/>
          <w:szCs w:val="12"/>
          <w:color w:val="auto"/>
        </w:rPr>
        <w:t>During the year ended December 31, 2020, we repurchased on the open market and extinguished $29.7 million in aggregate principal amount of the 2022 Convertible Notes for $29.5 million. These repurchases resulted in a gain on extinguishment of debt of less than $0.7 million. This gain is included in the extinguishment of debt in the accompanying consolidated statements of operations. In connection with the repurchases of the 2022 Convertible Notes, we entered into floating-to-fixed interest rate swaps with an aggregate notional amount equal to the amount of 2022 Convertible Notes repurchased,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26" w:lineRule="exact"/>
        <w:rPr>
          <w:sz w:val="20"/>
          <w:szCs w:val="20"/>
          <w:color w:val="auto"/>
        </w:rPr>
      </w:pPr>
    </w:p>
    <w:p>
      <w:pPr>
        <w:ind w:right="380" w:firstLine="256"/>
        <w:spacing w:after="0" w:line="260" w:lineRule="auto"/>
        <w:rPr>
          <w:sz w:val="20"/>
          <w:szCs w:val="20"/>
          <w:color w:val="auto"/>
        </w:rPr>
      </w:pPr>
      <w:r>
        <w:rPr>
          <w:rFonts w:ascii="Arial" w:cs="Arial" w:eastAsia="Arial" w:hAnsi="Arial"/>
          <w:sz w:val="13"/>
          <w:szCs w:val="13"/>
          <w:color w:val="auto"/>
        </w:rPr>
        <w:t>Holders were entitled to convert their 2022 Convertible Notes at their option at any time prior to February 1, 2022 only under certain circumstances. On or after February 1, 2022 until the close of business on the scheduled trading day immediately preceding the maturity date, holders may convert their notes at any time.</w:t>
      </w:r>
    </w:p>
    <w:p>
      <w:pPr>
        <w:spacing w:after="0" w:line="130" w:lineRule="exact"/>
        <w:rPr>
          <w:sz w:val="20"/>
          <w:szCs w:val="20"/>
          <w:color w:val="auto"/>
        </w:rPr>
      </w:pPr>
    </w:p>
    <w:p>
      <w:pPr>
        <w:ind w:right="60" w:firstLine="256"/>
        <w:spacing w:after="0" w:line="299" w:lineRule="auto"/>
        <w:rPr>
          <w:sz w:val="20"/>
          <w:szCs w:val="20"/>
          <w:color w:val="auto"/>
        </w:rPr>
      </w:pPr>
      <w:r>
        <w:rPr>
          <w:rFonts w:ascii="Arial" w:cs="Arial" w:eastAsia="Arial" w:hAnsi="Arial"/>
          <w:sz w:val="11"/>
          <w:szCs w:val="11"/>
          <w:color w:val="auto"/>
        </w:rPr>
        <w:t>On September 30, 2021, we notified the trustee and holders of the 2022 Convertible Notes that the terms of one of the conversion features had been met and the notes were eligible for conversion at the option of the holders. The notes remained convertible until October 12, 2021. During this period $42.8 million aggregate principal amount of notes were surrendered for conversion and we elected combination settlement. During the three months ended December 31, 2021, $42.8 million of principal of the 2022 Convertible Notes were converted and were settled with a combination of cash and 2,324,820 shares of our common stock. In connection with the settlement of the 2022 Convertible Notes, we entered into a floating-to-fixed interest rate swap with an aggregate notional amount equal to the amount of 2022 Convertible Notes settled, which had the effect of reducing the notional exposure of the fixed-to-floating interest rate swaps, which were entered into in connection with the issuance of the 2022 Convertible Notes, to match the remaining principal amount of the 2022 Convertible Notes outstanding. As a result of the swaps, our effective interest rate on the outstanding 2022 Convertible Notes is three-month LIBOR plus 2.11% (on a weighted-average basis).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433" w:right="339" w:bottom="1440" w:gutter="0" w:footer="0" w:header="0"/>
        </w:sectPr>
      </w:pPr>
    </w:p>
    <w:bookmarkStart w:id="63" w:name="page64"/>
    <w:bookmarkEnd w:id="63"/>
    <w:p>
      <w:pPr>
        <w:ind w:right="160" w:firstLine="256"/>
        <w:spacing w:after="0" w:line="248" w:lineRule="auto"/>
        <w:rPr>
          <w:sz w:val="20"/>
          <w:szCs w:val="20"/>
          <w:color w:val="auto"/>
        </w:rPr>
      </w:pPr>
      <w:r>
        <w:rPr>
          <w:rFonts w:ascii="Arial" w:cs="Arial" w:eastAsia="Arial" w:hAnsi="Arial"/>
          <w:sz w:val="13"/>
          <w:szCs w:val="13"/>
          <w:color w:val="auto"/>
        </w:rPr>
        <w:t>On January 26, 2022, we notified the trustee and holders of the 2022 Convertible Notes that the terms of settlement for the notes at our election are a combination settlement of cash and stock to occur after the 40 day observation period described in the notes indenture. We have elected to settle any 2022 Convertible Notes that are converted between February 1, 2022 and August 1, 2022 with a specified cash amount (as defined in the indenture governing the 2022 Convertible Notes) of $20.00 per $1,000 principal amount of the 2022 Convertible Notes and any additional amounts in stock based on the applicable conversion rate as described in the indenture.</w:t>
      </w:r>
    </w:p>
    <w:p>
      <w:pPr>
        <w:spacing w:after="0" w:line="138" w:lineRule="exact"/>
        <w:rPr>
          <w:sz w:val="20"/>
          <w:szCs w:val="20"/>
          <w:color w:val="auto"/>
        </w:rPr>
      </w:pPr>
    </w:p>
    <w:p>
      <w:pPr>
        <w:ind w:right="40" w:firstLine="256"/>
        <w:spacing w:after="0" w:line="319" w:lineRule="auto"/>
        <w:rPr>
          <w:sz w:val="20"/>
          <w:szCs w:val="20"/>
          <w:color w:val="auto"/>
        </w:rPr>
      </w:pPr>
      <w:r>
        <w:rPr>
          <w:rFonts w:ascii="Arial" w:cs="Arial" w:eastAsia="Arial" w:hAnsi="Arial"/>
          <w:sz w:val="11"/>
          <w:szCs w:val="11"/>
          <w:color w:val="auto"/>
        </w:rPr>
        <w:t>The 2022 Convertible Notes are our unsecured obligations and rank senior in right of payment to our future indebtedness that is expressly subordinated in right of payment to the 2022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01" w:lineRule="exact"/>
        <w:rPr>
          <w:sz w:val="20"/>
          <w:szCs w:val="20"/>
          <w:color w:val="auto"/>
        </w:rPr>
      </w:pPr>
    </w:p>
    <w:p>
      <w:pPr>
        <w:jc w:val="both"/>
        <w:ind w:right="280" w:firstLine="256"/>
        <w:spacing w:after="0" w:line="282" w:lineRule="auto"/>
        <w:rPr>
          <w:sz w:val="20"/>
          <w:szCs w:val="20"/>
          <w:color w:val="auto"/>
        </w:rPr>
      </w:pPr>
      <w:r>
        <w:rPr>
          <w:rFonts w:ascii="Arial" w:cs="Arial" w:eastAsia="Arial" w:hAnsi="Arial"/>
          <w:sz w:val="12"/>
          <w:szCs w:val="12"/>
          <w:color w:val="auto"/>
        </w:rPr>
        <w:t>The indenture governing the 2022 Convertible Notes contains certain covenants, including covenants requiring us to comply with the applicable asset coverage ratio requirement under the 1940 Act and to provide financial information to the holders of the 2022 Convertible Notes under certain circumstances. These covenants are subject to important limitations and exceptions that are described in the indenture governing the 2022 Convertible Notes. As of March 31, 2022, we were in compliance with the terms of the indenture governing the 2022 Convertible Notes.</w:t>
      </w:r>
    </w:p>
    <w:p>
      <w:pPr>
        <w:spacing w:after="0" w:line="119" w:lineRule="exact"/>
        <w:rPr>
          <w:sz w:val="20"/>
          <w:szCs w:val="20"/>
          <w:color w:val="auto"/>
        </w:rPr>
      </w:pPr>
    </w:p>
    <w:p>
      <w:pPr>
        <w:ind w:firstLine="256"/>
        <w:spacing w:after="0" w:line="282" w:lineRule="auto"/>
        <w:rPr>
          <w:sz w:val="20"/>
          <w:szCs w:val="20"/>
          <w:color w:val="auto"/>
        </w:rPr>
      </w:pPr>
      <w:r>
        <w:rPr>
          <w:rFonts w:ascii="Arial" w:cs="Arial" w:eastAsia="Arial" w:hAnsi="Arial"/>
          <w:sz w:val="12"/>
          <w:szCs w:val="12"/>
          <w:color w:val="auto"/>
        </w:rPr>
        <w:t>The 2022 Convertible Notes are accounted for in accordance with ASC Topic 470-20. During the period ended March 31, 2021, we early adopted ASU 2020-06 and in accordance with this guidance reclassified the remaining unamortized discount on the 2022 Convertible Notes from the carrying value of the instrument to “additional paid-in capital” in the accompanying consolidated balance sheet. As a requirement under ASU 2020-06 we calculate diluted earnings per shares using the if-converted method which assumes full share settlement for the aggregate value of the 2022 Convertible Notes.</w:t>
      </w:r>
    </w:p>
    <w:p>
      <w:pPr>
        <w:spacing w:after="0" w:line="119" w:lineRule="exact"/>
        <w:rPr>
          <w:sz w:val="20"/>
          <w:szCs w:val="20"/>
          <w:color w:val="auto"/>
        </w:rPr>
      </w:pPr>
    </w:p>
    <w:p>
      <w:pPr>
        <w:ind w:right="200" w:firstLine="256"/>
        <w:spacing w:after="0" w:line="260" w:lineRule="auto"/>
        <w:rPr>
          <w:sz w:val="20"/>
          <w:szCs w:val="20"/>
          <w:color w:val="auto"/>
        </w:rPr>
      </w:pPr>
      <w:r>
        <w:rPr>
          <w:rFonts w:ascii="Arial" w:cs="Arial" w:eastAsia="Arial" w:hAnsi="Arial"/>
          <w:sz w:val="13"/>
          <w:szCs w:val="13"/>
          <w:color w:val="auto"/>
        </w:rPr>
        <w:t>The average daily closing price of our common stock for the three months ended March 31, 2022 was greater than the estimated adjusted conversion price for the 2022 Convertible Notes outstanding as of March 31, 2022.</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2023 Notes</w:t>
      </w:r>
    </w:p>
    <w:p>
      <w:pPr>
        <w:spacing w:after="0" w:line="77" w:lineRule="exact"/>
        <w:rPr>
          <w:sz w:val="20"/>
          <w:szCs w:val="20"/>
          <w:color w:val="auto"/>
        </w:rPr>
      </w:pPr>
    </w:p>
    <w:p>
      <w:pPr>
        <w:ind w:right="40" w:firstLine="256"/>
        <w:spacing w:after="0" w:line="319" w:lineRule="auto"/>
        <w:rPr>
          <w:sz w:val="20"/>
          <w:szCs w:val="20"/>
          <w:color w:val="auto"/>
        </w:rPr>
      </w:pPr>
      <w:r>
        <w:rPr>
          <w:rFonts w:ascii="Arial" w:cs="Arial" w:eastAsia="Arial" w:hAnsi="Arial"/>
          <w:sz w:val="11"/>
          <w:szCs w:val="11"/>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01"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In connection with the 2023 Notes offering, we entered into an interest rate swap to align the interest rates of our liabilities with our investment portfolio, which consists of predominately floating rate loans. The notional amount of the interest rate swap is $150.0 million, which matures on January 22, 2023, matching the maturity date of the 2023 Notes. As a result of the swap, our effective interest rate on the 2023 Notes is three-month LIBOR plus 1.99%.</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2024 Notes</w:t>
      </w:r>
    </w:p>
    <w:p>
      <w:pPr>
        <w:spacing w:after="0" w:line="77" w:lineRule="exact"/>
        <w:rPr>
          <w:sz w:val="20"/>
          <w:szCs w:val="20"/>
          <w:color w:val="auto"/>
        </w:rPr>
      </w:pPr>
    </w:p>
    <w:p>
      <w:pPr>
        <w:ind w:right="180" w:firstLine="256"/>
        <w:spacing w:after="0" w:line="248" w:lineRule="auto"/>
        <w:rPr>
          <w:sz w:val="20"/>
          <w:szCs w:val="20"/>
          <w:color w:val="auto"/>
        </w:rPr>
      </w:pPr>
      <w:r>
        <w:rPr>
          <w:rFonts w:ascii="Arial" w:cs="Arial" w:eastAsia="Arial" w:hAnsi="Arial"/>
          <w:sz w:val="13"/>
          <w:szCs w:val="13"/>
          <w:color w:val="auto"/>
        </w:rPr>
        <w:t>In November 2019, we issued $300.0 million aggregate principal amount of unsecured notes that mature on November 1, 2024 (the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38" w:lineRule="exact"/>
        <w:rPr>
          <w:sz w:val="20"/>
          <w:szCs w:val="20"/>
          <w:color w:val="auto"/>
        </w:rPr>
      </w:pPr>
    </w:p>
    <w:p>
      <w:pPr>
        <w:jc w:val="both"/>
        <w:ind w:right="200" w:firstLine="256"/>
        <w:spacing w:after="0" w:line="319" w:lineRule="auto"/>
        <w:rPr>
          <w:sz w:val="20"/>
          <w:szCs w:val="20"/>
          <w:color w:val="auto"/>
        </w:rPr>
      </w:pPr>
      <w:r>
        <w:rPr>
          <w:rFonts w:ascii="Arial" w:cs="Arial" w:eastAsia="Arial" w:hAnsi="Arial"/>
          <w:sz w:val="11"/>
          <w:szCs w:val="11"/>
          <w:color w:val="auto"/>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01" w:lineRule="exact"/>
        <w:rPr>
          <w:sz w:val="20"/>
          <w:szCs w:val="20"/>
          <w:color w:val="auto"/>
        </w:rPr>
      </w:pPr>
    </w:p>
    <w:p>
      <w:pPr>
        <w:ind w:right="60" w:firstLine="256"/>
        <w:spacing w:after="0" w:line="251" w:lineRule="auto"/>
        <w:rPr>
          <w:sz w:val="20"/>
          <w:szCs w:val="20"/>
          <w:color w:val="auto"/>
        </w:rPr>
      </w:pPr>
      <w:r>
        <w:rPr>
          <w:rFonts w:ascii="Arial" w:cs="Arial" w:eastAsia="Arial" w:hAnsi="Arial"/>
          <w:sz w:val="13"/>
          <w:szCs w:val="13"/>
          <w:color w:val="auto"/>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64" w:name="page65"/>
    <w:bookmarkEnd w:id="64"/>
    <w:p>
      <w:pPr>
        <w:ind w:firstLine="256"/>
        <w:spacing w:after="0" w:line="247" w:lineRule="auto"/>
        <w:rPr>
          <w:sz w:val="20"/>
          <w:szCs w:val="20"/>
          <w:color w:val="auto"/>
        </w:rPr>
      </w:pPr>
      <w:r>
        <w:rPr>
          <w:rFonts w:ascii="Arial" w:cs="Arial" w:eastAsia="Arial" w:hAnsi="Arial"/>
          <w:sz w:val="13"/>
          <w:szCs w:val="13"/>
          <w:color w:val="auto"/>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2026 Notes</w:t>
      </w:r>
    </w:p>
    <w:p>
      <w:pPr>
        <w:spacing w:after="0" w:line="77" w:lineRule="exact"/>
        <w:rPr>
          <w:sz w:val="20"/>
          <w:szCs w:val="20"/>
          <w:color w:val="auto"/>
        </w:rPr>
      </w:pPr>
    </w:p>
    <w:p>
      <w:pPr>
        <w:jc w:val="both"/>
        <w:ind w:right="180" w:firstLine="256"/>
        <w:spacing w:after="0" w:line="248" w:lineRule="auto"/>
        <w:rPr>
          <w:sz w:val="20"/>
          <w:szCs w:val="20"/>
          <w:color w:val="auto"/>
        </w:rPr>
      </w:pPr>
      <w:r>
        <w:rPr>
          <w:rFonts w:ascii="Arial" w:cs="Arial" w:eastAsia="Arial" w:hAnsi="Arial"/>
          <w:sz w:val="13"/>
          <w:szCs w:val="13"/>
          <w:color w:val="auto"/>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38" w:lineRule="exact"/>
        <w:rPr>
          <w:sz w:val="20"/>
          <w:szCs w:val="20"/>
          <w:color w:val="auto"/>
        </w:rPr>
      </w:pPr>
    </w:p>
    <w:p>
      <w:pPr>
        <w:ind w:right="20" w:firstLine="256"/>
        <w:spacing w:after="0" w:line="251" w:lineRule="auto"/>
        <w:rPr>
          <w:sz w:val="20"/>
          <w:szCs w:val="20"/>
          <w:color w:val="auto"/>
        </w:rPr>
      </w:pPr>
      <w:r>
        <w:rPr>
          <w:rFonts w:ascii="Arial" w:cs="Arial" w:eastAsia="Arial" w:hAnsi="Arial"/>
          <w:sz w:val="13"/>
          <w:szCs w:val="13"/>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w:t>
      </w: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00"/>
          </w:cols>
          <w:pgMar w:left="300" w:top="433" w:right="399" w:bottom="1440" w:gutter="0" w:footer="0" w:header="0"/>
        </w:sectPr>
      </w:pPr>
    </w:p>
    <w:bookmarkStart w:id="65" w:name="page66"/>
    <w:bookmarkEnd w:id="65"/>
    <w:p>
      <w:pPr>
        <w:ind w:left="4"/>
        <w:spacing w:after="0"/>
        <w:rPr>
          <w:sz w:val="20"/>
          <w:szCs w:val="20"/>
          <w:color w:val="auto"/>
        </w:rPr>
      </w:pPr>
      <w:r>
        <w:rPr>
          <w:rFonts w:ascii="Arial" w:cs="Arial" w:eastAsia="Arial" w:hAnsi="Arial"/>
          <w:sz w:val="13"/>
          <w:szCs w:val="13"/>
          <w:b w:val="1"/>
          <w:bCs w:val="1"/>
          <w:color w:val="auto"/>
        </w:rPr>
        <w:t>Off-Balance Sheet Arrangements</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Portfolio Company Commitments</w:t>
      </w:r>
    </w:p>
    <w:p>
      <w:pPr>
        <w:spacing w:after="0" w:line="77" w:lineRule="exact"/>
        <w:rPr>
          <w:sz w:val="20"/>
          <w:szCs w:val="20"/>
          <w:color w:val="auto"/>
        </w:rPr>
      </w:pPr>
    </w:p>
    <w:p>
      <w:pPr>
        <w:ind w:left="4" w:firstLine="256"/>
        <w:spacing w:after="0" w:line="275" w:lineRule="auto"/>
        <w:rPr>
          <w:sz w:val="20"/>
          <w:szCs w:val="20"/>
          <w:color w:val="auto"/>
        </w:rPr>
      </w:pPr>
      <w:r>
        <w:rPr>
          <w:rFonts w:ascii="Arial" w:cs="Arial" w:eastAsia="Arial" w:hAnsi="Arial"/>
          <w:sz w:val="12"/>
          <w:szCs w:val="12"/>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March 31, 2022 and December 31, 2021, we had the following commitments to fund investments in current portfolio companies:</w:t>
      </w:r>
    </w:p>
    <w:p>
      <w:pPr>
        <w:spacing w:after="0" w:line="127" w:lineRule="exact"/>
        <w:rPr>
          <w:sz w:val="20"/>
          <w:szCs w:val="20"/>
          <w:color w:val="auto"/>
        </w:rPr>
      </w:pPr>
    </w:p>
    <w:tbl>
      <w:tblPr>
        <w:tblLayout w:type="fixed"/>
        <w:tblInd w:w="1704" w:type="dxa"/>
        <w:tblCellMar>
          <w:top w:w="0" w:type="dxa"/>
          <w:left w:w="0" w:type="dxa"/>
          <w:bottom w:w="0" w:type="dxa"/>
          <w:right w:w="0" w:type="dxa"/>
        </w:tblCellMar>
      </w:tblPr>
      <w:tr>
        <w:trPr>
          <w:trHeight w:val="119"/>
        </w:trPr>
        <w:tc>
          <w:tcPr>
            <w:tcW w:w="4860" w:type="dxa"/>
            <w:vAlign w:val="bottom"/>
          </w:tcPr>
          <w:p>
            <w:pPr>
              <w:spacing w:after="0"/>
              <w:rPr>
                <w:sz w:val="20"/>
                <w:szCs w:val="20"/>
                <w:color w:val="auto"/>
              </w:rPr>
            </w:pPr>
            <w:r>
              <w:rPr>
                <w:rFonts w:ascii="Arial" w:cs="Arial" w:eastAsia="Arial" w:hAnsi="Arial"/>
                <w:sz w:val="10"/>
                <w:szCs w:val="10"/>
                <w:color w:val="auto"/>
              </w:rPr>
              <w:t>($ in millions)</w:t>
            </w:r>
          </w:p>
        </w:tc>
        <w:tc>
          <w:tcPr>
            <w:tcW w:w="200" w:type="dxa"/>
            <w:vAlign w:val="bottom"/>
          </w:tcPr>
          <w:p>
            <w:pPr>
              <w:spacing w:after="0"/>
              <w:rPr>
                <w:sz w:val="10"/>
                <w:szCs w:val="10"/>
                <w:color w:val="auto"/>
              </w:rPr>
            </w:pPr>
          </w:p>
        </w:tc>
        <w:tc>
          <w:tcPr>
            <w:tcW w:w="1160" w:type="dxa"/>
            <w:vAlign w:val="bottom"/>
          </w:tcPr>
          <w:p>
            <w:pPr>
              <w:jc w:val="right"/>
              <w:ind w:right="310"/>
              <w:spacing w:after="0"/>
              <w:rPr>
                <w:sz w:val="20"/>
                <w:szCs w:val="20"/>
                <w:color w:val="auto"/>
              </w:rPr>
            </w:pPr>
            <w:r>
              <w:rPr>
                <w:rFonts w:ascii="Arial" w:cs="Arial" w:eastAsia="Arial" w:hAnsi="Arial"/>
                <w:sz w:val="10"/>
                <w:szCs w:val="10"/>
                <w:b w:val="1"/>
                <w:bCs w:val="1"/>
                <w:color w:val="auto"/>
              </w:rPr>
              <w:t>March 31, 2022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ind w:left="100"/>
              <w:spacing w:after="0"/>
              <w:rPr>
                <w:sz w:val="20"/>
                <w:szCs w:val="20"/>
                <w:color w:val="auto"/>
              </w:rPr>
            </w:pPr>
            <w:r>
              <w:rPr>
                <w:rFonts w:ascii="Arial" w:cs="Arial" w:eastAsia="Arial" w:hAnsi="Arial"/>
                <w:sz w:val="10"/>
                <w:szCs w:val="10"/>
                <w:b w:val="1"/>
                <w:bCs w:val="1"/>
                <w:color w:val="auto"/>
              </w:rPr>
              <w:t>December 31, 2021</w:t>
            </w:r>
          </w:p>
        </w:tc>
      </w:tr>
      <w:tr>
        <w:trPr>
          <w:trHeight w:val="103"/>
        </w:trPr>
        <w:tc>
          <w:tcPr>
            <w:tcW w:w="4860" w:type="dxa"/>
            <w:vAlign w:val="bottom"/>
            <w:tcBorders>
              <w:top w:val="single" w:sz="8" w:color="CFF0FC"/>
            </w:tcBorders>
            <w:shd w:val="clear" w:color="auto" w:fill="CFF0FC"/>
          </w:tcPr>
          <w:p>
            <w:pPr>
              <w:spacing w:after="0" w:line="103" w:lineRule="exact"/>
              <w:rPr>
                <w:sz w:val="20"/>
                <w:szCs w:val="20"/>
                <w:color w:val="auto"/>
              </w:rPr>
            </w:pPr>
            <w:r>
              <w:rPr>
                <w:rFonts w:ascii="Arial" w:cs="Arial" w:eastAsia="Arial" w:hAnsi="Arial"/>
                <w:sz w:val="10"/>
                <w:szCs w:val="10"/>
                <w:color w:val="auto"/>
              </w:rPr>
              <w:t>Alpha Midco, Inc. - Delayed Draw</w:t>
            </w:r>
          </w:p>
        </w:tc>
        <w:tc>
          <w:tcPr>
            <w:tcW w:w="200" w:type="dxa"/>
            <w:vAlign w:val="bottom"/>
            <w:tcBorders>
              <w:top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116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3.4</w:t>
            </w:r>
          </w:p>
        </w:tc>
        <w:tc>
          <w:tcPr>
            <w:tcW w:w="220" w:type="dxa"/>
            <w:vAlign w:val="bottom"/>
            <w:tcBorders>
              <w:top w:val="single" w:sz="8" w:color="CFF0FC"/>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jc w:val="right"/>
              <w:ind w:right="95"/>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4.4</w:t>
            </w:r>
          </w:p>
        </w:tc>
        <w:tc>
          <w:tcPr>
            <w:tcW w:w="80" w:type="dxa"/>
            <w:vAlign w:val="bottom"/>
            <w:tcBorders>
              <w:top w:val="single" w:sz="8" w:color="CFF0FC"/>
            </w:tcBorders>
            <w:shd w:val="clear" w:color="auto" w:fill="CFF0FC"/>
          </w:tcPr>
          <w:p>
            <w:pPr>
              <w:spacing w:after="0"/>
              <w:rPr>
                <w:sz w:val="8"/>
                <w:szCs w:val="8"/>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American Achievement, Corp. -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2.4</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2.4</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AvidXchange, Inc.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0.9</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1.0</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Axonify, Inc.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6.0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6.9</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Bayshore Intermediate #2, L.P.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2.4</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2.4</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BCTO Ace Purchaser, Inc.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12.3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tcPr>
          <w:p>
            <w:pPr>
              <w:jc w:val="right"/>
              <w:ind w:right="100"/>
              <w:spacing w:after="0" w:line="114" w:lineRule="exact"/>
              <w:rPr>
                <w:sz w:val="20"/>
                <w:szCs w:val="20"/>
                <w:color w:val="auto"/>
              </w:rPr>
            </w:pPr>
            <w:r>
              <w:rPr>
                <w:rFonts w:ascii="Arial" w:cs="Arial" w:eastAsia="Arial" w:hAnsi="Arial"/>
                <w:sz w:val="10"/>
                <w:szCs w:val="10"/>
                <w:color w:val="auto"/>
              </w:rPr>
              <w:t>—</w:t>
            </w: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Biohaven Pharmaceuticals, Inc.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12.5</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12.5</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BlueSnap, Inc. - Delayed Draw &amp;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12.5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12.5</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Clinicient, Inc.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1.6</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DaySmart Holdings, LLC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4.0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4.6</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Destiny Solutions Parent Holding Company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6.5</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Dye &amp; Durham Corp. - Delayed Draw &amp;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8.0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7.9</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Elysian Finco Ltd. - Delayed Draw &amp;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8.5</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4" w:lineRule="exact"/>
              <w:rPr>
                <w:sz w:val="20"/>
                <w:szCs w:val="20"/>
                <w:color w:val="auto"/>
              </w:rPr>
            </w:pPr>
            <w:r>
              <w:rPr>
                <w:rFonts w:ascii="Arial" w:cs="Arial" w:eastAsia="Arial" w:hAnsi="Arial"/>
                <w:sz w:val="10"/>
                <w:szCs w:val="10"/>
                <w:color w:val="auto"/>
              </w:rPr>
              <w:t>—</w:t>
            </w: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Employment Hero Holdings Pty Ltd. - Delayed Draw &amp;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17.3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16.7</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EMS Linq, Inc.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8.8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8.8</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ExtraHop Networks, Inc.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22.6</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24.4</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ForeScout Technologies, Inc.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0.5</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0.5</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G Treasury SS, LLC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3.2</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6.9</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Ibis Intermediate Co.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6.3</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6.3</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IntelePeer Holdings, Inc.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2.6</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IRGSE Holding Corp.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0.7</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0.7</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Kyriba Corp. -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0.0</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Lithium Technologies, LLC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2.0</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2.0</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Lucidworks, Inc. - Delayed Draw &amp;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0.8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3.3</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Netwrix Corp. - Delayed Draw &amp;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6.4</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Neuintel, LLC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7.5</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8.6</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PageUp People, Ltd.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31.1</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30.2</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Passport Labs, Inc. - Delayed Draw &amp;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8.3</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8.3</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Piano Software, Inc.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2.5</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00" w:type="dxa"/>
            <w:vAlign w:val="bottom"/>
            <w:gridSpan w:val="2"/>
            <w:shd w:val="clear" w:color="auto" w:fill="CFF0FC"/>
          </w:tcPr>
          <w:p>
            <w:pPr>
              <w:jc w:val="right"/>
              <w:ind w:right="100"/>
              <w:spacing w:after="0" w:line="114" w:lineRule="exact"/>
              <w:rPr>
                <w:sz w:val="20"/>
                <w:szCs w:val="20"/>
                <w:color w:val="auto"/>
              </w:rPr>
            </w:pPr>
            <w:r>
              <w:rPr>
                <w:rFonts w:ascii="Arial" w:cs="Arial" w:eastAsia="Arial" w:hAnsi="Arial"/>
                <w:sz w:val="10"/>
                <w:szCs w:val="10"/>
                <w:color w:val="auto"/>
              </w:rPr>
              <w:t>—</w:t>
            </w: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PrimePay Intermediate, LLC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8.0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8.0</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PrimeRevenue, Inc. - Delayed Draw &amp;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6.5</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6.5</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Project44, Inc.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19.9</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19.9</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ReliaQuest Holdings, LLC - Delayed Draw &amp;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27.9</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29.9</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Tango Management Consulting, LLC - Delayed Draw &amp; Revolver</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32.0</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38.8</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TRP Assets, LLC - Delayed Draw</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18.0</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18.0</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Pr>
          <w:p>
            <w:pPr>
              <w:spacing w:after="0" w:line="114" w:lineRule="exact"/>
              <w:rPr>
                <w:sz w:val="20"/>
                <w:szCs w:val="20"/>
                <w:color w:val="auto"/>
              </w:rPr>
            </w:pPr>
            <w:r>
              <w:rPr>
                <w:rFonts w:ascii="Arial" w:cs="Arial" w:eastAsia="Arial" w:hAnsi="Arial"/>
                <w:sz w:val="10"/>
                <w:szCs w:val="10"/>
                <w:color w:val="auto"/>
              </w:rPr>
              <w:t>Verdad Resources Intermediate Holdings, LLC - Delayed Draw</w:t>
            </w:r>
          </w:p>
        </w:tc>
        <w:tc>
          <w:tcPr>
            <w:tcW w:w="200" w:type="dxa"/>
            <w:vAlign w:val="bottom"/>
          </w:tcPr>
          <w:p>
            <w:pPr>
              <w:spacing w:after="0"/>
              <w:rPr>
                <w:sz w:val="9"/>
                <w:szCs w:val="9"/>
                <w:color w:val="auto"/>
              </w:rPr>
            </w:pPr>
          </w:p>
        </w:tc>
        <w:tc>
          <w:tcPr>
            <w:tcW w:w="1160" w:type="dxa"/>
            <w:vAlign w:val="bottom"/>
          </w:tcPr>
          <w:p>
            <w:pPr>
              <w:jc w:val="right"/>
              <w:spacing w:after="0" w:line="114"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0"/>
                <w:szCs w:val="10"/>
                <w:color w:val="auto"/>
              </w:rPr>
              <w:t>7.8</w:t>
            </w:r>
          </w:p>
        </w:tc>
        <w:tc>
          <w:tcPr>
            <w:tcW w:w="80" w:type="dxa"/>
            <w:vAlign w:val="bottom"/>
          </w:tcPr>
          <w:p>
            <w:pPr>
              <w:spacing w:after="0"/>
              <w:rPr>
                <w:sz w:val="9"/>
                <w:szCs w:val="9"/>
                <w:color w:val="auto"/>
              </w:rPr>
            </w:pPr>
          </w:p>
        </w:tc>
      </w:tr>
      <w:tr>
        <w:trPr>
          <w:trHeight w:val="113"/>
        </w:trPr>
        <w:tc>
          <w:tcPr>
            <w:tcW w:w="4860" w:type="dxa"/>
            <w:vAlign w:val="bottom"/>
            <w:shd w:val="clear" w:color="auto" w:fill="CFF0FC"/>
          </w:tcPr>
          <w:p>
            <w:pPr>
              <w:spacing w:after="0" w:line="114" w:lineRule="exact"/>
              <w:rPr>
                <w:sz w:val="20"/>
                <w:szCs w:val="20"/>
                <w:color w:val="auto"/>
              </w:rPr>
            </w:pPr>
            <w:r>
              <w:rPr>
                <w:rFonts w:ascii="Arial" w:cs="Arial" w:eastAsia="Arial" w:hAnsi="Arial"/>
                <w:sz w:val="10"/>
                <w:szCs w:val="10"/>
                <w:color w:val="auto"/>
              </w:rPr>
              <w:t>WideOrbit, Inc. - Revolver</w:t>
            </w:r>
          </w:p>
        </w:tc>
        <w:tc>
          <w:tcPr>
            <w:tcW w:w="200" w:type="dxa"/>
            <w:vAlign w:val="bottom"/>
            <w:shd w:val="clear" w:color="auto" w:fill="CFF0FC"/>
          </w:tcPr>
          <w:p>
            <w:pPr>
              <w:spacing w:after="0"/>
              <w:rPr>
                <w:sz w:val="9"/>
                <w:szCs w:val="9"/>
                <w:color w:val="auto"/>
              </w:rPr>
            </w:pPr>
          </w:p>
        </w:tc>
        <w:tc>
          <w:tcPr>
            <w:tcW w:w="116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4.8</w:t>
            </w:r>
          </w:p>
        </w:tc>
        <w:tc>
          <w:tcPr>
            <w:tcW w:w="2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20" w:type="dxa"/>
            <w:vAlign w:val="bottom"/>
            <w:shd w:val="clear" w:color="auto" w:fill="CFF0FC"/>
          </w:tcPr>
          <w:p>
            <w:pPr>
              <w:jc w:val="right"/>
              <w:spacing w:after="0" w:line="114" w:lineRule="exact"/>
              <w:rPr>
                <w:sz w:val="20"/>
                <w:szCs w:val="20"/>
                <w:color w:val="auto"/>
              </w:rPr>
            </w:pPr>
            <w:r>
              <w:rPr>
                <w:rFonts w:ascii="Arial" w:cs="Arial" w:eastAsia="Arial" w:hAnsi="Arial"/>
                <w:sz w:val="10"/>
                <w:szCs w:val="10"/>
                <w:color w:val="auto"/>
              </w:rPr>
              <w:t>4.8</w:t>
            </w:r>
          </w:p>
        </w:tc>
        <w:tc>
          <w:tcPr>
            <w:tcW w:w="80" w:type="dxa"/>
            <w:vAlign w:val="bottom"/>
            <w:shd w:val="clear" w:color="auto" w:fill="CFF0FC"/>
          </w:tcPr>
          <w:p>
            <w:pPr>
              <w:spacing w:after="0"/>
              <w:rPr>
                <w:sz w:val="9"/>
                <w:szCs w:val="9"/>
                <w:color w:val="auto"/>
              </w:rPr>
            </w:pPr>
          </w:p>
        </w:tc>
      </w:tr>
      <w:tr>
        <w:trPr>
          <w:trHeight w:val="113"/>
        </w:trPr>
        <w:tc>
          <w:tcPr>
            <w:tcW w:w="4860" w:type="dxa"/>
            <w:vAlign w:val="bottom"/>
            <w:tcBorders>
              <w:bottom w:val="single" w:sz="8" w:color="CFF0FC"/>
            </w:tcBorders>
          </w:tcPr>
          <w:p>
            <w:pPr>
              <w:spacing w:after="0" w:line="114" w:lineRule="exact"/>
              <w:rPr>
                <w:sz w:val="20"/>
                <w:szCs w:val="20"/>
                <w:color w:val="auto"/>
              </w:rPr>
            </w:pPr>
            <w:r>
              <w:rPr>
                <w:rFonts w:ascii="Arial" w:cs="Arial" w:eastAsia="Arial" w:hAnsi="Arial"/>
                <w:sz w:val="10"/>
                <w:szCs w:val="10"/>
                <w:color w:val="auto"/>
              </w:rPr>
              <w:t>Workwell Acquisition Co. - Delayed Draw</w:t>
            </w:r>
          </w:p>
        </w:tc>
        <w:tc>
          <w:tcPr>
            <w:tcW w:w="2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10.0</w:t>
            </w:r>
          </w:p>
        </w:tc>
        <w:tc>
          <w:tcPr>
            <w:tcW w:w="22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color w:val="auto"/>
              </w:rPr>
              <w:t>10.0</w:t>
            </w:r>
          </w:p>
        </w:tc>
        <w:tc>
          <w:tcPr>
            <w:tcW w:w="80" w:type="dxa"/>
            <w:vAlign w:val="bottom"/>
            <w:tcBorders>
              <w:bottom w:val="single" w:sz="8" w:color="CFF0FC"/>
            </w:tcBorders>
          </w:tcPr>
          <w:p>
            <w:pPr>
              <w:spacing w:after="0"/>
              <w:rPr>
                <w:sz w:val="9"/>
                <w:szCs w:val="9"/>
                <w:color w:val="auto"/>
              </w:rPr>
            </w:pPr>
          </w:p>
        </w:tc>
      </w:tr>
      <w:tr>
        <w:trPr>
          <w:trHeight w:val="111"/>
        </w:trPr>
        <w:tc>
          <w:tcPr>
            <w:tcW w:w="4860" w:type="dxa"/>
            <w:vAlign w:val="bottom"/>
            <w:tcBorders>
              <w:bottom w:val="single" w:sz="8" w:color="CFF0FC"/>
            </w:tcBorders>
            <w:shd w:val="clear" w:color="auto" w:fill="CFF0FC"/>
          </w:tcPr>
          <w:p>
            <w:pPr>
              <w:ind w:left="160"/>
              <w:spacing w:after="0" w:line="103" w:lineRule="exact"/>
              <w:rPr>
                <w:sz w:val="20"/>
                <w:szCs w:val="20"/>
                <w:color w:val="auto"/>
              </w:rPr>
            </w:pPr>
            <w:r>
              <w:rPr>
                <w:rFonts w:ascii="Arial" w:cs="Arial" w:eastAsia="Arial" w:hAnsi="Arial"/>
                <w:sz w:val="10"/>
                <w:szCs w:val="10"/>
                <w:b w:val="1"/>
                <w:bCs w:val="1"/>
                <w:color w:val="auto"/>
              </w:rPr>
              <w:t xml:space="preserve">Total Portfolio Company Commitments </w:t>
            </w:r>
            <w:r>
              <w:rPr>
                <w:rFonts w:ascii="Arial" w:cs="Arial" w:eastAsia="Arial" w:hAnsi="Arial"/>
                <w:sz w:val="8"/>
                <w:szCs w:val="8"/>
                <w:b w:val="1"/>
                <w:bCs w:val="1"/>
                <w:color w:val="auto"/>
              </w:rPr>
              <w:t>(1)(2)</w:t>
            </w:r>
          </w:p>
        </w:tc>
        <w:tc>
          <w:tcPr>
            <w:tcW w:w="20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5"/>
                <w:szCs w:val="5"/>
                <w:color w:val="auto"/>
                <w:w w:val="70"/>
              </w:rPr>
              <w:t>$</w:t>
            </w:r>
          </w:p>
        </w:tc>
        <w:tc>
          <w:tcPr>
            <w:tcW w:w="116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314.4</w:t>
            </w:r>
          </w:p>
        </w:tc>
        <w:tc>
          <w:tcPr>
            <w:tcW w:w="220" w:type="dxa"/>
            <w:vAlign w:val="bottom"/>
            <w:tcBorders>
              <w:bottom w:val="single" w:sz="8" w:color="CFF0FC"/>
            </w:tcBorders>
            <w:shd w:val="clear" w:color="auto" w:fill="CFF0FC"/>
          </w:tcPr>
          <w:p>
            <w:pPr>
              <w:spacing w:after="0"/>
              <w:rPr>
                <w:sz w:val="9"/>
                <w:szCs w:val="9"/>
                <w:color w:val="auto"/>
              </w:rPr>
            </w:pPr>
          </w:p>
        </w:tc>
        <w:tc>
          <w:tcPr>
            <w:tcW w:w="1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5"/>
                <w:szCs w:val="5"/>
                <w:color w:val="auto"/>
                <w:w w:val="70"/>
              </w:rPr>
              <w:t>$</w:t>
            </w:r>
          </w:p>
        </w:tc>
        <w:tc>
          <w:tcPr>
            <w:tcW w:w="1220" w:type="dxa"/>
            <w:vAlign w:val="bottom"/>
            <w:tcBorders>
              <w:bottom w:val="single" w:sz="8" w:color="auto"/>
            </w:tcBorders>
            <w:shd w:val="clear" w:color="auto" w:fill="CFF0FC"/>
          </w:tcPr>
          <w:p>
            <w:pPr>
              <w:jc w:val="right"/>
              <w:spacing w:after="0" w:line="103" w:lineRule="exact"/>
              <w:rPr>
                <w:sz w:val="20"/>
                <w:szCs w:val="20"/>
                <w:color w:val="auto"/>
              </w:rPr>
            </w:pPr>
            <w:r>
              <w:rPr>
                <w:rFonts w:ascii="Arial" w:cs="Arial" w:eastAsia="Arial" w:hAnsi="Arial"/>
                <w:sz w:val="10"/>
                <w:szCs w:val="10"/>
                <w:color w:val="auto"/>
              </w:rPr>
              <w:t>332.1</w:t>
            </w:r>
          </w:p>
        </w:tc>
        <w:tc>
          <w:tcPr>
            <w:tcW w:w="80" w:type="dxa"/>
            <w:vAlign w:val="bottom"/>
            <w:tcBorders>
              <w:bottom w:val="single" w:sz="8" w:color="CFF0FC"/>
            </w:tcBorders>
            <w:shd w:val="clear" w:color="auto" w:fill="CFF0FC"/>
          </w:tcPr>
          <w:p>
            <w:pPr>
              <w:spacing w:after="0"/>
              <w:rPr>
                <w:sz w:val="9"/>
                <w:szCs w:val="9"/>
                <w:color w:val="auto"/>
              </w:rPr>
            </w:pPr>
          </w:p>
        </w:tc>
      </w:tr>
    </w:tbl>
    <w:p>
      <w:pPr>
        <w:spacing w:after="0" w:line="161" w:lineRule="exact"/>
        <w:rPr>
          <w:sz w:val="20"/>
          <w:szCs w:val="20"/>
          <w:color w:val="auto"/>
        </w:rPr>
      </w:pPr>
    </w:p>
    <w:p>
      <w:pPr>
        <w:ind w:left="504" w:right="120" w:hanging="504"/>
        <w:spacing w:after="0" w:line="260" w:lineRule="auto"/>
        <w:tabs>
          <w:tab w:leader="none" w:pos="504"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6" w:lineRule="exact"/>
        <w:rPr>
          <w:rFonts w:ascii="Arial" w:cs="Arial" w:eastAsia="Arial" w:hAnsi="Arial"/>
          <w:sz w:val="13"/>
          <w:szCs w:val="13"/>
          <w:color w:val="auto"/>
        </w:rPr>
      </w:pPr>
    </w:p>
    <w:p>
      <w:pPr>
        <w:ind w:left="504" w:hanging="504"/>
        <w:spacing w:after="0"/>
        <w:tabs>
          <w:tab w:leader="none" w:pos="504" w:val="left"/>
        </w:tabs>
        <w:numPr>
          <w:ilvl w:val="0"/>
          <w:numId w:val="47"/>
        </w:numPr>
        <w:rPr>
          <w:rFonts w:ascii="Arial" w:cs="Arial" w:eastAsia="Arial" w:hAnsi="Arial"/>
          <w:sz w:val="13"/>
          <w:szCs w:val="13"/>
          <w:color w:val="auto"/>
        </w:rPr>
      </w:pPr>
      <w:r>
        <w:rPr>
          <w:rFonts w:ascii="Arial" w:cs="Arial" w:eastAsia="Arial" w:hAnsi="Arial"/>
          <w:sz w:val="13"/>
          <w:szCs w:val="13"/>
          <w:color w:val="auto"/>
        </w:rPr>
        <w:t>Our estimate of the fair value of the current investments in these portfolio companies includes an analysis of the fair value of any unfunded commitments.</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Other Commitments and Contingencies</w:t>
      </w:r>
    </w:p>
    <w:p>
      <w:pPr>
        <w:spacing w:after="0" w:line="77" w:lineRule="exact"/>
        <w:rPr>
          <w:sz w:val="20"/>
          <w:szCs w:val="20"/>
          <w:color w:val="auto"/>
        </w:rPr>
      </w:pPr>
    </w:p>
    <w:p>
      <w:pPr>
        <w:ind w:left="264"/>
        <w:spacing w:after="0"/>
        <w:rPr>
          <w:sz w:val="20"/>
          <w:szCs w:val="20"/>
          <w:color w:val="auto"/>
        </w:rPr>
      </w:pPr>
      <w:r>
        <w:rPr>
          <w:rFonts w:ascii="Arial" w:cs="Arial" w:eastAsia="Arial" w:hAnsi="Arial"/>
          <w:sz w:val="12"/>
          <w:szCs w:val="12"/>
          <w:color w:val="auto"/>
        </w:rPr>
        <w:t>As of March 31, 2022 and December 31, 2021, we did not have any unfunded commitments to fund new investments to new borrowers that were not current portfolio companies as of such date.</w:t>
      </w:r>
    </w:p>
    <w:p>
      <w:pPr>
        <w:spacing w:after="0" w:line="165" w:lineRule="exact"/>
        <w:rPr>
          <w:sz w:val="20"/>
          <w:szCs w:val="20"/>
          <w:color w:val="auto"/>
        </w:rPr>
      </w:pPr>
    </w:p>
    <w:p>
      <w:pPr>
        <w:jc w:val="center"/>
        <w:ind w:right="-143"/>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44"/>
          </w:cols>
          <w:pgMar w:left="296" w:top="382" w:right="459" w:bottom="1440" w:gutter="0" w:footer="0" w:header="0"/>
        </w:sectPr>
      </w:pPr>
    </w:p>
    <w:bookmarkStart w:id="66" w:name="page67"/>
    <w:bookmarkEnd w:id="66"/>
    <w:p>
      <w:pPr>
        <w:ind w:firstLine="256"/>
        <w:spacing w:after="0" w:line="260" w:lineRule="auto"/>
        <w:rPr>
          <w:sz w:val="20"/>
          <w:szCs w:val="20"/>
          <w:color w:val="auto"/>
        </w:rPr>
      </w:pPr>
      <w:r>
        <w:rPr>
          <w:rFonts w:ascii="Arial" w:cs="Arial" w:eastAsia="Arial" w:hAnsi="Arial"/>
          <w:sz w:val="13"/>
          <w:szCs w:val="13"/>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30" w:lineRule="exact"/>
        <w:rPr>
          <w:sz w:val="20"/>
          <w:szCs w:val="20"/>
          <w:color w:val="auto"/>
        </w:rPr>
      </w:pPr>
    </w:p>
    <w:p>
      <w:pPr>
        <w:ind w:right="40" w:firstLine="256"/>
        <w:spacing w:after="0" w:line="269" w:lineRule="auto"/>
        <w:rPr>
          <w:sz w:val="20"/>
          <w:szCs w:val="20"/>
          <w:color w:val="auto"/>
        </w:rPr>
      </w:pPr>
      <w:r>
        <w:rPr>
          <w:rFonts w:ascii="Arial" w:cs="Arial" w:eastAsia="Arial" w:hAnsi="Arial"/>
          <w:sz w:val="12"/>
          <w:szCs w:val="12"/>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 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Contractual Obligations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 summary of our contractual payment obligations as of March 31, 2022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2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ind w:left="220"/>
              <w:spacing w:after="0"/>
              <w:rPr>
                <w:sz w:val="20"/>
                <w:szCs w:val="20"/>
                <w:color w:val="auto"/>
              </w:rPr>
            </w:pPr>
            <w:r>
              <w:rPr>
                <w:rFonts w:ascii="Arial" w:cs="Arial" w:eastAsia="Arial" w:hAnsi="Arial"/>
                <w:sz w:val="10"/>
                <w:szCs w:val="10"/>
                <w:b w:val="1"/>
                <w:bCs w:val="1"/>
                <w:color w:val="auto"/>
                <w:w w:val="97"/>
              </w:rPr>
              <w:t>Payments Due by Period</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98"/>
        </w:trPr>
        <w:tc>
          <w:tcPr>
            <w:tcW w:w="5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right"/>
              <w:ind w:right="240"/>
              <w:spacing w:after="0" w:line="98" w:lineRule="exact"/>
              <w:rPr>
                <w:sz w:val="20"/>
                <w:szCs w:val="20"/>
                <w:color w:val="auto"/>
              </w:rPr>
            </w:pPr>
            <w:r>
              <w:rPr>
                <w:rFonts w:ascii="Arial" w:cs="Arial" w:eastAsia="Arial" w:hAnsi="Arial"/>
                <w:sz w:val="10"/>
                <w:szCs w:val="10"/>
                <w:b w:val="1"/>
                <w:bCs w:val="1"/>
                <w:color w:val="auto"/>
              </w:rPr>
              <w:t>Less than</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9"/>
        </w:trPr>
        <w:tc>
          <w:tcPr>
            <w:tcW w:w="5240" w:type="dxa"/>
            <w:vAlign w:val="bottom"/>
            <w:tcBorders>
              <w:bottom w:val="single" w:sz="8" w:color="CFF0FC"/>
            </w:tcBorders>
          </w:tcPr>
          <w:p>
            <w:pPr>
              <w:spacing w:after="0"/>
              <w:rPr>
                <w:sz w:val="20"/>
                <w:szCs w:val="20"/>
                <w:color w:val="auto"/>
              </w:rPr>
            </w:pPr>
            <w:r>
              <w:rPr>
                <w:rFonts w:ascii="Arial" w:cs="Arial" w:eastAsia="Arial" w:hAnsi="Arial"/>
                <w:sz w:val="10"/>
                <w:szCs w:val="10"/>
                <w:color w:val="auto"/>
              </w:rPr>
              <w:t>($ in millions)</w:t>
            </w: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Total</w:t>
            </w:r>
          </w:p>
        </w:tc>
        <w:tc>
          <w:tcPr>
            <w:tcW w:w="22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1 year</w:t>
            </w:r>
          </w:p>
        </w:tc>
        <w:tc>
          <w:tcPr>
            <w:tcW w:w="240" w:type="dxa"/>
            <w:vAlign w:val="bottom"/>
            <w:tcBorders>
              <w:bottom w:val="single" w:sz="8" w:color="CFF0FC"/>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1-3 years</w:t>
            </w:r>
          </w:p>
        </w:tc>
        <w:tc>
          <w:tcPr>
            <w:tcW w:w="14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0"/>
                <w:szCs w:val="10"/>
                <w:b w:val="1"/>
                <w:bCs w:val="1"/>
                <w:color w:val="auto"/>
              </w:rPr>
              <w:t>3-5 years</w:t>
            </w:r>
          </w:p>
        </w:tc>
        <w:tc>
          <w:tcPr>
            <w:tcW w:w="220" w:type="dxa"/>
            <w:vAlign w:val="bottom"/>
            <w:tcBorders>
              <w:bottom w:val="single" w:sz="8" w:color="CFF0FC"/>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After 5 years</w:t>
            </w:r>
          </w:p>
        </w:tc>
        <w:tc>
          <w:tcPr>
            <w:tcW w:w="120" w:type="dxa"/>
            <w:vAlign w:val="bottom"/>
            <w:tcBorders>
              <w:bottom w:val="single" w:sz="8" w:color="CFF0FC"/>
            </w:tcBorders>
          </w:tcPr>
          <w:p>
            <w:pPr>
              <w:spacing w:after="0"/>
              <w:rPr>
                <w:sz w:val="10"/>
                <w:szCs w:val="10"/>
                <w:color w:val="auto"/>
              </w:rPr>
            </w:pPr>
          </w:p>
        </w:tc>
      </w:tr>
      <w:tr>
        <w:trPr>
          <w:trHeight w:val="150"/>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Revolving Credit Facility</w:t>
            </w:r>
          </w:p>
        </w:tc>
        <w:tc>
          <w:tcPr>
            <w:tcW w:w="220" w:type="dxa"/>
            <w:vAlign w:val="bottom"/>
            <w:shd w:val="clear" w:color="auto" w:fill="CFF0FC"/>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277.3</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ind w:left="740"/>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2022 Convertible Notes</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100.0</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gridSpan w:val="2"/>
          </w:tcPr>
          <w:p>
            <w:pPr>
              <w:ind w:left="740"/>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2023 Notes</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ind w:left="740"/>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tcPr>
          <w:p>
            <w:pPr>
              <w:spacing w:after="0"/>
              <w:rPr>
                <w:sz w:val="20"/>
                <w:szCs w:val="20"/>
                <w:color w:val="auto"/>
              </w:rPr>
            </w:pPr>
            <w:r>
              <w:rPr>
                <w:rFonts w:ascii="Arial" w:cs="Arial" w:eastAsia="Arial" w:hAnsi="Arial"/>
                <w:sz w:val="13"/>
                <w:szCs w:val="13"/>
                <w:color w:val="auto"/>
              </w:rPr>
              <w:t>2024 Notes</w:t>
            </w: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347.5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347.5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80" w:type="dxa"/>
            <w:vAlign w:val="bottom"/>
            <w:gridSpan w:val="2"/>
          </w:tcPr>
          <w:p>
            <w:pPr>
              <w:ind w:left="740"/>
              <w:spacing w:after="0"/>
              <w:rPr>
                <w:sz w:val="20"/>
                <w:szCs w:val="20"/>
                <w:color w:val="auto"/>
              </w:rPr>
            </w:pPr>
            <w:r>
              <w:rPr>
                <w:rFonts w:ascii="Arial" w:cs="Arial" w:eastAsia="Arial" w:hAnsi="Arial"/>
                <w:sz w:val="13"/>
                <w:szCs w:val="13"/>
                <w:color w:val="auto"/>
              </w:rPr>
              <w:t>—</w:t>
            </w:r>
          </w:p>
        </w:tc>
      </w:tr>
      <w:tr>
        <w:trPr>
          <w:trHeight w:val="161"/>
        </w:trPr>
        <w:tc>
          <w:tcPr>
            <w:tcW w:w="5240" w:type="dxa"/>
            <w:vAlign w:val="bottom"/>
            <w:shd w:val="clear" w:color="auto" w:fill="CFF0FC"/>
          </w:tcPr>
          <w:p>
            <w:pPr>
              <w:spacing w:after="0"/>
              <w:rPr>
                <w:sz w:val="20"/>
                <w:szCs w:val="20"/>
                <w:color w:val="auto"/>
              </w:rPr>
            </w:pPr>
            <w:r>
              <w:rPr>
                <w:rFonts w:ascii="Arial" w:cs="Arial" w:eastAsia="Arial" w:hAnsi="Arial"/>
                <w:sz w:val="13"/>
                <w:szCs w:val="13"/>
                <w:color w:val="auto"/>
              </w:rPr>
              <w:t>2026 Notes</w:t>
            </w: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3"/>
                <w:szCs w:val="13"/>
                <w:color w:val="auto"/>
                <w:w w:val="76"/>
              </w:rPr>
              <w:t>—</w:t>
            </w:r>
          </w:p>
        </w:tc>
        <w:tc>
          <w:tcPr>
            <w:tcW w:w="120" w:type="dxa"/>
            <w:vAlign w:val="bottom"/>
            <w:shd w:val="clear" w:color="auto" w:fill="CFF0FC"/>
          </w:tcPr>
          <w:p>
            <w:pPr>
              <w:spacing w:after="0"/>
              <w:rPr>
                <w:sz w:val="13"/>
                <w:szCs w:val="13"/>
                <w:color w:val="auto"/>
              </w:rPr>
            </w:pPr>
          </w:p>
        </w:tc>
      </w:tr>
      <w:tr>
        <w:trPr>
          <w:trHeight w:val="150"/>
        </w:trPr>
        <w:tc>
          <w:tcPr>
            <w:tcW w:w="5240" w:type="dxa"/>
            <w:vAlign w:val="bottom"/>
          </w:tcPr>
          <w:p>
            <w:pPr>
              <w:ind w:left="160"/>
              <w:spacing w:after="0"/>
              <w:rPr>
                <w:sz w:val="20"/>
                <w:szCs w:val="20"/>
                <w:color w:val="auto"/>
              </w:rPr>
            </w:pPr>
            <w:r>
              <w:rPr>
                <w:rFonts w:ascii="Arial" w:cs="Arial" w:eastAsia="Arial" w:hAnsi="Arial"/>
                <w:sz w:val="13"/>
                <w:szCs w:val="13"/>
                <w:b w:val="1"/>
                <w:bCs w:val="1"/>
                <w:color w:val="auto"/>
              </w:rPr>
              <w:t>Total Contractual Obligations</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1,174.8</w:t>
            </w:r>
          </w:p>
        </w:tc>
        <w:tc>
          <w:tcPr>
            <w:tcW w:w="220" w:type="dxa"/>
            <w:vAlign w:val="bottom"/>
          </w:tcPr>
          <w:p>
            <w:pPr>
              <w:spacing w:after="0"/>
              <w:rPr>
                <w:sz w:val="13"/>
                <w:szCs w:val="13"/>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250.0</w:t>
            </w:r>
          </w:p>
        </w:tc>
        <w:tc>
          <w:tcPr>
            <w:tcW w:w="4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347.5</w:t>
            </w:r>
          </w:p>
        </w:tc>
        <w:tc>
          <w:tcPr>
            <w:tcW w:w="14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577.3</w:t>
            </w:r>
          </w:p>
        </w:tc>
        <w:tc>
          <w:tcPr>
            <w:tcW w:w="2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ind w:left="740"/>
              <w:spacing w:after="0"/>
              <w:rPr>
                <w:sz w:val="20"/>
                <w:szCs w:val="20"/>
                <w:color w:val="auto"/>
              </w:rPr>
            </w:pPr>
            <w:r>
              <w:rPr>
                <w:rFonts w:ascii="Arial" w:cs="Arial" w:eastAsia="Arial" w:hAnsi="Arial"/>
                <w:sz w:val="13"/>
                <w:szCs w:val="13"/>
                <w:color w:val="auto"/>
              </w:rPr>
              <w:t>—</w:t>
            </w:r>
          </w:p>
        </w:tc>
      </w:tr>
      <w:tr>
        <w:trPr>
          <w:trHeight w:val="28"/>
        </w:trPr>
        <w:tc>
          <w:tcPr>
            <w:tcW w:w="5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In addition to the contractual payment obligations in the tables above, we also have commitments to fund investments and to pledge assets as collateral under the terms of our derivatives agreements.</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77" w:lineRule="exact"/>
        <w:rPr>
          <w:sz w:val="20"/>
          <w:szCs w:val="20"/>
          <w:color w:val="auto"/>
        </w:rPr>
      </w:pPr>
    </w:p>
    <w:p>
      <w:pPr>
        <w:ind w:right="180" w:firstLine="256"/>
        <w:spacing w:after="0" w:line="260" w:lineRule="auto"/>
        <w:rPr>
          <w:sz w:val="20"/>
          <w:szCs w:val="20"/>
          <w:color w:val="auto"/>
        </w:rPr>
      </w:pPr>
      <w:r>
        <w:rPr>
          <w:rFonts w:ascii="Arial" w:cs="Arial" w:eastAsia="Arial" w:hAnsi="Arial"/>
          <w:sz w:val="13"/>
          <w:szCs w:val="13"/>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00" w:right="280" w:hanging="249"/>
        <w:spacing w:after="0" w:line="260" w:lineRule="auto"/>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4" w:lineRule="exact"/>
        <w:rPr>
          <w:rFonts w:ascii="Arial" w:cs="Arial" w:eastAsia="Arial" w:hAnsi="Arial"/>
          <w:sz w:val="13"/>
          <w:szCs w:val="13"/>
          <w:color w:val="auto"/>
        </w:rPr>
      </w:pPr>
    </w:p>
    <w:p>
      <w:pPr>
        <w:ind w:left="500" w:hanging="249"/>
        <w:spacing w:after="0"/>
        <w:tabs>
          <w:tab w:leader="none" w:pos="5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net tax-exempt interest income (which is the excess of our gross tax-exempt interest income over certain disallowed deductions) for such taxable year.</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a RIC, we (but not our stockholders) generally will not be subject to U.S. federal income tax on investment company taxable income and net capital gains that we distribute to our stockholders.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1"/>
          <w:szCs w:val="11"/>
          <w:color w:val="auto"/>
        </w:rPr>
        <w:t>We intend to distribute annually all or substantially all of such income. To the extent that we retain our net capital gains or any investment company taxable income, we generally will be subject to corporate-level U.S.</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federal income tax. We may choose to retain our net capital gains or any investment company taxable income, and pay the U.S. federal excise tax described below.</w:t>
      </w:r>
    </w:p>
    <w:p>
      <w:pPr>
        <w:spacing w:after="0" w:line="144" w:lineRule="exact"/>
        <w:rPr>
          <w:sz w:val="20"/>
          <w:szCs w:val="20"/>
          <w:color w:val="auto"/>
        </w:rPr>
      </w:pPr>
    </w:p>
    <w:p>
      <w:pPr>
        <w:ind w:right="60" w:firstLine="256"/>
        <w:spacing w:after="0" w:line="260" w:lineRule="auto"/>
        <w:rPr>
          <w:sz w:val="20"/>
          <w:szCs w:val="20"/>
          <w:color w:val="auto"/>
        </w:rPr>
      </w:pPr>
      <w:r>
        <w:rPr>
          <w:rFonts w:ascii="Arial" w:cs="Arial" w:eastAsia="Arial" w:hAnsi="Arial"/>
          <w:sz w:val="13"/>
          <w:szCs w:val="13"/>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4" w:lineRule="exact"/>
        <w:rPr>
          <w:sz w:val="20"/>
          <w:szCs w:val="20"/>
          <w:color w:val="auto"/>
        </w:rPr>
      </w:pPr>
    </w:p>
    <w:p>
      <w:pPr>
        <w:ind w:left="500" w:hanging="249"/>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98% of our net ordinary income excluding certain ordinary gains or losses for that calendar year;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33" w:right="299" w:bottom="1440" w:gutter="0" w:footer="0" w:header="0"/>
        </w:sectPr>
      </w:pPr>
    </w:p>
    <w:bookmarkStart w:id="67" w:name="page68"/>
    <w:bookmarkEnd w:id="67"/>
    <w:p>
      <w:pPr>
        <w:ind w:left="500" w:hanging="249"/>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98.2% of our capital gain net income, adjusted for certain ordinary gains and losses, recognized for the twelve-month period ending on October 31 of that calendar year; and</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100% of any income or gains recognized, but not distributed, in preceding years.</w:t>
      </w:r>
    </w:p>
    <w:p>
      <w:pPr>
        <w:spacing w:after="0" w:line="153" w:lineRule="exact"/>
        <w:rPr>
          <w:sz w:val="20"/>
          <w:szCs w:val="20"/>
          <w:color w:val="auto"/>
        </w:rPr>
      </w:pPr>
    </w:p>
    <w:p>
      <w:pPr>
        <w:ind w:right="240" w:firstLine="256"/>
        <w:spacing w:after="0" w:line="301" w:lineRule="auto"/>
        <w:rPr>
          <w:sz w:val="20"/>
          <w:szCs w:val="20"/>
          <w:color w:val="auto"/>
        </w:rPr>
      </w:pPr>
      <w:r>
        <w:rPr>
          <w:rFonts w:ascii="Arial" w:cs="Arial" w:eastAsia="Arial" w:hAnsi="Arial"/>
          <w:sz w:val="12"/>
          <w:szCs w:val="12"/>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08" w:lineRule="exact"/>
        <w:rPr>
          <w:sz w:val="20"/>
          <w:szCs w:val="20"/>
          <w:color w:val="auto"/>
        </w:rPr>
      </w:pPr>
    </w:p>
    <w:p>
      <w:pPr>
        <w:ind w:right="200" w:firstLine="256"/>
        <w:spacing w:after="0" w:line="260" w:lineRule="auto"/>
        <w:rPr>
          <w:sz w:val="20"/>
          <w:szCs w:val="20"/>
          <w:color w:val="auto"/>
        </w:rPr>
      </w:pPr>
      <w:r>
        <w:rPr>
          <w:rFonts w:ascii="Arial" w:cs="Arial" w:eastAsia="Arial" w:hAnsi="Arial"/>
          <w:sz w:val="13"/>
          <w:szCs w:val="13"/>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30" w:lineRule="exact"/>
        <w:rPr>
          <w:sz w:val="20"/>
          <w:szCs w:val="20"/>
          <w:color w:val="auto"/>
        </w:rPr>
      </w:pPr>
    </w:p>
    <w:p>
      <w:pPr>
        <w:jc w:val="both"/>
        <w:ind w:right="80" w:firstLine="256"/>
        <w:spacing w:after="0" w:line="251" w:lineRule="auto"/>
        <w:rPr>
          <w:sz w:val="20"/>
          <w:szCs w:val="20"/>
          <w:color w:val="auto"/>
        </w:rPr>
      </w:pPr>
      <w:r>
        <w:rPr>
          <w:rFonts w:ascii="Arial" w:cs="Arial" w:eastAsia="Arial" w:hAnsi="Arial"/>
          <w:sz w:val="13"/>
          <w:szCs w:val="13"/>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36" w:lineRule="exact"/>
        <w:rPr>
          <w:sz w:val="20"/>
          <w:szCs w:val="20"/>
          <w:color w:val="auto"/>
        </w:rPr>
      </w:pPr>
    </w:p>
    <w:p>
      <w:pPr>
        <w:ind w:right="240" w:firstLine="256"/>
        <w:spacing w:after="0" w:line="251" w:lineRule="auto"/>
        <w:rPr>
          <w:sz w:val="20"/>
          <w:szCs w:val="20"/>
          <w:color w:val="auto"/>
        </w:rPr>
      </w:pPr>
      <w:r>
        <w:rPr>
          <w:rFonts w:ascii="Arial" w:cs="Arial" w:eastAsia="Arial" w:hAnsi="Arial"/>
          <w:sz w:val="13"/>
          <w:szCs w:val="13"/>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Related-Party Transactions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have entered into a number of business relationships with affiliated or related parties, including the following:</w:t>
      </w:r>
    </w:p>
    <w:p>
      <w:pPr>
        <w:spacing w:after="0" w:line="77" w:lineRule="exact"/>
        <w:rPr>
          <w:sz w:val="20"/>
          <w:szCs w:val="20"/>
          <w:color w:val="auto"/>
        </w:rPr>
      </w:pPr>
    </w:p>
    <w:p>
      <w:pPr>
        <w:ind w:left="500" w:hanging="249"/>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Investment Advisory Agreement;</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Administration Agreement; and</w:t>
      </w:r>
    </w:p>
    <w:p>
      <w:pPr>
        <w:spacing w:after="0" w:line="77" w:lineRule="exact"/>
        <w:rPr>
          <w:rFonts w:ascii="Arial" w:cs="Arial" w:eastAsia="Arial" w:hAnsi="Arial"/>
          <w:sz w:val="13"/>
          <w:szCs w:val="13"/>
          <w:color w:val="auto"/>
        </w:rPr>
      </w:pPr>
    </w:p>
    <w:p>
      <w:pPr>
        <w:ind w:left="500" w:hanging="249"/>
        <w:spacing w:after="0"/>
        <w:tabs>
          <w:tab w:leader="none" w:pos="500" w:val="left"/>
        </w:tabs>
        <w:numPr>
          <w:ilvl w:val="0"/>
          <w:numId w:val="51"/>
        </w:numPr>
        <w:rPr>
          <w:rFonts w:ascii="Arial" w:cs="Arial" w:eastAsia="Arial" w:hAnsi="Arial"/>
          <w:sz w:val="11"/>
          <w:szCs w:val="11"/>
          <w:color w:val="auto"/>
        </w:rPr>
      </w:pPr>
      <w:r>
        <w:rPr>
          <w:rFonts w:ascii="Arial" w:cs="Arial" w:eastAsia="Arial" w:hAnsi="Arial"/>
          <w:sz w:val="11"/>
          <w:szCs w:val="11"/>
          <w:color w:val="auto"/>
        </w:rPr>
        <w:t>an ongoing agreement with an affiliate of TPG Global, LLC governing, inter alia, the parties’ respective ownership of and rights to use the “Sixth Street” and “TPG” trademarks and certain variations thereof.</w:t>
      </w: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1" w:lineRule="exact"/>
        <w:rPr>
          <w:sz w:val="20"/>
          <w:szCs w:val="20"/>
          <w:color w:val="auto"/>
        </w:rPr>
      </w:pPr>
    </w:p>
    <w:p>
      <w:pPr>
        <w:ind w:right="120" w:firstLine="256"/>
        <w:spacing w:after="0" w:line="319" w:lineRule="auto"/>
        <w:rPr>
          <w:sz w:val="20"/>
          <w:szCs w:val="20"/>
          <w:color w:val="auto"/>
        </w:rPr>
      </w:pPr>
      <w:r>
        <w:rPr>
          <w:rFonts w:ascii="Arial" w:cs="Arial" w:eastAsia="Arial" w:hAnsi="Arial"/>
          <w:sz w:val="11"/>
          <w:szCs w:val="11"/>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2021, filed with the SEC on February 17, 2022, and elsewhere in our filings with the SEC.</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3. QUANTITATIVE AND QUALITATIVE DISCLOSURES ABOUT MARKET RISK</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are subject to financial market risks, including valuation risk, interest rate risk and currency risk.</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Risk</w:t>
      </w:r>
    </w:p>
    <w:p>
      <w:pPr>
        <w:spacing w:after="0" w:line="77" w:lineRule="exact"/>
        <w:rPr>
          <w:sz w:val="20"/>
          <w:szCs w:val="20"/>
          <w:color w:val="auto"/>
        </w:rPr>
      </w:pPr>
    </w:p>
    <w:p>
      <w:pPr>
        <w:ind w:firstLine="256"/>
        <w:spacing w:after="0" w:line="275" w:lineRule="auto"/>
        <w:rPr>
          <w:sz w:val="20"/>
          <w:szCs w:val="20"/>
          <w:color w:val="auto"/>
        </w:rPr>
      </w:pPr>
      <w:r>
        <w:rPr>
          <w:rFonts w:ascii="Arial" w:cs="Arial" w:eastAsia="Arial" w:hAnsi="Arial"/>
          <w:sz w:val="12"/>
          <w:szCs w:val="12"/>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00"/>
          </w:cols>
          <w:pgMar w:left="300" w:top="358" w:right="39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i w:val="1"/>
          <w:iCs w:val="1"/>
          <w:color w:val="auto"/>
        </w:rPr>
        <w:t>Interest Rate Risk</w:t>
      </w:r>
    </w:p>
    <w:p>
      <w:pPr>
        <w:spacing w:after="0" w:line="77"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36" w:lineRule="exact"/>
        <w:rPr>
          <w:sz w:val="20"/>
          <w:szCs w:val="20"/>
          <w:color w:val="auto"/>
        </w:rPr>
      </w:pPr>
    </w:p>
    <w:p>
      <w:pPr>
        <w:ind w:right="20" w:firstLine="256"/>
        <w:spacing w:after="0" w:line="260" w:lineRule="auto"/>
        <w:rPr>
          <w:sz w:val="20"/>
          <w:szCs w:val="20"/>
          <w:color w:val="auto"/>
        </w:rPr>
      </w:pPr>
      <w:r>
        <w:rPr>
          <w:rFonts w:ascii="Arial" w:cs="Arial" w:eastAsia="Arial" w:hAnsi="Arial"/>
          <w:sz w:val="13"/>
          <w:szCs w:val="13"/>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30" w:lineRule="exact"/>
        <w:rPr>
          <w:sz w:val="20"/>
          <w:szCs w:val="20"/>
          <w:color w:val="auto"/>
        </w:rPr>
      </w:pPr>
    </w:p>
    <w:p>
      <w:pPr>
        <w:ind w:right="20" w:firstLine="256"/>
        <w:spacing w:after="0" w:line="251" w:lineRule="auto"/>
        <w:rPr>
          <w:sz w:val="20"/>
          <w:szCs w:val="20"/>
          <w:color w:val="auto"/>
        </w:rPr>
      </w:pPr>
      <w:r>
        <w:rPr>
          <w:rFonts w:ascii="Arial" w:cs="Arial" w:eastAsia="Arial" w:hAnsi="Arial"/>
          <w:sz w:val="13"/>
          <w:szCs w:val="13"/>
          <w:color w:val="auto"/>
        </w:rPr>
        <w:t>As of March 31, 2022, 99.0% of our debt investments based on fair value in our portfolio bore interest at floating rates, with 100.0% of these subject to interest rate floors. Our credit facilities also bear interest at floating rates, and in connection with our 2022 Convertible Notes, 2023 Notes, 2024 Notes and 2026 Notes, which bear interest at fixed rates, we entered into fixed-to-floating interest rate swaps in order to align the interest rates of our liabilities with our investment portfolio.</w:t>
      </w:r>
    </w:p>
    <w:p>
      <w:pPr>
        <w:spacing w:after="0" w:line="136"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Assuming that our consolidated balance sheet as of March 31, 2022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32"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4260" w:type="dxa"/>
            <w:vAlign w:val="bottom"/>
            <w:gridSpan w:val="2"/>
          </w:tcPr>
          <w:p>
            <w:pPr>
              <w:spacing w:after="0"/>
              <w:rPr>
                <w:sz w:val="20"/>
                <w:szCs w:val="20"/>
                <w:color w:val="auto"/>
              </w:rPr>
            </w:pPr>
            <w:r>
              <w:rPr>
                <w:rFonts w:ascii="Arial" w:cs="Arial" w:eastAsia="Arial" w:hAnsi="Arial"/>
                <w:sz w:val="10"/>
                <w:szCs w:val="10"/>
                <w:color w:val="auto"/>
              </w:rPr>
              <w:t>($ in millions)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19"/>
        </w:trPr>
        <w:tc>
          <w:tcPr>
            <w:tcW w:w="4260" w:type="dxa"/>
            <w:vAlign w:val="bottom"/>
            <w:gridSpan w:val="2"/>
          </w:tcPr>
          <w:p>
            <w:pPr>
              <w:spacing w:after="0"/>
              <w:rPr>
                <w:sz w:val="20"/>
                <w:szCs w:val="20"/>
                <w:color w:val="auto"/>
              </w:rPr>
            </w:pPr>
            <w:r>
              <w:rPr>
                <w:rFonts w:ascii="Arial" w:cs="Arial" w:eastAsia="Arial" w:hAnsi="Arial"/>
                <w:sz w:val="10"/>
                <w:szCs w:val="10"/>
                <w:b w:val="1"/>
                <w:bCs w:val="1"/>
                <w:color w:val="auto"/>
              </w:rPr>
              <w:t>Basis Point Change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97"/>
              </w:rPr>
              <w:t>Interest Income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4"/>
              </w:rPr>
              <w:t>Interest Expense</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00" w:type="dxa"/>
            <w:vAlign w:val="bottom"/>
            <w:gridSpan w:val="2"/>
          </w:tcPr>
          <w:p>
            <w:pPr>
              <w:ind w:left="240"/>
              <w:spacing w:after="0"/>
              <w:rPr>
                <w:sz w:val="20"/>
                <w:szCs w:val="20"/>
                <w:color w:val="auto"/>
              </w:rPr>
            </w:pPr>
            <w:r>
              <w:rPr>
                <w:rFonts w:ascii="Arial" w:cs="Arial" w:eastAsia="Arial" w:hAnsi="Arial"/>
                <w:sz w:val="10"/>
                <w:szCs w:val="10"/>
                <w:b w:val="1"/>
                <w:bCs w:val="1"/>
                <w:color w:val="auto"/>
              </w:rPr>
              <w:t>Net Interest Income</w:t>
            </w: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3"/>
                <w:szCs w:val="13"/>
                <w:color w:val="auto"/>
              </w:rPr>
              <w:t>Up 300 basis points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w:t>
            </w:r>
          </w:p>
        </w:tc>
        <w:tc>
          <w:tcPr>
            <w:tcW w:w="1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39.4</w:t>
            </w:r>
          </w:p>
        </w:tc>
        <w:tc>
          <w:tcPr>
            <w:tcW w:w="80" w:type="dxa"/>
            <w:vAlign w:val="bottom"/>
            <w:shd w:val="clear" w:color="auto" w:fill="CFF0FC"/>
          </w:tcPr>
          <w:p>
            <w:pPr>
              <w:spacing w:after="0"/>
              <w:rPr>
                <w:sz w:val="13"/>
                <w:szCs w:val="13"/>
                <w:color w:val="auto"/>
              </w:rPr>
            </w:pPr>
          </w:p>
        </w:tc>
      </w:tr>
      <w:tr>
        <w:trPr>
          <w:trHeight w:val="161"/>
        </w:trPr>
        <w:tc>
          <w:tcPr>
            <w:tcW w:w="4260" w:type="dxa"/>
            <w:vAlign w:val="bottom"/>
            <w:gridSpan w:val="2"/>
          </w:tcPr>
          <w:p>
            <w:pPr>
              <w:spacing w:after="0"/>
              <w:rPr>
                <w:sz w:val="20"/>
                <w:szCs w:val="20"/>
                <w:color w:val="auto"/>
              </w:rPr>
            </w:pPr>
            <w:r>
              <w:rPr>
                <w:rFonts w:ascii="Arial" w:cs="Arial" w:eastAsia="Arial" w:hAnsi="Arial"/>
                <w:sz w:val="13"/>
                <w:szCs w:val="13"/>
                <w:color w:val="auto"/>
              </w:rPr>
              <w:t>Up 200 basis points</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23.5</w:t>
            </w:r>
          </w:p>
        </w:tc>
        <w:tc>
          <w:tcPr>
            <w:tcW w:w="120" w:type="dxa"/>
            <w:vAlign w:val="bottom"/>
          </w:tcPr>
          <w:p>
            <w:pPr>
              <w:spacing w:after="0"/>
              <w:rPr>
                <w:sz w:val="13"/>
                <w:szCs w:val="13"/>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25.1</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3"/>
                <w:szCs w:val="13"/>
                <w:color w:val="auto"/>
              </w:rPr>
              <w:t>Up 100 basis points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22.8</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FF0FC"/>
          </w:tcPr>
          <w:p>
            <w:pPr>
              <w:spacing w:after="0"/>
              <w:rPr>
                <w:sz w:val="13"/>
                <w:szCs w:val="13"/>
                <w:color w:val="auto"/>
              </w:rPr>
            </w:pPr>
          </w:p>
        </w:tc>
      </w:tr>
      <w:tr>
        <w:trPr>
          <w:trHeight w:val="161"/>
        </w:trPr>
        <w:tc>
          <w:tcPr>
            <w:tcW w:w="4260" w:type="dxa"/>
            <w:vAlign w:val="bottom"/>
            <w:gridSpan w:val="2"/>
          </w:tcPr>
          <w:p>
            <w:pPr>
              <w:spacing w:after="0"/>
              <w:rPr>
                <w:sz w:val="20"/>
                <w:szCs w:val="20"/>
                <w:color w:val="auto"/>
              </w:rPr>
            </w:pPr>
            <w:r>
              <w:rPr>
                <w:rFonts w:ascii="Arial" w:cs="Arial" w:eastAsia="Arial" w:hAnsi="Arial"/>
                <w:sz w:val="13"/>
                <w:szCs w:val="13"/>
                <w:color w:val="auto"/>
              </w:rPr>
              <w:t>Down 25 basis points</w:t>
            </w:r>
          </w:p>
        </w:tc>
        <w:tc>
          <w:tcPr>
            <w:tcW w:w="2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(0.8)</w:t>
            </w:r>
          </w:p>
        </w:tc>
        <w:tc>
          <w:tcPr>
            <w:tcW w:w="2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(2.8)</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r>
      <w:tr>
        <w:trPr>
          <w:trHeight w:val="161"/>
        </w:trPr>
        <w:tc>
          <w:tcPr>
            <w:tcW w:w="20" w:type="dxa"/>
            <w:vAlign w:val="bottom"/>
          </w:tcPr>
          <w:p>
            <w:pPr>
              <w:spacing w:after="0"/>
              <w:rPr>
                <w:sz w:val="13"/>
                <w:szCs w:val="13"/>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3"/>
                <w:szCs w:val="13"/>
                <w:color w:val="auto"/>
              </w:rPr>
              <w:t>Down 50 basis points</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(1.0)</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(5.4)</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FF0FC"/>
          </w:tcPr>
          <w:p>
            <w:pPr>
              <w:spacing w:after="0"/>
              <w:rPr>
                <w:sz w:val="13"/>
                <w:szCs w:val="13"/>
                <w:color w:val="auto"/>
              </w:rPr>
            </w:pPr>
          </w:p>
        </w:tc>
      </w:tr>
    </w:tbl>
    <w:p>
      <w:pPr>
        <w:spacing w:after="0" w:line="171" w:lineRule="exact"/>
        <w:rPr>
          <w:sz w:val="20"/>
          <w:szCs w:val="20"/>
          <w:color w:val="auto"/>
        </w:rPr>
      </w:pPr>
    </w:p>
    <w:p>
      <w:pPr>
        <w:ind w:right="340" w:firstLine="256"/>
        <w:spacing w:after="0" w:line="301" w:lineRule="auto"/>
        <w:rPr>
          <w:sz w:val="20"/>
          <w:szCs w:val="20"/>
          <w:color w:val="auto"/>
        </w:rPr>
      </w:pPr>
      <w:r>
        <w:rPr>
          <w:rFonts w:ascii="Arial" w:cs="Arial" w:eastAsia="Arial" w:hAnsi="Arial"/>
          <w:sz w:val="12"/>
          <w:szCs w:val="12"/>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08" w:lineRule="exact"/>
        <w:rPr>
          <w:sz w:val="20"/>
          <w:szCs w:val="20"/>
          <w:color w:val="auto"/>
        </w:rPr>
      </w:pPr>
    </w:p>
    <w:p>
      <w:pPr>
        <w:ind w:right="80" w:firstLine="256"/>
        <w:spacing w:after="0" w:line="251" w:lineRule="auto"/>
        <w:rPr>
          <w:sz w:val="20"/>
          <w:szCs w:val="20"/>
          <w:color w:val="auto"/>
        </w:rPr>
      </w:pPr>
      <w:r>
        <w:rPr>
          <w:rFonts w:ascii="Arial" w:cs="Arial" w:eastAsia="Arial" w:hAnsi="Arial"/>
          <w:sz w:val="13"/>
          <w:szCs w:val="13"/>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Currency Risk</w:t>
      </w:r>
    </w:p>
    <w:p>
      <w:pPr>
        <w:spacing w:after="0" w:line="77" w:lineRule="exact"/>
        <w:rPr>
          <w:sz w:val="20"/>
          <w:szCs w:val="20"/>
          <w:color w:val="auto"/>
        </w:rPr>
      </w:pPr>
    </w:p>
    <w:p>
      <w:pPr>
        <w:ind w:right="60" w:firstLine="256"/>
        <w:spacing w:after="0" w:line="270" w:lineRule="auto"/>
        <w:rPr>
          <w:sz w:val="20"/>
          <w:szCs w:val="20"/>
          <w:color w:val="auto"/>
        </w:rPr>
      </w:pPr>
      <w:r>
        <w:rPr>
          <w:rFonts w:ascii="Arial" w:cs="Arial" w:eastAsia="Arial" w:hAnsi="Arial"/>
          <w:sz w:val="12"/>
          <w:szCs w:val="12"/>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20"/>
          </w:cols>
          <w:pgMar w:left="300" w:top="509" w:right="37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color w:val="auto"/>
        </w:rPr>
        <w:t>ITEM 4. CONTROLS AND PROCEDURES</w:t>
      </w:r>
    </w:p>
    <w:p>
      <w:pPr>
        <w:spacing w:after="0" w:line="81" w:lineRule="exact"/>
        <w:rPr>
          <w:sz w:val="20"/>
          <w:szCs w:val="20"/>
          <w:color w:val="auto"/>
        </w:rPr>
      </w:pPr>
    </w:p>
    <w:p>
      <w:pPr>
        <w:ind w:right="20" w:firstLine="256"/>
        <w:spacing w:after="0" w:line="248" w:lineRule="auto"/>
        <w:rPr>
          <w:sz w:val="20"/>
          <w:szCs w:val="20"/>
          <w:color w:val="auto"/>
        </w:rPr>
      </w:pPr>
      <w:r>
        <w:rPr>
          <w:rFonts w:ascii="Arial" w:cs="Arial" w:eastAsia="Arial" w:hAnsi="Arial"/>
          <w:sz w:val="13"/>
          <w:szCs w:val="13"/>
          <w:b w:val="1"/>
          <w:bCs w:val="1"/>
          <w:i w:val="1"/>
          <w:iCs w:val="1"/>
          <w:color w:val="auto"/>
        </w:rPr>
        <w:t xml:space="preserve">Evaluation of Disclosure Controls and Procedures. </w:t>
      </w:r>
      <w:r>
        <w:rPr>
          <w:rFonts w:ascii="Arial" w:cs="Arial" w:eastAsia="Arial" w:hAnsi="Arial"/>
          <w:sz w:val="13"/>
          <w:szCs w:val="13"/>
          <w:color w:val="auto"/>
        </w:rPr>
        <w:t>As of the end of the period covered by this report, we carried out an evaluation, under the supervision and with the participation of our management, including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38" w:lineRule="exact"/>
        <w:rPr>
          <w:sz w:val="20"/>
          <w:szCs w:val="20"/>
          <w:color w:val="auto"/>
        </w:rPr>
      </w:pPr>
    </w:p>
    <w:p>
      <w:pPr>
        <w:ind w:firstLine="256"/>
        <w:spacing w:after="0" w:line="260" w:lineRule="auto"/>
        <w:rPr>
          <w:sz w:val="20"/>
          <w:szCs w:val="20"/>
          <w:color w:val="auto"/>
        </w:rPr>
      </w:pPr>
      <w:r>
        <w:rPr>
          <w:rFonts w:ascii="Arial" w:cs="Arial" w:eastAsia="Arial" w:hAnsi="Arial"/>
          <w:sz w:val="13"/>
          <w:szCs w:val="13"/>
          <w:b w:val="1"/>
          <w:bCs w:val="1"/>
          <w:i w:val="1"/>
          <w:iCs w:val="1"/>
          <w:color w:val="auto"/>
        </w:rPr>
        <w:t xml:space="preserve">Changes in Internal Control over Financial Reporting. </w:t>
      </w:r>
      <w:r>
        <w:rPr>
          <w:rFonts w:ascii="Arial" w:cs="Arial" w:eastAsia="Arial" w:hAnsi="Arial"/>
          <w:sz w:val="13"/>
          <w:szCs w:val="13"/>
          <w:color w:val="auto"/>
        </w:rPr>
        <w:t>There have been no changes in our internal control over financial reporting that occurred during our most recently completed fiscal quarter that have materially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affected, or are reasonably likely to materially affect, our internal control over financial reporting.</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80"/>
          </w:cols>
          <w:pgMar w:left="300" w:top="278" w:right="41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 Legal Proceedings</w:t>
      </w:r>
    </w:p>
    <w:p>
      <w:pPr>
        <w:spacing w:after="0" w:line="81" w:lineRule="exact"/>
        <w:rPr>
          <w:sz w:val="20"/>
          <w:szCs w:val="20"/>
          <w:color w:val="auto"/>
        </w:rPr>
      </w:pPr>
    </w:p>
    <w:p>
      <w:pPr>
        <w:ind w:right="140" w:firstLine="256"/>
        <w:spacing w:after="0" w:line="260" w:lineRule="auto"/>
        <w:rPr>
          <w:sz w:val="20"/>
          <w:szCs w:val="20"/>
          <w:color w:val="auto"/>
        </w:rPr>
      </w:pPr>
      <w:r>
        <w:rPr>
          <w:rFonts w:ascii="Arial" w:cs="Arial" w:eastAsia="Arial" w:hAnsi="Arial"/>
          <w:sz w:val="13"/>
          <w:szCs w:val="13"/>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1A. Risk Factors.</w:t>
      </w:r>
    </w:p>
    <w:p>
      <w:pPr>
        <w:spacing w:after="0" w:line="81" w:lineRule="exact"/>
        <w:rPr>
          <w:sz w:val="20"/>
          <w:szCs w:val="20"/>
          <w:color w:val="auto"/>
        </w:rPr>
      </w:pPr>
    </w:p>
    <w:p>
      <w:pPr>
        <w:ind w:right="200" w:firstLine="256"/>
        <w:spacing w:after="0" w:line="282" w:lineRule="auto"/>
        <w:rPr>
          <w:sz w:val="20"/>
          <w:szCs w:val="20"/>
          <w:color w:val="auto"/>
        </w:rPr>
      </w:pPr>
      <w:r>
        <w:rPr>
          <w:rFonts w:ascii="Arial" w:cs="Arial" w:eastAsia="Arial" w:hAnsi="Arial"/>
          <w:sz w:val="12"/>
          <w:szCs w:val="12"/>
          <w:color w:val="auto"/>
        </w:rPr>
        <w:t>In addition to the other information set forth in this report, you should carefully consider the risk factors discussed in Part I, “Item 1A. Risk Factors” in our Annual Report on Form 10-K for the fiscal year ended December 31, 2021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We are exposed to risks associated with changes in interest rates.</w:t>
      </w:r>
    </w:p>
    <w:p>
      <w:pPr>
        <w:spacing w:after="0" w:line="153" w:lineRule="exact"/>
        <w:rPr>
          <w:sz w:val="20"/>
          <w:szCs w:val="20"/>
          <w:color w:val="auto"/>
        </w:rPr>
      </w:pPr>
    </w:p>
    <w:p>
      <w:pPr>
        <w:ind w:right="40" w:firstLine="256"/>
        <w:spacing w:after="0" w:line="308" w:lineRule="auto"/>
        <w:rPr>
          <w:sz w:val="20"/>
          <w:szCs w:val="20"/>
          <w:color w:val="auto"/>
        </w:rPr>
      </w:pPr>
      <w:r>
        <w:rPr>
          <w:rFonts w:ascii="Arial" w:cs="Arial" w:eastAsia="Arial" w:hAnsi="Arial"/>
          <w:sz w:val="11"/>
          <w:szCs w:val="11"/>
          <w:color w:val="auto"/>
        </w:rPr>
        <w:t>The majority of our debt investments are based on floating rates, such as LIBOR, EURIBOR, SOFR,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107" w:lineRule="exact"/>
        <w:rPr>
          <w:sz w:val="20"/>
          <w:szCs w:val="20"/>
          <w:color w:val="auto"/>
        </w:rPr>
      </w:pPr>
    </w:p>
    <w:p>
      <w:pPr>
        <w:ind w:right="120" w:firstLine="256"/>
        <w:spacing w:after="0" w:line="247" w:lineRule="auto"/>
        <w:rPr>
          <w:sz w:val="20"/>
          <w:szCs w:val="20"/>
          <w:color w:val="auto"/>
        </w:rPr>
      </w:pPr>
      <w:r>
        <w:rPr>
          <w:rFonts w:ascii="Arial" w:cs="Arial" w:eastAsia="Arial" w:hAnsi="Arial"/>
          <w:sz w:val="13"/>
          <w:szCs w:val="13"/>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138" w:lineRule="exact"/>
        <w:rPr>
          <w:sz w:val="20"/>
          <w:szCs w:val="20"/>
          <w:color w:val="auto"/>
        </w:rPr>
      </w:pPr>
    </w:p>
    <w:p>
      <w:pPr>
        <w:ind w:right="60" w:firstLine="256"/>
        <w:spacing w:after="0" w:line="260" w:lineRule="auto"/>
        <w:rPr>
          <w:sz w:val="20"/>
          <w:szCs w:val="20"/>
          <w:color w:val="auto"/>
        </w:rPr>
      </w:pPr>
      <w:r>
        <w:rPr>
          <w:rFonts w:ascii="Arial" w:cs="Arial" w:eastAsia="Arial" w:hAnsi="Arial"/>
          <w:sz w:val="13"/>
          <w:szCs w:val="13"/>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30" w:lineRule="exact"/>
        <w:rPr>
          <w:sz w:val="20"/>
          <w:szCs w:val="20"/>
          <w:color w:val="auto"/>
        </w:rPr>
      </w:pPr>
    </w:p>
    <w:p>
      <w:pPr>
        <w:ind w:right="200" w:firstLine="256"/>
        <w:spacing w:after="0" w:line="260" w:lineRule="auto"/>
        <w:rPr>
          <w:sz w:val="20"/>
          <w:szCs w:val="20"/>
          <w:color w:val="auto"/>
        </w:rPr>
      </w:pPr>
      <w:r>
        <w:rPr>
          <w:rFonts w:ascii="Arial" w:cs="Arial" w:eastAsia="Arial" w:hAnsi="Arial"/>
          <w:sz w:val="13"/>
          <w:szCs w:val="13"/>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130" w:lineRule="exact"/>
        <w:rPr>
          <w:sz w:val="20"/>
          <w:szCs w:val="20"/>
          <w:color w:val="auto"/>
        </w:rPr>
      </w:pPr>
    </w:p>
    <w:p>
      <w:pPr>
        <w:ind w:firstLine="256"/>
        <w:spacing w:after="0" w:line="260" w:lineRule="auto"/>
        <w:rPr>
          <w:sz w:val="20"/>
          <w:szCs w:val="20"/>
          <w:color w:val="auto"/>
        </w:rPr>
      </w:pPr>
      <w:r>
        <w:rPr>
          <w:rFonts w:ascii="Arial" w:cs="Arial" w:eastAsia="Arial" w:hAnsi="Arial"/>
          <w:sz w:val="13"/>
          <w:szCs w:val="13"/>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54" w:lineRule="exact"/>
        <w:rPr>
          <w:sz w:val="20"/>
          <w:szCs w:val="20"/>
          <w:color w:val="auto"/>
        </w:rPr>
      </w:pPr>
    </w:p>
    <w:p>
      <w:pPr>
        <w:ind w:firstLine="256"/>
        <w:spacing w:after="0" w:line="275" w:lineRule="auto"/>
        <w:rPr>
          <w:sz w:val="20"/>
          <w:szCs w:val="20"/>
          <w:color w:val="auto"/>
        </w:rPr>
      </w:pPr>
      <w:r>
        <w:rPr>
          <w:rFonts w:ascii="Arial" w:cs="Arial" w:eastAsia="Arial" w:hAnsi="Arial"/>
          <w:sz w:val="12"/>
          <w:szCs w:val="12"/>
          <w:color w:val="auto"/>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such as U.S. dollar LIBOR. The use of SOFR is relatively new, and there could be unanticipated difficulties or disruptions with the calculation and publication of SOFR. Additionally, any successor rate to SOFR under our revolving credit facility may not have the same characteristics as SOFR or LIBOR. As a result, the amount of interest we may pay on our revolving credit facility is difficult to predict.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278" w:right="339" w:bottom="1440" w:gutter="0" w:footer="0" w:header="0"/>
        </w:sectPr>
      </w:pPr>
    </w:p>
    <w:bookmarkStart w:id="71" w:name="page72"/>
    <w:bookmarkEnd w:id="71"/>
    <w:p>
      <w:pPr>
        <w:ind w:right="60" w:firstLine="256"/>
        <w:spacing w:after="0" w:line="351" w:lineRule="auto"/>
        <w:rPr>
          <w:sz w:val="20"/>
          <w:szCs w:val="20"/>
          <w:color w:val="auto"/>
        </w:rPr>
      </w:pPr>
      <w:r>
        <w:rPr>
          <w:rFonts w:ascii="Arial" w:cs="Arial" w:eastAsia="Arial" w:hAnsi="Arial"/>
          <w:sz w:val="11"/>
          <w:szCs w:val="11"/>
          <w:i w:val="1"/>
          <w:iCs w:val="1"/>
          <w:color w:val="auto"/>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Legislation allows us to incur additional leverage.</w:t>
      </w:r>
    </w:p>
    <w:p>
      <w:pPr>
        <w:spacing w:after="0" w:line="77" w:lineRule="exact"/>
        <w:rPr>
          <w:sz w:val="20"/>
          <w:szCs w:val="20"/>
          <w:color w:val="auto"/>
        </w:rPr>
      </w:pPr>
    </w:p>
    <w:p>
      <w:pPr>
        <w:ind w:firstLine="256"/>
        <w:spacing w:after="0" w:line="282" w:lineRule="auto"/>
        <w:rPr>
          <w:sz w:val="20"/>
          <w:szCs w:val="20"/>
          <w:color w:val="auto"/>
        </w:rPr>
      </w:pPr>
      <w:r>
        <w:rPr>
          <w:rFonts w:ascii="Arial" w:cs="Arial" w:eastAsia="Arial" w:hAnsi="Arial"/>
          <w:sz w:val="12"/>
          <w:szCs w:val="12"/>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19" w:lineRule="exact"/>
        <w:rPr>
          <w:sz w:val="20"/>
          <w:szCs w:val="20"/>
          <w:color w:val="auto"/>
        </w:rPr>
      </w:pPr>
    </w:p>
    <w:p>
      <w:pPr>
        <w:jc w:val="both"/>
        <w:ind w:right="20" w:firstLine="256"/>
        <w:spacing w:after="0" w:line="251" w:lineRule="auto"/>
        <w:rPr>
          <w:sz w:val="20"/>
          <w:szCs w:val="20"/>
          <w:color w:val="auto"/>
        </w:rPr>
      </w:pPr>
      <w:r>
        <w:rPr>
          <w:rFonts w:ascii="Arial" w:cs="Arial" w:eastAsia="Arial" w:hAnsi="Arial"/>
          <w:sz w:val="13"/>
          <w:szCs w:val="13"/>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36"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Regulations governing our operation as a BDC affect our ability to, and the way in which we, raise additional capital.</w:t>
      </w:r>
    </w:p>
    <w:p>
      <w:pPr>
        <w:spacing w:after="0" w:line="77" w:lineRule="exact"/>
        <w:rPr>
          <w:sz w:val="20"/>
          <w:szCs w:val="20"/>
          <w:color w:val="auto"/>
        </w:rPr>
      </w:pPr>
    </w:p>
    <w:p>
      <w:pPr>
        <w:jc w:val="both"/>
        <w:ind w:right="40" w:firstLine="256"/>
        <w:spacing w:after="0" w:line="251" w:lineRule="auto"/>
        <w:rPr>
          <w:sz w:val="20"/>
          <w:szCs w:val="20"/>
          <w:color w:val="auto"/>
        </w:rPr>
      </w:pPr>
      <w:r>
        <w:rPr>
          <w:rFonts w:ascii="Arial" w:cs="Arial" w:eastAsia="Arial" w:hAnsi="Arial"/>
          <w:sz w:val="13"/>
          <w:szCs w:val="13"/>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36" w:lineRule="exact"/>
        <w:rPr>
          <w:sz w:val="20"/>
          <w:szCs w:val="20"/>
          <w:color w:val="auto"/>
        </w:rPr>
      </w:pPr>
    </w:p>
    <w:p>
      <w:pPr>
        <w:ind w:right="100" w:firstLine="256"/>
        <w:spacing w:after="0" w:line="260" w:lineRule="auto"/>
        <w:rPr>
          <w:sz w:val="20"/>
          <w:szCs w:val="20"/>
          <w:color w:val="auto"/>
        </w:rPr>
      </w:pPr>
      <w:r>
        <w:rPr>
          <w:rFonts w:ascii="Arial" w:cs="Arial" w:eastAsia="Arial" w:hAnsi="Arial"/>
          <w:sz w:val="13"/>
          <w:szCs w:val="13"/>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30" w:lineRule="exact"/>
        <w:rPr>
          <w:sz w:val="20"/>
          <w:szCs w:val="20"/>
          <w:color w:val="auto"/>
        </w:rPr>
      </w:pPr>
    </w:p>
    <w:p>
      <w:pPr>
        <w:ind w:firstLine="256"/>
        <w:spacing w:after="0" w:line="282" w:lineRule="auto"/>
        <w:rPr>
          <w:sz w:val="20"/>
          <w:szCs w:val="20"/>
          <w:color w:val="auto"/>
        </w:rPr>
      </w:pPr>
      <w:r>
        <w:rPr>
          <w:rFonts w:ascii="Arial" w:cs="Arial" w:eastAsia="Arial" w:hAnsi="Arial"/>
          <w:sz w:val="12"/>
          <w:szCs w:val="12"/>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19" w:lineRule="exact"/>
        <w:rPr>
          <w:sz w:val="20"/>
          <w:szCs w:val="20"/>
          <w:color w:val="auto"/>
        </w:rPr>
      </w:pPr>
    </w:p>
    <w:p>
      <w:pPr>
        <w:ind w:right="40" w:firstLine="256"/>
        <w:spacing w:after="0" w:line="270" w:lineRule="auto"/>
        <w:rPr>
          <w:sz w:val="20"/>
          <w:szCs w:val="20"/>
          <w:color w:val="auto"/>
        </w:rPr>
      </w:pPr>
      <w:r>
        <w:rPr>
          <w:rFonts w:ascii="Arial" w:cs="Arial" w:eastAsia="Arial" w:hAnsi="Arial"/>
          <w:sz w:val="12"/>
          <w:szCs w:val="12"/>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60"/>
          </w:cols>
          <w:pgMar w:left="300" w:top="433" w:right="339" w:bottom="1440" w:gutter="0" w:footer="0" w:header="0"/>
        </w:sectPr>
      </w:pPr>
    </w:p>
    <w:bookmarkStart w:id="72" w:name="page73"/>
    <w:bookmarkEnd w:id="72"/>
    <w:p>
      <w:pPr>
        <w:ind w:firstLine="256"/>
        <w:spacing w:after="0" w:line="247" w:lineRule="auto"/>
        <w:rPr>
          <w:sz w:val="20"/>
          <w:szCs w:val="20"/>
          <w:color w:val="auto"/>
        </w:rPr>
      </w:pPr>
      <w:r>
        <w:rPr>
          <w:rFonts w:ascii="Arial" w:cs="Arial" w:eastAsia="Arial" w:hAnsi="Arial"/>
          <w:sz w:val="13"/>
          <w:szCs w:val="13"/>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38" w:lineRule="exact"/>
        <w:rPr>
          <w:sz w:val="20"/>
          <w:szCs w:val="20"/>
          <w:color w:val="auto"/>
        </w:rPr>
      </w:pPr>
    </w:p>
    <w:p>
      <w:pPr>
        <w:ind w:right="60" w:firstLine="256"/>
        <w:spacing w:after="0" w:line="293" w:lineRule="auto"/>
        <w:rPr>
          <w:sz w:val="20"/>
          <w:szCs w:val="20"/>
          <w:color w:val="auto"/>
        </w:rPr>
      </w:pPr>
      <w:r>
        <w:rPr>
          <w:rFonts w:ascii="Arial" w:cs="Arial" w:eastAsia="Arial" w:hAnsi="Arial"/>
          <w:sz w:val="11"/>
          <w:szCs w:val="11"/>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2021, we are currently permitted to sell or otherwise issue shares of our common stock at a price below our then-current net asset value per share, subject to the approval of our Board and certain other conditions. Such stockholder approval expires on May 26, 2022. On April 13, 2022, we filed a definitive proxy statement for a special meeting of stockholders, to be held on May 26, 2022. The definitive proxy statement sets forth a proposal to be voted upon at the special meeting that, if approved by stockholders, would have the effect of extending this approval to the one-year anniversary of the date of the special meeting.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16" w:lineRule="exact"/>
        <w:rPr>
          <w:sz w:val="20"/>
          <w:szCs w:val="20"/>
          <w:color w:val="auto"/>
        </w:rPr>
      </w:pPr>
    </w:p>
    <w:p>
      <w:pPr>
        <w:ind w:right="80" w:firstLine="256"/>
        <w:spacing w:after="0" w:line="269" w:lineRule="auto"/>
        <w:rPr>
          <w:sz w:val="20"/>
          <w:szCs w:val="20"/>
          <w:color w:val="auto"/>
        </w:rPr>
      </w:pPr>
      <w:r>
        <w:rPr>
          <w:rFonts w:ascii="Arial" w:cs="Arial" w:eastAsia="Arial" w:hAnsi="Arial"/>
          <w:sz w:val="12"/>
          <w:szCs w:val="12"/>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borrow money, which magnifies the potential for gain or loss and increases the risk of investing in us.</w:t>
      </w:r>
    </w:p>
    <w:p>
      <w:pPr>
        <w:spacing w:after="0" w:line="77" w:lineRule="exact"/>
        <w:rPr>
          <w:sz w:val="20"/>
          <w:szCs w:val="20"/>
          <w:color w:val="auto"/>
        </w:rPr>
      </w:pPr>
    </w:p>
    <w:p>
      <w:pPr>
        <w:ind w:right="20" w:firstLine="256"/>
        <w:spacing w:after="0" w:line="299" w:lineRule="auto"/>
        <w:rPr>
          <w:sz w:val="20"/>
          <w:szCs w:val="20"/>
          <w:color w:val="auto"/>
        </w:rPr>
      </w:pPr>
      <w:r>
        <w:rPr>
          <w:rFonts w:ascii="Arial" w:cs="Arial" w:eastAsia="Arial" w:hAnsi="Arial"/>
          <w:sz w:val="11"/>
          <w:szCs w:val="11"/>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13"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Our credit facilities and indentures governing our indebtedness also impose financial and operating covenants that restrict our business activities, remedies on default and similar matters. As of March 31, 2022,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433" w:right="319" w:bottom="1440" w:gutter="0" w:footer="0" w:header="0"/>
        </w:sectPr>
      </w:pPr>
    </w:p>
    <w:bookmarkStart w:id="73" w:name="page74"/>
    <w:bookmarkEnd w:id="73"/>
    <w:p>
      <w:pPr>
        <w:ind w:left="4" w:right="160"/>
        <w:spacing w:after="0" w:line="251" w:lineRule="auto"/>
        <w:rPr>
          <w:sz w:val="20"/>
          <w:szCs w:val="20"/>
          <w:color w:val="auto"/>
        </w:rPr>
      </w:pPr>
      <w:r>
        <w:rPr>
          <w:rFonts w:ascii="Arial" w:cs="Arial" w:eastAsia="Arial" w:hAnsi="Arial"/>
          <w:sz w:val="13"/>
          <w:szCs w:val="13"/>
          <w:color w:val="auto"/>
        </w:rPr>
        <w:t>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36" w:lineRule="exact"/>
        <w:rPr>
          <w:sz w:val="20"/>
          <w:szCs w:val="20"/>
          <w:color w:val="auto"/>
        </w:rPr>
      </w:pPr>
    </w:p>
    <w:p>
      <w:pPr>
        <w:ind w:left="4" w:right="100" w:firstLine="256"/>
        <w:spacing w:after="0" w:line="275" w:lineRule="auto"/>
        <w:rPr>
          <w:sz w:val="20"/>
          <w:szCs w:val="20"/>
          <w:color w:val="auto"/>
        </w:rPr>
      </w:pPr>
      <w:r>
        <w:rPr>
          <w:rFonts w:ascii="Arial" w:cs="Arial" w:eastAsia="Arial" w:hAnsi="Arial"/>
          <w:sz w:val="12"/>
          <w:szCs w:val="12"/>
          <w:color w:val="auto"/>
        </w:rPr>
        <w:t>As of March 31, 2022, we had $1,174.8 million of outstanding indebtedness, which had an annualized interest cost of 2.26% under the terms of our debt, excluding fees (such as fees on undrawn amounts and amortization of upfront fees) and giving effect to the swap-adjusted interest rates on our 2022 Convertible Notes, 2023 Notes, 2024 Notes and 2026 Notes. As of March 31, 2022, as adjusted to give effect to the interest rate swaps, the interest rate on the 2022 Convertible Notes was three-month LIBOR plus 2.11% (on a weighted-average basis) and the interest rate on the 2023 Notes was three-month LIBOR plus 1.99%, and the interest rate on the 2024 Notes was three-month LIBOR plus 2.28% (on a weighted-average basis), and the interest rate on the 2026 Notes was three-month LIBOR plus 1.91%.</w:t>
      </w:r>
    </w:p>
    <w:p>
      <w:pPr>
        <w:spacing w:after="0" w:line="124" w:lineRule="exact"/>
        <w:rPr>
          <w:sz w:val="20"/>
          <w:szCs w:val="20"/>
          <w:color w:val="auto"/>
        </w:rPr>
      </w:pPr>
    </w:p>
    <w:p>
      <w:pPr>
        <w:ind w:left="4" w:right="360" w:firstLine="256"/>
        <w:spacing w:after="0" w:line="301" w:lineRule="auto"/>
        <w:rPr>
          <w:sz w:val="20"/>
          <w:szCs w:val="20"/>
          <w:color w:val="auto"/>
        </w:rPr>
      </w:pPr>
      <w:r>
        <w:rPr>
          <w:rFonts w:ascii="Arial" w:cs="Arial" w:eastAsia="Arial" w:hAnsi="Arial"/>
          <w:sz w:val="12"/>
          <w:szCs w:val="12"/>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08" w:lineRule="exact"/>
        <w:rPr>
          <w:sz w:val="20"/>
          <w:szCs w:val="20"/>
          <w:color w:val="auto"/>
        </w:rPr>
      </w:pPr>
    </w:p>
    <w:p>
      <w:pPr>
        <w:jc w:val="both"/>
        <w:ind w:left="4" w:right="420" w:firstLine="256"/>
        <w:spacing w:after="0" w:line="282" w:lineRule="auto"/>
        <w:rPr>
          <w:sz w:val="20"/>
          <w:szCs w:val="20"/>
          <w:color w:val="auto"/>
        </w:rPr>
      </w:pPr>
      <w:r>
        <w:rPr>
          <w:rFonts w:ascii="Arial" w:cs="Arial" w:eastAsia="Arial" w:hAnsi="Arial"/>
          <w:sz w:val="12"/>
          <w:szCs w:val="12"/>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Effects of Leverage Based on Actual Amount of Borrowings Incurred by us as of March 31, 2022</w:t>
      </w:r>
    </w:p>
    <w:p>
      <w:pPr>
        <w:spacing w:after="0" w:line="150" w:lineRule="exact"/>
        <w:rPr>
          <w:sz w:val="20"/>
          <w:szCs w:val="20"/>
          <w:color w:val="auto"/>
        </w:rPr>
      </w:pPr>
    </w:p>
    <w:p>
      <w:pPr>
        <w:jc w:val="center"/>
        <w:ind w:left="4460"/>
        <w:spacing w:after="0"/>
        <w:rPr>
          <w:sz w:val="20"/>
          <w:szCs w:val="20"/>
          <w:color w:val="auto"/>
        </w:rPr>
      </w:pPr>
      <w:r>
        <w:rPr>
          <w:rFonts w:ascii="Arial" w:cs="Arial" w:eastAsia="Arial" w:hAnsi="Arial"/>
          <w:sz w:val="10"/>
          <w:szCs w:val="10"/>
          <w:b w:val="1"/>
          <w:bCs w:val="1"/>
          <w:color w:val="auto"/>
        </w:rPr>
        <w:t>Assumed Return on Our Portfolio</w:t>
      </w:r>
    </w:p>
    <w:p>
      <w:pPr>
        <w:jc w:val="center"/>
        <w:ind w:left="4460"/>
        <w:spacing w:after="0"/>
        <w:rPr>
          <w:sz w:val="20"/>
          <w:szCs w:val="20"/>
          <w:color w:val="auto"/>
        </w:rPr>
      </w:pPr>
      <w:r>
        <w:rPr>
          <w:rFonts w:ascii="Arial" w:cs="Arial" w:eastAsia="Arial" w:hAnsi="Arial"/>
          <w:sz w:val="10"/>
          <w:szCs w:val="10"/>
          <w:b w:val="1"/>
          <w:bCs w:val="1"/>
          <w:color w:val="auto"/>
        </w:rPr>
        <w:t xml:space="preserve">(net of expenses)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-3175</wp:posOffset>
            </wp:positionV>
            <wp:extent cx="39801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80180" cy="5715"/>
                    </a:xfrm>
                    <a:prstGeom prst="rect">
                      <a:avLst/>
                    </a:prstGeom>
                    <a:noFill/>
                  </pic:spPr>
                </pic:pic>
              </a:graphicData>
            </a:graphic>
          </wp:anchor>
        </w:drawing>
      </w:r>
    </w:p>
    <w:p>
      <w:pPr>
        <w:spacing w:after="0" w:line="25" w:lineRule="exact"/>
        <w:rPr>
          <w:sz w:val="20"/>
          <w:szCs w:val="20"/>
          <w:color w:val="auto"/>
        </w:rPr>
      </w:pPr>
    </w:p>
    <w:tbl>
      <w:tblPr>
        <w:tblLayout w:type="fixed"/>
        <w:tblInd w:w="4" w:type="dxa"/>
        <w:tblCellMar>
          <w:top w:w="0" w:type="dxa"/>
          <w:left w:w="0" w:type="dxa"/>
          <w:bottom w:w="0" w:type="dxa"/>
          <w:right w:w="0" w:type="dxa"/>
        </w:tblCellMar>
      </w:tblPr>
      <w:tr>
        <w:trPr>
          <w:trHeight w:val="119"/>
        </w:trPr>
        <w:tc>
          <w:tcPr>
            <w:tcW w:w="4740" w:type="dxa"/>
            <w:vAlign w:val="bottom"/>
            <w:tcBorders>
              <w:bottom w:val="single" w:sz="8" w:color="CCEEFF"/>
            </w:tcBorders>
            <w:gridSpan w:val="2"/>
          </w:tcPr>
          <w:p>
            <w:pPr>
              <w:spacing w:after="0"/>
              <w:rPr>
                <w:sz w:val="10"/>
                <w:szCs w:val="1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-10%</w:t>
            </w: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-5%</w:t>
            </w: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0%</w:t>
            </w:r>
          </w:p>
        </w:tc>
        <w:tc>
          <w:tcPr>
            <w:tcW w:w="4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5%</w:t>
            </w:r>
          </w:p>
        </w:tc>
        <w:tc>
          <w:tcPr>
            <w:tcW w:w="42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10%</w:t>
            </w:r>
          </w:p>
        </w:tc>
        <w:tc>
          <w:tcPr>
            <w:tcW w:w="300" w:type="dxa"/>
            <w:vAlign w:val="bottom"/>
            <w:tcBorders>
              <w:bottom w:val="single" w:sz="8" w:color="CCEEFF"/>
            </w:tcBorders>
          </w:tcPr>
          <w:p>
            <w:pPr>
              <w:spacing w:after="0"/>
              <w:rPr>
                <w:sz w:val="10"/>
                <w:szCs w:val="10"/>
                <w:color w:val="auto"/>
              </w:rPr>
            </w:pPr>
          </w:p>
        </w:tc>
      </w:tr>
      <w:tr>
        <w:trPr>
          <w:trHeight w:val="141"/>
        </w:trPr>
        <w:tc>
          <w:tcPr>
            <w:tcW w:w="45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 xml:space="preserve">Corresponding return to stockholder </w:t>
            </w:r>
            <w:r>
              <w:rPr>
                <w:rFonts w:ascii="Arial" w:cs="Arial" w:eastAsia="Arial" w:hAnsi="Arial"/>
                <w:sz w:val="14"/>
                <w:szCs w:val="14"/>
                <w:color w:val="auto"/>
                <w:vertAlign w:val="superscript"/>
              </w:rPr>
              <w:t>(2)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3"/>
                <w:szCs w:val="13"/>
                <w:color w:val="auto"/>
              </w:rPr>
              <w:t>-21.5%</w:t>
            </w: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3"/>
                <w:szCs w:val="13"/>
                <w:color w:val="auto"/>
                <w:w w:val="92"/>
              </w:rPr>
              <w:t>-11.8%</w:t>
            </w:r>
          </w:p>
        </w:tc>
        <w:tc>
          <w:tcPr>
            <w:tcW w:w="1240" w:type="dxa"/>
            <w:vAlign w:val="bottom"/>
            <w:gridSpan w:val="2"/>
            <w:shd w:val="clear" w:color="auto" w:fill="CCEEFF"/>
          </w:tcPr>
          <w:p>
            <w:pPr>
              <w:jc w:val="right"/>
              <w:ind w:right="300"/>
              <w:spacing w:after="0" w:line="141" w:lineRule="exact"/>
              <w:rPr>
                <w:sz w:val="20"/>
                <w:szCs w:val="20"/>
                <w:color w:val="auto"/>
              </w:rPr>
            </w:pPr>
            <w:r>
              <w:rPr>
                <w:rFonts w:ascii="Arial" w:cs="Arial" w:eastAsia="Arial" w:hAnsi="Arial"/>
                <w:sz w:val="13"/>
                <w:szCs w:val="13"/>
                <w:color w:val="auto"/>
              </w:rPr>
              <w:t>-2.1%</w:t>
            </w:r>
          </w:p>
        </w:tc>
        <w:tc>
          <w:tcPr>
            <w:tcW w:w="128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3"/>
                <w:szCs w:val="13"/>
                <w:color w:val="auto"/>
              </w:rPr>
              <w:t>7.6%</w:t>
            </w:r>
          </w:p>
        </w:tc>
        <w:tc>
          <w:tcPr>
            <w:tcW w:w="126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17.3%</w:t>
            </w:r>
          </w:p>
        </w:tc>
      </w:tr>
    </w:tbl>
    <w:p>
      <w:pPr>
        <w:spacing w:after="0" w:line="142" w:lineRule="exact"/>
        <w:rPr>
          <w:sz w:val="20"/>
          <w:szCs w:val="20"/>
          <w:color w:val="auto"/>
        </w:rPr>
      </w:pPr>
    </w:p>
    <w:p>
      <w:pPr>
        <w:ind w:left="504" w:right="100" w:hanging="504"/>
        <w:spacing w:after="0" w:line="295" w:lineRule="auto"/>
        <w:tabs>
          <w:tab w:leader="none" w:pos="504" w:val="left"/>
        </w:tabs>
        <w:numPr>
          <w:ilvl w:val="0"/>
          <w:numId w:val="52"/>
        </w:numPr>
        <w:rPr>
          <w:rFonts w:ascii="Arial" w:cs="Arial" w:eastAsia="Arial" w:hAnsi="Arial"/>
          <w:sz w:val="11"/>
          <w:szCs w:val="11"/>
          <w:color w:val="auto"/>
        </w:rPr>
      </w:pPr>
      <w:r>
        <w:rPr>
          <w:rFonts w:ascii="Arial" w:cs="Arial" w:eastAsia="Arial" w:hAnsi="Arial"/>
          <w:sz w:val="11"/>
          <w:szCs w:val="11"/>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March 31, 2022. As a result, it has not been updated to take into account any changes in assets or leverage since March 31, 2022.</w:t>
      </w:r>
    </w:p>
    <w:p>
      <w:pPr>
        <w:jc w:val="both"/>
        <w:ind w:left="504" w:right="140" w:hanging="504"/>
        <w:spacing w:after="0" w:line="310" w:lineRule="auto"/>
        <w:tabs>
          <w:tab w:leader="none" w:pos="504"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 order to compute the “Corresponding return to stockholder,” the “Assumed Return on Our Portfolio” is multiplied by the total value of our assets at March 31, 2022 to obtain an assumed return to us. From this amount, the interest expense (calculated by multiplying the weighted average stated interest rate of 2.3% by the approximately $1,174.8 million of principal debt outstanding) is subtracted to determine the return available to stockholders. The return available to stockholders is then divided by the total value of our net assets at March 31, 2022 to determine the “Corresponding return to stockholder.”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Our indebtedness could adversely affect our business, financial conditions or results of operations.</w:t>
      </w:r>
    </w:p>
    <w:p>
      <w:pPr>
        <w:spacing w:after="0" w:line="77" w:lineRule="exact"/>
        <w:rPr>
          <w:sz w:val="20"/>
          <w:szCs w:val="20"/>
          <w:color w:val="auto"/>
        </w:rPr>
      </w:pPr>
    </w:p>
    <w:p>
      <w:pPr>
        <w:ind w:left="4" w:right="60" w:firstLine="256"/>
        <w:spacing w:after="0" w:line="247" w:lineRule="auto"/>
        <w:rPr>
          <w:sz w:val="20"/>
          <w:szCs w:val="20"/>
          <w:color w:val="auto"/>
        </w:rPr>
      </w:pPr>
      <w:r>
        <w:rPr>
          <w:rFonts w:ascii="Arial" w:cs="Arial" w:eastAsia="Arial" w:hAnsi="Arial"/>
          <w:sz w:val="13"/>
          <w:szCs w:val="13"/>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3"/>
          <w:szCs w:val="13"/>
          <w:b w:val="1"/>
          <w:bCs w:val="1"/>
          <w:i w:val="1"/>
          <w:iCs w:val="1"/>
          <w:color w:val="auto"/>
        </w:rPr>
        <w:t>Even in the event the value of your investment declines, the Management Fee and, in certain circumstances, the Incentive Fee will still be payable to the Adviser.</w:t>
      </w:r>
    </w:p>
    <w:p>
      <w:pPr>
        <w:spacing w:after="0" w:line="77" w:lineRule="exact"/>
        <w:rPr>
          <w:sz w:val="20"/>
          <w:szCs w:val="20"/>
          <w:color w:val="auto"/>
        </w:rPr>
      </w:pPr>
    </w:p>
    <w:p>
      <w:pPr>
        <w:ind w:left="4" w:right="200" w:firstLine="256"/>
        <w:spacing w:after="0" w:line="251" w:lineRule="auto"/>
        <w:rPr>
          <w:sz w:val="20"/>
          <w:szCs w:val="20"/>
          <w:color w:val="auto"/>
        </w:rPr>
      </w:pPr>
      <w:r>
        <w:rPr>
          <w:rFonts w:ascii="Arial" w:cs="Arial" w:eastAsia="Arial" w:hAnsi="Arial"/>
          <w:sz w:val="13"/>
          <w:szCs w:val="13"/>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w:t>
      </w:r>
    </w:p>
    <w:p>
      <w:pPr>
        <w:spacing w:after="0" w:line="136"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433" w:right="299" w:bottom="1440" w:gutter="0" w:footer="0" w:header="0"/>
        </w:sectPr>
      </w:pPr>
    </w:p>
    <w:bookmarkStart w:id="74" w:name="page75"/>
    <w:bookmarkEnd w:id="74"/>
    <w:p>
      <w:pPr>
        <w:ind w:right="60"/>
        <w:spacing w:after="0" w:line="260" w:lineRule="auto"/>
        <w:rPr>
          <w:sz w:val="20"/>
          <w:szCs w:val="20"/>
          <w:color w:val="auto"/>
        </w:rPr>
      </w:pPr>
      <w:r>
        <w:rPr>
          <w:rFonts w:ascii="Arial" w:cs="Arial" w:eastAsia="Arial" w:hAnsi="Arial"/>
          <w:sz w:val="13"/>
          <w:szCs w:val="13"/>
          <w:color w:val="auto"/>
        </w:rPr>
        <w:t>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30" w:lineRule="exact"/>
        <w:rPr>
          <w:sz w:val="20"/>
          <w:szCs w:val="20"/>
          <w:color w:val="auto"/>
        </w:rPr>
      </w:pPr>
    </w:p>
    <w:p>
      <w:pPr>
        <w:ind w:right="40" w:firstLine="256"/>
        <w:spacing w:after="0" w:line="303" w:lineRule="auto"/>
        <w:rPr>
          <w:sz w:val="20"/>
          <w:szCs w:val="20"/>
          <w:color w:val="auto"/>
        </w:rPr>
      </w:pPr>
      <w:r>
        <w:rPr>
          <w:rFonts w:ascii="Arial" w:cs="Arial" w:eastAsia="Arial" w:hAnsi="Arial"/>
          <w:sz w:val="11"/>
          <w:szCs w:val="11"/>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09" w:lineRule="exact"/>
        <w:rPr>
          <w:sz w:val="20"/>
          <w:szCs w:val="20"/>
          <w:color w:val="auto"/>
        </w:rPr>
      </w:pPr>
    </w:p>
    <w:p>
      <w:pPr>
        <w:ind w:firstLine="256"/>
        <w:spacing w:after="0" w:line="251" w:lineRule="auto"/>
        <w:rPr>
          <w:sz w:val="20"/>
          <w:szCs w:val="20"/>
          <w:color w:val="auto"/>
        </w:rPr>
      </w:pPr>
      <w:r>
        <w:rPr>
          <w:rFonts w:ascii="Arial" w:cs="Arial" w:eastAsia="Arial" w:hAnsi="Arial"/>
          <w:sz w:val="13"/>
          <w:szCs w:val="13"/>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36" w:lineRule="exact"/>
        <w:rPr>
          <w:sz w:val="20"/>
          <w:szCs w:val="20"/>
          <w:color w:val="auto"/>
        </w:rPr>
      </w:pPr>
    </w:p>
    <w:p>
      <w:pPr>
        <w:ind w:right="160" w:firstLine="256"/>
        <w:spacing w:after="0" w:line="247" w:lineRule="auto"/>
        <w:rPr>
          <w:sz w:val="20"/>
          <w:szCs w:val="20"/>
          <w:color w:val="auto"/>
        </w:rPr>
      </w:pPr>
      <w:r>
        <w:rPr>
          <w:rFonts w:ascii="Arial" w:cs="Arial" w:eastAsia="Arial" w:hAnsi="Arial"/>
          <w:sz w:val="13"/>
          <w:szCs w:val="13"/>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41910</wp:posOffset>
            </wp:positionV>
            <wp:extent cx="721106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358" w:right="319" w:bottom="1440" w:gutter="0" w:footer="0" w:header="0"/>
        </w:sectPr>
      </w:pPr>
    </w:p>
    <w:bookmarkStart w:id="75" w:name="page76"/>
    <w:bookmarkEnd w:id="75"/>
    <w:p>
      <w:pPr>
        <w:ind w:left="4"/>
        <w:spacing w:after="0"/>
        <w:rPr>
          <w:sz w:val="20"/>
          <w:szCs w:val="20"/>
          <w:color w:val="auto"/>
        </w:rPr>
      </w:pPr>
      <w:r>
        <w:rPr>
          <w:rFonts w:ascii="Arial" w:cs="Arial" w:eastAsia="Arial" w:hAnsi="Arial"/>
          <w:sz w:val="13"/>
          <w:szCs w:val="13"/>
          <w:b w:val="1"/>
          <w:bCs w:val="1"/>
          <w:color w:val="auto"/>
        </w:rPr>
        <w:t>Item 2. Unregistered Sales of Equity Securities and Use of Proceeds.</w:t>
      </w:r>
    </w:p>
    <w:p>
      <w:pPr>
        <w:spacing w:after="0" w:line="81" w:lineRule="exact"/>
        <w:rPr>
          <w:sz w:val="20"/>
          <w:szCs w:val="20"/>
          <w:color w:val="auto"/>
        </w:rPr>
      </w:pPr>
    </w:p>
    <w:p>
      <w:pPr>
        <w:ind w:left="264"/>
        <w:spacing w:after="0"/>
        <w:rPr>
          <w:sz w:val="20"/>
          <w:szCs w:val="20"/>
          <w:color w:val="auto"/>
        </w:rPr>
      </w:pPr>
      <w:r>
        <w:rPr>
          <w:rFonts w:ascii="Arial" w:cs="Arial" w:eastAsia="Arial" w:hAnsi="Arial"/>
          <w:sz w:val="13"/>
          <w:szCs w:val="13"/>
          <w:color w:val="auto"/>
        </w:rPr>
        <w:t>None.</w:t>
      </w:r>
    </w:p>
    <w:p>
      <w:pPr>
        <w:spacing w:after="0" w:line="253"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Item 3. Defaults Upon Senior Securities.</w:t>
      </w:r>
    </w:p>
    <w:p>
      <w:pPr>
        <w:spacing w:after="0" w:line="81" w:lineRule="exact"/>
        <w:rPr>
          <w:sz w:val="20"/>
          <w:szCs w:val="20"/>
          <w:color w:val="auto"/>
        </w:rPr>
      </w:pPr>
    </w:p>
    <w:p>
      <w:pPr>
        <w:ind w:left="264"/>
        <w:spacing w:after="0"/>
        <w:rPr>
          <w:sz w:val="20"/>
          <w:szCs w:val="20"/>
          <w:color w:val="auto"/>
        </w:rPr>
      </w:pPr>
      <w:r>
        <w:rPr>
          <w:rFonts w:ascii="Arial" w:cs="Arial" w:eastAsia="Arial" w:hAnsi="Arial"/>
          <w:sz w:val="13"/>
          <w:szCs w:val="13"/>
          <w:color w:val="auto"/>
        </w:rPr>
        <w:t>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Item 4. Mine Safety Disclosures.</w:t>
      </w:r>
    </w:p>
    <w:p>
      <w:pPr>
        <w:spacing w:after="0" w:line="81" w:lineRule="exact"/>
        <w:rPr>
          <w:sz w:val="20"/>
          <w:szCs w:val="20"/>
          <w:color w:val="auto"/>
        </w:rPr>
      </w:pPr>
    </w:p>
    <w:p>
      <w:pPr>
        <w:ind w:left="264"/>
        <w:spacing w:after="0"/>
        <w:rPr>
          <w:sz w:val="20"/>
          <w:szCs w:val="20"/>
          <w:color w:val="auto"/>
        </w:rPr>
      </w:pPr>
      <w:r>
        <w:rPr>
          <w:rFonts w:ascii="Arial" w:cs="Arial" w:eastAsia="Arial" w:hAnsi="Arial"/>
          <w:sz w:val="13"/>
          <w:szCs w:val="13"/>
          <w:color w:val="auto"/>
        </w:rPr>
        <w:t>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Item 5. Other Information.</w:t>
      </w:r>
    </w:p>
    <w:p>
      <w:pPr>
        <w:spacing w:after="0" w:line="81" w:lineRule="exact"/>
        <w:rPr>
          <w:sz w:val="20"/>
          <w:szCs w:val="20"/>
          <w:color w:val="auto"/>
        </w:rPr>
      </w:pPr>
    </w:p>
    <w:p>
      <w:pPr>
        <w:ind w:left="264"/>
        <w:spacing w:after="0"/>
        <w:rPr>
          <w:sz w:val="20"/>
          <w:szCs w:val="20"/>
          <w:color w:val="auto"/>
        </w:rPr>
      </w:pPr>
      <w:r>
        <w:rPr>
          <w:rFonts w:ascii="Arial" w:cs="Arial" w:eastAsia="Arial" w:hAnsi="Arial"/>
          <w:sz w:val="13"/>
          <w:szCs w:val="13"/>
          <w:color w:val="auto"/>
        </w:rPr>
        <w:t>Not applicable.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Item 6. Exhibits.</w:t>
      </w:r>
    </w:p>
    <w:p>
      <w:pPr>
        <w:spacing w:after="0" w:line="77" w:lineRule="exact"/>
        <w:rPr>
          <w:sz w:val="20"/>
          <w:szCs w:val="20"/>
          <w:color w:val="auto"/>
        </w:rPr>
      </w:pPr>
    </w:p>
    <w:p>
      <w:pPr>
        <w:ind w:left="764" w:hanging="509"/>
        <w:spacing w:after="0"/>
        <w:tabs>
          <w:tab w:leader="none" w:pos="764"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Exhibits.</w:t>
      </w:r>
    </w:p>
    <w:p>
      <w:pPr>
        <w:spacing w:after="0" w:line="13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620" w:type="dxa"/>
            <w:vAlign w:val="bottom"/>
          </w:tcPr>
          <w:p>
            <w:pPr>
              <w:jc w:val="right"/>
              <w:ind w:right="337"/>
              <w:spacing w:after="0"/>
              <w:rPr>
                <w:sz w:val="20"/>
                <w:szCs w:val="20"/>
                <w:color w:val="auto"/>
              </w:rPr>
            </w:pPr>
            <w:r>
              <w:rPr>
                <w:rFonts w:ascii="Arial" w:cs="Arial" w:eastAsia="Arial" w:hAnsi="Arial"/>
                <w:sz w:val="13"/>
                <w:szCs w:val="13"/>
                <w:color w:val="auto"/>
                <w:w w:val="78"/>
              </w:rPr>
              <w:t>10.1</w:t>
            </w:r>
          </w:p>
        </w:tc>
        <w:tc>
          <w:tcPr>
            <w:tcW w:w="10600" w:type="dxa"/>
            <w:vAlign w:val="bottom"/>
            <w:tcBorders>
              <w:bottom w:val="single" w:sz="8" w:color="0000EE"/>
            </w:tcBorders>
            <w:gridSpan w:val="4"/>
          </w:tcPr>
          <w:p>
            <w:pPr>
              <w:spacing w:after="0"/>
              <w:rPr>
                <w:rFonts w:ascii="Arial" w:cs="Arial" w:eastAsia="Arial" w:hAnsi="Arial"/>
                <w:sz w:val="13"/>
                <w:szCs w:val="13"/>
                <w:color w:val="0000EE"/>
                <w:w w:val="87"/>
              </w:rPr>
            </w:pPr>
            <w:hyperlink w:anchor="page78">
              <w:r>
                <w:rPr>
                  <w:rFonts w:ascii="Arial" w:cs="Arial" w:eastAsia="Arial" w:hAnsi="Arial"/>
                  <w:sz w:val="13"/>
                  <w:szCs w:val="13"/>
                  <w:color w:val="0000EE"/>
                  <w:w w:val="87"/>
                </w:rPr>
                <w:t>Twelfth Amendment to Second Amended and Restated Senior Secured Revolving Credit Agreement, dated as of April 25, 2022, among Sixth Street Specialty Lending, Inc. as Borrower, the Lenders party therto</w:t>
              </w:r>
            </w:hyperlink>
          </w:p>
        </w:tc>
      </w:tr>
      <w:tr>
        <w:trPr>
          <w:trHeight w:val="131"/>
        </w:trPr>
        <w:tc>
          <w:tcPr>
            <w:tcW w:w="620" w:type="dxa"/>
            <w:vAlign w:val="bottom"/>
          </w:tcPr>
          <w:p>
            <w:pPr>
              <w:spacing w:after="0"/>
              <w:rPr>
                <w:sz w:val="11"/>
                <w:szCs w:val="11"/>
                <w:color w:val="auto"/>
              </w:rPr>
            </w:pPr>
          </w:p>
        </w:tc>
        <w:tc>
          <w:tcPr>
            <w:tcW w:w="10600" w:type="dxa"/>
            <w:vAlign w:val="bottom"/>
            <w:gridSpan w:val="4"/>
          </w:tcPr>
          <w:p>
            <w:pPr>
              <w:spacing w:after="0" w:line="131" w:lineRule="exact"/>
              <w:rPr>
                <w:rFonts w:ascii="Arial" w:cs="Arial" w:eastAsia="Arial" w:hAnsi="Arial"/>
                <w:sz w:val="13"/>
                <w:szCs w:val="13"/>
                <w:color w:val="0000EE"/>
              </w:rPr>
            </w:pPr>
            <w:hyperlink w:anchor="page78">
              <w:r>
                <w:rPr>
                  <w:rFonts w:ascii="Arial" w:cs="Arial" w:eastAsia="Arial" w:hAnsi="Arial"/>
                  <w:sz w:val="13"/>
                  <w:szCs w:val="13"/>
                  <w:color w:val="0000EE"/>
                </w:rPr>
                <w:t>and Truist Bank (as successor by merger to SunTrust Bank), as Administrative Agent</w:t>
              </w:r>
            </w:hyperlink>
          </w:p>
        </w:tc>
      </w:tr>
      <w:tr>
        <w:trPr>
          <w:trHeight w:val="20"/>
        </w:trPr>
        <w:tc>
          <w:tcPr>
            <w:tcW w:w="62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83"/>
        </w:trPr>
        <w:tc>
          <w:tcPr>
            <w:tcW w:w="620" w:type="dxa"/>
            <w:vAlign w:val="bottom"/>
          </w:tcPr>
          <w:p>
            <w:pPr>
              <w:jc w:val="right"/>
              <w:ind w:right="337"/>
              <w:spacing w:after="0"/>
              <w:rPr>
                <w:sz w:val="20"/>
                <w:szCs w:val="20"/>
                <w:color w:val="auto"/>
              </w:rPr>
            </w:pPr>
            <w:r>
              <w:rPr>
                <w:rFonts w:ascii="Arial" w:cs="Arial" w:eastAsia="Arial" w:hAnsi="Arial"/>
                <w:sz w:val="13"/>
                <w:szCs w:val="13"/>
                <w:color w:val="auto"/>
                <w:w w:val="78"/>
              </w:rPr>
              <w:t>31.1</w:t>
            </w:r>
          </w:p>
        </w:tc>
        <w:tc>
          <w:tcPr>
            <w:tcW w:w="10600" w:type="dxa"/>
            <w:vAlign w:val="bottom"/>
            <w:gridSpan w:val="4"/>
          </w:tcPr>
          <w:p>
            <w:pPr>
              <w:spacing w:after="0"/>
              <w:rPr>
                <w:rFonts w:ascii="Arial" w:cs="Arial" w:eastAsia="Arial" w:hAnsi="Arial"/>
                <w:sz w:val="13"/>
                <w:szCs w:val="13"/>
                <w:color w:val="0000EE"/>
              </w:rPr>
            </w:pPr>
            <w:hyperlink w:anchor="page263">
              <w:r>
                <w:rPr>
                  <w:rFonts w:ascii="Arial" w:cs="Arial" w:eastAsia="Arial" w:hAnsi="Arial"/>
                  <w:sz w:val="13"/>
                  <w:szCs w:val="13"/>
                  <w:color w:val="0000EE"/>
                </w:rPr>
                <w:t>Certification of Chief Executive Officer Pursuant to 18 U.S.C. Section 1350, as Adopted Pursuant to Section 302 of the Sarbanes-Oxley Act of 2002</w:t>
              </w:r>
            </w:hyperlink>
          </w:p>
        </w:tc>
      </w:tr>
      <w:tr>
        <w:trPr>
          <w:trHeight w:val="283"/>
        </w:trPr>
        <w:tc>
          <w:tcPr>
            <w:tcW w:w="620" w:type="dxa"/>
            <w:vAlign w:val="bottom"/>
          </w:tcPr>
          <w:p>
            <w:pPr>
              <w:jc w:val="right"/>
              <w:ind w:right="337"/>
              <w:spacing w:after="0"/>
              <w:rPr>
                <w:sz w:val="20"/>
                <w:szCs w:val="20"/>
                <w:color w:val="auto"/>
              </w:rPr>
            </w:pPr>
            <w:r>
              <w:rPr>
                <w:rFonts w:ascii="Arial" w:cs="Arial" w:eastAsia="Arial" w:hAnsi="Arial"/>
                <w:sz w:val="13"/>
                <w:szCs w:val="13"/>
                <w:color w:val="auto"/>
                <w:w w:val="78"/>
              </w:rPr>
              <w:t>31.2</w:t>
            </w:r>
          </w:p>
        </w:tc>
        <w:tc>
          <w:tcPr>
            <w:tcW w:w="7500" w:type="dxa"/>
            <w:vAlign w:val="bottom"/>
            <w:tcBorders>
              <w:top w:val="single" w:sz="8" w:color="0000EE"/>
            </w:tcBorders>
            <w:gridSpan w:val="3"/>
          </w:tcPr>
          <w:p>
            <w:pPr>
              <w:spacing w:after="0"/>
              <w:rPr>
                <w:rFonts w:ascii="Arial" w:cs="Arial" w:eastAsia="Arial" w:hAnsi="Arial"/>
                <w:sz w:val="13"/>
                <w:szCs w:val="13"/>
                <w:color w:val="0000EE"/>
                <w:w w:val="88"/>
              </w:rPr>
            </w:pPr>
            <w:hyperlink w:anchor="page264">
              <w:r>
                <w:rPr>
                  <w:rFonts w:ascii="Arial" w:cs="Arial" w:eastAsia="Arial" w:hAnsi="Arial"/>
                  <w:sz w:val="13"/>
                  <w:szCs w:val="13"/>
                  <w:color w:val="0000EE"/>
                  <w:w w:val="88"/>
                </w:rPr>
                <w:t>Certification of Chief Financial Officer Pursuant to 18 U.S.C. Section 1350, as Adopted Pursuant to Section 302 of the Sarbanes-Oxley Act of 2002</w:t>
              </w:r>
            </w:hyperlink>
          </w:p>
        </w:tc>
        <w:tc>
          <w:tcPr>
            <w:tcW w:w="310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624" w:hanging="624"/>
        <w:spacing w:after="0"/>
        <w:tabs>
          <w:tab w:leader="none" w:pos="624" w:val="left"/>
        </w:tabs>
        <w:numPr>
          <w:ilvl w:val="0"/>
          <w:numId w:val="54"/>
        </w:numPr>
        <w:rPr>
          <w:rFonts w:ascii="Arial" w:cs="Arial" w:eastAsia="Arial" w:hAnsi="Arial"/>
          <w:sz w:val="13"/>
          <w:szCs w:val="13"/>
          <w:u w:val="single" w:color="auto"/>
          <w:color w:val="0000EE"/>
        </w:rPr>
      </w:pPr>
      <w:hyperlink w:anchor="page265">
        <w:r>
          <w:rPr>
            <w:rFonts w:ascii="Arial" w:cs="Arial" w:eastAsia="Arial" w:hAnsi="Arial"/>
            <w:sz w:val="13"/>
            <w:szCs w:val="13"/>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3"/>
          <w:szCs w:val="13"/>
          <w:u w:val="single" w:color="auto"/>
          <w:color w:val="0000EE"/>
        </w:rPr>
      </w:pPr>
    </w:p>
    <w:p>
      <w:pPr>
        <w:spacing w:after="0" w:line="359" w:lineRule="exact"/>
        <w:rPr>
          <w:rFonts w:ascii="Arial" w:cs="Arial" w:eastAsia="Arial" w:hAnsi="Arial"/>
          <w:sz w:val="13"/>
          <w:szCs w:val="13"/>
          <w:u w:val="single" w:color="auto"/>
          <w:color w:val="0000EE"/>
        </w:rPr>
      </w:pPr>
    </w:p>
    <w:p>
      <w:pPr>
        <w:ind w:left="5584"/>
        <w:spacing w:after="0"/>
        <w:rPr>
          <w:rFonts w:ascii="Arial" w:cs="Arial" w:eastAsia="Arial" w:hAnsi="Arial"/>
          <w:sz w:val="13"/>
          <w:szCs w:val="13"/>
          <w:u w:val="single" w:color="auto"/>
          <w:color w:val="0000EE"/>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41910</wp:posOffset>
            </wp:positionV>
            <wp:extent cx="721106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24"/>
          </w:cols>
          <w:pgMar w:left="296" w:top="278" w:right="379" w:bottom="1440" w:gutter="0" w:footer="0" w:header="0"/>
        </w:sectPr>
      </w:pPr>
    </w:p>
    <w:bookmarkStart w:id="76" w:name="page77"/>
    <w:bookmarkEnd w:id="76"/>
    <w:p>
      <w:pPr>
        <w:ind w:left="5240"/>
        <w:spacing w:after="0"/>
        <w:rPr>
          <w:sz w:val="20"/>
          <w:szCs w:val="20"/>
          <w:color w:val="auto"/>
        </w:rPr>
      </w:pPr>
      <w:r>
        <w:rPr>
          <w:rFonts w:ascii="Arial" w:cs="Arial" w:eastAsia="Arial" w:hAnsi="Arial"/>
          <w:sz w:val="13"/>
          <w:szCs w:val="13"/>
          <w:b w:val="1"/>
          <w:bCs w:val="1"/>
          <w:color w:val="auto"/>
        </w:rPr>
        <w:t>SIGNATURES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60" w:type="dxa"/>
            <w:vAlign w:val="bottom"/>
          </w:tcPr>
          <w:p>
            <w:pPr>
              <w:spacing w:after="0"/>
              <w:rPr>
                <w:sz w:val="13"/>
                <w:szCs w:val="13"/>
                <w:color w:val="auto"/>
              </w:rPr>
            </w:pPr>
          </w:p>
        </w:tc>
        <w:tc>
          <w:tcPr>
            <w:tcW w:w="8040" w:type="dxa"/>
            <w:vAlign w:val="bottom"/>
            <w:gridSpan w:val="2"/>
          </w:tcPr>
          <w:p>
            <w:pPr>
              <w:ind w:left="3520"/>
              <w:spacing w:after="0"/>
              <w:rPr>
                <w:sz w:val="20"/>
                <w:szCs w:val="20"/>
                <w:color w:val="auto"/>
              </w:rPr>
            </w:pPr>
            <w:r>
              <w:rPr>
                <w:rFonts w:ascii="Arial" w:cs="Arial" w:eastAsia="Arial" w:hAnsi="Arial"/>
                <w:sz w:val="13"/>
                <w:szCs w:val="13"/>
                <w:color w:val="auto"/>
              </w:rPr>
              <w:t>SIXTH STREET SPECIALTY LENDING, INC.</w:t>
            </w:r>
          </w:p>
        </w:tc>
      </w:tr>
      <w:tr>
        <w:trPr>
          <w:trHeight w:val="321"/>
        </w:trPr>
        <w:tc>
          <w:tcPr>
            <w:tcW w:w="3260" w:type="dxa"/>
            <w:vAlign w:val="bottom"/>
          </w:tcPr>
          <w:p>
            <w:pPr>
              <w:spacing w:after="0"/>
              <w:rPr>
                <w:sz w:val="20"/>
                <w:szCs w:val="20"/>
                <w:color w:val="auto"/>
              </w:rPr>
            </w:pPr>
            <w:r>
              <w:rPr>
                <w:rFonts w:ascii="Arial" w:cs="Arial" w:eastAsia="Arial" w:hAnsi="Arial"/>
                <w:sz w:val="13"/>
                <w:szCs w:val="13"/>
                <w:color w:val="auto"/>
              </w:rPr>
              <w:t>Date: May 3, 2022</w:t>
            </w:r>
          </w:p>
        </w:tc>
        <w:tc>
          <w:tcPr>
            <w:tcW w:w="3880" w:type="dxa"/>
            <w:vAlign w:val="bottom"/>
          </w:tcPr>
          <w:p>
            <w:pPr>
              <w:ind w:left="3520"/>
              <w:spacing w:after="0"/>
              <w:rPr>
                <w:sz w:val="20"/>
                <w:szCs w:val="20"/>
                <w:color w:val="auto"/>
              </w:rPr>
            </w:pPr>
            <w:r>
              <w:rPr>
                <w:rFonts w:ascii="Arial" w:cs="Arial" w:eastAsia="Arial" w:hAnsi="Arial"/>
                <w:sz w:val="13"/>
                <w:szCs w:val="13"/>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Joshua Easterly</w:t>
            </w:r>
          </w:p>
        </w:tc>
      </w:tr>
      <w:tr>
        <w:trPr>
          <w:trHeight w:val="132"/>
        </w:trPr>
        <w:tc>
          <w:tcPr>
            <w:tcW w:w="3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4160" w:type="dxa"/>
            <w:vAlign w:val="bottom"/>
          </w:tcPr>
          <w:p>
            <w:pPr>
              <w:spacing w:after="0" w:line="132" w:lineRule="exact"/>
              <w:rPr>
                <w:sz w:val="20"/>
                <w:szCs w:val="20"/>
                <w:color w:val="auto"/>
              </w:rPr>
            </w:pPr>
            <w:r>
              <w:rPr>
                <w:rFonts w:ascii="Arial" w:cs="Arial" w:eastAsia="Arial" w:hAnsi="Arial"/>
                <w:sz w:val="13"/>
                <w:szCs w:val="13"/>
                <w:color w:val="auto"/>
              </w:rPr>
              <w:t>Joshua Easterly</w:t>
            </w:r>
          </w:p>
        </w:tc>
      </w:tr>
      <w:tr>
        <w:trPr>
          <w:trHeight w:val="160"/>
        </w:trPr>
        <w:tc>
          <w:tcPr>
            <w:tcW w:w="32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Chief Executive Officer</w:t>
            </w:r>
          </w:p>
        </w:tc>
      </w:tr>
      <w:tr>
        <w:trPr>
          <w:trHeight w:val="321"/>
        </w:trPr>
        <w:tc>
          <w:tcPr>
            <w:tcW w:w="3260" w:type="dxa"/>
            <w:vAlign w:val="bottom"/>
          </w:tcPr>
          <w:p>
            <w:pPr>
              <w:spacing w:after="0"/>
              <w:rPr>
                <w:sz w:val="20"/>
                <w:szCs w:val="20"/>
                <w:color w:val="auto"/>
              </w:rPr>
            </w:pPr>
            <w:r>
              <w:rPr>
                <w:rFonts w:ascii="Arial" w:cs="Arial" w:eastAsia="Arial" w:hAnsi="Arial"/>
                <w:sz w:val="13"/>
                <w:szCs w:val="13"/>
                <w:color w:val="auto"/>
              </w:rPr>
              <w:t>Date: May 3, 2022</w:t>
            </w:r>
          </w:p>
        </w:tc>
        <w:tc>
          <w:tcPr>
            <w:tcW w:w="3880" w:type="dxa"/>
            <w:vAlign w:val="bottom"/>
          </w:tcPr>
          <w:p>
            <w:pPr>
              <w:ind w:left="3520"/>
              <w:spacing w:after="0"/>
              <w:rPr>
                <w:sz w:val="20"/>
                <w:szCs w:val="20"/>
                <w:color w:val="auto"/>
              </w:rPr>
            </w:pPr>
            <w:r>
              <w:rPr>
                <w:rFonts w:ascii="Arial" w:cs="Arial" w:eastAsia="Arial" w:hAnsi="Arial"/>
                <w:sz w:val="13"/>
                <w:szCs w:val="13"/>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Ian Simmonds</w:t>
            </w:r>
          </w:p>
        </w:tc>
      </w:tr>
      <w:tr>
        <w:trPr>
          <w:trHeight w:val="132"/>
        </w:trPr>
        <w:tc>
          <w:tcPr>
            <w:tcW w:w="3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4160" w:type="dxa"/>
            <w:vAlign w:val="bottom"/>
          </w:tcPr>
          <w:p>
            <w:pPr>
              <w:spacing w:after="0" w:line="132" w:lineRule="exact"/>
              <w:rPr>
                <w:sz w:val="20"/>
                <w:szCs w:val="20"/>
                <w:color w:val="auto"/>
              </w:rPr>
            </w:pPr>
            <w:r>
              <w:rPr>
                <w:rFonts w:ascii="Arial" w:cs="Arial" w:eastAsia="Arial" w:hAnsi="Arial"/>
                <w:sz w:val="13"/>
                <w:szCs w:val="13"/>
                <w:color w:val="auto"/>
              </w:rPr>
              <w:t>Ian Simmonds</w:t>
            </w:r>
          </w:p>
        </w:tc>
      </w:tr>
      <w:tr>
        <w:trPr>
          <w:trHeight w:val="160"/>
        </w:trPr>
        <w:tc>
          <w:tcPr>
            <w:tcW w:w="32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Arial" w:cs="Arial" w:eastAsia="Arial" w:hAnsi="Arial"/>
                <w:sz w:val="13"/>
                <w:szCs w:val="13"/>
                <w:color w:val="auto"/>
              </w:rPr>
              <w:t>Chief Financial Officer</w:t>
            </w:r>
          </w:p>
        </w:tc>
      </w:tr>
      <w:tr>
        <w:trPr>
          <w:trHeight w:val="473"/>
        </w:trPr>
        <w:tc>
          <w:tcPr>
            <w:tcW w:w="3260" w:type="dxa"/>
            <w:vAlign w:val="bottom"/>
          </w:tcPr>
          <w:p>
            <w:pPr>
              <w:spacing w:after="0"/>
              <w:rPr>
                <w:sz w:val="24"/>
                <w:szCs w:val="24"/>
                <w:color w:val="auto"/>
              </w:rPr>
            </w:pPr>
          </w:p>
        </w:tc>
        <w:tc>
          <w:tcPr>
            <w:tcW w:w="3880" w:type="dxa"/>
            <w:vAlign w:val="bottom"/>
          </w:tcPr>
          <w:p>
            <w:pPr>
              <w:jc w:val="right"/>
              <w:ind w:right="1377"/>
              <w:spacing w:after="0"/>
              <w:rPr>
                <w:sz w:val="20"/>
                <w:szCs w:val="20"/>
                <w:color w:val="auto"/>
              </w:rPr>
            </w:pPr>
            <w:r>
              <w:rPr>
                <w:rFonts w:ascii="Arial" w:cs="Arial" w:eastAsia="Arial" w:hAnsi="Arial"/>
                <w:sz w:val="13"/>
                <w:szCs w:val="13"/>
                <w:color w:val="auto"/>
              </w:rPr>
              <w:t>77</w:t>
            </w:r>
          </w:p>
        </w:tc>
        <w:tc>
          <w:tcPr>
            <w:tcW w:w="4160" w:type="dxa"/>
            <w:vAlign w:val="bottom"/>
          </w:tcPr>
          <w:p>
            <w:pPr>
              <w:spacing w:after="0"/>
              <w:rPr>
                <w:sz w:val="24"/>
                <w:szCs w:val="24"/>
                <w:color w:val="auto"/>
              </w:rPr>
            </w:pPr>
          </w:p>
        </w:tc>
      </w:tr>
    </w:tbl>
    <w:p>
      <w:pPr>
        <w:sectPr>
          <w:pgSz w:w="11900" w:h="16838" w:orient="portrait"/>
          <w:cols w:equalWidth="0" w:num="1">
            <w:col w:w="11300"/>
          </w:cols>
          <w:pgMar w:left="300" w:top="278" w:right="299" w:bottom="1440" w:gutter="0" w:footer="0" w:header="0"/>
        </w:sectPr>
      </w:pPr>
    </w:p>
    <w:bookmarkStart w:id="77" w:name="page78"/>
    <w:bookmarkEnd w:id="77"/>
    <w:p>
      <w:pPr>
        <w:jc w:val="right"/>
        <w:spacing w:after="0"/>
        <w:rPr>
          <w:sz w:val="20"/>
          <w:szCs w:val="20"/>
          <w:color w:val="auto"/>
        </w:rPr>
      </w:pPr>
      <w:r>
        <w:rPr>
          <w:rFonts w:ascii="Arial" w:cs="Arial" w:eastAsia="Arial" w:hAnsi="Arial"/>
          <w:sz w:val="15"/>
          <w:szCs w:val="15"/>
          <w:b w:val="1"/>
          <w:bCs w:val="1"/>
          <w:color w:val="auto"/>
        </w:rPr>
        <w:t>Exhibit 10.1</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COPY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TWELFTH AMENDMENT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SECOND AMENDED AND RESTATED SENIOR SECURED REVOLVING CREDIT AGREEMENT</w:t>
      </w:r>
    </w:p>
    <w:p>
      <w:pPr>
        <w:spacing w:after="0" w:line="137" w:lineRule="exact"/>
        <w:rPr>
          <w:sz w:val="20"/>
          <w:szCs w:val="20"/>
          <w:color w:val="auto"/>
        </w:rPr>
      </w:pPr>
    </w:p>
    <w:p>
      <w:pPr>
        <w:jc w:val="both"/>
        <w:ind w:right="20" w:firstLine="869"/>
        <w:spacing w:after="0" w:line="245" w:lineRule="auto"/>
        <w:rPr>
          <w:sz w:val="20"/>
          <w:szCs w:val="20"/>
          <w:color w:val="auto"/>
        </w:rPr>
      </w:pPr>
      <w:r>
        <w:rPr>
          <w:rFonts w:ascii="Arial" w:cs="Arial" w:eastAsia="Arial" w:hAnsi="Arial"/>
          <w:sz w:val="15"/>
          <w:szCs w:val="15"/>
          <w:color w:val="auto"/>
        </w:rPr>
        <w:t>THIS TWELFTH AMENDMENT TO SECOND AMENDED AND RESTATED SENIOR SECURED REVOLVING CREDIT AGREEMENT, dated as of April 25, 2022 (this “</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to the Existing Credit Agreement (capitalized terms used herein and not otherwise defined shall have the meanings given to such terms in </w:t>
      </w:r>
      <w:r>
        <w:rPr>
          <w:rFonts w:ascii="Arial" w:cs="Arial" w:eastAsia="Arial" w:hAnsi="Arial"/>
          <w:sz w:val="15"/>
          <w:szCs w:val="15"/>
          <w:u w:val="single" w:color="auto"/>
          <w:color w:val="auto"/>
        </w:rPr>
        <w:t>Article I</w:t>
      </w:r>
      <w:r>
        <w:rPr>
          <w:rFonts w:ascii="Arial" w:cs="Arial" w:eastAsia="Arial" w:hAnsi="Arial"/>
          <w:sz w:val="15"/>
          <w:szCs w:val="15"/>
          <w:color w:val="auto"/>
        </w:rPr>
        <w:t xml:space="preserve"> ) is among SIXTH STREET SPECIALTY LENDING, INC. (F/K/A TPG Specialty Lending,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the LENDERS party hereto and TRUIST BANK, as Administrative Agent.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W I T N E S S E T H</w:t>
      </w:r>
      <w:r>
        <w:rPr>
          <w:rFonts w:ascii="Arial" w:cs="Arial" w:eastAsia="Arial" w:hAnsi="Arial"/>
          <w:sz w:val="15"/>
          <w:szCs w:val="15"/>
          <w:color w:val="auto"/>
        </w:rPr>
        <w:t>:</w:t>
      </w:r>
    </w:p>
    <w:p>
      <w:pPr>
        <w:spacing w:after="0" w:line="149" w:lineRule="exact"/>
        <w:rPr>
          <w:sz w:val="20"/>
          <w:szCs w:val="20"/>
          <w:color w:val="auto"/>
        </w:rPr>
      </w:pPr>
    </w:p>
    <w:p>
      <w:pPr>
        <w:jc w:val="both"/>
        <w:ind w:firstLine="869"/>
        <w:spacing w:after="0" w:line="258" w:lineRule="auto"/>
        <w:rPr>
          <w:sz w:val="20"/>
          <w:szCs w:val="20"/>
          <w:color w:val="auto"/>
        </w:rPr>
      </w:pPr>
      <w:r>
        <w:rPr>
          <w:rFonts w:ascii="Arial" w:cs="Arial" w:eastAsia="Arial" w:hAnsi="Arial"/>
          <w:sz w:val="14"/>
          <w:szCs w:val="14"/>
          <w:color w:val="auto"/>
        </w:rPr>
        <w:t>WHEREAS, the Borrower, the Lenders party hereto and the Administrative Agent are parties to the Second Amended and Restated Senior Secured Revolving Credit Agreement, dated as of February 27, 2014 (as amended by the First Amendment to Second Amended and Restated Senior Secured Revolving Credit Agreement, dated as of June 3, 2014, the Second Amendment to Second 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and the Eleventh Amendment to Second Amended and Restated Senior Secured Revolving Credit Agreement, dated as of December 14, 2021 (the “</w:t>
      </w:r>
      <w:r>
        <w:rPr>
          <w:rFonts w:ascii="Arial" w:cs="Arial" w:eastAsia="Arial" w:hAnsi="Arial"/>
          <w:sz w:val="14"/>
          <w:szCs w:val="14"/>
          <w:u w:val="single" w:color="auto"/>
          <w:color w:val="auto"/>
        </w:rPr>
        <w:t>Existing Credit Agreement</w:t>
      </w:r>
      <w:r>
        <w:rPr>
          <w:rFonts w:ascii="Arial" w:cs="Arial" w:eastAsia="Arial" w:hAnsi="Arial"/>
          <w:sz w:val="14"/>
          <w:szCs w:val="14"/>
          <w:color w:val="auto"/>
        </w:rPr>
        <w:t>”), and by this Amendment and as the same may be further amended, supplemented, amended and restated or otherwise modified from time to time, the “</w:t>
      </w:r>
      <w:r>
        <w:rPr>
          <w:rFonts w:ascii="Arial" w:cs="Arial" w:eastAsia="Arial" w:hAnsi="Arial"/>
          <w:sz w:val="14"/>
          <w:szCs w:val="14"/>
          <w:u w:val="single" w:color="auto"/>
          <w:color w:val="auto"/>
        </w:rPr>
        <w:t>Credit Agreement</w:t>
      </w:r>
      <w:r>
        <w:rPr>
          <w:rFonts w:ascii="Arial" w:cs="Arial" w:eastAsia="Arial" w:hAnsi="Arial"/>
          <w:sz w:val="14"/>
          <w:szCs w:val="14"/>
          <w:color w:val="auto"/>
        </w:rPr>
        <w:t>”); and</w:t>
      </w:r>
    </w:p>
    <w:p>
      <w:pPr>
        <w:spacing w:after="0" w:line="119" w:lineRule="exact"/>
        <w:rPr>
          <w:sz w:val="20"/>
          <w:szCs w:val="20"/>
          <w:color w:val="auto"/>
        </w:rPr>
      </w:pPr>
    </w:p>
    <w:p>
      <w:pPr>
        <w:jc w:val="both"/>
        <w:ind w:firstLine="869"/>
        <w:spacing w:after="0" w:line="262" w:lineRule="auto"/>
        <w:rPr>
          <w:sz w:val="20"/>
          <w:szCs w:val="20"/>
          <w:color w:val="auto"/>
        </w:rPr>
      </w:pPr>
      <w:r>
        <w:rPr>
          <w:rFonts w:ascii="Arial" w:cs="Arial" w:eastAsia="Arial" w:hAnsi="Arial"/>
          <w:sz w:val="15"/>
          <w:szCs w:val="15"/>
          <w:color w:val="auto"/>
        </w:rPr>
        <w:t>WHEREAS, the Borrower has requested that the Lenders agree to amend the Existing Credit Agreement, and the Lenders party hereto are willing, on the terms and subject to the conditions hereinafter set forth, to agree to the amendment set forth below and the other terms hereof;</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NOW, THEREFORE, the parties hereto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247015</wp:posOffset>
            </wp:positionV>
            <wp:extent cx="721106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8" w:name="page79"/>
    <w:bookmarkEnd w:id="78"/>
    <w:p>
      <w:pPr>
        <w:jc w:val="center"/>
        <w:spacing w:after="0"/>
        <w:rPr>
          <w:sz w:val="20"/>
          <w:szCs w:val="20"/>
          <w:color w:val="auto"/>
        </w:rPr>
      </w:pPr>
      <w:r>
        <w:rPr>
          <w:rFonts w:ascii="Arial" w:cs="Arial" w:eastAsia="Arial" w:hAnsi="Arial"/>
          <w:sz w:val="15"/>
          <w:szCs w:val="15"/>
          <w:color w:val="auto"/>
        </w:rPr>
        <w:t>ARTICLE I</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DEFINITIONS</w:t>
      </w:r>
    </w:p>
    <w:p>
      <w:pPr>
        <w:spacing w:after="0" w:line="149" w:lineRule="exact"/>
        <w:rPr>
          <w:sz w:val="20"/>
          <w:szCs w:val="20"/>
          <w:color w:val="auto"/>
        </w:rPr>
      </w:pPr>
    </w:p>
    <w:p>
      <w:pPr>
        <w:jc w:val="both"/>
        <w:ind w:right="20" w:firstLine="869"/>
        <w:spacing w:after="0" w:line="262"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Certain Definitions</w:t>
      </w:r>
      <w:r>
        <w:rPr>
          <w:rFonts w:ascii="Arial" w:cs="Arial" w:eastAsia="Arial" w:hAnsi="Arial"/>
          <w:sz w:val="15"/>
          <w:szCs w:val="15"/>
          <w:color w:val="auto"/>
        </w:rPr>
        <w:t>. The following terms when used in this Amendment shall have the following meanings (such meanings to be equally applicable to the singular and plural forms thereof):</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Amendment</w:t>
      </w:r>
      <w:r>
        <w:rPr>
          <w:rFonts w:ascii="Arial" w:cs="Arial" w:eastAsia="Arial" w:hAnsi="Arial"/>
          <w:sz w:val="15"/>
          <w:szCs w:val="15"/>
          <w:color w:val="auto"/>
        </w:rPr>
        <w:t xml:space="preserve">” is defined in the </w:t>
      </w:r>
      <w:r>
        <w:rPr>
          <w:rFonts w:ascii="Arial" w:cs="Arial" w:eastAsia="Arial" w:hAnsi="Arial"/>
          <w:sz w:val="15"/>
          <w:szCs w:val="15"/>
          <w:u w:val="single" w:color="auto"/>
          <w:color w:val="auto"/>
        </w:rPr>
        <w:t>preamble</w:t>
      </w:r>
      <w:r>
        <w:rPr>
          <w:rFonts w:ascii="Arial" w:cs="Arial" w:eastAsia="Arial" w:hAnsi="Arial"/>
          <w:sz w:val="15"/>
          <w:szCs w:val="15"/>
          <w:color w:val="auto"/>
        </w:rPr>
        <w: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xml:space="preserve">” is defined in the </w:t>
      </w:r>
      <w:r>
        <w:rPr>
          <w:rFonts w:ascii="Arial" w:cs="Arial" w:eastAsia="Arial" w:hAnsi="Arial"/>
          <w:sz w:val="15"/>
          <w:szCs w:val="15"/>
          <w:u w:val="single" w:color="auto"/>
          <w:color w:val="auto"/>
        </w:rPr>
        <w:t>preamble</w:t>
      </w:r>
      <w:r>
        <w:rPr>
          <w:rFonts w:ascii="Arial" w:cs="Arial" w:eastAsia="Arial" w:hAnsi="Arial"/>
          <w:sz w:val="15"/>
          <w:szCs w:val="15"/>
          <w:color w:val="auto"/>
        </w:rPr>
        <w: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Agreement</w:t>
      </w:r>
      <w:r>
        <w:rPr>
          <w:rFonts w:ascii="Arial" w:cs="Arial" w:eastAsia="Arial" w:hAnsi="Arial"/>
          <w:sz w:val="15"/>
          <w:szCs w:val="15"/>
          <w:color w:val="auto"/>
        </w:rPr>
        <w:t xml:space="preserve">” is defined in the </w:t>
      </w:r>
      <w:r>
        <w:rPr>
          <w:rFonts w:ascii="Arial" w:cs="Arial" w:eastAsia="Arial" w:hAnsi="Arial"/>
          <w:sz w:val="15"/>
          <w:szCs w:val="15"/>
          <w:u w:val="single" w:color="auto"/>
          <w:color w:val="auto"/>
        </w:rPr>
        <w:t>first recital</w:t>
      </w:r>
      <w:r>
        <w:rPr>
          <w:rFonts w:ascii="Arial" w:cs="Arial" w:eastAsia="Arial" w:hAnsi="Arial"/>
          <w:sz w:val="15"/>
          <w:szCs w:val="15"/>
          <w:color w:val="auto"/>
        </w:rPr>
        <w: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xml:space="preserve">” is defined in the </w:t>
      </w:r>
      <w:r>
        <w:rPr>
          <w:rFonts w:ascii="Arial" w:cs="Arial" w:eastAsia="Arial" w:hAnsi="Arial"/>
          <w:sz w:val="15"/>
          <w:szCs w:val="15"/>
          <w:u w:val="single" w:color="auto"/>
          <w:color w:val="auto"/>
        </w:rPr>
        <w:t>first recital</w:t>
      </w:r>
      <w:r>
        <w:rPr>
          <w:rFonts w:ascii="Arial" w:cs="Arial" w:eastAsia="Arial" w:hAnsi="Arial"/>
          <w:sz w:val="15"/>
          <w:szCs w:val="15"/>
          <w:color w:val="auto"/>
        </w:rPr>
        <w: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Twelfth Amendment Effective Date</w:t>
      </w:r>
      <w:r>
        <w:rPr>
          <w:rFonts w:ascii="Arial" w:cs="Arial" w:eastAsia="Arial" w:hAnsi="Arial"/>
          <w:sz w:val="15"/>
          <w:szCs w:val="15"/>
          <w:color w:val="auto"/>
        </w:rPr>
        <w:t xml:space="preserve">” is defined in </w:t>
      </w:r>
      <w:r>
        <w:rPr>
          <w:rFonts w:ascii="Arial" w:cs="Arial" w:eastAsia="Arial" w:hAnsi="Arial"/>
          <w:sz w:val="15"/>
          <w:szCs w:val="15"/>
          <w:u w:val="single" w:color="auto"/>
          <w:color w:val="auto"/>
        </w:rPr>
        <w:t>Article IV</w:t>
      </w:r>
      <w:r>
        <w:rPr>
          <w:rFonts w:ascii="Arial" w:cs="Arial" w:eastAsia="Arial" w:hAnsi="Arial"/>
          <w:sz w:val="15"/>
          <w:szCs w:val="15"/>
          <w:color w:val="auto"/>
        </w:rPr>
        <w:t>.</w:t>
      </w:r>
    </w:p>
    <w:p>
      <w:pPr>
        <w:spacing w:after="0" w:line="149" w:lineRule="exact"/>
        <w:rPr>
          <w:sz w:val="20"/>
          <w:szCs w:val="20"/>
          <w:color w:val="auto"/>
        </w:rPr>
      </w:pPr>
    </w:p>
    <w:p>
      <w:pPr>
        <w:jc w:val="both"/>
        <w:ind w:firstLine="869"/>
        <w:spacing w:after="0" w:line="262"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Other Definitions</w:t>
      </w:r>
      <w:r>
        <w:rPr>
          <w:rFonts w:ascii="Arial" w:cs="Arial" w:eastAsia="Arial" w:hAnsi="Arial"/>
          <w:sz w:val="15"/>
          <w:szCs w:val="15"/>
          <w:color w:val="auto"/>
        </w:rPr>
        <w:t>. Capitalized terms for which meanings are provided in the Existing Credit Agreement are, unless otherwise defined herein or the context otherwise requires, used in this Amendment with such meanings.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II</w:t>
      </w:r>
    </w:p>
    <w:p>
      <w:pPr>
        <w:spacing w:after="0" w:line="149" w:lineRule="exact"/>
        <w:rPr>
          <w:sz w:val="20"/>
          <w:szCs w:val="20"/>
          <w:color w:val="auto"/>
        </w:rPr>
      </w:pPr>
    </w:p>
    <w:p>
      <w:pPr>
        <w:jc w:val="both"/>
        <w:ind w:right="20" w:firstLine="869"/>
        <w:spacing w:after="0" w:line="245"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Eurocurrency Rate Loans denominated in Dollars</w:t>
      </w:r>
      <w:r>
        <w:rPr>
          <w:rFonts w:ascii="Arial" w:cs="Arial" w:eastAsia="Arial" w:hAnsi="Arial"/>
          <w:sz w:val="15"/>
          <w:szCs w:val="15"/>
          <w:color w:val="auto"/>
        </w:rPr>
        <w:t>. Notwithstanding anything to the contrary in the Credit Agreement, all outstanding Loans denominated in Dollars that are Eurocurrency Rate Loans (as defined in the Existing Credit Agreement) as of the Twelfth Amendment Effective Date shall remain outstanding as Eurocurrency Rate Loans until the end of the Interest Period applicable thereto as of the Twelfth Amendment Effective Date and thereafter shall be converted to ABR Loans or RFR Loans in accordance with the terms of the Credit Agreement.</w:t>
      </w:r>
    </w:p>
    <w:p>
      <w:pPr>
        <w:spacing w:after="0" w:line="128" w:lineRule="exact"/>
        <w:rPr>
          <w:sz w:val="20"/>
          <w:szCs w:val="20"/>
          <w:color w:val="auto"/>
        </w:rPr>
      </w:pPr>
    </w:p>
    <w:p>
      <w:pPr>
        <w:ind w:left="5240"/>
        <w:spacing w:after="0"/>
        <w:rPr>
          <w:sz w:val="20"/>
          <w:szCs w:val="20"/>
          <w:color w:val="auto"/>
        </w:rPr>
      </w:pPr>
      <w:r>
        <w:rPr>
          <w:rFonts w:ascii="Arial" w:cs="Arial" w:eastAsia="Arial" w:hAnsi="Arial"/>
          <w:sz w:val="15"/>
          <w:szCs w:val="15"/>
          <w:color w:val="auto"/>
        </w:rPr>
        <w:t>ARTICLE III</w:t>
      </w:r>
    </w:p>
    <w:p>
      <w:pPr>
        <w:spacing w:after="0" w:line="149" w:lineRule="exact"/>
        <w:rPr>
          <w:sz w:val="20"/>
          <w:szCs w:val="20"/>
          <w:color w:val="auto"/>
        </w:rPr>
      </w:pPr>
    </w:p>
    <w:p>
      <w:pPr>
        <w:ind w:left="3880"/>
        <w:spacing w:after="0"/>
        <w:rPr>
          <w:sz w:val="20"/>
          <w:szCs w:val="20"/>
          <w:color w:val="auto"/>
        </w:rPr>
      </w:pPr>
      <w:r>
        <w:rPr>
          <w:rFonts w:ascii="Arial" w:cs="Arial" w:eastAsia="Arial" w:hAnsi="Arial"/>
          <w:sz w:val="15"/>
          <w:szCs w:val="15"/>
          <w:color w:val="auto"/>
        </w:rPr>
        <w:t>AMENDMENT TO EXISTING CREDIT AGREEMENT</w:t>
      </w:r>
    </w:p>
    <w:p>
      <w:pPr>
        <w:spacing w:after="0" w:line="14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Subject to the occurrence of the Twelfth Amendment Effective Date, the Existing Credit Agreement is amended in accordance with this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49" w:lineRule="exact"/>
        <w:rPr>
          <w:sz w:val="20"/>
          <w:szCs w:val="20"/>
          <w:color w:val="auto"/>
        </w:rPr>
      </w:pPr>
    </w:p>
    <w:p>
      <w:pPr>
        <w:jc w:val="both"/>
        <w:ind w:right="20" w:firstLine="869"/>
        <w:spacing w:after="0" w:line="262" w:lineRule="auto"/>
        <w:rPr>
          <w:sz w:val="20"/>
          <w:szCs w:val="20"/>
          <w:color w:val="auto"/>
        </w:rPr>
      </w:pPr>
      <w:r>
        <w:rPr>
          <w:rFonts w:ascii="Arial" w:cs="Arial" w:eastAsia="Arial" w:hAnsi="Arial"/>
          <w:sz w:val="15"/>
          <w:szCs w:val="15"/>
          <w:color w:val="auto"/>
        </w:rPr>
        <w:t xml:space="preserve">SECTION 3.1. </w:t>
      </w:r>
      <w:r>
        <w:rPr>
          <w:rFonts w:ascii="Arial" w:cs="Arial" w:eastAsia="Arial" w:hAnsi="Arial"/>
          <w:sz w:val="15"/>
          <w:szCs w:val="15"/>
          <w:u w:val="single" w:color="auto"/>
          <w:color w:val="auto"/>
        </w:rPr>
        <w:t>Amendments to Credit Agreement</w:t>
      </w:r>
      <w:r>
        <w:rPr>
          <w:rFonts w:ascii="Arial" w:cs="Arial" w:eastAsia="Arial" w:hAnsi="Arial"/>
          <w:sz w:val="15"/>
          <w:szCs w:val="15"/>
          <w:color w:val="auto"/>
        </w:rPr>
        <w:t xml:space="preserve">. The Existing Credit Agreement (excluding the Exhibits and Schedules thereto) is hereby amended in its entirety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Amendments to Schedule 1.01(b)</w:t>
      </w:r>
      <w:r>
        <w:rPr>
          <w:rFonts w:ascii="Arial" w:cs="Arial" w:eastAsia="Arial" w:hAnsi="Arial"/>
          <w:sz w:val="14"/>
          <w:szCs w:val="14"/>
          <w:color w:val="auto"/>
        </w:rPr>
        <w:t xml:space="preserve">. Schedule 1.01(b) to the Existing Credit Agreement is hereby amended in its entirety in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hereto.</w:t>
      </w:r>
    </w:p>
    <w:p>
      <w:pPr>
        <w:spacing w:after="0" w:line="137" w:lineRule="exact"/>
        <w:rPr>
          <w:sz w:val="20"/>
          <w:szCs w:val="20"/>
          <w:color w:val="auto"/>
        </w:rPr>
      </w:pPr>
    </w:p>
    <w:p>
      <w:pPr>
        <w:jc w:val="center"/>
        <w:ind w:left="520" w:right="640"/>
        <w:spacing w:after="0" w:line="472" w:lineRule="auto"/>
        <w:rPr>
          <w:sz w:val="20"/>
          <w:szCs w:val="20"/>
          <w:color w:val="auto"/>
        </w:rPr>
      </w:pPr>
      <w:r>
        <w:rPr>
          <w:rFonts w:ascii="Arial" w:cs="Arial" w:eastAsia="Arial" w:hAnsi="Arial"/>
          <w:sz w:val="15"/>
          <w:szCs w:val="15"/>
          <w:color w:val="auto"/>
        </w:rPr>
        <w:t xml:space="preserve">SECTION 3.3. </w:t>
      </w:r>
      <w:r>
        <w:rPr>
          <w:rFonts w:ascii="Arial" w:cs="Arial" w:eastAsia="Arial" w:hAnsi="Arial"/>
          <w:sz w:val="15"/>
          <w:szCs w:val="15"/>
          <w:u w:val="single" w:color="auto"/>
          <w:color w:val="auto"/>
        </w:rPr>
        <w:t>Amendments to Exhibit C</w:t>
      </w:r>
      <w:r>
        <w:rPr>
          <w:rFonts w:ascii="Arial" w:cs="Arial" w:eastAsia="Arial" w:hAnsi="Arial"/>
          <w:sz w:val="15"/>
          <w:szCs w:val="15"/>
          <w:color w:val="auto"/>
        </w:rPr>
        <w:t xml:space="preserve">. Exhibit C to the Existing Credit Agreement is hereby amended in its entirety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-73660</wp:posOffset>
            </wp:positionV>
            <wp:extent cx="721106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46" w:right="299" w:bottom="1440" w:gutter="0" w:footer="0" w:header="0"/>
        </w:sectPr>
      </w:pPr>
    </w:p>
    <w:bookmarkStart w:id="79" w:name="page80"/>
    <w:bookmarkEnd w:id="79"/>
    <w:p>
      <w:pPr>
        <w:jc w:val="center"/>
        <w:spacing w:after="0"/>
        <w:rPr>
          <w:sz w:val="20"/>
          <w:szCs w:val="20"/>
          <w:color w:val="auto"/>
        </w:rPr>
      </w:pPr>
      <w:r>
        <w:rPr>
          <w:rFonts w:ascii="Arial" w:cs="Arial" w:eastAsia="Arial" w:hAnsi="Arial"/>
          <w:sz w:val="15"/>
          <w:szCs w:val="15"/>
          <w:color w:val="auto"/>
        </w:rPr>
        <w:t>ARTICLE IV</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CONDITIONS TO EFFECTIVENESS</w:t>
      </w:r>
    </w:p>
    <w:p>
      <w:pPr>
        <w:spacing w:after="0" w:line="149" w:lineRule="exact"/>
        <w:rPr>
          <w:sz w:val="20"/>
          <w:szCs w:val="20"/>
          <w:color w:val="auto"/>
        </w:rPr>
      </w:pPr>
    </w:p>
    <w:p>
      <w:pPr>
        <w:jc w:val="both"/>
        <w:ind w:firstLine="869"/>
        <w:spacing w:after="0" w:line="260"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Effective Date</w:t>
      </w:r>
      <w:r>
        <w:rPr>
          <w:rFonts w:ascii="Arial" w:cs="Arial" w:eastAsia="Arial" w:hAnsi="Arial"/>
          <w:sz w:val="14"/>
          <w:szCs w:val="14"/>
          <w:color w:val="auto"/>
        </w:rPr>
        <w:t>. This Amendment shall become effective on the date (the “</w:t>
      </w:r>
      <w:r>
        <w:rPr>
          <w:rFonts w:ascii="Arial" w:cs="Arial" w:eastAsia="Arial" w:hAnsi="Arial"/>
          <w:sz w:val="14"/>
          <w:szCs w:val="14"/>
          <w:u w:val="single" w:color="auto"/>
          <w:color w:val="auto"/>
        </w:rPr>
        <w:t>Twelfth Amendment Effective Date</w:t>
      </w:r>
      <w:r>
        <w:rPr>
          <w:rFonts w:ascii="Arial" w:cs="Arial" w:eastAsia="Arial" w:hAnsi="Arial"/>
          <w:sz w:val="14"/>
          <w:szCs w:val="14"/>
          <w:color w:val="auto"/>
        </w:rPr>
        <w:t>”) when the Administrative Agent shall have received (a) counterparts of this Amendment duly executed and delivered on behalf of the Borrower and each of the Lenders party hereto, (b) a favorable written opinion (addressed to the Administrative Agent and the Lenders party hereto and dated as of the date hereof) of (i) Cleary Gottlieb Steen &amp; Hamilton LLP, New York counsel for the Borrower, and (ii) Young Conaway Stargatt &amp; Taylor, LLP, Delaware counsel for the Borrower, in each case, in form and substance reasonably acceptable to the Administrative Agent (and the Borrower hereby instructs such counsel to deliver such opinions to the Lenders party hereto and the Administrative Agent), (c) such documents and certificates as the Administrative Agent or its counsel may reasonably request relating to the organization, existence and good standing of the Borrower, the authorization of this Amendment and any other legal matters relating to the Borrower, this Amendment, all in form and substance satisfactory to the Administrative Agent and its counsel and (d) for the benefit of Administrative Agent and each of the Lenders party hereto, as applicable, fees and expenses owing by the Borrower in connection with this Amendment as of the date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V</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MISCELLANEOUS</w:t>
      </w:r>
    </w:p>
    <w:p>
      <w:pPr>
        <w:spacing w:after="0" w:line="149" w:lineRule="exact"/>
        <w:rPr>
          <w:sz w:val="20"/>
          <w:szCs w:val="20"/>
          <w:color w:val="auto"/>
        </w:rPr>
      </w:pPr>
    </w:p>
    <w:p>
      <w:pPr>
        <w:jc w:val="both"/>
        <w:ind w:firstLine="869"/>
        <w:spacing w:after="0" w:line="262"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Representations</w:t>
      </w:r>
      <w:r>
        <w:rPr>
          <w:rFonts w:ascii="Arial" w:cs="Arial" w:eastAsia="Arial" w:hAnsi="Arial"/>
          <w:sz w:val="14"/>
          <w:szCs w:val="14"/>
          <w:color w:val="auto"/>
        </w:rPr>
        <w:t>. The Borrower hereby represents and warrants that (i) this Amendment constitutes a legal, valid and binding obligation of it, enforceable against it in accordance with its terms, (ii) upon the effectiveness of this Amendment, no Default or Event of Default shall exist and (iii) its representations and warranties as set forth in the Loan Documents, as applicable, are true and correct in all material respects (except those representations and warranties qualified by materiality or by reference to a material adverse effect, which are true and correct in all respects) on and as of the date hereof as though made on and as of the date hereof (unless such representations and warranties specifically refer to a previous day, in which case, they shall be complete and correct in all material respects (or, with respect to such representations or warranties qualified by materiality or by reference to a material adverse effect, complete and correct in all respects) on and as of such previous day).</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Cross-References</w:t>
      </w:r>
      <w:r>
        <w:rPr>
          <w:rFonts w:ascii="Arial" w:cs="Arial" w:eastAsia="Arial" w:hAnsi="Arial"/>
          <w:sz w:val="14"/>
          <w:szCs w:val="14"/>
          <w:color w:val="auto"/>
        </w:rPr>
        <w:t>. References in this Amendment to any Article or Section are, unless otherwise specified, to such Article or Section of this Amendment.</w:t>
      </w:r>
    </w:p>
    <w:p>
      <w:pPr>
        <w:spacing w:after="0" w:line="160" w:lineRule="exact"/>
        <w:rPr>
          <w:sz w:val="20"/>
          <w:szCs w:val="20"/>
          <w:color w:val="auto"/>
        </w:rPr>
      </w:pPr>
    </w:p>
    <w:p>
      <w:pPr>
        <w:jc w:val="both"/>
        <w:ind w:right="20" w:firstLine="869"/>
        <w:spacing w:after="0" w:line="249"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Loan Document Pursuant to Existing Credit Agreement</w:t>
      </w:r>
      <w:r>
        <w:rPr>
          <w:rFonts w:ascii="Arial" w:cs="Arial" w:eastAsia="Arial" w:hAnsi="Arial"/>
          <w:sz w:val="15"/>
          <w:szCs w:val="15"/>
          <w:color w:val="auto"/>
        </w:rPr>
        <w:t>. This Amendment is a Loan Document executed pursuant to the Existing Credit Agreement and shall (unless otherwise expressly indicated therein) be construed, administered and applied in accordance with all of the terms and provisions of the Existing Credit Agreement, as amended hereby, including Article IX thereof.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21106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47" w:right="299" w:bottom="1440" w:gutter="0" w:footer="0" w:header="0"/>
        </w:sectPr>
      </w:pPr>
    </w:p>
    <w:bookmarkStart w:id="80" w:name="page81"/>
    <w:bookmarkEnd w:id="80"/>
    <w:p>
      <w:pPr>
        <w:jc w:val="both"/>
        <w:ind w:right="20" w:firstLine="869"/>
        <w:spacing w:after="0" w:line="262" w:lineRule="auto"/>
        <w:rPr>
          <w:sz w:val="20"/>
          <w:szCs w:val="20"/>
          <w:color w:val="auto"/>
        </w:rPr>
      </w:pPr>
      <w:r>
        <w:rPr>
          <w:rFonts w:ascii="Arial" w:cs="Arial" w:eastAsia="Arial" w:hAnsi="Arial"/>
          <w:sz w:val="15"/>
          <w:szCs w:val="15"/>
          <w:color w:val="auto"/>
        </w:rPr>
        <w:t xml:space="preserve">SECTION 5.4.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provisions of this Amendment shall be binding upon and inure to the benefit of the parties hereto and their respective successors and assigns.</w:t>
      </w:r>
    </w:p>
    <w:p>
      <w:pPr>
        <w:spacing w:after="0" w:line="115" w:lineRule="exact"/>
        <w:rPr>
          <w:sz w:val="20"/>
          <w:szCs w:val="20"/>
          <w:color w:val="auto"/>
        </w:rPr>
      </w:pPr>
    </w:p>
    <w:p>
      <w:pPr>
        <w:jc w:val="both"/>
        <w:ind w:right="20" w:firstLine="869"/>
        <w:spacing w:after="0" w:line="249"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Counterparts</w:t>
      </w:r>
      <w:r>
        <w:rPr>
          <w:rFonts w:ascii="Arial" w:cs="Arial" w:eastAsia="Arial" w:hAnsi="Arial"/>
          <w:sz w:val="15"/>
          <w:szCs w:val="15"/>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or electronically (e.g. pdf) shall be effective as delivery of a manually executed counterpart of this Amendment.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SECTION 5.6.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Amendment shall be governed by and construed in accordance with the laws of the State of New York.</w:t>
      </w:r>
    </w:p>
    <w:p>
      <w:pPr>
        <w:spacing w:after="0" w:line="149" w:lineRule="exact"/>
        <w:rPr>
          <w:sz w:val="20"/>
          <w:szCs w:val="20"/>
          <w:color w:val="auto"/>
        </w:rPr>
      </w:pPr>
    </w:p>
    <w:p>
      <w:pPr>
        <w:jc w:val="both"/>
        <w:ind w:firstLine="869"/>
        <w:spacing w:after="0" w:line="259" w:lineRule="auto"/>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Full Force and Effect; Limited Amendment</w:t>
      </w:r>
      <w:r>
        <w:rPr>
          <w:rFonts w:ascii="Arial" w:cs="Arial" w:eastAsia="Arial" w:hAnsi="Arial"/>
          <w:sz w:val="14"/>
          <w:szCs w:val="14"/>
          <w:color w:val="auto"/>
        </w:rPr>
        <w:t>. Except as expressly amended hereby, all of the representations, warranties, terms, covenants, conditions and other provisions of the Existing Credit Agreement and the other Loan Documents shall remain unchanged and shall continue to be, and shall remain, in full force and effect in accordance with their respective terms. This Amendment does not constitute a novation or termination of the Credit Agreement Obligations (as defined in the Guarantee and Security Agreement) under the Credit Agreement as in effect immediately prior to the effectiveness of this Amendment and which remain outstanding. The amendment set forth herein shall be limited precisely as provided for herein to the provisions expressly amended herein and shall not be deemed to be an amendment to, waiver of, consent to or modification of any other terms or provisions of the Existing Credit Agreement or any other Loan Document or of any transaction or further or future action on the part of the Borrower. Upon and after the execution of this Amendment by each of the parties hereto, each reference in the Credit Agreement to “this Agreement”, “hereunder”, “hereof” or words of like import referring to the Credit Agreement, and each reference in the other Loan Documents to “the Credit Agreement”, “thereunder”, “thereof” or words of like import referring to the Credit Agreement, shall mean and be a reference to the Credit Agreement as modified hereby.</w:t>
      </w:r>
    </w:p>
    <w:p>
      <w:pPr>
        <w:spacing w:after="0" w:line="119" w:lineRule="exact"/>
        <w:rPr>
          <w:sz w:val="20"/>
          <w:szCs w:val="20"/>
          <w:color w:val="auto"/>
        </w:rPr>
      </w:pPr>
    </w:p>
    <w:p>
      <w:pPr>
        <w:jc w:val="both"/>
        <w:ind w:right="20" w:firstLine="869"/>
        <w:spacing w:after="0" w:line="249" w:lineRule="auto"/>
        <w:rPr>
          <w:sz w:val="20"/>
          <w:szCs w:val="20"/>
          <w:color w:val="auto"/>
        </w:rPr>
      </w:pPr>
      <w:r>
        <w:rPr>
          <w:rFonts w:ascii="Arial" w:cs="Arial" w:eastAsia="Arial" w:hAnsi="Arial"/>
          <w:sz w:val="15"/>
          <w:szCs w:val="15"/>
          <w:color w:val="auto"/>
        </w:rPr>
        <w:t xml:space="preserve">SECTION 5.8. </w:t>
      </w:r>
      <w:r>
        <w:rPr>
          <w:rFonts w:ascii="Arial" w:cs="Arial" w:eastAsia="Arial" w:hAnsi="Arial"/>
          <w:sz w:val="15"/>
          <w:szCs w:val="15"/>
          <w:u w:val="single" w:color="auto"/>
          <w:color w:val="auto"/>
        </w:rPr>
        <w:t>Reaffirmation</w:t>
      </w:r>
      <w:r>
        <w:rPr>
          <w:rFonts w:ascii="Arial" w:cs="Arial" w:eastAsia="Arial" w:hAnsi="Arial"/>
          <w:sz w:val="15"/>
          <w:szCs w:val="15"/>
          <w:color w:val="auto"/>
        </w:rPr>
        <w:t>. Each of Sixth Street SL Holding, LLC, TC Lending, LLC and Sixth Street SL SPV, LLC hereby consents to the terms of this Amendment, confirms that its Guarantee under the Guarantee and Security Agreement remains unaltered and in full force and effect and hereby reaffirms, ratifies and confirms the terms and conditions of the Guarantee and Security Agreement.</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SECTION 5.9. </w:t>
      </w:r>
      <w:r>
        <w:rPr>
          <w:rFonts w:ascii="Arial" w:cs="Arial" w:eastAsia="Arial" w:hAnsi="Arial"/>
          <w:sz w:val="15"/>
          <w:szCs w:val="15"/>
          <w:u w:val="single" w:color="auto"/>
          <w:color w:val="auto"/>
        </w:rPr>
        <w:t>Assignment and Reallocation of Existing Commitments and Existing Loans</w:t>
      </w:r>
      <w:r>
        <w:rPr>
          <w:rFonts w:ascii="Arial" w:cs="Arial" w:eastAsia="Arial" w:hAnsi="Arial"/>
          <w:sz w:val="15"/>
          <w:szCs w:val="15"/>
          <w:color w:val="auto"/>
        </w:rPr>
        <w:t>.</w:t>
      </w:r>
    </w:p>
    <w:p>
      <w:pPr>
        <w:spacing w:after="0" w:line="149" w:lineRule="exact"/>
        <w:rPr>
          <w:sz w:val="20"/>
          <w:szCs w:val="20"/>
          <w:color w:val="auto"/>
        </w:rPr>
      </w:pPr>
    </w:p>
    <w:p>
      <w:pPr>
        <w:jc w:val="both"/>
        <w:ind w:firstLine="1733"/>
        <w:spacing w:after="0" w:line="243" w:lineRule="auto"/>
        <w:tabs>
          <w:tab w:leader="none" w:pos="2359" w:val="left"/>
        </w:tabs>
        <w:numPr>
          <w:ilvl w:val="0"/>
          <w:numId w:val="55"/>
        </w:numPr>
        <w:rPr>
          <w:rFonts w:ascii="Arial" w:cs="Arial" w:eastAsia="Arial" w:hAnsi="Arial"/>
          <w:sz w:val="15"/>
          <w:szCs w:val="15"/>
          <w:color w:val="auto"/>
        </w:rPr>
      </w:pPr>
      <w:r>
        <w:rPr>
          <w:rFonts w:ascii="Arial" w:cs="Arial" w:eastAsia="Arial" w:hAnsi="Arial"/>
          <w:sz w:val="15"/>
          <w:szCs w:val="15"/>
          <w:color w:val="auto"/>
        </w:rPr>
        <w:t>On the Twelfth Amendment Effective Date, the Borrower shall (A) prepay the outstanding Loans and (B) simultaneously borrow new Loans in an amount equal to such prepayment (in the case of Eurocurrency Loans with the applicable Eurocurrency Rates equal to the then outstanding Eurocurrency Rates and with Interest Period(s) ending on the date(s) of any then outstanding Interest Period(s) (as such terms are defined in the Existing Credit Agreement)); provided that with respect to subclauses (A) and (B), (x) the prepayment to, and borrowing from, any Lender shall be effected by book entry to the extent that any portion of the amount prepaid to such Lender will be subsequently borrowed from such Lender, (y) the Lenders shall make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21106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46" w:right="299" w:bottom="1440" w:gutter="0" w:footer="0" w:header="0"/>
        </w:sectPr>
      </w:pPr>
    </w:p>
    <w:bookmarkStart w:id="81" w:name="page82"/>
    <w:bookmarkEnd w:id="81"/>
    <w:p>
      <w:pPr>
        <w:jc w:val="both"/>
        <w:spacing w:after="0" w:line="241" w:lineRule="auto"/>
        <w:rPr>
          <w:sz w:val="20"/>
          <w:szCs w:val="20"/>
          <w:color w:val="auto"/>
        </w:rPr>
      </w:pPr>
      <w:r>
        <w:rPr>
          <w:rFonts w:ascii="Arial" w:cs="Arial" w:eastAsia="Arial" w:hAnsi="Arial"/>
          <w:sz w:val="15"/>
          <w:szCs w:val="15"/>
          <w:color w:val="auto"/>
        </w:rPr>
        <w:t>receive payments among themselves, in a manner acceptable to the Administrative Agent, so that, after giving effect thereto, the Loans of each Class are held ratably by the Lenders of such Class in accordance with each Lender’s Applicable Percentage of Commitments and portion of Loans, which, for the purposes of the Credit Agreement and each other Loan Document, will be as set forth opposite such Person’s name on Schedule 1.01(b) to the Credit Agreement and (z) each Lender party hereto hereby agrees that no amounts shall be required to be paid to such Lender under Section 2.15 in connection with the reallocation described in this Section 5.9(a). Concurrently therewith, the Lenders of each Class shall be deemed to have adjusted their participation interests in any outstanding Letters of Credit of such Class so that such interests are held ratably in accordance with their Applicable Percentage of Commitments of such Class.</w:t>
      </w:r>
    </w:p>
    <w:p>
      <w:pPr>
        <w:spacing w:after="0" w:line="133" w:lineRule="exact"/>
        <w:rPr>
          <w:sz w:val="20"/>
          <w:szCs w:val="20"/>
          <w:color w:val="auto"/>
        </w:rPr>
      </w:pPr>
    </w:p>
    <w:p>
      <w:pPr>
        <w:jc w:val="both"/>
        <w:ind w:firstLine="1733"/>
        <w:spacing w:after="0" w:line="241" w:lineRule="auto"/>
        <w:tabs>
          <w:tab w:leader="none" w:pos="2367" w:val="left"/>
        </w:tabs>
        <w:numPr>
          <w:ilvl w:val="0"/>
          <w:numId w:val="56"/>
        </w:numPr>
        <w:rPr>
          <w:rFonts w:ascii="Arial" w:cs="Arial" w:eastAsia="Arial" w:hAnsi="Arial"/>
          <w:sz w:val="15"/>
          <w:szCs w:val="15"/>
          <w:color w:val="auto"/>
        </w:rPr>
      </w:pPr>
      <w:r>
        <w:rPr>
          <w:rFonts w:ascii="Arial" w:cs="Arial" w:eastAsia="Arial" w:hAnsi="Arial"/>
          <w:sz w:val="15"/>
          <w:szCs w:val="15"/>
          <w:color w:val="auto"/>
        </w:rPr>
        <w:t>Each of the Lenders hereby acknowledges and agrees that (i) no Lender nor the Administrative Agent has made any representations or warranties or assumed any responsibility with respect to (A) any statements, warranties or representations made by any Obligor in or in connection with this Amendment, the Credit Agreement or any other Loan Document or, with respect to any Obligor, the execution, legality, validity, enforceability, genuineness or sufficiency of this Amendment, the Credit Agreement or any other Loan Document or (B) the financial condition of any Obligor or the performance by any Obligor of its obligations hereunder or under the Credit Agreement or any other Loan Document; (ii) it has received such information as it has deemed appropriate to make its own credit analysis and decision to enter into this Amendment; and (iii) it has made and continues to make its own credit decisions in taking or not taking action under the Loan Documents, independently and without reliance upon the Administrative Agent or any other Lender.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[REMAINDER OF PAGE INTENTIONALLY LEFT BLANK]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43180</wp:posOffset>
            </wp:positionV>
            <wp:extent cx="721106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446" w:right="299" w:bottom="1440" w:gutter="0" w:footer="0" w:header="0"/>
        </w:sectPr>
      </w:pPr>
    </w:p>
    <w:bookmarkStart w:id="82" w:name="page83"/>
    <w:bookmarkEnd w:id="82"/>
    <w:p>
      <w:pPr>
        <w:jc w:val="right"/>
        <w:ind w:right="879"/>
        <w:spacing w:after="0"/>
        <w:rPr>
          <w:sz w:val="20"/>
          <w:szCs w:val="20"/>
          <w:color w:val="auto"/>
        </w:rPr>
      </w:pPr>
      <w:r>
        <w:rPr>
          <w:rFonts w:ascii="Arial" w:cs="Arial" w:eastAsia="Arial" w:hAnsi="Arial"/>
          <w:sz w:val="15"/>
          <w:szCs w:val="15"/>
          <w:color w:val="auto"/>
        </w:rPr>
        <w:t>IN WITNESS WHEREOF, the parties hereto have executed and delivered this Amendment as of the date first above written.</w:t>
      </w:r>
    </w:p>
    <w:p>
      <w:pPr>
        <w:spacing w:after="0" w:line="200" w:lineRule="exact"/>
        <w:rPr>
          <w:sz w:val="20"/>
          <w:szCs w:val="20"/>
          <w:color w:val="auto"/>
        </w:rPr>
      </w:pPr>
    </w:p>
    <w:p>
      <w:pPr>
        <w:spacing w:after="0" w:line="247" w:lineRule="exact"/>
        <w:rPr>
          <w:sz w:val="20"/>
          <w:szCs w:val="20"/>
          <w:color w:val="auto"/>
        </w:rPr>
      </w:pPr>
    </w:p>
    <w:p>
      <w:pPr>
        <w:spacing w:after="0"/>
        <w:tabs>
          <w:tab w:leader="none" w:pos="5180" w:val="left"/>
        </w:tabs>
        <w:rPr>
          <w:sz w:val="20"/>
          <w:szCs w:val="20"/>
          <w:color w:val="auto"/>
        </w:rPr>
      </w:pPr>
      <w:r>
        <w:rPr>
          <w:rFonts w:ascii="Arial" w:cs="Arial" w:eastAsia="Arial" w:hAnsi="Arial"/>
          <w:sz w:val="15"/>
          <w:szCs w:val="15"/>
          <w:u w:val="single" w:color="auto"/>
          <w:color w:val="auto"/>
        </w:rPr>
        <w:t>BORROWER</w:t>
      </w:r>
      <w:r>
        <w:rPr>
          <w:rFonts w:ascii="Arial" w:cs="Arial" w:eastAsia="Arial" w:hAnsi="Arial"/>
          <w:sz w:val="15"/>
          <w:szCs w:val="15"/>
          <w:color w:val="auto"/>
        </w:rPr>
        <w:t>:</w:t>
      </w:r>
      <w:r>
        <w:rPr>
          <w:sz w:val="20"/>
          <w:szCs w:val="20"/>
          <w:color w:val="auto"/>
        </w:rPr>
        <w:tab/>
      </w:r>
      <w:r>
        <w:rPr>
          <w:rFonts w:ascii="Arial" w:cs="Arial" w:eastAsia="Arial" w:hAnsi="Arial"/>
          <w:sz w:val="15"/>
          <w:szCs w:val="15"/>
          <w:b w:val="1"/>
          <w:bCs w:val="1"/>
          <w:color w:val="auto"/>
        </w:rPr>
        <w:t>SIXTH STREET SPECIALTY LENDING, INC.</w:t>
      </w:r>
    </w:p>
    <w:p>
      <w:pPr>
        <w:spacing w:after="0" w:line="153"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Ian Simmonds</w:t>
      </w:r>
    </w:p>
    <w:p>
      <w:pPr>
        <w:spacing w:after="0" w:line="7"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Name: Ian Simmonds</w:t>
      </w:r>
    </w:p>
    <w:p>
      <w:pPr>
        <w:ind w:left="5200"/>
        <w:spacing w:after="0"/>
        <w:rPr>
          <w:sz w:val="20"/>
          <w:szCs w:val="20"/>
          <w:color w:val="auto"/>
        </w:rPr>
      </w:pPr>
      <w:r>
        <w:rPr>
          <w:rFonts w:ascii="Arial" w:cs="Arial" w:eastAsia="Arial" w:hAnsi="Arial"/>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32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21106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159"/>
          </w:cols>
          <w:pgMar w:left="300" w:top="295"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2"/>
        </w:trPr>
        <w:tc>
          <w:tcPr>
            <w:tcW w:w="2960" w:type="dxa"/>
            <w:vAlign w:val="bottom"/>
            <w:gridSpan w:val="2"/>
          </w:tcPr>
          <w:p>
            <w:pPr>
              <w:spacing w:after="0"/>
              <w:rPr>
                <w:sz w:val="20"/>
                <w:szCs w:val="20"/>
                <w:color w:val="auto"/>
              </w:rPr>
            </w:pPr>
            <w:r>
              <w:rPr>
                <w:rFonts w:ascii="Arial" w:cs="Arial" w:eastAsia="Arial" w:hAnsi="Arial"/>
                <w:sz w:val="15"/>
                <w:szCs w:val="15"/>
                <w:color w:val="auto"/>
              </w:rPr>
              <w:t>LENDERS:</w:t>
            </w:r>
          </w:p>
        </w:tc>
        <w:tc>
          <w:tcPr>
            <w:tcW w:w="6740" w:type="dxa"/>
            <w:vAlign w:val="bottom"/>
            <w:gridSpan w:val="3"/>
          </w:tcPr>
          <w:p>
            <w:pPr>
              <w:ind w:left="2240"/>
              <w:spacing w:after="0"/>
              <w:rPr>
                <w:sz w:val="20"/>
                <w:szCs w:val="20"/>
                <w:color w:val="auto"/>
              </w:rPr>
            </w:pPr>
            <w:r>
              <w:rPr>
                <w:rFonts w:ascii="Arial" w:cs="Arial" w:eastAsia="Arial" w:hAnsi="Arial"/>
                <w:sz w:val="15"/>
                <w:szCs w:val="15"/>
                <w:b w:val="1"/>
                <w:bCs w:val="1"/>
                <w:color w:val="auto"/>
              </w:rPr>
              <w:t>TRUIST BANK</w:t>
            </w:r>
            <w:r>
              <w:rPr>
                <w:rFonts w:ascii="Arial" w:cs="Arial" w:eastAsia="Arial" w:hAnsi="Arial"/>
                <w:sz w:val="15"/>
                <w:szCs w:val="15"/>
                <w:color w:val="auto"/>
              </w:rPr>
              <w:t>,</w:t>
            </w:r>
          </w:p>
        </w:tc>
      </w:tr>
      <w:tr>
        <w:trPr>
          <w:trHeight w:val="185"/>
        </w:trPr>
        <w:tc>
          <w:tcPr>
            <w:tcW w:w="680" w:type="dxa"/>
            <w:vAlign w:val="bottom"/>
            <w:tcBorders>
              <w:top w:val="single" w:sz="8" w:color="auto"/>
            </w:tcBorders>
          </w:tcPr>
          <w:p>
            <w:pPr>
              <w:spacing w:after="0"/>
              <w:rPr>
                <w:sz w:val="16"/>
                <w:szCs w:val="16"/>
                <w:color w:val="auto"/>
              </w:rPr>
            </w:pPr>
          </w:p>
        </w:tc>
        <w:tc>
          <w:tcPr>
            <w:tcW w:w="2280" w:type="dxa"/>
            <w:vAlign w:val="bottom"/>
          </w:tcPr>
          <w:p>
            <w:pPr>
              <w:spacing w:after="0"/>
              <w:rPr>
                <w:sz w:val="16"/>
                <w:szCs w:val="16"/>
                <w:color w:val="auto"/>
              </w:rPr>
            </w:pPr>
          </w:p>
        </w:tc>
        <w:tc>
          <w:tcPr>
            <w:tcW w:w="6740" w:type="dxa"/>
            <w:vAlign w:val="bottom"/>
            <w:gridSpan w:val="3"/>
          </w:tcPr>
          <w:p>
            <w:pPr>
              <w:ind w:left="2240"/>
              <w:spacing w:after="0"/>
              <w:rPr>
                <w:sz w:val="20"/>
                <w:szCs w:val="20"/>
                <w:color w:val="auto"/>
              </w:rPr>
            </w:pPr>
            <w:r>
              <w:rPr>
                <w:rFonts w:ascii="Arial" w:cs="Arial" w:eastAsia="Arial" w:hAnsi="Arial"/>
                <w:sz w:val="15"/>
                <w:szCs w:val="15"/>
                <w:color w:val="auto"/>
                <w:w w:val="91"/>
              </w:rPr>
              <w:t>as Administrative Agent, Swingline Lender, Issuing Bank and as a Lender</w:t>
            </w:r>
          </w:p>
        </w:tc>
      </w:tr>
      <w:tr>
        <w:trPr>
          <w:trHeight w:val="287"/>
        </w:trPr>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740" w:type="dxa"/>
            <w:vAlign w:val="bottom"/>
            <w:gridSpan w:val="3"/>
          </w:tcPr>
          <w:p>
            <w:pPr>
              <w:ind w:left="2240"/>
              <w:spacing w:after="0"/>
              <w:rPr>
                <w:sz w:val="20"/>
                <w:szCs w:val="20"/>
                <w:color w:val="auto"/>
              </w:rPr>
            </w:pPr>
            <w:r>
              <w:rPr>
                <w:rFonts w:ascii="Arial" w:cs="Arial" w:eastAsia="Arial" w:hAnsi="Arial"/>
                <w:sz w:val="15"/>
                <w:szCs w:val="15"/>
                <w:color w:val="auto"/>
              </w:rPr>
              <w:t>By: /s/ Hays Wood</w:t>
            </w:r>
          </w:p>
        </w:tc>
      </w:tr>
      <w:tr>
        <w:trPr>
          <w:trHeight w:val="20"/>
        </w:trPr>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64"/>
        </w:trPr>
        <w:tc>
          <w:tcPr>
            <w:tcW w:w="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740" w:type="dxa"/>
            <w:vAlign w:val="bottom"/>
            <w:gridSpan w:val="3"/>
          </w:tcPr>
          <w:p>
            <w:pPr>
              <w:ind w:left="2240"/>
              <w:spacing w:after="0" w:line="164" w:lineRule="exact"/>
              <w:rPr>
                <w:sz w:val="20"/>
                <w:szCs w:val="20"/>
                <w:color w:val="auto"/>
              </w:rPr>
            </w:pPr>
            <w:r>
              <w:rPr>
                <w:rFonts w:ascii="Arial" w:cs="Arial" w:eastAsia="Arial" w:hAnsi="Arial"/>
                <w:sz w:val="15"/>
                <w:szCs w:val="15"/>
                <w:color w:val="auto"/>
              </w:rPr>
              <w:t>Name: Hays Wood</w:t>
            </w:r>
          </w:p>
        </w:tc>
      </w:tr>
      <w:tr>
        <w:trPr>
          <w:trHeight w:val="191"/>
        </w:trPr>
        <w:tc>
          <w:tcPr>
            <w:tcW w:w="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740" w:type="dxa"/>
            <w:vAlign w:val="bottom"/>
            <w:gridSpan w:val="3"/>
          </w:tcPr>
          <w:p>
            <w:pPr>
              <w:ind w:left="2240"/>
              <w:spacing w:after="0"/>
              <w:rPr>
                <w:sz w:val="20"/>
                <w:szCs w:val="20"/>
                <w:color w:val="auto"/>
              </w:rPr>
            </w:pPr>
            <w:r>
              <w:rPr>
                <w:rFonts w:ascii="Arial" w:cs="Arial" w:eastAsia="Arial" w:hAnsi="Arial"/>
                <w:sz w:val="15"/>
                <w:szCs w:val="15"/>
                <w:color w:val="auto"/>
              </w:rPr>
              <w:t>Title: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2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721106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159"/>
          </w:cols>
          <w:pgMar w:left="300" w:top="581" w:right="1440" w:bottom="1440" w:gutter="0" w:footer="0" w:header="0"/>
        </w:sectPr>
      </w:pPr>
    </w:p>
    <w:bookmarkStart w:id="84" w:name="page85"/>
    <w:bookmarkEnd w:id="84"/>
    <w:p>
      <w:pPr>
        <w:ind w:left="4060"/>
        <w:spacing w:after="0"/>
        <w:rPr>
          <w:sz w:val="20"/>
          <w:szCs w:val="20"/>
          <w:color w:val="auto"/>
        </w:rPr>
      </w:pPr>
      <w:r>
        <w:rPr>
          <w:rFonts w:ascii="Arial" w:cs="Arial" w:eastAsia="Arial" w:hAnsi="Arial"/>
          <w:sz w:val="14"/>
          <w:szCs w:val="14"/>
          <w:color w:val="auto"/>
        </w:rPr>
        <w:t>JPMORGAN CHASE BANK, N.A.,</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as Issuing Bank and as a Lender</w:t>
      </w:r>
    </w:p>
    <w:p>
      <w:pPr>
        <w:spacing w:after="0" w:line="137"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Matthew D. Griffith</w:t>
      </w:r>
    </w:p>
    <w:p>
      <w:pPr>
        <w:spacing w:after="0" w:line="7" w:lineRule="exact"/>
        <w:rPr>
          <w:sz w:val="20"/>
          <w:szCs w:val="20"/>
          <w:color w:val="auto"/>
        </w:rPr>
      </w:pPr>
    </w:p>
    <w:p>
      <w:pPr>
        <w:ind w:left="4060"/>
        <w:spacing w:after="0"/>
        <w:rPr>
          <w:sz w:val="20"/>
          <w:szCs w:val="20"/>
          <w:color w:val="auto"/>
        </w:rPr>
      </w:pPr>
      <w:r>
        <w:rPr>
          <w:rFonts w:ascii="Arial" w:cs="Arial" w:eastAsia="Arial" w:hAnsi="Arial"/>
          <w:sz w:val="15"/>
          <w:szCs w:val="15"/>
          <w:color w:val="auto"/>
        </w:rPr>
        <w:t>Name: Matthew D. Griffith</w:t>
      </w:r>
    </w:p>
    <w:p>
      <w:pPr>
        <w:ind w:left="4060"/>
        <w:spacing w:after="0"/>
        <w:rPr>
          <w:sz w:val="20"/>
          <w:szCs w:val="20"/>
          <w:color w:val="auto"/>
        </w:rPr>
      </w:pPr>
      <w:r>
        <w:rPr>
          <w:rFonts w:ascii="Arial" w:cs="Arial" w:eastAsia="Arial" w:hAnsi="Arial"/>
          <w:sz w:val="15"/>
          <w:szCs w:val="15"/>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85" w:name="page86"/>
    <w:bookmarkEnd w:id="85"/>
    <w:p>
      <w:pPr>
        <w:jc w:val="right"/>
        <w:ind w:right="3079"/>
        <w:spacing w:after="0"/>
        <w:rPr>
          <w:sz w:val="20"/>
          <w:szCs w:val="20"/>
          <w:color w:val="auto"/>
        </w:rPr>
      </w:pPr>
      <w:r>
        <w:rPr>
          <w:rFonts w:ascii="Arial" w:cs="Arial" w:eastAsia="Arial" w:hAnsi="Arial"/>
          <w:sz w:val="15"/>
          <w:szCs w:val="15"/>
          <w:color w:val="auto"/>
        </w:rPr>
        <w:t>MUFG UNION BANK, N.A.,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Rajiv Ranjan</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Rajiv Ranjan</w:t>
      </w:r>
    </w:p>
    <w:p>
      <w:pPr>
        <w:ind w:left="3380"/>
        <w:spacing w:after="0"/>
        <w:rPr>
          <w:sz w:val="20"/>
          <w:szCs w:val="20"/>
          <w:color w:val="auto"/>
        </w:rPr>
      </w:pPr>
      <w:r>
        <w:rPr>
          <w:rFonts w:ascii="Arial" w:cs="Arial" w:eastAsia="Arial" w:hAnsi="Arial"/>
          <w:sz w:val="15"/>
          <w:szCs w:val="15"/>
          <w:color w:val="auto"/>
        </w:rPr>
        <w:t>Title: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86" w:name="page87"/>
    <w:bookmarkEnd w:id="86"/>
    <w:p>
      <w:pPr>
        <w:ind w:left="3380"/>
        <w:spacing w:after="0"/>
        <w:rPr>
          <w:sz w:val="20"/>
          <w:szCs w:val="20"/>
          <w:color w:val="auto"/>
        </w:rPr>
      </w:pPr>
      <w:r>
        <w:rPr>
          <w:rFonts w:ascii="Arial" w:cs="Arial" w:eastAsia="Arial" w:hAnsi="Arial"/>
          <w:sz w:val="14"/>
          <w:szCs w:val="14"/>
          <w:color w:val="auto"/>
        </w:rPr>
        <w:t>STATE STREET BANK AND TRUST</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COMPANY, as a Lender</w:t>
      </w:r>
    </w:p>
    <w:p>
      <w:pPr>
        <w:ind w:left="3380"/>
        <w:spacing w:after="0" w:line="236" w:lineRule="auto"/>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Timothy Cronin</w:t>
      </w:r>
    </w:p>
    <w:p>
      <w:pPr>
        <w:ind w:left="3380"/>
        <w:spacing w:after="0" w:line="237" w:lineRule="auto"/>
        <w:rPr>
          <w:sz w:val="20"/>
          <w:szCs w:val="20"/>
          <w:color w:val="auto"/>
        </w:rPr>
      </w:pPr>
      <w:r>
        <w:rPr>
          <w:rFonts w:ascii="Arial" w:cs="Arial" w:eastAsia="Arial" w:hAnsi="Arial"/>
          <w:sz w:val="15"/>
          <w:szCs w:val="15"/>
          <w:color w:val="auto"/>
        </w:rPr>
        <w:t>Name: Timothy Cronin</w:t>
      </w:r>
    </w:p>
    <w:p>
      <w:pPr>
        <w:ind w:left="3380"/>
        <w:spacing w:after="0"/>
        <w:rPr>
          <w:sz w:val="20"/>
          <w:szCs w:val="20"/>
          <w:color w:val="auto"/>
        </w:rPr>
      </w:pPr>
      <w:r>
        <w:rPr>
          <w:rFonts w:ascii="Arial" w:cs="Arial" w:eastAsia="Arial" w:hAnsi="Arial"/>
          <w:sz w:val="15"/>
          <w:szCs w:val="15"/>
          <w:color w:val="auto"/>
        </w:rPr>
        <w:t>Title: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87" w:name="page88"/>
    <w:bookmarkEnd w:id="87"/>
    <w:p>
      <w:pPr>
        <w:ind w:left="3380"/>
        <w:spacing w:after="0"/>
        <w:rPr>
          <w:sz w:val="20"/>
          <w:szCs w:val="20"/>
          <w:color w:val="auto"/>
        </w:rPr>
      </w:pPr>
      <w:r>
        <w:rPr>
          <w:rFonts w:ascii="Arial" w:cs="Arial" w:eastAsia="Arial" w:hAnsi="Arial"/>
          <w:sz w:val="14"/>
          <w:szCs w:val="14"/>
          <w:color w:val="auto"/>
        </w:rPr>
        <w:t>SANTANDER BANK, N.A., as a Lender</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Jennifer Baydian</w:t>
      </w:r>
    </w:p>
    <w:p>
      <w:pPr>
        <w:ind w:left="3380"/>
        <w:spacing w:after="0" w:line="236" w:lineRule="auto"/>
        <w:rPr>
          <w:sz w:val="20"/>
          <w:szCs w:val="20"/>
          <w:color w:val="auto"/>
        </w:rPr>
      </w:pPr>
      <w:r>
        <w:rPr>
          <w:rFonts w:ascii="Arial" w:cs="Arial" w:eastAsia="Arial" w:hAnsi="Arial"/>
          <w:sz w:val="15"/>
          <w:szCs w:val="15"/>
          <w:color w:val="auto"/>
        </w:rPr>
        <w:t>Name: Jennifer Baydian</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Title: Senior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88" w:name="page89"/>
    <w:bookmarkEnd w:id="88"/>
    <w:p>
      <w:pPr>
        <w:ind w:left="3380"/>
        <w:spacing w:after="0"/>
        <w:rPr>
          <w:sz w:val="20"/>
          <w:szCs w:val="20"/>
          <w:color w:val="auto"/>
        </w:rPr>
      </w:pPr>
      <w:r>
        <w:rPr>
          <w:rFonts w:ascii="Arial" w:cs="Arial" w:eastAsia="Arial" w:hAnsi="Arial"/>
          <w:sz w:val="15"/>
          <w:szCs w:val="15"/>
          <w:color w:val="auto"/>
        </w:rPr>
        <w:t>SUMITOMO MITSUI BANKING</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CORPORATION, as a Lender</w:t>
      </w:r>
    </w:p>
    <w:p>
      <w:pPr>
        <w:ind w:left="3380"/>
        <w:spacing w:after="0" w:line="236" w:lineRule="auto"/>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Shane Klein</w:t>
      </w:r>
    </w:p>
    <w:p>
      <w:pPr>
        <w:ind w:left="3380"/>
        <w:spacing w:after="0" w:line="237" w:lineRule="auto"/>
        <w:rPr>
          <w:sz w:val="20"/>
          <w:szCs w:val="20"/>
          <w:color w:val="auto"/>
        </w:rPr>
      </w:pPr>
      <w:r>
        <w:rPr>
          <w:rFonts w:ascii="Arial" w:cs="Arial" w:eastAsia="Arial" w:hAnsi="Arial"/>
          <w:sz w:val="15"/>
          <w:szCs w:val="15"/>
          <w:color w:val="auto"/>
        </w:rPr>
        <w:t>Name: Shane Klein</w:t>
      </w:r>
    </w:p>
    <w:p>
      <w:pPr>
        <w:ind w:left="3380"/>
        <w:spacing w:after="0"/>
        <w:rPr>
          <w:sz w:val="20"/>
          <w:szCs w:val="20"/>
          <w:color w:val="auto"/>
        </w:rPr>
      </w:pPr>
      <w:r>
        <w:rPr>
          <w:rFonts w:ascii="Arial" w:cs="Arial" w:eastAsia="Arial" w:hAnsi="Arial"/>
          <w:sz w:val="15"/>
          <w:szCs w:val="15"/>
          <w:color w:val="auto"/>
        </w:rPr>
        <w:t>Title: Managing Director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89" w:name="page90"/>
    <w:bookmarkEnd w:id="89"/>
    <w:p>
      <w:pPr>
        <w:ind w:left="3380"/>
        <w:spacing w:after="0"/>
        <w:rPr>
          <w:sz w:val="20"/>
          <w:szCs w:val="20"/>
          <w:color w:val="auto"/>
        </w:rPr>
      </w:pPr>
      <w:r>
        <w:rPr>
          <w:rFonts w:ascii="Arial" w:cs="Arial" w:eastAsia="Arial" w:hAnsi="Arial"/>
          <w:sz w:val="14"/>
          <w:szCs w:val="14"/>
          <w:color w:val="auto"/>
        </w:rPr>
        <w:t>BANK OF AMERICA, N.A., as a Lender</w:t>
      </w:r>
    </w:p>
    <w:p>
      <w:pPr>
        <w:spacing w:after="0" w:line="1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Ryanne Martin</w:t>
      </w:r>
    </w:p>
    <w:p>
      <w:pPr>
        <w:ind w:left="3380"/>
        <w:spacing w:after="0" w:line="236" w:lineRule="auto"/>
        <w:rPr>
          <w:sz w:val="20"/>
          <w:szCs w:val="20"/>
          <w:color w:val="auto"/>
        </w:rPr>
      </w:pPr>
      <w:r>
        <w:rPr>
          <w:rFonts w:ascii="Arial" w:cs="Arial" w:eastAsia="Arial" w:hAnsi="Arial"/>
          <w:sz w:val="15"/>
          <w:szCs w:val="15"/>
          <w:color w:val="auto"/>
        </w:rPr>
        <w:t>Name: Ryanne Martin</w:t>
      </w:r>
    </w:p>
    <w:p>
      <w:pPr>
        <w:spacing w:after="0" w:line="1"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Title: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0" w:name="page91"/>
    <w:bookmarkEnd w:id="90"/>
    <w:p>
      <w:pPr>
        <w:ind w:left="3380"/>
        <w:spacing w:after="0"/>
        <w:rPr>
          <w:sz w:val="20"/>
          <w:szCs w:val="20"/>
          <w:color w:val="auto"/>
        </w:rPr>
      </w:pPr>
      <w:r>
        <w:rPr>
          <w:rFonts w:ascii="Arial" w:cs="Arial" w:eastAsia="Arial" w:hAnsi="Arial"/>
          <w:sz w:val="15"/>
          <w:szCs w:val="15"/>
          <w:color w:val="auto"/>
        </w:rPr>
        <w:t>INDUSTRIAL AND COMMERCIAL BANK OF</w:t>
      </w:r>
    </w:p>
    <w:p>
      <w:pPr>
        <w:spacing w:after="0" w:line="10" w:lineRule="exact"/>
        <w:rPr>
          <w:sz w:val="20"/>
          <w:szCs w:val="20"/>
          <w:color w:val="auto"/>
        </w:rPr>
      </w:pPr>
    </w:p>
    <w:p>
      <w:pPr>
        <w:ind w:left="3380"/>
        <w:spacing w:after="0"/>
        <w:rPr>
          <w:sz w:val="20"/>
          <w:szCs w:val="20"/>
          <w:color w:val="auto"/>
        </w:rPr>
      </w:pPr>
      <w:r>
        <w:rPr>
          <w:rFonts w:ascii="Arial" w:cs="Arial" w:eastAsia="Arial" w:hAnsi="Arial"/>
          <w:sz w:val="14"/>
          <w:szCs w:val="14"/>
          <w:color w:val="auto"/>
        </w:rPr>
        <w:t>CHINA LIMITED, NEW YORK BRANCH, as a</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Lender</w:t>
      </w:r>
    </w:p>
    <w:p>
      <w:pPr>
        <w:ind w:left="3380"/>
        <w:spacing w:after="0" w:line="236" w:lineRule="auto"/>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Weiming Zhou</w:t>
      </w:r>
    </w:p>
    <w:p>
      <w:pPr>
        <w:ind w:left="3380"/>
        <w:spacing w:after="0" w:line="237" w:lineRule="auto"/>
        <w:rPr>
          <w:sz w:val="20"/>
          <w:szCs w:val="20"/>
          <w:color w:val="auto"/>
        </w:rPr>
      </w:pPr>
      <w:r>
        <w:rPr>
          <w:rFonts w:ascii="Arial" w:cs="Arial" w:eastAsia="Arial" w:hAnsi="Arial"/>
          <w:sz w:val="15"/>
          <w:szCs w:val="15"/>
          <w:color w:val="auto"/>
        </w:rPr>
        <w:t>Name: Weiming Zhou</w:t>
      </w:r>
    </w:p>
    <w:p>
      <w:pPr>
        <w:ind w:left="3380"/>
        <w:spacing w:after="0"/>
        <w:rPr>
          <w:sz w:val="20"/>
          <w:szCs w:val="20"/>
          <w:color w:val="auto"/>
        </w:rPr>
      </w:pPr>
      <w:r>
        <w:rPr>
          <w:rFonts w:ascii="Arial" w:cs="Arial" w:eastAsia="Arial" w:hAnsi="Arial"/>
          <w:sz w:val="15"/>
          <w:szCs w:val="15"/>
          <w:color w:val="auto"/>
        </w:rPr>
        <w:t>Title: Director</w:t>
      </w: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Charles Inkeles</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Charles Inkeles</w:t>
      </w:r>
    </w:p>
    <w:p>
      <w:pPr>
        <w:ind w:left="3380"/>
        <w:spacing w:after="0"/>
        <w:rPr>
          <w:sz w:val="20"/>
          <w:szCs w:val="20"/>
          <w:color w:val="auto"/>
        </w:rPr>
      </w:pPr>
      <w:r>
        <w:rPr>
          <w:rFonts w:ascii="Arial" w:cs="Arial" w:eastAsia="Arial" w:hAnsi="Arial"/>
          <w:sz w:val="15"/>
          <w:szCs w:val="15"/>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1" w:name="page92"/>
    <w:bookmarkEnd w:id="91"/>
    <w:p>
      <w:pPr>
        <w:jc w:val="right"/>
        <w:ind w:right="3439"/>
        <w:spacing w:after="0"/>
        <w:rPr>
          <w:sz w:val="20"/>
          <w:szCs w:val="20"/>
          <w:color w:val="auto"/>
        </w:rPr>
      </w:pPr>
      <w:r>
        <w:rPr>
          <w:rFonts w:ascii="Arial" w:cs="Arial" w:eastAsia="Arial" w:hAnsi="Arial"/>
          <w:sz w:val="15"/>
          <w:szCs w:val="15"/>
          <w:color w:val="auto"/>
        </w:rPr>
        <w:t>MIZUHO BANK, LTD,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Raymond Ventura</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Raymond Ventura</w:t>
      </w:r>
    </w:p>
    <w:p>
      <w:pPr>
        <w:ind w:left="3380"/>
        <w:spacing w:after="0"/>
        <w:rPr>
          <w:sz w:val="20"/>
          <w:szCs w:val="20"/>
          <w:color w:val="auto"/>
        </w:rPr>
      </w:pPr>
      <w:r>
        <w:rPr>
          <w:rFonts w:ascii="Arial" w:cs="Arial" w:eastAsia="Arial" w:hAnsi="Arial"/>
          <w:sz w:val="15"/>
          <w:szCs w:val="15"/>
          <w:color w:val="auto"/>
        </w:rPr>
        <w:t>Title: Managing Director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2" w:name="page93"/>
    <w:bookmarkEnd w:id="92"/>
    <w:p>
      <w:pPr>
        <w:ind w:left="3380"/>
        <w:spacing w:after="0"/>
        <w:rPr>
          <w:sz w:val="20"/>
          <w:szCs w:val="20"/>
          <w:color w:val="auto"/>
        </w:rPr>
      </w:pPr>
      <w:r>
        <w:rPr>
          <w:rFonts w:ascii="Arial" w:cs="Arial" w:eastAsia="Arial" w:hAnsi="Arial"/>
          <w:sz w:val="15"/>
          <w:szCs w:val="15"/>
          <w:color w:val="auto"/>
        </w:rPr>
        <w:t>HSBC BANK USA, N.A.,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Teresa Pereya</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Teresa Pereya</w:t>
      </w:r>
    </w:p>
    <w:p>
      <w:pPr>
        <w:ind w:left="3380"/>
        <w:spacing w:after="0"/>
        <w:rPr>
          <w:sz w:val="20"/>
          <w:szCs w:val="20"/>
          <w:color w:val="auto"/>
        </w:rPr>
      </w:pPr>
      <w:r>
        <w:rPr>
          <w:rFonts w:ascii="Arial" w:cs="Arial" w:eastAsia="Arial" w:hAnsi="Arial"/>
          <w:sz w:val="14"/>
          <w:szCs w:val="14"/>
          <w:color w:val="auto"/>
        </w:rPr>
        <w:t>Title: Vice President, Financial Institutions Group</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3" w:name="page94"/>
    <w:bookmarkEnd w:id="93"/>
    <w:p>
      <w:pPr>
        <w:jc w:val="right"/>
        <w:ind w:right="3779"/>
        <w:spacing w:after="0"/>
        <w:rPr>
          <w:sz w:val="20"/>
          <w:szCs w:val="20"/>
          <w:color w:val="auto"/>
        </w:rPr>
      </w:pPr>
      <w:r>
        <w:rPr>
          <w:rFonts w:ascii="Arial" w:cs="Arial" w:eastAsia="Arial" w:hAnsi="Arial"/>
          <w:sz w:val="15"/>
          <w:szCs w:val="15"/>
          <w:color w:val="auto"/>
        </w:rPr>
        <w:t>CITIBANK, N.A.,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Erik Andersen</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Erik Andersen</w:t>
      </w:r>
    </w:p>
    <w:p>
      <w:pPr>
        <w:ind w:left="3380"/>
        <w:spacing w:after="0"/>
        <w:rPr>
          <w:sz w:val="20"/>
          <w:szCs w:val="20"/>
          <w:color w:val="auto"/>
        </w:rPr>
      </w:pPr>
      <w:r>
        <w:rPr>
          <w:rFonts w:ascii="Arial" w:cs="Arial" w:eastAsia="Arial" w:hAnsi="Arial"/>
          <w:sz w:val="15"/>
          <w:szCs w:val="15"/>
          <w:color w:val="auto"/>
        </w:rPr>
        <w:t>Title: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4" w:name="page95"/>
    <w:bookmarkEnd w:id="94"/>
    <w:p>
      <w:pPr>
        <w:jc w:val="right"/>
        <w:ind w:right="3619"/>
        <w:spacing w:after="0"/>
        <w:rPr>
          <w:sz w:val="20"/>
          <w:szCs w:val="20"/>
          <w:color w:val="auto"/>
        </w:rPr>
      </w:pPr>
      <w:r>
        <w:rPr>
          <w:rFonts w:ascii="Arial" w:cs="Arial" w:eastAsia="Arial" w:hAnsi="Arial"/>
          <w:sz w:val="15"/>
          <w:szCs w:val="15"/>
          <w:color w:val="auto"/>
        </w:rPr>
        <w:t>CIT FINANCE LLC,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Robert L. Klein</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Robert L. Klein</w:t>
      </w:r>
    </w:p>
    <w:p>
      <w:pPr>
        <w:ind w:left="3380"/>
        <w:spacing w:after="0"/>
        <w:rPr>
          <w:sz w:val="20"/>
          <w:szCs w:val="20"/>
          <w:color w:val="auto"/>
        </w:rPr>
      </w:pPr>
      <w:r>
        <w:rPr>
          <w:rFonts w:ascii="Arial" w:cs="Arial" w:eastAsia="Arial" w:hAnsi="Arial"/>
          <w:sz w:val="15"/>
          <w:szCs w:val="15"/>
          <w:color w:val="auto"/>
        </w:rPr>
        <w:t>Title: Managing Director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5" w:name="page96"/>
    <w:bookmarkEnd w:id="95"/>
    <w:p>
      <w:pPr>
        <w:jc w:val="right"/>
        <w:ind w:right="2759"/>
        <w:spacing w:after="0"/>
        <w:rPr>
          <w:sz w:val="20"/>
          <w:szCs w:val="20"/>
          <w:color w:val="auto"/>
        </w:rPr>
      </w:pPr>
      <w:r>
        <w:rPr>
          <w:rFonts w:ascii="Arial" w:cs="Arial" w:eastAsia="Arial" w:hAnsi="Arial"/>
          <w:sz w:val="15"/>
          <w:szCs w:val="15"/>
          <w:color w:val="auto"/>
        </w:rPr>
        <w:t>GOLDMAN SACHS BANK USA,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Ananda DeRoche</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Ananda DeRoche</w:t>
      </w:r>
    </w:p>
    <w:p>
      <w:pPr>
        <w:ind w:left="3380"/>
        <w:spacing w:after="0"/>
        <w:rPr>
          <w:sz w:val="20"/>
          <w:szCs w:val="20"/>
          <w:color w:val="auto"/>
        </w:rPr>
      </w:pPr>
      <w:r>
        <w:rPr>
          <w:rFonts w:ascii="Arial" w:cs="Arial" w:eastAsia="Arial" w:hAnsi="Arial"/>
          <w:sz w:val="15"/>
          <w:szCs w:val="15"/>
          <w:color w:val="auto"/>
        </w:rPr>
        <w:t>Title: Authorized Signatory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6" w:name="page97"/>
    <w:bookmarkEnd w:id="96"/>
    <w:p>
      <w:pPr>
        <w:jc w:val="right"/>
        <w:ind w:right="2639"/>
        <w:spacing w:after="0"/>
        <w:rPr>
          <w:sz w:val="20"/>
          <w:szCs w:val="20"/>
          <w:color w:val="auto"/>
        </w:rPr>
      </w:pPr>
      <w:r>
        <w:rPr>
          <w:rFonts w:ascii="Arial" w:cs="Arial" w:eastAsia="Arial" w:hAnsi="Arial"/>
          <w:sz w:val="15"/>
          <w:szCs w:val="15"/>
          <w:color w:val="auto"/>
        </w:rPr>
        <w:t>MORGAN STANLEY BANK, N.A.,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Michael King</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Michael King</w:t>
      </w:r>
    </w:p>
    <w:p>
      <w:pPr>
        <w:ind w:left="3380"/>
        <w:spacing w:after="0"/>
        <w:rPr>
          <w:sz w:val="20"/>
          <w:szCs w:val="20"/>
          <w:color w:val="auto"/>
        </w:rPr>
      </w:pPr>
      <w:r>
        <w:rPr>
          <w:rFonts w:ascii="Arial" w:cs="Arial" w:eastAsia="Arial" w:hAnsi="Arial"/>
          <w:sz w:val="15"/>
          <w:szCs w:val="15"/>
          <w:color w:val="auto"/>
        </w:rPr>
        <w:t>Title: Authorized Signatory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7" w:name="page98"/>
    <w:bookmarkEnd w:id="97"/>
    <w:p>
      <w:pPr>
        <w:jc w:val="right"/>
        <w:ind w:right="2979"/>
        <w:spacing w:after="0"/>
        <w:rPr>
          <w:sz w:val="20"/>
          <w:szCs w:val="20"/>
          <w:color w:val="auto"/>
        </w:rPr>
      </w:pPr>
      <w:r>
        <w:rPr>
          <w:rFonts w:ascii="Arial" w:cs="Arial" w:eastAsia="Arial" w:hAnsi="Arial"/>
          <w:sz w:val="15"/>
          <w:szCs w:val="15"/>
          <w:color w:val="auto"/>
        </w:rPr>
        <w:t>ROYAL BANK OF CANADA,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Alex Figueroa</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Alex Figueroa</w:t>
      </w:r>
    </w:p>
    <w:p>
      <w:pPr>
        <w:ind w:left="3380"/>
        <w:spacing w:after="0"/>
        <w:rPr>
          <w:sz w:val="20"/>
          <w:szCs w:val="20"/>
          <w:color w:val="auto"/>
        </w:rPr>
      </w:pPr>
      <w:r>
        <w:rPr>
          <w:rFonts w:ascii="Arial" w:cs="Arial" w:eastAsia="Arial" w:hAnsi="Arial"/>
          <w:sz w:val="15"/>
          <w:szCs w:val="15"/>
          <w:color w:val="auto"/>
        </w:rPr>
        <w:t>Title: Authorized Signatory</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8" w:name="page99"/>
    <w:bookmarkEnd w:id="98"/>
    <w:p>
      <w:pPr>
        <w:jc w:val="right"/>
        <w:ind w:right="3599"/>
        <w:spacing w:after="0"/>
        <w:rPr>
          <w:sz w:val="20"/>
          <w:szCs w:val="20"/>
          <w:color w:val="auto"/>
        </w:rPr>
      </w:pPr>
      <w:r>
        <w:rPr>
          <w:rFonts w:ascii="Arial" w:cs="Arial" w:eastAsia="Arial" w:hAnsi="Arial"/>
          <w:sz w:val="15"/>
          <w:szCs w:val="15"/>
          <w:color w:val="auto"/>
        </w:rPr>
        <w:t>COMERICA BANK,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Robert Wilson</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Robert Wilson</w:t>
      </w:r>
    </w:p>
    <w:p>
      <w:pPr>
        <w:ind w:left="3380"/>
        <w:spacing w:after="0"/>
        <w:rPr>
          <w:sz w:val="20"/>
          <w:szCs w:val="20"/>
          <w:color w:val="auto"/>
        </w:rPr>
      </w:pPr>
      <w:r>
        <w:rPr>
          <w:rFonts w:ascii="Arial" w:cs="Arial" w:eastAsia="Arial" w:hAnsi="Arial"/>
          <w:sz w:val="15"/>
          <w:szCs w:val="15"/>
          <w:color w:val="auto"/>
        </w:rPr>
        <w:t>Title: Senior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99" w:name="page100"/>
    <w:bookmarkEnd w:id="99"/>
    <w:p>
      <w:pPr>
        <w:jc w:val="right"/>
        <w:ind w:right="3239"/>
        <w:spacing w:after="0"/>
        <w:rPr>
          <w:sz w:val="20"/>
          <w:szCs w:val="20"/>
          <w:color w:val="auto"/>
        </w:rPr>
      </w:pPr>
      <w:r>
        <w:rPr>
          <w:rFonts w:ascii="Arial" w:cs="Arial" w:eastAsia="Arial" w:hAnsi="Arial"/>
          <w:sz w:val="15"/>
          <w:szCs w:val="15"/>
          <w:color w:val="auto"/>
        </w:rPr>
        <w:t>STIFEL BANK &amp; TRUST,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Joseph L. Sooter, Jr.</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Joseph L. Sooter, Jr.</w:t>
      </w:r>
    </w:p>
    <w:p>
      <w:pPr>
        <w:ind w:left="338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100" w:name="page101"/>
    <w:bookmarkEnd w:id="100"/>
    <w:p>
      <w:pPr>
        <w:jc w:val="right"/>
        <w:ind w:right="3259"/>
        <w:spacing w:after="0"/>
        <w:rPr>
          <w:sz w:val="20"/>
          <w:szCs w:val="20"/>
          <w:color w:val="auto"/>
        </w:rPr>
      </w:pPr>
      <w:r>
        <w:rPr>
          <w:rFonts w:ascii="Arial" w:cs="Arial" w:eastAsia="Arial" w:hAnsi="Arial"/>
          <w:sz w:val="15"/>
          <w:szCs w:val="15"/>
          <w:color w:val="auto"/>
        </w:rPr>
        <w:t>CITY NATIONAL BANK,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Matthew Patterson</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Matthew Patterson</w:t>
      </w:r>
    </w:p>
    <w:p>
      <w:pPr>
        <w:ind w:left="3380"/>
        <w:spacing w:after="0"/>
        <w:rPr>
          <w:sz w:val="20"/>
          <w:szCs w:val="20"/>
          <w:color w:val="auto"/>
        </w:rPr>
      </w:pPr>
      <w:r>
        <w:rPr>
          <w:rFonts w:ascii="Arial" w:cs="Arial" w:eastAsia="Arial" w:hAnsi="Arial"/>
          <w:sz w:val="15"/>
          <w:szCs w:val="15"/>
          <w:color w:val="auto"/>
        </w:rPr>
        <w:t>Title: Senior Vice President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101" w:name="page102"/>
    <w:bookmarkEnd w:id="101"/>
    <w:p>
      <w:pPr>
        <w:jc w:val="right"/>
        <w:ind w:right="3559"/>
        <w:spacing w:after="0"/>
        <w:rPr>
          <w:sz w:val="20"/>
          <w:szCs w:val="20"/>
          <w:color w:val="auto"/>
        </w:rPr>
      </w:pPr>
      <w:r>
        <w:rPr>
          <w:rFonts w:ascii="Arial" w:cs="Arial" w:eastAsia="Arial" w:hAnsi="Arial"/>
          <w:sz w:val="15"/>
          <w:szCs w:val="15"/>
          <w:color w:val="auto"/>
        </w:rPr>
        <w:t>SIGNATURE BANK,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Charles Owens</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Charles Owens</w:t>
      </w:r>
    </w:p>
    <w:p>
      <w:pPr>
        <w:ind w:left="3380"/>
        <w:spacing w:after="0"/>
        <w:rPr>
          <w:sz w:val="20"/>
          <w:szCs w:val="20"/>
          <w:color w:val="auto"/>
        </w:rPr>
      </w:pPr>
      <w:r>
        <w:rPr>
          <w:rFonts w:ascii="Arial" w:cs="Arial" w:eastAsia="Arial" w:hAnsi="Arial"/>
          <w:sz w:val="15"/>
          <w:szCs w:val="15"/>
          <w:color w:val="auto"/>
        </w:rPr>
        <w:t>Title: Managing Director</w:t>
      </w:r>
    </w:p>
    <w:p>
      <w:pPr>
        <w:spacing w:after="0" w:line="200" w:lineRule="exact"/>
        <w:rPr>
          <w:sz w:val="20"/>
          <w:szCs w:val="20"/>
          <w:color w:val="auto"/>
        </w:rPr>
      </w:pPr>
    </w:p>
    <w:p>
      <w:pPr>
        <w:spacing w:after="0" w:line="23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Kaylin Searles</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Kaylin Searles</w:t>
      </w:r>
    </w:p>
    <w:p>
      <w:pPr>
        <w:ind w:left="3380"/>
        <w:spacing w:after="0"/>
        <w:rPr>
          <w:sz w:val="20"/>
          <w:szCs w:val="20"/>
          <w:color w:val="auto"/>
        </w:rPr>
      </w:pPr>
      <w:r>
        <w:rPr>
          <w:rFonts w:ascii="Arial" w:cs="Arial" w:eastAsia="Arial" w:hAnsi="Arial"/>
          <w:sz w:val="15"/>
          <w:szCs w:val="15"/>
          <w:color w:val="auto"/>
        </w:rPr>
        <w:t>Title: Vice President</w:t>
      </w: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102" w:name="page103"/>
    <w:bookmarkEnd w:id="102"/>
    <w:p>
      <w:pPr>
        <w:jc w:val="right"/>
        <w:ind w:right="3579"/>
        <w:spacing w:after="0"/>
        <w:rPr>
          <w:sz w:val="20"/>
          <w:szCs w:val="20"/>
          <w:color w:val="auto"/>
        </w:rPr>
      </w:pPr>
      <w:r>
        <w:rPr>
          <w:rFonts w:ascii="Arial" w:cs="Arial" w:eastAsia="Arial" w:hAnsi="Arial"/>
          <w:sz w:val="15"/>
          <w:szCs w:val="15"/>
          <w:color w:val="auto"/>
        </w:rPr>
        <w:t>INVESTORS BANK,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Paula K. Berry</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Paula K. Berry</w:t>
      </w:r>
    </w:p>
    <w:p>
      <w:pPr>
        <w:ind w:left="338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103" w:name="page104"/>
    <w:bookmarkEnd w:id="103"/>
    <w:p>
      <w:pPr>
        <w:jc w:val="right"/>
        <w:ind w:right="3519"/>
        <w:spacing w:after="0"/>
        <w:rPr>
          <w:sz w:val="20"/>
          <w:szCs w:val="20"/>
          <w:color w:val="auto"/>
        </w:rPr>
      </w:pPr>
      <w:r>
        <w:rPr>
          <w:rFonts w:ascii="Arial" w:cs="Arial" w:eastAsia="Arial" w:hAnsi="Arial"/>
          <w:sz w:val="15"/>
          <w:szCs w:val="15"/>
          <w:color w:val="auto"/>
        </w:rPr>
        <w:t>BANKUNITED, N.A., as a Lender</w:t>
      </w:r>
    </w:p>
    <w:p>
      <w:pPr>
        <w:spacing w:after="0" w:line="149"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Craig Kincade</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Craig Kincade</w:t>
      </w:r>
    </w:p>
    <w:p>
      <w:pPr>
        <w:ind w:left="3380"/>
        <w:spacing w:after="0"/>
        <w:rPr>
          <w:sz w:val="20"/>
          <w:szCs w:val="20"/>
          <w:color w:val="auto"/>
        </w:rPr>
      </w:pPr>
      <w:r>
        <w:rPr>
          <w:rFonts w:ascii="Arial" w:cs="Arial" w:eastAsia="Arial" w:hAnsi="Arial"/>
          <w:sz w:val="15"/>
          <w:szCs w:val="15"/>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104" w:name="page105"/>
    <w:bookmarkEnd w:id="104"/>
    <w:p>
      <w:pPr>
        <w:jc w:val="right"/>
        <w:ind w:right="1939"/>
        <w:spacing w:after="0"/>
        <w:rPr>
          <w:sz w:val="20"/>
          <w:szCs w:val="20"/>
          <w:color w:val="auto"/>
        </w:rPr>
      </w:pPr>
      <w:r>
        <w:rPr>
          <w:rFonts w:ascii="Arial" w:cs="Arial" w:eastAsia="Arial" w:hAnsi="Arial"/>
          <w:sz w:val="15"/>
          <w:szCs w:val="15"/>
          <w:color w:val="auto"/>
        </w:rPr>
        <w:t xml:space="preserve">Agreed and acknowledged solely with respect to </w:t>
      </w:r>
      <w:r>
        <w:rPr>
          <w:rFonts w:ascii="Arial" w:cs="Arial" w:eastAsia="Arial" w:hAnsi="Arial"/>
          <w:sz w:val="15"/>
          <w:szCs w:val="15"/>
          <w:u w:val="single" w:color="auto"/>
          <w:color w:val="auto"/>
        </w:rPr>
        <w:t>Section 5.8</w:t>
      </w:r>
      <w:r>
        <w:rPr>
          <w:rFonts w:ascii="Arial" w:cs="Arial" w:eastAsia="Arial" w:hAnsi="Arial"/>
          <w:sz w:val="15"/>
          <w:szCs w:val="15"/>
          <w:color w:val="auto"/>
        </w:rPr>
        <w:t>.</w:t>
      </w:r>
    </w:p>
    <w:p>
      <w:pPr>
        <w:spacing w:after="0" w:line="145"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TC LENDING, LLC</w:t>
      </w:r>
    </w:p>
    <w:p>
      <w:pPr>
        <w:spacing w:after="0" w:line="153"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Ian Simmonds</w:t>
      </w:r>
    </w:p>
    <w:p>
      <w:pPr>
        <w:spacing w:after="0" w:line="7"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Name: Ian Simmonds</w:t>
      </w:r>
    </w:p>
    <w:p>
      <w:pPr>
        <w:ind w:left="3380"/>
        <w:spacing w:after="0"/>
        <w:rPr>
          <w:sz w:val="20"/>
          <w:szCs w:val="20"/>
          <w:color w:val="auto"/>
        </w:rPr>
      </w:pPr>
      <w:r>
        <w:rPr>
          <w:rFonts w:ascii="Arial" w:cs="Arial" w:eastAsia="Arial" w:hAnsi="Arial"/>
          <w:sz w:val="15"/>
          <w:szCs w:val="15"/>
          <w:color w:val="auto"/>
        </w:rPr>
        <w:t>Title: Chief Financial Officer</w:t>
      </w:r>
    </w:p>
    <w:p>
      <w:pPr>
        <w:spacing w:after="0" w:line="303"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SIXTH STREET SL HOLDING, LLC</w:t>
      </w:r>
    </w:p>
    <w:p>
      <w:pPr>
        <w:spacing w:after="0" w:line="153"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-9525</wp:posOffset>
            </wp:positionV>
            <wp:extent cx="69659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6595" cy="571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5"/>
          <w:szCs w:val="15"/>
          <w:color w:val="auto"/>
        </w:rPr>
        <w:t>Name: Ian Simmonds</w:t>
      </w:r>
    </w:p>
    <w:p>
      <w:pPr>
        <w:ind w:left="3380"/>
        <w:spacing w:after="0"/>
        <w:rPr>
          <w:sz w:val="20"/>
          <w:szCs w:val="20"/>
          <w:color w:val="auto"/>
        </w:rPr>
      </w:pPr>
      <w:r>
        <w:rPr>
          <w:rFonts w:ascii="Arial" w:cs="Arial" w:eastAsia="Arial" w:hAnsi="Arial"/>
          <w:sz w:val="15"/>
          <w:szCs w:val="15"/>
          <w:color w:val="auto"/>
        </w:rPr>
        <w:t>Title: Chief Financial Officer</w:t>
      </w:r>
    </w:p>
    <w:p>
      <w:pPr>
        <w:spacing w:after="0" w:line="200" w:lineRule="exact"/>
        <w:rPr>
          <w:sz w:val="20"/>
          <w:szCs w:val="20"/>
          <w:color w:val="auto"/>
        </w:rPr>
      </w:pPr>
    </w:p>
    <w:p>
      <w:pPr>
        <w:spacing w:after="0" w:line="235"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SIXTH STREET SL SPV, LLC</w:t>
      </w:r>
    </w:p>
    <w:p>
      <w:pPr>
        <w:spacing w:after="0" w:line="153" w:lineRule="exact"/>
        <w:rPr>
          <w:sz w:val="20"/>
          <w:szCs w:val="20"/>
          <w:color w:val="auto"/>
        </w:rPr>
      </w:pPr>
    </w:p>
    <w:p>
      <w:pPr>
        <w:ind w:left="3380"/>
        <w:spacing w:after="0"/>
        <w:rPr>
          <w:sz w:val="20"/>
          <w:szCs w:val="20"/>
          <w:color w:val="auto"/>
        </w:rPr>
      </w:pPr>
      <w:r>
        <w:rPr>
          <w:rFonts w:ascii="Arial" w:cs="Arial" w:eastAsia="Arial" w:hAnsi="Arial"/>
          <w:sz w:val="15"/>
          <w:szCs w:val="15"/>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-9525</wp:posOffset>
            </wp:positionV>
            <wp:extent cx="69659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6595" cy="5715"/>
                    </a:xfrm>
                    <a:prstGeom prst="rect">
                      <a:avLst/>
                    </a:prstGeom>
                    <a:noFill/>
                  </pic:spPr>
                </pic:pic>
              </a:graphicData>
            </a:graphic>
          </wp:anchor>
        </w:drawing>
      </w:r>
    </w:p>
    <w:p>
      <w:pPr>
        <w:ind w:left="3380"/>
        <w:spacing w:after="0"/>
        <w:rPr>
          <w:sz w:val="20"/>
          <w:szCs w:val="20"/>
          <w:color w:val="auto"/>
        </w:rPr>
      </w:pPr>
      <w:r>
        <w:rPr>
          <w:rFonts w:ascii="Arial" w:cs="Arial" w:eastAsia="Arial" w:hAnsi="Arial"/>
          <w:sz w:val="15"/>
          <w:szCs w:val="15"/>
          <w:color w:val="auto"/>
        </w:rPr>
        <w:t>Name: Ian Simmonds</w:t>
      </w:r>
    </w:p>
    <w:p>
      <w:pPr>
        <w:ind w:left="3380"/>
        <w:spacing w:after="0"/>
        <w:rPr>
          <w:sz w:val="20"/>
          <w:szCs w:val="20"/>
          <w:color w:val="auto"/>
        </w:rPr>
      </w:pPr>
      <w:r>
        <w:rPr>
          <w:rFonts w:ascii="Arial" w:cs="Arial" w:eastAsia="Arial" w:hAnsi="Arial"/>
          <w:sz w:val="15"/>
          <w:szCs w:val="15"/>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SIGNATURE PAGE TO TWELFTH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49530</wp:posOffset>
            </wp:positionV>
            <wp:extent cx="721106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446" w:right="1440"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5"/>
          <w:szCs w:val="15"/>
          <w:b w:val="1"/>
          <w:bCs w:val="1"/>
          <w:u w:val="single" w:color="auto"/>
          <w:color w:val="auto"/>
        </w:rPr>
        <w:t>EXHIBIT A</w:t>
      </w:r>
    </w:p>
    <w:p>
      <w:pPr>
        <w:sectPr>
          <w:pgSz w:w="11900" w:h="16838" w:orient="portrait"/>
          <w:cols w:equalWidth="0" w:num="1">
            <w:col w:w="9019"/>
          </w:cols>
          <w:pgMar w:left="1440" w:top="291"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1118870</wp:posOffset>
            </wp:positionV>
            <wp:extent cx="721106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5"/>
          <w:szCs w:val="15"/>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717359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215265</wp:posOffset>
            </wp:positionV>
            <wp:extent cx="717359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SECOND AMENDED AND RESTATED</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SENIOR SECURED</w:t>
      </w:r>
    </w:p>
    <w:p>
      <w:pPr>
        <w:jc w:val="center"/>
        <w:ind w:right="20"/>
        <w:spacing w:after="0" w:line="236" w:lineRule="auto"/>
        <w:rPr>
          <w:sz w:val="20"/>
          <w:szCs w:val="20"/>
          <w:color w:val="auto"/>
        </w:rPr>
      </w:pPr>
      <w:r>
        <w:rPr>
          <w:rFonts w:ascii="Arial" w:cs="Arial" w:eastAsia="Arial" w:hAnsi="Arial"/>
          <w:sz w:val="15"/>
          <w:szCs w:val="15"/>
          <w:color w:val="auto"/>
        </w:rPr>
        <w:t>REVOLVING CREDIT AGREEMENT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dated as of</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February 27, 2014</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as amended by the First Amendment to Second Amended and Restated Senior Secured Revolving Credit Agreement dated as of June 3, 2014, the Second Amendment to Second</w:t>
      </w:r>
    </w:p>
    <w:p>
      <w:pPr>
        <w:spacing w:after="0" w:line="21" w:lineRule="exact"/>
        <w:rPr>
          <w:sz w:val="20"/>
          <w:szCs w:val="20"/>
          <w:color w:val="auto"/>
        </w:rPr>
      </w:pPr>
    </w:p>
    <w:p>
      <w:pPr>
        <w:jc w:val="center"/>
        <w:ind w:right="20"/>
        <w:spacing w:after="0" w:line="238" w:lineRule="auto"/>
        <w:rPr>
          <w:sz w:val="20"/>
          <w:szCs w:val="20"/>
          <w:color w:val="auto"/>
        </w:rPr>
      </w:pPr>
      <w:r>
        <w:rPr>
          <w:rFonts w:ascii="Arial" w:cs="Arial" w:eastAsia="Arial" w:hAnsi="Arial"/>
          <w:sz w:val="15"/>
          <w:szCs w:val="15"/>
          <w:color w:val="auto"/>
        </w:rPr>
        <w:t>Amended and Restated Senior Secured Revolving Credit Agreement dated as of June 27, 2014, the Third Amendment to Second Amended and Restated Senior Secured Revolving Credit Agreement dated as of October 17, 2014, the Fourth Amendment to Second Amended and Restated Senior Secured Revolving Credit Agreement dated as of October 2, 2015, the Fifth Amendment to Second Amended and Restated Senior Secured Revolving Credit Agreement dated as of December 22, 2016, the Sixth Amendment to Second Amended and Restated Senior Secured Revolving Credit Agreement dated as of February 20, 2018, the Seventh Amendment to Second Amended and Restated Senior Secured Revolving Credit Agreement dated as of November 5, 2018, the Eighth Amendment to Second Amended and Restated Senior Secured Revolving Credit Agreement dated as of February 14, 2019, the Ninth Amendment to Second Amended and Restated Senior Secured Revolving Credit Agreement dated as of January 31, 2020, the Tenth Amendment to Second Amended and Restated Senior Secured Revolving Credit Agreement dated as of February 5, 2021, the Eleventh Amendment to Second Amended and Restated Senior Secured Revolving Credit Agreement dated as of December 14, 2021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224155</wp:posOffset>
            </wp:positionV>
            <wp:extent cx="721106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07" w:name="page108"/>
    <w:bookmarkEnd w:id="107"/>
    <w:p>
      <w:pPr>
        <w:ind w:left="660"/>
        <w:spacing w:after="0"/>
        <w:rPr>
          <w:sz w:val="20"/>
          <w:szCs w:val="20"/>
          <w:color w:val="auto"/>
        </w:rPr>
      </w:pPr>
      <w:r>
        <w:rPr>
          <w:rFonts w:ascii="Arial" w:cs="Arial" w:eastAsia="Arial" w:hAnsi="Arial"/>
          <w:sz w:val="13"/>
          <w:szCs w:val="13"/>
          <w:color w:val="auto"/>
        </w:rPr>
        <w:t>Twelfth Amendment to Second Amended and Restated Senior Secured Revolving Credit Agreement dated as of April 25, 2022</w:t>
      </w:r>
    </w:p>
    <w:p>
      <w:pPr>
        <w:spacing w:after="0" w:line="172" w:lineRule="exact"/>
        <w:rPr>
          <w:sz w:val="20"/>
          <w:szCs w:val="20"/>
          <w:color w:val="auto"/>
        </w:rPr>
      </w:pPr>
    </w:p>
    <w:p>
      <w:pPr>
        <w:ind w:left="4300"/>
        <w:spacing w:after="0"/>
        <w:rPr>
          <w:sz w:val="20"/>
          <w:szCs w:val="20"/>
          <w:color w:val="auto"/>
        </w:rPr>
      </w:pPr>
      <w:r>
        <w:rPr>
          <w:rFonts w:ascii="Arial" w:cs="Arial" w:eastAsia="Arial" w:hAnsi="Arial"/>
          <w:sz w:val="15"/>
          <w:szCs w:val="15"/>
          <w:color w:val="auto"/>
        </w:rPr>
        <w:t>among</w:t>
      </w:r>
    </w:p>
    <w:p>
      <w:pPr>
        <w:spacing w:after="0" w:line="149"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SIXTH STREET SPECIALTY LENDING, INC. (F/K/A TPG Specialty Lending, Inc.)</w:t>
      </w:r>
    </w:p>
    <w:p>
      <w:pPr>
        <w:spacing w:after="0" w:line="10" w:lineRule="exact"/>
        <w:rPr>
          <w:sz w:val="20"/>
          <w:szCs w:val="20"/>
          <w:color w:val="auto"/>
        </w:rPr>
      </w:pPr>
    </w:p>
    <w:p>
      <w:pPr>
        <w:ind w:left="4140"/>
        <w:spacing w:after="0"/>
        <w:rPr>
          <w:sz w:val="20"/>
          <w:szCs w:val="20"/>
          <w:color w:val="auto"/>
        </w:rPr>
      </w:pPr>
      <w:r>
        <w:rPr>
          <w:rFonts w:ascii="Arial" w:cs="Arial" w:eastAsia="Arial" w:hAnsi="Arial"/>
          <w:sz w:val="15"/>
          <w:szCs w:val="15"/>
          <w:color w:val="auto"/>
        </w:rPr>
        <w:t>as Borrower</w:t>
      </w:r>
    </w:p>
    <w:p>
      <w:pPr>
        <w:spacing w:after="0" w:line="137" w:lineRule="exact"/>
        <w:rPr>
          <w:sz w:val="20"/>
          <w:szCs w:val="20"/>
          <w:color w:val="auto"/>
        </w:rPr>
      </w:pPr>
    </w:p>
    <w:p>
      <w:pPr>
        <w:ind w:left="3620"/>
        <w:spacing w:after="0"/>
        <w:rPr>
          <w:sz w:val="20"/>
          <w:szCs w:val="20"/>
          <w:color w:val="auto"/>
        </w:rPr>
      </w:pPr>
      <w:r>
        <w:rPr>
          <w:rFonts w:ascii="Arial" w:cs="Arial" w:eastAsia="Arial" w:hAnsi="Arial"/>
          <w:sz w:val="15"/>
          <w:szCs w:val="15"/>
          <w:color w:val="auto"/>
        </w:rPr>
        <w:t>The LENDERS Party Hereto</w:t>
      </w:r>
    </w:p>
    <w:p>
      <w:pPr>
        <w:spacing w:after="0" w:line="149"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and</w:t>
      </w:r>
    </w:p>
    <w:p>
      <w:pPr>
        <w:spacing w:after="0" w:line="149" w:lineRule="exact"/>
        <w:rPr>
          <w:sz w:val="20"/>
          <w:szCs w:val="20"/>
          <w:color w:val="auto"/>
        </w:rPr>
      </w:pPr>
    </w:p>
    <w:p>
      <w:pPr>
        <w:ind w:left="4000"/>
        <w:spacing w:after="0"/>
        <w:rPr>
          <w:sz w:val="20"/>
          <w:szCs w:val="20"/>
          <w:color w:val="auto"/>
        </w:rPr>
      </w:pPr>
      <w:r>
        <w:rPr>
          <w:rFonts w:ascii="Arial" w:cs="Arial" w:eastAsia="Arial" w:hAnsi="Arial"/>
          <w:sz w:val="15"/>
          <w:szCs w:val="15"/>
          <w:color w:val="auto"/>
        </w:rPr>
        <w:t>TRUIST BANK</w:t>
      </w:r>
    </w:p>
    <w:p>
      <w:pPr>
        <w:spacing w:after="0" w:line="10" w:lineRule="exact"/>
        <w:rPr>
          <w:sz w:val="20"/>
          <w:szCs w:val="20"/>
          <w:color w:val="auto"/>
        </w:rPr>
      </w:pPr>
    </w:p>
    <w:p>
      <w:pPr>
        <w:ind w:left="3760"/>
        <w:spacing w:after="0"/>
        <w:rPr>
          <w:sz w:val="20"/>
          <w:szCs w:val="20"/>
          <w:color w:val="auto"/>
        </w:rPr>
      </w:pPr>
      <w:r>
        <w:rPr>
          <w:rFonts w:ascii="Arial" w:cs="Arial" w:eastAsia="Arial" w:hAnsi="Arial"/>
          <w:sz w:val="15"/>
          <w:szCs w:val="15"/>
          <w:color w:val="auto"/>
        </w:rPr>
        <w:t>as Administrative Agent</w:t>
      </w:r>
    </w:p>
    <w:p>
      <w:pPr>
        <w:spacing w:after="0" w:line="137"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JPMORGAN CHASE BANK, N.A.</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Syndication Agent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$1,585,000,000</w:t>
      </w:r>
    </w:p>
    <w:p>
      <w:pPr>
        <w:spacing w:after="0" w:line="10"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__________________</w:t>
      </w:r>
    </w:p>
    <w:p>
      <w:pPr>
        <w:spacing w:after="0" w:line="137" w:lineRule="exact"/>
        <w:rPr>
          <w:sz w:val="20"/>
          <w:szCs w:val="20"/>
          <w:color w:val="auto"/>
        </w:rPr>
      </w:pPr>
    </w:p>
    <w:p>
      <w:pPr>
        <w:ind w:left="3600"/>
        <w:spacing w:after="0"/>
        <w:rPr>
          <w:sz w:val="20"/>
          <w:szCs w:val="20"/>
          <w:color w:val="auto"/>
        </w:rPr>
      </w:pPr>
      <w:r>
        <w:rPr>
          <w:rFonts w:ascii="Arial" w:cs="Arial" w:eastAsia="Arial" w:hAnsi="Arial"/>
          <w:sz w:val="15"/>
          <w:szCs w:val="15"/>
          <w:color w:val="auto"/>
        </w:rPr>
        <w:t>TRUIST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13970</wp:posOffset>
            </wp:positionV>
            <wp:extent cx="717359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-106045</wp:posOffset>
            </wp:positionV>
            <wp:extent cx="717359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as Joint Lead Arrangers and Joint Book 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12065</wp:posOffset>
            </wp:positionV>
            <wp:extent cx="717359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24130</wp:posOffset>
            </wp:positionV>
            <wp:extent cx="717359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MUFG UNION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13970</wp:posOffset>
            </wp:positionV>
            <wp:extent cx="717359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SUMITOMO MITSUI BANKING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-106045</wp:posOffset>
            </wp:positionV>
            <wp:extent cx="717359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13970</wp:posOffset>
            </wp:positionV>
            <wp:extent cx="717359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STATE STREET BANK AND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-106045</wp:posOffset>
            </wp:positionV>
            <wp:extent cx="717359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19685</wp:posOffset>
            </wp:positionV>
            <wp:extent cx="717359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SANTANDER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-106045</wp:posOffset>
            </wp:positionV>
            <wp:extent cx="717359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13970</wp:posOffset>
            </wp:positionV>
            <wp:extent cx="717359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3595" cy="5715"/>
                    </a:xfrm>
                    <a:prstGeom prst="rect">
                      <a:avLst/>
                    </a:prstGeom>
                    <a:noFill/>
                  </pic:spPr>
                </pic:pic>
              </a:graphicData>
            </a:graphic>
          </wp:anchor>
        </w:drawing>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as Joint Lead Arrangers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-106045</wp:posOffset>
            </wp:positionV>
            <wp:extent cx="717359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13970</wp:posOffset>
            </wp:positionV>
            <wp:extent cx="717359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25400</wp:posOffset>
            </wp:positionV>
            <wp:extent cx="717359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247650</wp:posOffset>
            </wp:positionV>
            <wp:extent cx="717359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259715</wp:posOffset>
            </wp:positionV>
            <wp:extent cx="717359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3595" cy="5715"/>
                    </a:xfrm>
                    <a:prstGeom prst="rect">
                      <a:avLst/>
                    </a:prstGeom>
                    <a:noFill/>
                  </pic:spPr>
                </pic:pic>
              </a:graphicData>
            </a:graphic>
          </wp:anchor>
        </w:drawing>
        <w:drawing>
          <wp:anchor simplePos="0" relativeHeight="251657728" behindDoc="1" locked="0" layoutInCell="0" allowOverlap="1">
            <wp:simplePos x="0" y="0"/>
            <wp:positionH relativeFrom="column">
              <wp:posOffset>-738505</wp:posOffset>
            </wp:positionH>
            <wp:positionV relativeFrom="paragraph">
              <wp:posOffset>685165</wp:posOffset>
            </wp:positionV>
            <wp:extent cx="721106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5" w:right="1440" w:bottom="1440" w:gutter="0" w:footer="0" w:header="0"/>
        </w:sectPr>
      </w:pPr>
    </w:p>
    <w:bookmarkStart w:id="108" w:name="page109"/>
    <w:bookmarkEnd w:id="108"/>
    <w:p>
      <w:pPr>
        <w:jc w:val="center"/>
        <w:ind w:right="-139"/>
        <w:spacing w:after="0"/>
        <w:rPr>
          <w:sz w:val="20"/>
          <w:szCs w:val="20"/>
          <w:color w:val="auto"/>
        </w:rPr>
      </w:pPr>
      <w:r>
        <w:rPr>
          <w:rFonts w:ascii="Arial" w:cs="Arial" w:eastAsia="Arial" w:hAnsi="Arial"/>
          <w:sz w:val="15"/>
          <w:szCs w:val="15"/>
          <w:b w:val="1"/>
          <w:bCs w:val="1"/>
          <w:color w:val="auto"/>
        </w:rPr>
        <w:t>TABLE OF CONTENTS</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Page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40" w:type="dxa"/>
            <w:vAlign w:val="bottom"/>
          </w:tcPr>
          <w:p>
            <w:pPr>
              <w:spacing w:after="0"/>
              <w:rPr>
                <w:sz w:val="20"/>
                <w:szCs w:val="20"/>
                <w:color w:val="auto"/>
              </w:rPr>
            </w:pPr>
            <w:r>
              <w:rPr>
                <w:rFonts w:ascii="Arial" w:cs="Arial" w:eastAsia="Arial" w:hAnsi="Arial"/>
                <w:sz w:val="15"/>
                <w:szCs w:val="15"/>
                <w:color w:val="auto"/>
              </w:rPr>
              <w:t>ARTICLE I DEFINITIONS</w:t>
            </w:r>
          </w:p>
        </w:tc>
        <w:tc>
          <w:tcPr>
            <w:tcW w:w="240" w:type="dxa"/>
            <w:vAlign w:val="bottom"/>
          </w:tcPr>
          <w:p>
            <w:pPr>
              <w:jc w:val="right"/>
              <w:spacing w:after="0"/>
              <w:rPr>
                <w:sz w:val="20"/>
                <w:szCs w:val="20"/>
                <w:color w:val="auto"/>
              </w:rPr>
            </w:pPr>
            <w:r>
              <w:rPr>
                <w:rFonts w:ascii="Arial" w:cs="Arial" w:eastAsia="Arial" w:hAnsi="Arial"/>
                <w:sz w:val="15"/>
                <w:szCs w:val="15"/>
                <w:color w:val="auto"/>
              </w:rPr>
              <w:t>2</w:t>
            </w:r>
          </w:p>
        </w:tc>
      </w:tr>
    </w:tbl>
    <w:p>
      <w:pPr>
        <w:spacing w:after="0" w:line="55"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1.01.Defined Terms2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1.02.Classification of Loans and Borrowings47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1.03.Terms Generally47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1.04.Accounting Terms; GAAP47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1.05.Currencies; Currency Equivalents48</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1.06.Rates49</w:t>
      </w:r>
    </w:p>
    <w:p>
      <w:pPr>
        <w:spacing w:after="0" w:line="73" w:lineRule="exact"/>
        <w:rPr>
          <w:sz w:val="20"/>
          <w:szCs w:val="20"/>
          <w:color w:val="auto"/>
        </w:rPr>
      </w:pPr>
    </w:p>
    <w:p>
      <w:pPr>
        <w:spacing w:after="0"/>
        <w:tabs>
          <w:tab w:leader="none" w:pos="1980" w:val="left"/>
        </w:tabs>
        <w:rPr>
          <w:sz w:val="20"/>
          <w:szCs w:val="20"/>
          <w:color w:val="auto"/>
        </w:rPr>
      </w:pPr>
      <w:r>
        <w:rPr>
          <w:rFonts w:ascii="Arial" w:cs="Arial" w:eastAsia="Arial" w:hAnsi="Arial"/>
          <w:sz w:val="15"/>
          <w:szCs w:val="15"/>
          <w:color w:val="auto"/>
        </w:rPr>
        <w:t>ARTICLE II THE CREDITS</w:t>
      </w:r>
      <w:r>
        <w:rPr>
          <w:sz w:val="20"/>
          <w:szCs w:val="20"/>
          <w:color w:val="auto"/>
        </w:rPr>
        <w:tab/>
      </w:r>
      <w:r>
        <w:rPr>
          <w:rFonts w:ascii="Arial" w:cs="Arial" w:eastAsia="Arial" w:hAnsi="Arial"/>
          <w:sz w:val="14"/>
          <w:szCs w:val="14"/>
          <w:color w:val="auto"/>
        </w:rPr>
        <w:t>50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2.01.The Commitments50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2.02.Loans and Borrowings50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2.03.Requests for Syndicated Borrowings51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2.04.Swingline Loans52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2.05.Letters of Credit55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2.06.Funding of Borrowings60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2.07.Interest Elections60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2.08.Termination, Reduction or Increase of the Commitments62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2.09.Repayment of Loans; Evidence of Debt65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2.10.Prepayment of Loans67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2.11.Fees70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2.12.Interest72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2.13.Inability to Determine Interest Rates; Benchmark Replacement Setting73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2.14.Increased Costs74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2.15.Break Funding Payments76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2.16.Taxes76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2.17.Payments Generally; Pro Rata Treatment: Sharing of Set-offs80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2.18.Mitigation Obligations; Replacement of Lenders83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2.19.Defaulting Lenders83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2.20.Reallocation Following a Non-Extended Commitment Termination Date87</w:t>
      </w:r>
    </w:p>
    <w:p>
      <w:pPr>
        <w:spacing w:after="0" w:line="73"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80"/>
          </w:cols>
          <w:pgMar w:left="300" w:top="120" w:right="419" w:bottom="1440" w:gutter="0" w:footer="0" w:header="0"/>
        </w:sectPr>
      </w:pPr>
    </w:p>
    <w:bookmarkStart w:id="109" w:name="page110"/>
    <w:bookmarkEnd w:id="109"/>
    <w:p>
      <w:pPr>
        <w:jc w:val="center"/>
        <w:ind w:right="-139"/>
        <w:spacing w:after="0"/>
        <w:rPr>
          <w:sz w:val="20"/>
          <w:szCs w:val="20"/>
          <w:color w:val="auto"/>
        </w:rPr>
      </w:pPr>
      <w:r>
        <w:rPr>
          <w:rFonts w:ascii="Arial" w:cs="Arial" w:eastAsia="Arial" w:hAnsi="Arial"/>
          <w:sz w:val="15"/>
          <w:szCs w:val="15"/>
          <w:b w:val="1"/>
          <w:bCs w:val="1"/>
          <w:color w:val="auto"/>
        </w:rPr>
        <w:t>TABLE OF CONTENTS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(continued)</w:t>
      </w:r>
    </w:p>
    <w:p>
      <w:pPr>
        <w:jc w:val="right"/>
        <w:spacing w:after="0"/>
        <w:rPr>
          <w:sz w:val="20"/>
          <w:szCs w:val="20"/>
          <w:color w:val="auto"/>
        </w:rPr>
      </w:pPr>
      <w:r>
        <w:rPr>
          <w:rFonts w:ascii="Arial" w:cs="Arial" w:eastAsia="Arial" w:hAnsi="Arial"/>
          <w:sz w:val="15"/>
          <w:szCs w:val="15"/>
          <w:b w:val="1"/>
          <w:bCs w:val="1"/>
          <w:color w:val="auto"/>
        </w:rPr>
        <w:t>Page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2.21.Effect of Benchmark Transition Event89</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ARTICLE III REPRESENTATIONS AND WARRANTIES91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3.01.Organization; Powers91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3.02.Authorization; Enforceability91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3.03.Governmental Approvals; No Conflicts91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3.04.Financial Condition; No Material Adverse Change91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3.05.Litigation92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3.06.Compliance with Laws and Agreements92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3.07.Taxes92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3.08.ERISA92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3.09.Disclosure92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3.10.Investment Company Act; Margin Regulations93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3.11.Material Agreements and Liens93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3.12.Subsidiaries and Investments94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3.13.Properties94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3.14.Affiliate Agreements94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3.15.Sanctions94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3.16.Patriot Act95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3.17.Collateral Documents95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3.18.EEA Financial Institutions95</w:t>
      </w:r>
    </w:p>
    <w:p>
      <w:pPr>
        <w:spacing w:after="0" w:line="73" w:lineRule="exact"/>
        <w:rPr>
          <w:sz w:val="20"/>
          <w:szCs w:val="20"/>
          <w:color w:val="auto"/>
        </w:rPr>
      </w:pPr>
    </w:p>
    <w:p>
      <w:pPr>
        <w:spacing w:after="0"/>
        <w:tabs>
          <w:tab w:leader="none" w:pos="1980" w:val="left"/>
        </w:tabs>
        <w:rPr>
          <w:sz w:val="20"/>
          <w:szCs w:val="20"/>
          <w:color w:val="auto"/>
        </w:rPr>
      </w:pPr>
      <w:r>
        <w:rPr>
          <w:rFonts w:ascii="Arial" w:cs="Arial" w:eastAsia="Arial" w:hAnsi="Arial"/>
          <w:sz w:val="15"/>
          <w:szCs w:val="15"/>
          <w:color w:val="auto"/>
        </w:rPr>
        <w:t>ARTICLE IV CONDITIONS</w:t>
      </w:r>
      <w:r>
        <w:rPr>
          <w:sz w:val="20"/>
          <w:szCs w:val="20"/>
          <w:color w:val="auto"/>
        </w:rPr>
        <w:tab/>
      </w:r>
      <w:r>
        <w:rPr>
          <w:rFonts w:ascii="Arial" w:cs="Arial" w:eastAsia="Arial" w:hAnsi="Arial"/>
          <w:sz w:val="14"/>
          <w:szCs w:val="14"/>
          <w:color w:val="auto"/>
        </w:rPr>
        <w:t>95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4.01.Effective Date95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4.02.Each Credit Event96</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ARTICLE V AFFIRMATIVE COVENANTS97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5.01.Financial Statements and Other Information97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5.02.Notices of Material Events99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5.03.Existence: Conduct of Business99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5.04.Payment of Obligations99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5.05.Maintenance of Properties; Insurance100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5.06.Books and Records; Inspection and Audit Rights100</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80"/>
          </w:cols>
          <w:pgMar w:left="300" w:top="120" w:right="419" w:bottom="1440" w:gutter="0" w:footer="0" w:header="0"/>
        </w:sectPr>
      </w:pPr>
    </w:p>
    <w:bookmarkStart w:id="110" w:name="page111"/>
    <w:bookmarkEnd w:id="110"/>
    <w:p>
      <w:pPr>
        <w:jc w:val="center"/>
        <w:ind w:right="-139"/>
        <w:spacing w:after="0"/>
        <w:rPr>
          <w:sz w:val="20"/>
          <w:szCs w:val="20"/>
          <w:color w:val="auto"/>
        </w:rPr>
      </w:pPr>
      <w:r>
        <w:rPr>
          <w:rFonts w:ascii="Arial" w:cs="Arial" w:eastAsia="Arial" w:hAnsi="Arial"/>
          <w:sz w:val="15"/>
          <w:szCs w:val="15"/>
          <w:b w:val="1"/>
          <w:bCs w:val="1"/>
          <w:color w:val="auto"/>
        </w:rPr>
        <w:t>TABLE OF CONTENTS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(continued)</w:t>
      </w:r>
    </w:p>
    <w:p>
      <w:pPr>
        <w:jc w:val="right"/>
        <w:spacing w:after="0"/>
        <w:rPr>
          <w:sz w:val="20"/>
          <w:szCs w:val="20"/>
          <w:color w:val="auto"/>
        </w:rPr>
      </w:pPr>
      <w:r>
        <w:rPr>
          <w:rFonts w:ascii="Arial" w:cs="Arial" w:eastAsia="Arial" w:hAnsi="Arial"/>
          <w:sz w:val="15"/>
          <w:szCs w:val="15"/>
          <w:b w:val="1"/>
          <w:bCs w:val="1"/>
          <w:color w:val="auto"/>
        </w:rPr>
        <w:t>Page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5.07.Compliance with Laws100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5.08.Certain Obligations Respecting Subsidiaries; Further Assurances100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5.09.Use of Proceeds101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5.10.Status of RIC and BDC101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5.11.Investment Policies101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5.12.Portfolio Valuation and Diversification Etc.102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5.13.Calculation of Borrowing Base105</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ARTICLE VI NEGATIVE COVENANTS110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6.01.Indebtedness110</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6.02.Liens112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6.03.Fundamental Changes113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6.04.Investments114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6.05.Restricted Payments115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6.06.Certain Restrictions on Subsidiaries116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6.07.Certain Financial Covenants116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6.08.Transactions with Affiliates117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6.09.Lines of Business117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6.10.No Further Negative Pledge117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6.11.Modifications of Longer-Term Indebtedness Documents118</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6.12.Payments of Longer-Term Indebtedness, the 2022 Convertible Notes, the 2023 Notes, the 2024 Notes and the 2026 Notes118</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6.13.Accounting Changes119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6.14.SBIC Guarantee119</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ARTICLE VII EVENTS OF DEFAULT119</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ARTICLE VIII THE ADMINISTRATIVE AGENT123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8.01.Appointment of the Administrative Agent123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8.02.Capacity as Lender124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8.03.Limitation of Duties; Exculpation124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8.04.Reliance124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8.05.Sub-Agents125</w:t>
      </w:r>
    </w:p>
    <w:p>
      <w:pPr>
        <w:spacing w:after="0" w:line="73"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80"/>
          </w:cols>
          <w:pgMar w:left="300" w:top="120" w:right="419" w:bottom="1440" w:gutter="0" w:footer="0" w:header="0"/>
        </w:sectPr>
      </w:pPr>
    </w:p>
    <w:bookmarkStart w:id="111" w:name="page112"/>
    <w:bookmarkEnd w:id="111"/>
    <w:p>
      <w:pPr>
        <w:jc w:val="center"/>
        <w:ind w:right="-139"/>
        <w:spacing w:after="0"/>
        <w:rPr>
          <w:sz w:val="20"/>
          <w:szCs w:val="20"/>
          <w:color w:val="auto"/>
        </w:rPr>
      </w:pPr>
      <w:r>
        <w:rPr>
          <w:rFonts w:ascii="Arial" w:cs="Arial" w:eastAsia="Arial" w:hAnsi="Arial"/>
          <w:sz w:val="15"/>
          <w:szCs w:val="15"/>
          <w:b w:val="1"/>
          <w:bCs w:val="1"/>
          <w:color w:val="auto"/>
        </w:rPr>
        <w:t>TABLE OF CONTENTS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(continued)</w:t>
      </w:r>
    </w:p>
    <w:p>
      <w:pPr>
        <w:jc w:val="right"/>
        <w:spacing w:after="0"/>
        <w:rPr>
          <w:sz w:val="20"/>
          <w:szCs w:val="20"/>
          <w:color w:val="auto"/>
        </w:rPr>
      </w:pPr>
      <w:r>
        <w:rPr>
          <w:rFonts w:ascii="Arial" w:cs="Arial" w:eastAsia="Arial" w:hAnsi="Arial"/>
          <w:sz w:val="15"/>
          <w:szCs w:val="15"/>
          <w:b w:val="1"/>
          <w:bCs w:val="1"/>
          <w:color w:val="auto"/>
        </w:rPr>
        <w:t>Page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8.06.Resignation; Successor Administrative Agent125</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8.07.Reliance by Lenders126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8.08.Modifications to Loan Documents126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8.09.Erroneous Payments126</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ARTICLE IX MISCELLANEOUS129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9.01.Notices; Electronic Communications129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9.02.Waivers; Amendments132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9.03.Expenses; Indemnity; Damage Waiver134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9.04.Successors and Assigns136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9.05.Survival141</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9.06.Counterparts; Integration; Effectiveness; Electronic Execution142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9.07.Severability142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9.08.Right of Setoff142</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9.09.Governing Law; Jurisdiction; Etc143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9.10.WAIVER OF JURY TRIAL143</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9.11.Judgment Currency144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9.12.Headings144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9.13.Treatment of Certain Information; No Fiduciary Duty; Confidentiality144</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9.14.USA PATRIOT Act146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9.15.Effect of Amendment and Restatement of the Existing Credit Agreement146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9.16.Reaffirmation of Guarantee and Security Agreement146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9.17.Acknowledgement and Consent to Bail-In of Affected Financial Institutions146</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9.18.Certain ERISA Matters147</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5"/>
          <w:szCs w:val="15"/>
          <w:color w:val="auto"/>
        </w:rPr>
        <w:t>SECTION 9.19.Acknowledgement Regarding Any Supported QFCs149</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180"/>
          </w:cols>
          <w:pgMar w:left="300" w:top="120" w:right="4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5"/>
                <w:szCs w:val="15"/>
                <w:color w:val="auto"/>
              </w:rPr>
              <w:t>SCHEDULE 1.01(a)</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3340" w:type="dxa"/>
            <w:vAlign w:val="bottom"/>
          </w:tcPr>
          <w:p>
            <w:pPr>
              <w:ind w:left="300"/>
              <w:spacing w:after="0"/>
              <w:rPr>
                <w:sz w:val="20"/>
                <w:szCs w:val="20"/>
                <w:color w:val="auto"/>
              </w:rPr>
            </w:pPr>
            <w:r>
              <w:rPr>
                <w:rFonts w:ascii="Arial" w:cs="Arial" w:eastAsia="Arial" w:hAnsi="Arial"/>
                <w:sz w:val="15"/>
                <w:szCs w:val="15"/>
                <w:color w:val="auto"/>
                <w:w w:val="91"/>
              </w:rPr>
              <w:t>Approved Dealers and Approved Pricing Services</w:t>
            </w:r>
          </w:p>
        </w:tc>
      </w:tr>
      <w:tr>
        <w:trPr>
          <w:trHeight w:val="170"/>
        </w:trPr>
        <w:tc>
          <w:tcPr>
            <w:tcW w:w="1940" w:type="dxa"/>
            <w:vAlign w:val="bottom"/>
          </w:tcPr>
          <w:p>
            <w:pPr>
              <w:spacing w:after="0" w:line="170" w:lineRule="exact"/>
              <w:rPr>
                <w:sz w:val="20"/>
                <w:szCs w:val="20"/>
                <w:color w:val="auto"/>
              </w:rPr>
            </w:pPr>
            <w:r>
              <w:rPr>
                <w:rFonts w:ascii="Arial" w:cs="Arial" w:eastAsia="Arial" w:hAnsi="Arial"/>
                <w:sz w:val="15"/>
                <w:szCs w:val="15"/>
                <w:color w:val="auto"/>
              </w:rPr>
              <w:t>SCHEDULE 1.01(b)</w:t>
            </w:r>
          </w:p>
        </w:tc>
        <w:tc>
          <w:tcPr>
            <w:tcW w:w="1040" w:type="dxa"/>
            <w:vAlign w:val="bottom"/>
          </w:tcPr>
          <w:p>
            <w:pPr>
              <w:jc w:val="right"/>
              <w:ind w:right="64"/>
              <w:spacing w:after="0" w:line="170" w:lineRule="exact"/>
              <w:rPr>
                <w:sz w:val="20"/>
                <w:szCs w:val="20"/>
                <w:color w:val="auto"/>
              </w:rPr>
            </w:pPr>
            <w:r>
              <w:rPr>
                <w:rFonts w:ascii="Arial" w:cs="Arial" w:eastAsia="Arial" w:hAnsi="Arial"/>
                <w:sz w:val="15"/>
                <w:szCs w:val="15"/>
                <w:color w:val="auto"/>
              </w:rPr>
              <w:t>-</w:t>
            </w:r>
          </w:p>
        </w:tc>
        <w:tc>
          <w:tcPr>
            <w:tcW w:w="3340" w:type="dxa"/>
            <w:vAlign w:val="bottom"/>
          </w:tcPr>
          <w:p>
            <w:pPr>
              <w:ind w:left="320"/>
              <w:spacing w:after="0" w:line="170" w:lineRule="exact"/>
              <w:rPr>
                <w:sz w:val="20"/>
                <w:szCs w:val="20"/>
                <w:color w:val="auto"/>
              </w:rPr>
            </w:pPr>
            <w:r>
              <w:rPr>
                <w:rFonts w:ascii="Arial" w:cs="Arial" w:eastAsia="Arial" w:hAnsi="Arial"/>
                <w:sz w:val="15"/>
                <w:szCs w:val="15"/>
                <w:color w:val="auto"/>
              </w:rPr>
              <w:t>Commitments</w:t>
            </w:r>
          </w:p>
        </w:tc>
      </w:tr>
      <w:tr>
        <w:trPr>
          <w:trHeight w:val="170"/>
        </w:trPr>
        <w:tc>
          <w:tcPr>
            <w:tcW w:w="1940" w:type="dxa"/>
            <w:vAlign w:val="bottom"/>
          </w:tcPr>
          <w:p>
            <w:pPr>
              <w:spacing w:after="0" w:line="170" w:lineRule="exact"/>
              <w:rPr>
                <w:sz w:val="20"/>
                <w:szCs w:val="20"/>
                <w:color w:val="auto"/>
              </w:rPr>
            </w:pPr>
            <w:r>
              <w:rPr>
                <w:rFonts w:ascii="Arial" w:cs="Arial" w:eastAsia="Arial" w:hAnsi="Arial"/>
                <w:sz w:val="15"/>
                <w:szCs w:val="15"/>
                <w:color w:val="auto"/>
              </w:rPr>
              <w:t>SCHEDULE 1.01(c)</w:t>
            </w:r>
          </w:p>
        </w:tc>
        <w:tc>
          <w:tcPr>
            <w:tcW w:w="1040" w:type="dxa"/>
            <w:vAlign w:val="bottom"/>
          </w:tcPr>
          <w:p>
            <w:pPr>
              <w:jc w:val="right"/>
              <w:ind w:right="64"/>
              <w:spacing w:after="0" w:line="170" w:lineRule="exact"/>
              <w:rPr>
                <w:sz w:val="20"/>
                <w:szCs w:val="20"/>
                <w:color w:val="auto"/>
              </w:rPr>
            </w:pPr>
            <w:r>
              <w:rPr>
                <w:rFonts w:ascii="Arial" w:cs="Arial" w:eastAsia="Arial" w:hAnsi="Arial"/>
                <w:sz w:val="15"/>
                <w:szCs w:val="15"/>
                <w:color w:val="auto"/>
              </w:rPr>
              <w:t>-</w:t>
            </w:r>
          </w:p>
        </w:tc>
        <w:tc>
          <w:tcPr>
            <w:tcW w:w="3340" w:type="dxa"/>
            <w:vAlign w:val="bottom"/>
          </w:tcPr>
          <w:p>
            <w:pPr>
              <w:ind w:left="300"/>
              <w:spacing w:after="0" w:line="170" w:lineRule="exact"/>
              <w:rPr>
                <w:sz w:val="20"/>
                <w:szCs w:val="20"/>
                <w:color w:val="auto"/>
              </w:rPr>
            </w:pPr>
            <w:r>
              <w:rPr>
                <w:rFonts w:ascii="Arial" w:cs="Arial" w:eastAsia="Arial" w:hAnsi="Arial"/>
                <w:sz w:val="15"/>
                <w:szCs w:val="15"/>
                <w:color w:val="auto"/>
              </w:rPr>
              <w:t>Industry Classification Group List</w:t>
            </w:r>
          </w:p>
        </w:tc>
      </w:tr>
      <w:tr>
        <w:trPr>
          <w:trHeight w:val="170"/>
        </w:trPr>
        <w:tc>
          <w:tcPr>
            <w:tcW w:w="1940" w:type="dxa"/>
            <w:vAlign w:val="bottom"/>
          </w:tcPr>
          <w:p>
            <w:pPr>
              <w:spacing w:after="0" w:line="170" w:lineRule="exact"/>
              <w:rPr>
                <w:sz w:val="20"/>
                <w:szCs w:val="20"/>
                <w:color w:val="auto"/>
              </w:rPr>
            </w:pPr>
            <w:r>
              <w:rPr>
                <w:rFonts w:ascii="Arial" w:cs="Arial" w:eastAsia="Arial" w:hAnsi="Arial"/>
                <w:sz w:val="15"/>
                <w:szCs w:val="15"/>
                <w:color w:val="auto"/>
              </w:rPr>
              <w:t>SCHEDULE 2.05</w:t>
            </w:r>
          </w:p>
        </w:tc>
        <w:tc>
          <w:tcPr>
            <w:tcW w:w="1040" w:type="dxa"/>
            <w:vAlign w:val="bottom"/>
          </w:tcPr>
          <w:p>
            <w:pPr>
              <w:jc w:val="right"/>
              <w:ind w:right="244"/>
              <w:spacing w:after="0" w:line="170" w:lineRule="exact"/>
              <w:rPr>
                <w:sz w:val="20"/>
                <w:szCs w:val="20"/>
                <w:color w:val="auto"/>
              </w:rPr>
            </w:pPr>
            <w:r>
              <w:rPr>
                <w:rFonts w:ascii="Arial" w:cs="Arial" w:eastAsia="Arial" w:hAnsi="Arial"/>
                <w:sz w:val="15"/>
                <w:szCs w:val="15"/>
                <w:color w:val="auto"/>
              </w:rPr>
              <w:t>-</w:t>
            </w:r>
          </w:p>
        </w:tc>
        <w:tc>
          <w:tcPr>
            <w:tcW w:w="3340" w:type="dxa"/>
            <w:vAlign w:val="bottom"/>
          </w:tcPr>
          <w:p>
            <w:pPr>
              <w:ind w:left="140"/>
              <w:spacing w:after="0" w:line="170" w:lineRule="exact"/>
              <w:rPr>
                <w:sz w:val="20"/>
                <w:szCs w:val="20"/>
                <w:color w:val="auto"/>
              </w:rPr>
            </w:pPr>
            <w:r>
              <w:rPr>
                <w:rFonts w:ascii="Arial" w:cs="Arial" w:eastAsia="Arial" w:hAnsi="Arial"/>
                <w:sz w:val="15"/>
                <w:szCs w:val="15"/>
                <w:color w:val="auto"/>
              </w:rPr>
              <w:t>Issuing Bank LC Exposure</w:t>
            </w:r>
          </w:p>
        </w:tc>
      </w:tr>
      <w:tr>
        <w:trPr>
          <w:trHeight w:val="170"/>
        </w:trPr>
        <w:tc>
          <w:tcPr>
            <w:tcW w:w="1940" w:type="dxa"/>
            <w:vAlign w:val="bottom"/>
          </w:tcPr>
          <w:p>
            <w:pPr>
              <w:spacing w:after="0" w:line="170" w:lineRule="exact"/>
              <w:rPr>
                <w:sz w:val="20"/>
                <w:szCs w:val="20"/>
                <w:color w:val="auto"/>
              </w:rPr>
            </w:pPr>
            <w:r>
              <w:rPr>
                <w:rFonts w:ascii="Arial" w:cs="Arial" w:eastAsia="Arial" w:hAnsi="Arial"/>
                <w:sz w:val="15"/>
                <w:szCs w:val="15"/>
                <w:color w:val="auto"/>
              </w:rPr>
              <w:t>SCHEDULE 3.11</w:t>
            </w:r>
          </w:p>
        </w:tc>
        <w:tc>
          <w:tcPr>
            <w:tcW w:w="1040" w:type="dxa"/>
            <w:vAlign w:val="bottom"/>
          </w:tcPr>
          <w:p>
            <w:pPr>
              <w:jc w:val="right"/>
              <w:ind w:right="244"/>
              <w:spacing w:after="0" w:line="170" w:lineRule="exact"/>
              <w:rPr>
                <w:sz w:val="20"/>
                <w:szCs w:val="20"/>
                <w:color w:val="auto"/>
              </w:rPr>
            </w:pPr>
            <w:r>
              <w:rPr>
                <w:rFonts w:ascii="Arial" w:cs="Arial" w:eastAsia="Arial" w:hAnsi="Arial"/>
                <w:sz w:val="15"/>
                <w:szCs w:val="15"/>
                <w:color w:val="auto"/>
              </w:rPr>
              <w:t>-</w:t>
            </w:r>
          </w:p>
        </w:tc>
        <w:tc>
          <w:tcPr>
            <w:tcW w:w="3340" w:type="dxa"/>
            <w:vAlign w:val="bottom"/>
          </w:tcPr>
          <w:p>
            <w:pPr>
              <w:ind w:left="140"/>
              <w:spacing w:after="0" w:line="170" w:lineRule="exact"/>
              <w:rPr>
                <w:sz w:val="20"/>
                <w:szCs w:val="20"/>
                <w:color w:val="auto"/>
              </w:rPr>
            </w:pPr>
            <w:r>
              <w:rPr>
                <w:rFonts w:ascii="Arial" w:cs="Arial" w:eastAsia="Arial" w:hAnsi="Arial"/>
                <w:sz w:val="15"/>
                <w:szCs w:val="15"/>
                <w:color w:val="auto"/>
              </w:rPr>
              <w:t>Material Agreements and Liens</w:t>
            </w:r>
          </w:p>
        </w:tc>
      </w:tr>
      <w:tr>
        <w:trPr>
          <w:trHeight w:val="170"/>
        </w:trPr>
        <w:tc>
          <w:tcPr>
            <w:tcW w:w="1940" w:type="dxa"/>
            <w:vAlign w:val="bottom"/>
          </w:tcPr>
          <w:p>
            <w:pPr>
              <w:spacing w:after="0" w:line="170" w:lineRule="exact"/>
              <w:rPr>
                <w:sz w:val="20"/>
                <w:szCs w:val="20"/>
                <w:color w:val="auto"/>
              </w:rPr>
            </w:pPr>
            <w:r>
              <w:rPr>
                <w:rFonts w:ascii="Arial" w:cs="Arial" w:eastAsia="Arial" w:hAnsi="Arial"/>
                <w:sz w:val="15"/>
                <w:szCs w:val="15"/>
                <w:color w:val="auto"/>
              </w:rPr>
              <w:t>SCHEDULE 3.12(a)</w:t>
            </w:r>
          </w:p>
        </w:tc>
        <w:tc>
          <w:tcPr>
            <w:tcW w:w="1040" w:type="dxa"/>
            <w:vAlign w:val="bottom"/>
          </w:tcPr>
          <w:p>
            <w:pPr>
              <w:jc w:val="right"/>
              <w:ind w:right="64"/>
              <w:spacing w:after="0" w:line="170" w:lineRule="exact"/>
              <w:rPr>
                <w:sz w:val="20"/>
                <w:szCs w:val="20"/>
                <w:color w:val="auto"/>
              </w:rPr>
            </w:pPr>
            <w:r>
              <w:rPr>
                <w:rFonts w:ascii="Arial" w:cs="Arial" w:eastAsia="Arial" w:hAnsi="Arial"/>
                <w:sz w:val="15"/>
                <w:szCs w:val="15"/>
                <w:color w:val="auto"/>
              </w:rPr>
              <w:t>-</w:t>
            </w:r>
          </w:p>
        </w:tc>
        <w:tc>
          <w:tcPr>
            <w:tcW w:w="3340" w:type="dxa"/>
            <w:vAlign w:val="bottom"/>
          </w:tcPr>
          <w:p>
            <w:pPr>
              <w:ind w:left="300"/>
              <w:spacing w:after="0" w:line="170" w:lineRule="exact"/>
              <w:rPr>
                <w:sz w:val="20"/>
                <w:szCs w:val="20"/>
                <w:color w:val="auto"/>
              </w:rPr>
            </w:pPr>
            <w:r>
              <w:rPr>
                <w:rFonts w:ascii="Arial" w:cs="Arial" w:eastAsia="Arial" w:hAnsi="Arial"/>
                <w:sz w:val="15"/>
                <w:szCs w:val="15"/>
                <w:color w:val="auto"/>
              </w:rPr>
              <w:t>Subsidiaries</w:t>
            </w:r>
          </w:p>
        </w:tc>
      </w:tr>
      <w:tr>
        <w:trPr>
          <w:trHeight w:val="182"/>
        </w:trPr>
        <w:tc>
          <w:tcPr>
            <w:tcW w:w="1940" w:type="dxa"/>
            <w:vAlign w:val="bottom"/>
          </w:tcPr>
          <w:p>
            <w:pPr>
              <w:spacing w:after="0"/>
              <w:rPr>
                <w:sz w:val="20"/>
                <w:szCs w:val="20"/>
                <w:color w:val="auto"/>
              </w:rPr>
            </w:pPr>
            <w:r>
              <w:rPr>
                <w:rFonts w:ascii="Arial" w:cs="Arial" w:eastAsia="Arial" w:hAnsi="Arial"/>
                <w:sz w:val="15"/>
                <w:szCs w:val="15"/>
                <w:color w:val="auto"/>
              </w:rPr>
              <w:t>SCHEDULE 3.12(b)</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3340" w:type="dxa"/>
            <w:vAlign w:val="bottom"/>
          </w:tcPr>
          <w:p>
            <w:pPr>
              <w:ind w:left="320"/>
              <w:spacing w:after="0"/>
              <w:rPr>
                <w:sz w:val="20"/>
                <w:szCs w:val="20"/>
                <w:color w:val="auto"/>
              </w:rPr>
            </w:pPr>
            <w:r>
              <w:rPr>
                <w:rFonts w:ascii="Arial" w:cs="Arial" w:eastAsia="Arial" w:hAnsi="Arial"/>
                <w:sz w:val="15"/>
                <w:szCs w:val="15"/>
                <w:color w:val="auto"/>
              </w:rPr>
              <w:t>Investments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80" w:type="dxa"/>
            <w:vAlign w:val="bottom"/>
          </w:tcPr>
          <w:p>
            <w:pPr>
              <w:spacing w:after="0"/>
              <w:rPr>
                <w:sz w:val="20"/>
                <w:szCs w:val="20"/>
                <w:color w:val="auto"/>
              </w:rPr>
            </w:pPr>
            <w:r>
              <w:rPr>
                <w:rFonts w:ascii="Arial" w:cs="Arial" w:eastAsia="Arial" w:hAnsi="Arial"/>
                <w:sz w:val="15"/>
                <w:szCs w:val="15"/>
                <w:color w:val="auto"/>
              </w:rPr>
              <w:t>SCHEDULE 6.08</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8600" w:type="dxa"/>
            <w:vAlign w:val="bottom"/>
          </w:tcPr>
          <w:p>
            <w:pPr>
              <w:ind w:left="1460"/>
              <w:spacing w:after="0"/>
              <w:rPr>
                <w:sz w:val="20"/>
                <w:szCs w:val="20"/>
                <w:color w:val="auto"/>
              </w:rPr>
            </w:pPr>
            <w:r>
              <w:rPr>
                <w:rFonts w:ascii="Arial" w:cs="Arial" w:eastAsia="Arial" w:hAnsi="Arial"/>
                <w:sz w:val="15"/>
                <w:szCs w:val="15"/>
                <w:color w:val="auto"/>
              </w:rPr>
              <w:t>Transactions with Affiliates</w:t>
            </w:r>
          </w:p>
        </w:tc>
      </w:tr>
      <w:tr>
        <w:trPr>
          <w:trHeight w:val="591"/>
        </w:trPr>
        <w:tc>
          <w:tcPr>
            <w:tcW w:w="1680" w:type="dxa"/>
            <w:vAlign w:val="bottom"/>
          </w:tcPr>
          <w:p>
            <w:pPr>
              <w:spacing w:after="0"/>
              <w:rPr>
                <w:sz w:val="20"/>
                <w:szCs w:val="20"/>
                <w:color w:val="auto"/>
              </w:rPr>
            </w:pPr>
            <w:r>
              <w:rPr>
                <w:rFonts w:ascii="Arial" w:cs="Arial" w:eastAsia="Arial" w:hAnsi="Arial"/>
                <w:sz w:val="15"/>
                <w:szCs w:val="15"/>
                <w:color w:val="auto"/>
              </w:rPr>
              <w:t>EXHIBIT A</w:t>
            </w:r>
          </w:p>
        </w:tc>
        <w:tc>
          <w:tcPr>
            <w:tcW w:w="10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8600" w:type="dxa"/>
            <w:vAlign w:val="bottom"/>
          </w:tcPr>
          <w:p>
            <w:pPr>
              <w:ind w:left="60"/>
              <w:spacing w:after="0"/>
              <w:rPr>
                <w:sz w:val="20"/>
                <w:szCs w:val="20"/>
                <w:color w:val="auto"/>
              </w:rPr>
            </w:pPr>
            <w:r>
              <w:rPr>
                <w:rFonts w:ascii="Arial" w:cs="Arial" w:eastAsia="Arial" w:hAnsi="Arial"/>
                <w:sz w:val="15"/>
                <w:szCs w:val="15"/>
                <w:color w:val="auto"/>
              </w:rPr>
              <w:t>Form of Assignment and Assumption</w:t>
            </w:r>
          </w:p>
        </w:tc>
      </w:tr>
      <w:tr>
        <w:trPr>
          <w:trHeight w:val="170"/>
        </w:trPr>
        <w:tc>
          <w:tcPr>
            <w:tcW w:w="1680" w:type="dxa"/>
            <w:vAlign w:val="bottom"/>
          </w:tcPr>
          <w:p>
            <w:pPr>
              <w:spacing w:after="0" w:line="170" w:lineRule="exact"/>
              <w:rPr>
                <w:sz w:val="20"/>
                <w:szCs w:val="20"/>
                <w:color w:val="auto"/>
              </w:rPr>
            </w:pPr>
            <w:r>
              <w:rPr>
                <w:rFonts w:ascii="Arial" w:cs="Arial" w:eastAsia="Arial" w:hAnsi="Arial"/>
                <w:sz w:val="15"/>
                <w:szCs w:val="15"/>
                <w:color w:val="auto"/>
              </w:rPr>
              <w:t>EXHIBIT B</w:t>
            </w:r>
          </w:p>
        </w:tc>
        <w:tc>
          <w:tcPr>
            <w:tcW w:w="1040" w:type="dxa"/>
            <w:vAlign w:val="bottom"/>
          </w:tcPr>
          <w:p>
            <w:pPr>
              <w:jc w:val="right"/>
              <w:ind w:right="324"/>
              <w:spacing w:after="0" w:line="170" w:lineRule="exact"/>
              <w:rPr>
                <w:sz w:val="20"/>
                <w:szCs w:val="20"/>
                <w:color w:val="auto"/>
              </w:rPr>
            </w:pPr>
            <w:r>
              <w:rPr>
                <w:rFonts w:ascii="Arial" w:cs="Arial" w:eastAsia="Arial" w:hAnsi="Arial"/>
                <w:sz w:val="15"/>
                <w:szCs w:val="15"/>
                <w:color w:val="auto"/>
              </w:rPr>
              <w:t>-</w:t>
            </w:r>
          </w:p>
        </w:tc>
        <w:tc>
          <w:tcPr>
            <w:tcW w:w="8600" w:type="dxa"/>
            <w:vAlign w:val="bottom"/>
          </w:tcPr>
          <w:p>
            <w:pPr>
              <w:ind w:left="40"/>
              <w:spacing w:after="0" w:line="170" w:lineRule="exact"/>
              <w:rPr>
                <w:sz w:val="20"/>
                <w:szCs w:val="20"/>
                <w:color w:val="auto"/>
              </w:rPr>
            </w:pPr>
            <w:r>
              <w:rPr>
                <w:rFonts w:ascii="Arial" w:cs="Arial" w:eastAsia="Arial" w:hAnsi="Arial"/>
                <w:sz w:val="15"/>
                <w:szCs w:val="15"/>
                <w:color w:val="auto"/>
              </w:rPr>
              <w:t>Form of Borrowing Base Certificate</w:t>
            </w:r>
          </w:p>
        </w:tc>
      </w:tr>
      <w:tr>
        <w:trPr>
          <w:trHeight w:val="191"/>
        </w:trPr>
        <w:tc>
          <w:tcPr>
            <w:tcW w:w="1680" w:type="dxa"/>
            <w:vAlign w:val="bottom"/>
          </w:tcPr>
          <w:p>
            <w:pPr>
              <w:spacing w:after="0"/>
              <w:rPr>
                <w:sz w:val="20"/>
                <w:szCs w:val="20"/>
                <w:color w:val="auto"/>
              </w:rPr>
            </w:pPr>
            <w:r>
              <w:rPr>
                <w:rFonts w:ascii="Arial" w:cs="Arial" w:eastAsia="Arial" w:hAnsi="Arial"/>
                <w:sz w:val="15"/>
                <w:szCs w:val="15"/>
                <w:color w:val="auto"/>
              </w:rPr>
              <w:t>EXHIBIT C</w:t>
            </w:r>
          </w:p>
        </w:tc>
        <w:tc>
          <w:tcPr>
            <w:tcW w:w="104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8600" w:type="dxa"/>
            <w:vAlign w:val="bottom"/>
          </w:tcPr>
          <w:p>
            <w:pPr>
              <w:ind w:left="40"/>
              <w:spacing w:after="0"/>
              <w:rPr>
                <w:sz w:val="20"/>
                <w:szCs w:val="20"/>
                <w:color w:val="auto"/>
              </w:rPr>
            </w:pPr>
            <w:r>
              <w:rPr>
                <w:rFonts w:ascii="Arial" w:cs="Arial" w:eastAsia="Arial" w:hAnsi="Arial"/>
                <w:sz w:val="15"/>
                <w:szCs w:val="15"/>
                <w:color w:val="auto"/>
              </w:rPr>
              <w:t>Form of Borrowing Request</w:t>
            </w:r>
          </w:p>
        </w:tc>
      </w:tr>
      <w:tr>
        <w:trPr>
          <w:trHeight w:val="674"/>
        </w:trPr>
        <w:tc>
          <w:tcPr>
            <w:tcW w:w="16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444" w:right="279" w:bottom="1440" w:gutter="0" w:footer="0" w:header="0"/>
        </w:sectPr>
      </w:pPr>
    </w:p>
    <w:bookmarkStart w:id="113" w:name="page114"/>
    <w:bookmarkEnd w:id="113"/>
    <w:p>
      <w:pPr>
        <w:jc w:val="both"/>
        <w:ind w:firstLine="1737"/>
        <w:spacing w:after="0" w:line="245" w:lineRule="auto"/>
        <w:rPr>
          <w:sz w:val="20"/>
          <w:szCs w:val="20"/>
          <w:color w:val="auto"/>
        </w:rPr>
      </w:pPr>
      <w:r>
        <w:rPr>
          <w:rFonts w:ascii="Arial" w:cs="Arial" w:eastAsia="Arial" w:hAnsi="Arial"/>
          <w:sz w:val="15"/>
          <w:szCs w:val="15"/>
          <w:color w:val="auto"/>
        </w:rPr>
        <w:t>SECOND AMENDED AND RESTATED SENIOR SECURED REVOLVING CREDIT AGREEMENT dated as of February 27, 2014, as amended as of June 3, 2014, as of June 27, 2014, as of October 17, 2014, as of October 2, 2015, as of December 22, 2016, as of February 20, 2018, as of November 5, 2018, as of February 14, 2019 and as of January 31, 2020, February 5, 2021, December 14, 2021, and April 25, 2022 (this “</w:t>
      </w:r>
      <w:r>
        <w:rPr>
          <w:rFonts w:ascii="Arial" w:cs="Arial" w:eastAsia="Arial" w:hAnsi="Arial"/>
          <w:sz w:val="15"/>
          <w:szCs w:val="15"/>
          <w:u w:val="single" w:color="auto"/>
          <w:color w:val="auto"/>
        </w:rPr>
        <w:t>Agreement</w:t>
      </w:r>
      <w:r>
        <w:rPr>
          <w:rFonts w:ascii="Arial" w:cs="Arial" w:eastAsia="Arial" w:hAnsi="Arial"/>
          <w:sz w:val="15"/>
          <w:szCs w:val="15"/>
          <w:color w:val="auto"/>
        </w:rPr>
        <w:t>”), among SIXTH STREET SPECIALTY LENDING, INC. (F/K/A TPG Specialty Lending,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the LENDERS party hereto, and TRUIST BANK, as Administrative Agent.</w:t>
      </w:r>
    </w:p>
    <w:p>
      <w:pPr>
        <w:spacing w:after="0" w:line="128"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The original Senior Secured Revolving Credit Agreement was dated as of August 23, 2012 and was amended and restated pursuant to the Amended and Restated Senior Secured Revolving Credit Agreement dated as of July 2, 2013 (as amended, supplemented or otherwise modified prior to the Effective Date, the “</w:t>
      </w:r>
      <w:r>
        <w:rPr>
          <w:rFonts w:ascii="Arial" w:cs="Arial" w:eastAsia="Arial" w:hAnsi="Arial"/>
          <w:sz w:val="15"/>
          <w:szCs w:val="15"/>
          <w:u w:val="single" w:color="auto"/>
          <w:color w:val="auto"/>
        </w:rPr>
        <w:t>Existing Credit</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among the Borrower, the lenders party thereto (collectively, the “</w:t>
      </w:r>
      <w:r>
        <w:rPr>
          <w:rFonts w:ascii="Arial" w:cs="Arial" w:eastAsia="Arial" w:hAnsi="Arial"/>
          <w:sz w:val="15"/>
          <w:szCs w:val="15"/>
          <w:u w:val="single" w:color="auto"/>
          <w:color w:val="auto"/>
        </w:rPr>
        <w:t>Existing Lenders</w:t>
      </w:r>
      <w:r>
        <w:rPr>
          <w:rFonts w:ascii="Arial" w:cs="Arial" w:eastAsia="Arial" w:hAnsi="Arial"/>
          <w:sz w:val="15"/>
          <w:szCs w:val="15"/>
          <w:color w:val="auto"/>
        </w:rPr>
        <w:t>”) and the Administrative Agent, the Existing Lenders agreed to make extensions of credit to the Borrower on the terms and conditions set forth therein, including making loans (the “</w:t>
      </w:r>
      <w:r>
        <w:rPr>
          <w:rFonts w:ascii="Arial" w:cs="Arial" w:eastAsia="Arial" w:hAnsi="Arial"/>
          <w:sz w:val="15"/>
          <w:szCs w:val="15"/>
          <w:u w:val="single" w:color="auto"/>
          <w:color w:val="auto"/>
        </w:rPr>
        <w:t>Existing Loans</w:t>
      </w:r>
      <w:r>
        <w:rPr>
          <w:rFonts w:ascii="Arial" w:cs="Arial" w:eastAsia="Arial" w:hAnsi="Arial"/>
          <w:sz w:val="15"/>
          <w:szCs w:val="15"/>
          <w:color w:val="auto"/>
        </w:rPr>
        <w:t>”) to the Borrower.</w:t>
      </w:r>
    </w:p>
    <w:p>
      <w:pPr>
        <w:spacing w:after="0" w:line="128" w:lineRule="exact"/>
        <w:rPr>
          <w:sz w:val="20"/>
          <w:szCs w:val="20"/>
          <w:color w:val="auto"/>
        </w:rPr>
      </w:pPr>
    </w:p>
    <w:p>
      <w:pPr>
        <w:jc w:val="both"/>
        <w:ind w:firstLine="1737"/>
        <w:spacing w:after="0" w:line="239" w:lineRule="auto"/>
        <w:rPr>
          <w:sz w:val="20"/>
          <w:szCs w:val="20"/>
          <w:color w:val="auto"/>
        </w:rPr>
      </w:pPr>
      <w:r>
        <w:rPr>
          <w:rFonts w:ascii="Arial" w:cs="Arial" w:eastAsia="Arial" w:hAnsi="Arial"/>
          <w:sz w:val="15"/>
          <w:szCs w:val="15"/>
          <w:color w:val="auto"/>
        </w:rPr>
        <w:t>The Borrower has requested that the Existing Credit Agreement be amended and restated in its entirety to become effective and binding on the Borrower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 under the Existing Credit Agreement shall be extended or advanced upon the amended and restated terms and conditions contained in this Agreement; and (b) the Existing Loans and other obligations outstanding under the Existing Credit Agreement shall be governed by and deemed to be outstanding under the amended and restated terms and conditions contained in this Agreement on and after the date hereof, with the intent that the terms of this Agreement shall supersede the terms of the Existing Credit Agreement (each of which shall hereafter have no further effect upon the parties thereto, other than for accrued and unpaid fees and expenses, and indemnification provisions accrued and owing, under the terms of the Existing Credit Agreement on or prior to the Effective Date or arising (in the case of indemnification) under the terms of the Existing Credit Agreement).</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The parties hereto hereby agree to amend and restate the Existing Credit Agreement, and the Existing Credit Agreement is hereby amended and restated in its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entirety as follows: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ARTICLE I</w:t>
      </w:r>
    </w:p>
    <w:p>
      <w:pPr>
        <w:spacing w:after="0" w:line="168" w:lineRule="exact"/>
        <w:rPr>
          <w:sz w:val="20"/>
          <w:szCs w:val="20"/>
          <w:color w:val="auto"/>
        </w:rPr>
      </w:pPr>
    </w:p>
    <w:p>
      <w:pPr>
        <w:ind w:left="5180"/>
        <w:spacing w:after="0"/>
        <w:rPr>
          <w:sz w:val="20"/>
          <w:szCs w:val="20"/>
          <w:color w:val="auto"/>
        </w:rPr>
      </w:pPr>
      <w:r>
        <w:rPr>
          <w:rFonts w:ascii="Arial" w:cs="Arial" w:eastAsia="Arial" w:hAnsi="Arial"/>
          <w:sz w:val="15"/>
          <w:szCs w:val="15"/>
          <w:u w:val="single" w:color="auto"/>
          <w:color w:val="auto"/>
        </w:rPr>
        <w:t>DEFINITIONS</w:t>
      </w:r>
    </w:p>
    <w:p>
      <w:pPr>
        <w:spacing w:after="0" w:line="149" w:lineRule="exact"/>
        <w:rPr>
          <w:sz w:val="20"/>
          <w:szCs w:val="20"/>
          <w:color w:val="auto"/>
        </w:rPr>
      </w:pPr>
    </w:p>
    <w:p>
      <w:pPr>
        <w:ind w:left="1740"/>
        <w:spacing w:after="0"/>
        <w:tabs>
          <w:tab w:leader="none" w:pos="4840" w:val="left"/>
        </w:tabs>
        <w:rPr>
          <w:sz w:val="20"/>
          <w:szCs w:val="20"/>
          <w:color w:val="auto"/>
        </w:rPr>
      </w:pPr>
      <w:r>
        <w:rPr>
          <w:rFonts w:ascii="Arial" w:cs="Arial" w:eastAsia="Arial" w:hAnsi="Arial"/>
          <w:sz w:val="15"/>
          <w:szCs w:val="15"/>
          <w:color w:val="auto"/>
        </w:rPr>
        <w:t>SECTION 1.01.</w:t>
      </w:r>
      <w:r>
        <w:rPr>
          <w:sz w:val="20"/>
          <w:szCs w:val="20"/>
          <w:color w:val="auto"/>
        </w:rPr>
        <w:tab/>
      </w:r>
      <w:r>
        <w:rPr>
          <w:rFonts w:ascii="Arial" w:cs="Arial" w:eastAsia="Arial" w:hAnsi="Arial"/>
          <w:sz w:val="13"/>
          <w:szCs w:val="13"/>
          <w:u w:val="single" w:color="auto"/>
          <w:color w:val="auto"/>
        </w:rPr>
        <w:t>Defined Terms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 As used in this Agreement, the following terms have the meanings specified below:</w:t>
      </w:r>
    </w:p>
    <w:p>
      <w:pPr>
        <w:spacing w:after="0" w:line="149"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2022 Convertible Notes</w:t>
      </w:r>
      <w:r>
        <w:rPr>
          <w:rFonts w:ascii="Arial" w:cs="Arial" w:eastAsia="Arial" w:hAnsi="Arial"/>
          <w:sz w:val="15"/>
          <w:szCs w:val="15"/>
          <w:color w:val="auto"/>
        </w:rPr>
        <w:t>” means the Borrower’s $172,500,000 aggregate principal amount convertible notes due August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14" w:name="page115"/>
    <w:bookmarkEnd w:id="114"/>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2023 Notes</w:t>
      </w:r>
      <w:r>
        <w:rPr>
          <w:rFonts w:ascii="Arial" w:cs="Arial" w:eastAsia="Arial" w:hAnsi="Arial"/>
          <w:sz w:val="15"/>
          <w:szCs w:val="15"/>
          <w:color w:val="auto"/>
        </w:rPr>
        <w:t>” means the Borrower’s $150,000,000 aggregate principal amount notes due January 2023 issued in January 2018.</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2024 Notes</w:t>
      </w:r>
      <w:r>
        <w:rPr>
          <w:rFonts w:ascii="Arial" w:cs="Arial" w:eastAsia="Arial" w:hAnsi="Arial"/>
          <w:sz w:val="15"/>
          <w:szCs w:val="15"/>
          <w:color w:val="auto"/>
        </w:rPr>
        <w:t>” means the Borrower’s $350,000,000 aggregate principal amount notes due November 2024.</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2026 Notes</w:t>
      </w:r>
      <w:r>
        <w:rPr>
          <w:rFonts w:ascii="Arial" w:cs="Arial" w:eastAsia="Arial" w:hAnsi="Arial"/>
          <w:sz w:val="15"/>
          <w:szCs w:val="15"/>
          <w:color w:val="auto"/>
        </w:rPr>
        <w:t>” means the Borrower’s $300,000,000 aggregate principal amount notes due August 2026.</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ABR</w:t>
      </w:r>
      <w:r>
        <w:rPr>
          <w:rFonts w:ascii="Arial" w:cs="Arial" w:eastAsia="Arial" w:hAnsi="Arial"/>
          <w:sz w:val="15"/>
          <w:szCs w:val="15"/>
          <w:color w:val="auto"/>
        </w:rPr>
        <w:t>”, when used in reference to any Loan or Borrowing, refers to whether such Loan, or the Loans constituting such Borrowing, are denominated in Dollars and bearing interest at a rate determined by reference to the Alternate Base Rate.</w:t>
      </w:r>
    </w:p>
    <w:p>
      <w:pPr>
        <w:spacing w:after="0" w:line="115"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Adjusted Covered Debt Balance</w:t>
      </w:r>
      <w:r>
        <w:rPr>
          <w:rFonts w:ascii="Arial" w:cs="Arial" w:eastAsia="Arial" w:hAnsi="Arial"/>
          <w:sz w:val="15"/>
          <w:szCs w:val="15"/>
          <w:color w:val="auto"/>
        </w:rPr>
        <w:t xml:space="preserve">” means, on any date, the aggregate Covered Debt Amount on such date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aggregate amount of Cash and Cash Equivalents included in the Portfolio Investments held by the Obligors (provided that Cash Collateral for outstanding Letters of Credit shall not be treated as a portion of the Portfolio Investments).</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w:t>
      </w:r>
      <w:r>
        <w:rPr>
          <w:rFonts w:ascii="Arial" w:cs="Arial" w:eastAsia="Arial" w:hAnsi="Arial"/>
          <w:sz w:val="15"/>
          <w:szCs w:val="15"/>
          <w:color w:val="auto"/>
        </w:rPr>
        <w:t>” means Truist, in its capacity as administrative agent for the Lenders hereunder.</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 Appraisal Testing Period</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5.12(b)(ii)(E)(y)</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Agent’s Account</w:t>
      </w:r>
      <w:r>
        <w:rPr>
          <w:rFonts w:ascii="Arial" w:cs="Arial" w:eastAsia="Arial" w:hAnsi="Arial"/>
          <w:sz w:val="15"/>
          <w:szCs w:val="15"/>
          <w:color w:val="auto"/>
        </w:rPr>
        <w:t>” means, for each Currency, an account in respect of such Currency designated by the Administrative Agent in a notice to the Borrower and the Lenders.</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Administrative Questionnaire</w:t>
      </w:r>
      <w:r>
        <w:rPr>
          <w:rFonts w:ascii="Arial" w:cs="Arial" w:eastAsia="Arial" w:hAnsi="Arial"/>
          <w:sz w:val="15"/>
          <w:szCs w:val="15"/>
          <w:color w:val="auto"/>
        </w:rPr>
        <w:t>” means an administrative questionnaire in a form supplied by the Administrative Agent.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Advance Rate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5.13</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Affected Currency</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2.13</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Affected Financial Institution</w:t>
      </w:r>
      <w:r>
        <w:rPr>
          <w:rFonts w:ascii="Arial" w:cs="Arial" w:eastAsia="Arial" w:hAnsi="Arial"/>
          <w:sz w:val="15"/>
          <w:szCs w:val="15"/>
          <w:color w:val="auto"/>
        </w:rPr>
        <w:t>” means (a) any EEA Financial Institution or (b) any UK Financial Institution.</w:t>
      </w:r>
    </w:p>
    <w:p>
      <w:pPr>
        <w:spacing w:after="0" w:line="149" w:lineRule="exact"/>
        <w:rPr>
          <w:sz w:val="20"/>
          <w:szCs w:val="20"/>
          <w:color w:val="auto"/>
        </w:rPr>
      </w:pPr>
    </w:p>
    <w:p>
      <w:pPr>
        <w:jc w:val="both"/>
        <w:ind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 specified Person at any time, another Person that directly, or indirectly through one or more intermediaries, Controls or is Controlled by or is under common Control with the Person specified at such time. Anything herein to the contrary notwithstanding, the term “Affiliate” shall not include any Person that constitutes an Investment held by any Obligor or Financing Subsidiary in the ordinary course of business; provided that the term “Affiliate” shall include any Financing Subsidiary.</w:t>
      </w:r>
    </w:p>
    <w:p>
      <w:pPr>
        <w:spacing w:after="0" w:line="108" w:lineRule="exact"/>
        <w:rPr>
          <w:sz w:val="20"/>
          <w:szCs w:val="20"/>
          <w:color w:val="auto"/>
        </w:rPr>
      </w:pPr>
    </w:p>
    <w:p>
      <w:pPr>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 Agreements</w:t>
      </w:r>
      <w:r>
        <w:rPr>
          <w:rFonts w:ascii="Arial" w:cs="Arial" w:eastAsia="Arial" w:hAnsi="Arial"/>
          <w:sz w:val="15"/>
          <w:szCs w:val="15"/>
          <w:color w:val="auto"/>
        </w:rPr>
        <w:t>” means collectively, (a) the Administration Agreement dated as of March 15, 2011 between the Borrower and the External Manager, (b) the Amended and Restated Investment Advisory and Management Agreement dated as of December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15" w:name="page116"/>
    <w:bookmarkEnd w:id="115"/>
    <w:p>
      <w:pPr>
        <w:ind w:left="4"/>
        <w:spacing w:after="0"/>
        <w:rPr>
          <w:sz w:val="20"/>
          <w:szCs w:val="20"/>
          <w:color w:val="auto"/>
        </w:rPr>
      </w:pPr>
      <w:r>
        <w:rPr>
          <w:rFonts w:ascii="Arial" w:cs="Arial" w:eastAsia="Arial" w:hAnsi="Arial"/>
          <w:sz w:val="15"/>
          <w:szCs w:val="15"/>
          <w:color w:val="auto"/>
        </w:rPr>
        <w:t>between the Borrower and the External Manager and (c) the License Agreement dated as of March 14, 2011 between the Borrower and Tarrant Capital IP, LLC.</w:t>
      </w:r>
    </w:p>
    <w:p>
      <w:pPr>
        <w:spacing w:after="0" w:line="149" w:lineRule="exact"/>
        <w:rPr>
          <w:sz w:val="20"/>
          <w:szCs w:val="20"/>
          <w:color w:val="auto"/>
        </w:rPr>
      </w:pPr>
    </w:p>
    <w:p>
      <w:pPr>
        <w:jc w:val="both"/>
        <w:ind w:left="4" w:firstLine="1737"/>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Agreed Foreign Currency</w:t>
      </w:r>
      <w:r>
        <w:rPr>
          <w:rFonts w:ascii="Arial" w:cs="Arial" w:eastAsia="Arial" w:hAnsi="Arial"/>
          <w:sz w:val="15"/>
          <w:szCs w:val="15"/>
          <w:color w:val="auto"/>
        </w:rPr>
        <w:t>” means, at any time, (i) any of Canadian Dollars, Sterling, Euros, Japanese Yen, Australian Dollars, Swiss Francs, Swedish Krona and New Zealand Dollars, and (ii) with the agreement of each Multicurrency Lender, any other Foreign Currency, so long as, in respect of any such specified Foreign Currency or other Foreign Currency, at such time (a) such Foreign Currency is dealt with in the London interbank deposit market, (b) such Foreign Currency is freely transferable and convertible into Dollars in the London foreign exchange market or the relevant local market, if applicable, and (c) no central bank or other governmental authorization in the country of issue of such Foreign Currency (including, in the case of the Euro, any authorization by the European Central Bank) is required to permit use of such Foreign Currency by any Multicurrency Lender for making any Loan hereunder and/or to permit the Borrower to borrow and repay the principal thereof and to pay the interest thereon, unless such authorization has been obtained and is in full force and effect.</w:t>
      </w:r>
    </w:p>
    <w:p>
      <w:pPr>
        <w:spacing w:after="0" w:line="130"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has the meaning assigned to such term in the </w:t>
      </w:r>
      <w:r>
        <w:rPr>
          <w:rFonts w:ascii="Arial" w:cs="Arial" w:eastAsia="Arial" w:hAnsi="Arial"/>
          <w:sz w:val="15"/>
          <w:szCs w:val="15"/>
          <w:u w:val="single" w:color="auto"/>
          <w:color w:val="auto"/>
        </w:rPr>
        <w:t>preamble</w:t>
      </w:r>
      <w:r>
        <w:rPr>
          <w:rFonts w:ascii="Arial" w:cs="Arial" w:eastAsia="Arial" w:hAnsi="Arial"/>
          <w:sz w:val="15"/>
          <w:szCs w:val="15"/>
          <w:color w:val="auto"/>
        </w:rPr>
        <w:t xml:space="preserve"> to this Agreement</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Alternate Base Rate</w:t>
      </w:r>
      <w:r>
        <w:rPr>
          <w:rFonts w:ascii="Arial" w:cs="Arial" w:eastAsia="Arial" w:hAnsi="Arial"/>
          <w:sz w:val="14"/>
          <w:szCs w:val="14"/>
          <w:color w:val="auto"/>
        </w:rPr>
        <w:t>” means, for any day, a rate per annum equal to the greater of (a) zero and (b) the highest of (i) the Prime Rate in effect on such day,</w:t>
      </w:r>
    </w:p>
    <w:p>
      <w:pPr>
        <w:spacing w:after="0" w:line="21" w:lineRule="exact"/>
        <w:rPr>
          <w:sz w:val="20"/>
          <w:szCs w:val="20"/>
          <w:color w:val="auto"/>
        </w:rPr>
      </w:pPr>
    </w:p>
    <w:p>
      <w:pPr>
        <w:jc w:val="both"/>
        <w:ind w:left="4" w:right="20" w:hanging="4"/>
        <w:spacing w:after="0" w:line="266" w:lineRule="auto"/>
        <w:tabs>
          <w:tab w:leader="none" w:pos="235"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the Federal Funds Effective Rate for such day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1/2 of 1% and (iii) the rate per annum equal to 1%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Term SOFR for an Interest Period of one (1) month for such day. Any change in the Alternate Base Rate due to a change in the Prime Rate, the Federal Funds Effective Rate or Term SOFR (or successor therefor) as set forth above shall be effective from and including the effective date of such change in the Prime Rate, the Federal Funds Effective Rate or Term SOFR (or successor thereof), respectively.</w:t>
      </w:r>
    </w:p>
    <w:p>
      <w:pPr>
        <w:spacing w:after="0" w:line="114" w:lineRule="exact"/>
        <w:rPr>
          <w:sz w:val="20"/>
          <w:szCs w:val="20"/>
          <w:color w:val="auto"/>
        </w:rPr>
      </w:pPr>
    </w:p>
    <w:p>
      <w:pPr>
        <w:jc w:val="both"/>
        <w:ind w:left="4"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Dollar Percentage</w:t>
      </w:r>
      <w:r>
        <w:rPr>
          <w:rFonts w:ascii="Arial" w:cs="Arial" w:eastAsia="Arial" w:hAnsi="Arial"/>
          <w:sz w:val="15"/>
          <w:szCs w:val="15"/>
          <w:color w:val="auto"/>
        </w:rPr>
        <w:t xml:space="preserve">” means, with respect to any Dollar Lender, the percentage of the total Dollar Commitments represented by such Dollar Lender’s Dollar Commitment. If the Dollar Commitments have terminated or expired, the Applicable Dollar Percentages shall be determined based upon the Dollar Commitments most recently in effect, giving effect to any assignments;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avoidance of doubt, on and after the Non-Extended Commitment Termination Date for any Non-Extending Lender, the Applicable Dollar Percentage of such Non-Extending Lender that is a Dollar Lender shall be 0%.</w:t>
      </w:r>
    </w:p>
    <w:p>
      <w:pPr>
        <w:spacing w:after="0" w:line="128" w:lineRule="exact"/>
        <w:rPr>
          <w:sz w:val="20"/>
          <w:szCs w:val="20"/>
          <w:color w:val="auto"/>
        </w:rPr>
      </w:pPr>
    </w:p>
    <w:p>
      <w:pPr>
        <w:jc w:val="both"/>
        <w:ind w:left="4"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Financial Statements</w:t>
      </w:r>
      <w:r>
        <w:rPr>
          <w:rFonts w:ascii="Arial" w:cs="Arial" w:eastAsia="Arial" w:hAnsi="Arial"/>
          <w:sz w:val="15"/>
          <w:szCs w:val="15"/>
          <w:color w:val="auto"/>
        </w:rPr>
        <w:t xml:space="preserve">” means, as at any date, the most-recent audited financial statements of the Borrower delivered to the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immediately prior to the delivery to the Lenders of new audited financial statements of the Borrower a Material Adverse Change (the “</w:t>
      </w:r>
      <w:r>
        <w:rPr>
          <w:rFonts w:ascii="Arial" w:cs="Arial" w:eastAsia="Arial" w:hAnsi="Arial"/>
          <w:sz w:val="15"/>
          <w:szCs w:val="15"/>
          <w:u w:val="single" w:color="auto"/>
          <w:color w:val="auto"/>
        </w:rPr>
        <w:t>Pre-existing MAC</w:t>
      </w:r>
      <w:r>
        <w:rPr>
          <w:rFonts w:ascii="Arial" w:cs="Arial" w:eastAsia="Arial" w:hAnsi="Arial"/>
          <w:sz w:val="15"/>
          <w:szCs w:val="15"/>
          <w:color w:val="auto"/>
        </w:rPr>
        <w:t>”) shall exist (regardless of when it occurred), then the “Applicable Financial Statements” as at said date means the Applicable Financial Statements in effect immediately prior to such delivery until such time as the Pre-existing MAC shall no longer exist.</w:t>
      </w:r>
    </w:p>
    <w:p>
      <w:pPr>
        <w:spacing w:after="0" w:line="128" w:lineRule="exact"/>
        <w:rPr>
          <w:sz w:val="20"/>
          <w:szCs w:val="20"/>
          <w:color w:val="auto"/>
        </w:rPr>
      </w:pPr>
    </w:p>
    <w:p>
      <w:pPr>
        <w:jc w:val="both"/>
        <w:ind w:left="4"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Multicurrency Percentage</w:t>
      </w:r>
      <w:r>
        <w:rPr>
          <w:rFonts w:ascii="Arial" w:cs="Arial" w:eastAsia="Arial" w:hAnsi="Arial"/>
          <w:sz w:val="15"/>
          <w:szCs w:val="15"/>
          <w:color w:val="auto"/>
        </w:rPr>
        <w:t>” means, with respect to any Multicurrency Lender, the percentage of the total Multicurrency Commitments represented by such Multicurrency Lender’s Multicurrency Commitment. If the Multicurrency Commitments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16" w:name="page117"/>
    <w:bookmarkEnd w:id="116"/>
    <w:p>
      <w:pPr>
        <w:jc w:val="both"/>
        <w:ind w:right="20"/>
        <w:spacing w:after="0" w:line="249" w:lineRule="auto"/>
        <w:rPr>
          <w:sz w:val="20"/>
          <w:szCs w:val="20"/>
          <w:color w:val="auto"/>
        </w:rPr>
      </w:pPr>
      <w:r>
        <w:rPr>
          <w:rFonts w:ascii="Arial" w:cs="Arial" w:eastAsia="Arial" w:hAnsi="Arial"/>
          <w:sz w:val="15"/>
          <w:szCs w:val="15"/>
          <w:color w:val="auto"/>
        </w:rPr>
        <w:t xml:space="preserve">terminated or expired, the Applicable Multicurrency Percentages shall be determined based upon the Multicurrency Commitments most recently in effect, giving effect to any assignments;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avoidance of doubt, on and after the Non-Extended Commitment Termination Date for any Non-Extending Lender, the Applicable Multicurrency Percentage of such Non-Extending Lender that is a Multicurrency Lender shall be 0%.</w:t>
      </w:r>
    </w:p>
    <w:p>
      <w:pPr>
        <w:spacing w:after="0" w:line="125"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Percentage</w:t>
      </w:r>
      <w:r>
        <w:rPr>
          <w:rFonts w:ascii="Arial" w:cs="Arial" w:eastAsia="Arial" w:hAnsi="Arial"/>
          <w:sz w:val="15"/>
          <w:szCs w:val="15"/>
          <w:color w:val="auto"/>
        </w:rPr>
        <w:t xml:space="preserve">” means, with respect to any Lender, the percentage of the total Commitments represented by such Lender’s Commitment. If the Commitments have terminated or expired, the Applicable Percentages shall be determined based upon the Commitments most recently in effect, giving effect to any assignments;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the avoidance of doubt, on and after the Non-Extended Commitment Termination Date for any Non-Extending Lender, the Applicable Percentage of such Non-Extending Lender shall be 0%.</w:t>
      </w:r>
    </w:p>
    <w:p>
      <w:pPr>
        <w:spacing w:after="0" w:line="128" w:lineRule="exact"/>
        <w:rPr>
          <w:sz w:val="20"/>
          <w:szCs w:val="20"/>
          <w:color w:val="auto"/>
        </w:rPr>
      </w:pPr>
    </w:p>
    <w:p>
      <w:pPr>
        <w:jc w:val="both"/>
        <w:ind w:firstLine="173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Approved Dealer</w:t>
      </w:r>
      <w:r>
        <w:rPr>
          <w:rFonts w:ascii="Arial" w:cs="Arial" w:eastAsia="Arial" w:hAnsi="Arial"/>
          <w:sz w:val="14"/>
          <w:szCs w:val="14"/>
          <w:color w:val="auto"/>
        </w:rPr>
        <w:t xml:space="preserve">” means (a) in the case of any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w:t>
      </w:r>
      <w:r>
        <w:rPr>
          <w:rFonts w:ascii="Arial" w:cs="Arial" w:eastAsia="Arial" w:hAnsi="Arial"/>
          <w:sz w:val="14"/>
          <w:szCs w:val="14"/>
          <w:u w:val="single" w:color="auto"/>
          <w:color w:val="auto"/>
        </w:rPr>
        <w:t>clauses</w:t>
      </w:r>
      <w:r>
        <w:rPr>
          <w:rFonts w:ascii="Arial" w:cs="Arial" w:eastAsia="Arial" w:hAnsi="Arial"/>
          <w:sz w:val="14"/>
          <w:szCs w:val="14"/>
          <w:color w:val="auto"/>
        </w:rPr>
        <w:t xml:space="preserve"> </w:t>
      </w:r>
      <w:r>
        <w:rPr>
          <w:rFonts w:ascii="Arial" w:cs="Arial" w:eastAsia="Arial" w:hAnsi="Arial"/>
          <w:sz w:val="14"/>
          <w:szCs w:val="14"/>
          <w:u w:val="single" w:color="auto"/>
          <w:color w:val="auto"/>
        </w:rPr>
        <w:t>(a)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above, as set forth on </w:t>
      </w:r>
      <w:r>
        <w:rPr>
          <w:rFonts w:ascii="Arial" w:cs="Arial" w:eastAsia="Arial" w:hAnsi="Arial"/>
          <w:sz w:val="14"/>
          <w:szCs w:val="14"/>
          <w:u w:val="single" w:color="auto"/>
          <w:color w:val="auto"/>
        </w:rPr>
        <w:t>Schedule 1.01(a)</w:t>
      </w:r>
      <w:r>
        <w:rPr>
          <w:rFonts w:ascii="Arial" w:cs="Arial" w:eastAsia="Arial" w:hAnsi="Arial"/>
          <w:sz w:val="14"/>
          <w:szCs w:val="14"/>
          <w:color w:val="auto"/>
        </w:rPr>
        <w:t xml:space="preserve"> or any other bank or broker-dealer or Affiliate thereof acceptable to the Administrative Agent in its reasonable determination.</w:t>
      </w:r>
    </w:p>
    <w:p>
      <w:pPr>
        <w:spacing w:after="0" w:line="113"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Approved Pricing Service</w:t>
      </w:r>
      <w:r>
        <w:rPr>
          <w:rFonts w:ascii="Arial" w:cs="Arial" w:eastAsia="Arial" w:hAnsi="Arial"/>
          <w:sz w:val="15"/>
          <w:szCs w:val="15"/>
          <w:color w:val="auto"/>
        </w:rPr>
        <w:t xml:space="preserve">” means a pricing or quotation service as set forth in </w:t>
      </w:r>
      <w:r>
        <w:rPr>
          <w:rFonts w:ascii="Arial" w:cs="Arial" w:eastAsia="Arial" w:hAnsi="Arial"/>
          <w:sz w:val="15"/>
          <w:szCs w:val="15"/>
          <w:u w:val="single" w:color="auto"/>
          <w:color w:val="auto"/>
        </w:rPr>
        <w:t>Schedule 1.01(a)</w:t>
      </w:r>
      <w:r>
        <w:rPr>
          <w:rFonts w:ascii="Arial" w:cs="Arial" w:eastAsia="Arial" w:hAnsi="Arial"/>
          <w:sz w:val="15"/>
          <w:szCs w:val="15"/>
          <w:color w:val="auto"/>
        </w:rPr>
        <w:t xml:space="preserve"> or any other pricing or quotation service approved by the Board of Directors of the Borrower and designated in writing to the Administrative Agent (which designation shall be accompanied by a copy of a resolution of the Board of Directors of the Borrower that such pricing or quotation service has been approved by the Borrower).</w:t>
      </w:r>
    </w:p>
    <w:p>
      <w:pPr>
        <w:spacing w:after="0" w:line="125" w:lineRule="exact"/>
        <w:rPr>
          <w:sz w:val="20"/>
          <w:szCs w:val="20"/>
          <w:color w:val="auto"/>
        </w:rPr>
      </w:pPr>
    </w:p>
    <w:p>
      <w:pPr>
        <w:jc w:val="both"/>
        <w:ind w:firstLine="173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Approved Third-Party Appraiser</w:t>
      </w:r>
      <w:r>
        <w:rPr>
          <w:rFonts w:ascii="Arial" w:cs="Arial" w:eastAsia="Arial" w:hAnsi="Arial"/>
          <w:sz w:val="14"/>
          <w:szCs w:val="14"/>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acceptable to the Administrative Agent. It is understood and agreed that Houlihan Lokey Howard &amp; Zukin Capital, Inc., Duff &amp; Phelps LLC, Murray, Devine and Company, Lincoln International LLC (formerly known as Lincoln Partners LLC) and Valuation Research Corporation are acceptable to the Administrative Agent. As used in </w:t>
      </w:r>
      <w:r>
        <w:rPr>
          <w:rFonts w:ascii="Arial" w:cs="Arial" w:eastAsia="Arial" w:hAnsi="Arial"/>
          <w:sz w:val="14"/>
          <w:szCs w:val="14"/>
          <w:u w:val="single" w:color="auto"/>
          <w:color w:val="auto"/>
        </w:rPr>
        <w:t>Section 5.12</w:t>
      </w:r>
      <w:r>
        <w:rPr>
          <w:rFonts w:ascii="Arial" w:cs="Arial" w:eastAsia="Arial" w:hAnsi="Arial"/>
          <w:sz w:val="14"/>
          <w:szCs w:val="14"/>
          <w:color w:val="auto"/>
        </w:rPr>
        <w:t xml:space="preserve"> hereof, an “Approved Third-Party Appraiser selected by the Administrative Agent” shall mean any of the firms identified in the preceding sentence and any other Independent nationally recognized third-party appraisal firm identified by the Administrative Agent and consented to by the Borrower (such consent not to be unreasonably withheld).</w:t>
      </w:r>
    </w:p>
    <w:p>
      <w:pPr>
        <w:spacing w:after="0" w:line="117"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Assignment and Assumption</w:t>
      </w:r>
      <w:r>
        <w:rPr>
          <w:rFonts w:ascii="Arial" w:cs="Arial" w:eastAsia="Arial" w:hAnsi="Arial"/>
          <w:sz w:val="15"/>
          <w:szCs w:val="15"/>
          <w:color w:val="auto"/>
        </w:rPr>
        <w:t xml:space="preserve">” means an Assignment and Assumption entered into by a Lender and an assignee (with the consent of any party whose consent is required by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and accepted by the Administrative Agent, in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(with adjustments thereto to reflect the Classes of Commitments and/or Loans being assigned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17" w:name="page118"/>
    <w:bookmarkEnd w:id="117"/>
    <w:p>
      <w:pPr>
        <w:jc w:val="both"/>
        <w:ind w:right="20"/>
        <w:spacing w:after="0" w:line="262" w:lineRule="auto"/>
        <w:rPr>
          <w:sz w:val="20"/>
          <w:szCs w:val="20"/>
          <w:color w:val="auto"/>
        </w:rPr>
      </w:pPr>
      <w:r>
        <w:rPr>
          <w:rFonts w:ascii="Arial" w:cs="Arial" w:eastAsia="Arial" w:hAnsi="Arial"/>
          <w:sz w:val="15"/>
          <w:szCs w:val="15"/>
          <w:color w:val="auto"/>
        </w:rPr>
        <w:t>outstanding at the time of the respective assignment) or any other form approved by the Administrative Agent and, so long as no Event of Default has occurred and is continuing, the Borrower.</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Assuming Lender</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2.08(e)(i)</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Australian Dollars</w:t>
      </w:r>
      <w:r>
        <w:rPr>
          <w:rFonts w:ascii="Arial" w:cs="Arial" w:eastAsia="Arial" w:hAnsi="Arial"/>
          <w:sz w:val="15"/>
          <w:szCs w:val="15"/>
          <w:color w:val="auto"/>
        </w:rPr>
        <w:t>” means the lawful currency of The Commonwealth of Australia.</w:t>
      </w:r>
    </w:p>
    <w:p>
      <w:pPr>
        <w:spacing w:after="0" w:line="14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Availability Period</w:t>
      </w:r>
      <w:r>
        <w:rPr>
          <w:rFonts w:ascii="Arial" w:cs="Arial" w:eastAsia="Arial" w:hAnsi="Arial"/>
          <w:sz w:val="15"/>
          <w:szCs w:val="15"/>
          <w:color w:val="auto"/>
        </w:rPr>
        <w:t>” means (a) in the case of any Extending Lender (with respect to such Extending Lender’s Extended Loans), the Extended Availability Period or (b) in the case of any Non-Extending Lender (with respect to such Non-Extending Lender’s Non-Extended Loans), the Non-Extended Availability Period for such Non-Extending Lender, as applicable.</w:t>
      </w:r>
    </w:p>
    <w:p>
      <w:pPr>
        <w:spacing w:after="0" w:line="125" w:lineRule="exact"/>
        <w:rPr>
          <w:sz w:val="20"/>
          <w:szCs w:val="20"/>
          <w:color w:val="auto"/>
        </w:rPr>
      </w:pPr>
    </w:p>
    <w:p>
      <w:pPr>
        <w:jc w:val="both"/>
        <w:ind w:right="20"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Available Tenor</w:t>
      </w:r>
      <w:r>
        <w:rPr>
          <w:rFonts w:ascii="Arial" w:cs="Arial" w:eastAsia="Arial" w:hAnsi="Arial"/>
          <w:sz w:val="15"/>
          <w:szCs w:val="15"/>
          <w:color w:val="auto"/>
        </w:rPr>
        <w:t xml:space="preserve">”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15"/>
          <w:szCs w:val="15"/>
          <w:u w:val="single" w:color="auto"/>
          <w:color w:val="auto"/>
        </w:rPr>
        <w:t>Section 2.21(d)</w:t>
      </w:r>
      <w:r>
        <w:rPr>
          <w:rFonts w:ascii="Arial" w:cs="Arial" w:eastAsia="Arial" w:hAnsi="Arial"/>
          <w:sz w:val="15"/>
          <w:szCs w:val="15"/>
          <w:color w:val="auto"/>
        </w:rPr>
        <w:t>.</w:t>
      </w:r>
    </w:p>
    <w:p>
      <w:pPr>
        <w:spacing w:after="0" w:line="12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Bail-In Action</w:t>
      </w:r>
      <w:r>
        <w:rPr>
          <w:rFonts w:ascii="Arial" w:cs="Arial" w:eastAsia="Arial" w:hAnsi="Arial"/>
          <w:sz w:val="15"/>
          <w:szCs w:val="15"/>
          <w:color w:val="auto"/>
        </w:rPr>
        <w:t>” means the exercise of any Write-Down and Conversion Powers by the applicable Resolution Authority in respect of any liability of an Affected Financial Institution.</w:t>
      </w:r>
    </w:p>
    <w:p>
      <w:pPr>
        <w:spacing w:after="0" w:line="115"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Bail-In Legislation</w:t>
      </w:r>
      <w:r>
        <w:rPr>
          <w:rFonts w:ascii="Arial" w:cs="Arial" w:eastAsia="Arial" w:hAnsi="Arial"/>
          <w:sz w:val="15"/>
          <w:szCs w:val="15"/>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Base Rate Term SOFR Determination Date</w:t>
      </w:r>
      <w:r>
        <w:rPr>
          <w:rFonts w:ascii="Arial" w:cs="Arial" w:eastAsia="Arial" w:hAnsi="Arial"/>
          <w:sz w:val="15"/>
          <w:szCs w:val="15"/>
          <w:color w:val="auto"/>
        </w:rPr>
        <w:t>” has the meaning set forth in the definition of “Term SOFR”.</w:t>
      </w:r>
    </w:p>
    <w:p>
      <w:pPr>
        <w:spacing w:after="0" w:line="149" w:lineRule="exact"/>
        <w:rPr>
          <w:sz w:val="20"/>
          <w:szCs w:val="20"/>
          <w:color w:val="auto"/>
        </w:rPr>
      </w:pPr>
    </w:p>
    <w:p>
      <w:pPr>
        <w:jc w:val="both"/>
        <w:ind w:right="20" w:firstLine="173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Benchmark</w:t>
      </w:r>
      <w:r>
        <w:rPr>
          <w:rFonts w:ascii="Arial" w:cs="Arial" w:eastAsia="Arial" w:hAnsi="Arial"/>
          <w:sz w:val="14"/>
          <w:szCs w:val="14"/>
          <w:color w:val="auto"/>
        </w:rPr>
        <w:t xml:space="preserve">” means, initially, with respect to any Loans outstanding in (a) Dollars, the Term SOFR Reference Rate, (b) Sterling or Swiss Francs, the Daily Simple RFR for such Currency, and (c) each other Agreed Foreign Currency, the Eurocurrency Rate for such Currency;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 Benchmark Transition Event or an Other Benchmark Rate Election and its related Benchmark Replacement Date have occurred with respect to the Term SOFR Reference Rate, the Daily Simple RFR or the Eurocurrency Rate for such Currency or the then-current Benchmark, then “Benchmark” shall mean the applicable Benchmark Replacement to the extent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212090</wp:posOffset>
            </wp:positionV>
            <wp:extent cx="721106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color w:val="auto"/>
        </w:rPr>
        <w:t xml:space="preserve">Benchmark Replacement has replaced such prior benchmark rate pursuant to clause (a) of </w:t>
      </w:r>
      <w:r>
        <w:rPr>
          <w:rFonts w:ascii="Arial" w:cs="Arial" w:eastAsia="Arial" w:hAnsi="Arial"/>
          <w:sz w:val="15"/>
          <w:szCs w:val="15"/>
          <w:u w:val="single" w:color="auto"/>
          <w:color w:val="auto"/>
        </w:rPr>
        <w:t>Section 2.21</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w:t>
      </w:r>
      <w:r>
        <w:rPr>
          <w:rFonts w:ascii="Arial" w:cs="Arial" w:eastAsia="Arial" w:hAnsi="Arial"/>
          <w:sz w:val="15"/>
          <w:szCs w:val="15"/>
          <w:color w:val="auto"/>
        </w:rPr>
        <w:t>” means, with respect to any Benchmark Transition Event or Other Benchmark Rate Election, the first alternative set forth in the order below that can be determined by the Administrative Agent for the applicable Benchmark Replacement Date; provided that, other than in the case of the Term SOFR Reference Rate, but including in connection with any Other Benchmark Rate Election, such alternative shall be the alternative set forth in clause (2) below:</w:t>
      </w:r>
    </w:p>
    <w:p>
      <w:pPr>
        <w:spacing w:after="0" w:line="125" w:lineRule="exact"/>
        <w:rPr>
          <w:sz w:val="20"/>
          <w:szCs w:val="20"/>
          <w:color w:val="auto"/>
        </w:rPr>
      </w:pPr>
    </w:p>
    <w:p>
      <w:pPr>
        <w:ind w:left="1940" w:hanging="207"/>
        <w:spacing w:after="0"/>
        <w:tabs>
          <w:tab w:leader="none" w:pos="19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sum of (i) Daily Simple SOFR and (ii) 0.10%; and</w:t>
      </w:r>
    </w:p>
    <w:p>
      <w:pPr>
        <w:spacing w:after="0" w:line="148" w:lineRule="exact"/>
        <w:rPr>
          <w:rFonts w:ascii="Arial" w:cs="Arial" w:eastAsia="Arial" w:hAnsi="Arial"/>
          <w:sz w:val="15"/>
          <w:szCs w:val="15"/>
          <w:color w:val="auto"/>
        </w:rPr>
      </w:pPr>
    </w:p>
    <w:p>
      <w:pPr>
        <w:jc w:val="both"/>
        <w:ind w:firstLine="1733"/>
        <w:spacing w:after="0" w:line="268" w:lineRule="auto"/>
        <w:tabs>
          <w:tab w:leader="none" w:pos="1956"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and (b) the related Benchmark Replacement Adjustment.</w:t>
      </w:r>
    </w:p>
    <w:p>
      <w:pPr>
        <w:spacing w:after="0" w:line="113"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If the Benchmark Replacement as determined pursuant to clause (1) or (2) of this definition would be less than the Floor, the Benchmark Replacement will be deemed to be the Floor for the purposes of this Agreement and the other Loan Documents.</w:t>
      </w:r>
    </w:p>
    <w:p>
      <w:pPr>
        <w:spacing w:after="0" w:line="115"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 Adjustment</w:t>
      </w:r>
      <w:r>
        <w:rPr>
          <w:rFonts w:ascii="Arial" w:cs="Arial" w:eastAsia="Arial" w:hAnsi="Arial"/>
          <w:sz w:val="15"/>
          <w:szCs w:val="15"/>
          <w:color w:val="auto"/>
        </w:rPr>
        <w:t>” means, with respect to any replacement of the then-current Benchmark for a Currency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such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applicable Currency.</w:t>
      </w:r>
    </w:p>
    <w:p>
      <w:pPr>
        <w:spacing w:after="0" w:line="130"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Replacement Date</w:t>
      </w:r>
      <w:r>
        <w:rPr>
          <w:rFonts w:ascii="Arial" w:cs="Arial" w:eastAsia="Arial" w:hAnsi="Arial"/>
          <w:sz w:val="15"/>
          <w:szCs w:val="15"/>
          <w:color w:val="auto"/>
        </w:rPr>
        <w:t>” means a date and time determined by the Administrative Agent, which date shall be no later than the earliest to occur of the following events with respect to the then-current Benchmark:</w:t>
      </w:r>
    </w:p>
    <w:p>
      <w:pPr>
        <w:spacing w:after="0" w:line="115" w:lineRule="exact"/>
        <w:rPr>
          <w:sz w:val="20"/>
          <w:szCs w:val="20"/>
          <w:color w:val="auto"/>
        </w:rPr>
      </w:pPr>
    </w:p>
    <w:p>
      <w:pPr>
        <w:ind w:left="2360" w:hanging="627"/>
        <w:spacing w:after="0"/>
        <w:tabs>
          <w:tab w:leader="none" w:pos="23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 the case of clause (1) or (2) of the definition of “Benchmark Transition Event,” the later of</w:t>
      </w:r>
    </w:p>
    <w:p>
      <w:pPr>
        <w:spacing w:after="0" w:line="149" w:lineRule="exact"/>
        <w:rPr>
          <w:sz w:val="20"/>
          <w:szCs w:val="20"/>
          <w:color w:val="auto"/>
        </w:rPr>
      </w:pPr>
    </w:p>
    <w:p>
      <w:pPr>
        <w:ind w:left="2360" w:hanging="627"/>
        <w:spacing w:after="0"/>
        <w:tabs>
          <w:tab w:leader="none" w:pos="23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date of the public statement or publication of information referenced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19" w:name="page120"/>
    <w:bookmarkEnd w:id="119"/>
    <w:p>
      <w:pPr>
        <w:ind w:right="20" w:firstLine="1733"/>
        <w:spacing w:after="0" w:line="262" w:lineRule="auto"/>
        <w:tabs>
          <w:tab w:leader="none" w:pos="195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115" w:lineRule="exact"/>
        <w:rPr>
          <w:sz w:val="20"/>
          <w:szCs w:val="20"/>
          <w:color w:val="auto"/>
        </w:rPr>
      </w:pPr>
    </w:p>
    <w:p>
      <w:pPr>
        <w:jc w:val="both"/>
        <w:ind w:right="20" w:firstLine="1733"/>
        <w:spacing w:after="0" w:line="295" w:lineRule="auto"/>
        <w:tabs>
          <w:tab w:leader="none" w:pos="2405"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 or</w:t>
      </w:r>
    </w:p>
    <w:p>
      <w:pPr>
        <w:spacing w:after="0" w:line="96" w:lineRule="exact"/>
        <w:rPr>
          <w:rFonts w:ascii="Arial" w:cs="Arial" w:eastAsia="Arial" w:hAnsi="Arial"/>
          <w:sz w:val="13"/>
          <w:szCs w:val="13"/>
          <w:color w:val="auto"/>
        </w:rPr>
      </w:pPr>
    </w:p>
    <w:p>
      <w:pPr>
        <w:jc w:val="both"/>
        <w:ind w:firstLine="1733"/>
        <w:spacing w:after="0" w:line="249" w:lineRule="auto"/>
        <w:tabs>
          <w:tab w:leader="none" w:pos="2415"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 the case of an Other Benchmark Rate Election, the fifth (5th) Business Day after the date notice of such Other Benchmark Rate Election is provided to the Lenders, so long as the Administrative Agent has not received, by such time, written notice of objection to such Other Benchmark Rate Election, as applicable, from Lenders comprising the Required Lenders.</w:t>
      </w:r>
    </w:p>
    <w:p>
      <w:pPr>
        <w:spacing w:after="0" w:line="125"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For the avoidance of doubt, the “Benchmark Replacement Date” will be deemed to have occurred in the case of clause (1) or (2) of this definition with respect to any Benchmark upon the occurrence of the applicable event or events set forth therein with respect to all then-current Available Tenors of such Benchmark (or the published component used in the calculation thereof).</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Benchmark Transition Event</w:t>
      </w:r>
      <w:r>
        <w:rPr>
          <w:rFonts w:ascii="Arial" w:cs="Arial" w:eastAsia="Arial" w:hAnsi="Arial"/>
          <w:sz w:val="13"/>
          <w:szCs w:val="13"/>
          <w:color w:val="auto"/>
        </w:rPr>
        <w:t>” means, with respect to any Benchmark, the occurrence of one or more of the following events with respect to the then-current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Benchmark:</w:t>
      </w:r>
    </w:p>
    <w:p>
      <w:pPr>
        <w:spacing w:after="0" w:line="137" w:lineRule="exact"/>
        <w:rPr>
          <w:sz w:val="20"/>
          <w:szCs w:val="20"/>
          <w:color w:val="auto"/>
        </w:rPr>
      </w:pPr>
    </w:p>
    <w:p>
      <w:pPr>
        <w:jc w:val="both"/>
        <w:ind w:firstLine="1733"/>
        <w:spacing w:after="0" w:line="245" w:lineRule="auto"/>
        <w:tabs>
          <w:tab w:leader="none" w:pos="2367" w:val="left"/>
        </w:tabs>
        <w:numPr>
          <w:ilvl w:val="0"/>
          <w:numId w:val="63"/>
        </w:numPr>
        <w:rPr>
          <w:rFonts w:ascii="Arial" w:cs="Arial" w:eastAsia="Arial" w:hAnsi="Arial"/>
          <w:sz w:val="15"/>
          <w:szCs w:val="15"/>
          <w:color w:val="auto"/>
        </w:rPr>
      </w:pPr>
      <w:r>
        <w:rPr>
          <w:rFonts w:ascii="Arial" w:cs="Arial" w:eastAsia="Arial" w:hAnsi="Arial"/>
          <w:sz w:val="15"/>
          <w:szCs w:val="15"/>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27" w:lineRule="exact"/>
        <w:rPr>
          <w:rFonts w:ascii="Arial" w:cs="Arial" w:eastAsia="Arial" w:hAnsi="Arial"/>
          <w:sz w:val="15"/>
          <w:szCs w:val="15"/>
          <w:color w:val="auto"/>
        </w:rPr>
      </w:pPr>
    </w:p>
    <w:p>
      <w:pPr>
        <w:jc w:val="both"/>
        <w:ind w:firstLine="1733"/>
        <w:spacing w:after="0" w:line="286" w:lineRule="auto"/>
        <w:tabs>
          <w:tab w:leader="none" w:pos="2367" w:val="left"/>
        </w:tabs>
        <w:numPr>
          <w:ilvl w:val="0"/>
          <w:numId w:val="63"/>
        </w:numPr>
        <w:rPr>
          <w:rFonts w:ascii="Arial" w:cs="Arial" w:eastAsia="Arial" w:hAnsi="Arial"/>
          <w:sz w:val="13"/>
          <w:szCs w:val="13"/>
          <w:color w:val="auto"/>
        </w:rPr>
      </w:pPr>
      <w:r>
        <w:rPr>
          <w:rFonts w:ascii="Arial" w:cs="Arial" w:eastAsia="Arial" w:hAnsi="Arial"/>
          <w:sz w:val="13"/>
          <w:szCs w:val="13"/>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the time of such statement or publication, there is no successor administrator that will continue to provide any Available Tenor of such Benchmark (or such component thereof);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206375</wp:posOffset>
            </wp:positionV>
            <wp:extent cx="721106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0" w:name="page121"/>
    <w:bookmarkEnd w:id="120"/>
    <w:p>
      <w:pPr>
        <w:jc w:val="both"/>
        <w:ind w:firstLine="1733"/>
        <w:spacing w:after="0" w:line="249" w:lineRule="auto"/>
        <w:tabs>
          <w:tab w:leader="none" w:pos="2367"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public statement or publication of information by or on behalf of the administrator of such Benchmark (or the published component used in the calculation thereof) or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25"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25"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Benchmark Unavailability Period</w:t>
      </w:r>
      <w:r>
        <w:rPr>
          <w:rFonts w:ascii="Arial" w:cs="Arial" w:eastAsia="Arial" w:hAnsi="Arial"/>
          <w:sz w:val="15"/>
          <w:szCs w:val="15"/>
          <w:color w:val="auto"/>
        </w:rPr>
        <w:t xml:space="preserve">” means, with respect to any then-current Benchmark, the period (if any) (x) beginning at the time that a Benchmark Replacement Date has occurred with respect to such Benchmark if, at such time, no Benchmark Replacement has replaced such then-current Benchmark for all purposes hereunder and under any Loan Document in accordance with </w:t>
      </w:r>
      <w:r>
        <w:rPr>
          <w:rFonts w:ascii="Arial" w:cs="Arial" w:eastAsia="Arial" w:hAnsi="Arial"/>
          <w:sz w:val="15"/>
          <w:szCs w:val="15"/>
          <w:u w:val="single" w:color="auto"/>
          <w:color w:val="auto"/>
        </w:rPr>
        <w:t>Section 2.21</w:t>
      </w:r>
      <w:r>
        <w:rPr>
          <w:rFonts w:ascii="Arial" w:cs="Arial" w:eastAsia="Arial" w:hAnsi="Arial"/>
          <w:sz w:val="15"/>
          <w:szCs w:val="15"/>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15"/>
          <w:szCs w:val="15"/>
          <w:u w:val="single" w:color="auto"/>
          <w:color w:val="auto"/>
        </w:rPr>
        <w:t>Section 2.21</w:t>
      </w:r>
      <w:r>
        <w:rPr>
          <w:rFonts w:ascii="Arial" w:cs="Arial" w:eastAsia="Arial" w:hAnsi="Arial"/>
          <w:sz w:val="15"/>
          <w:szCs w:val="15"/>
          <w:color w:val="auto"/>
        </w:rPr>
        <w:t>.</w:t>
      </w:r>
    </w:p>
    <w:p>
      <w:pPr>
        <w:spacing w:after="0" w:line="128"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Benefit Plan</w:t>
      </w:r>
      <w:r>
        <w:rPr>
          <w:rFonts w:ascii="Arial" w:cs="Arial" w:eastAsia="Arial" w:hAnsi="Arial"/>
          <w:sz w:val="15"/>
          <w:szCs w:val="15"/>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Governors of the Federal Reserve System of the United States of America.</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w:t>
      </w:r>
      <w:r>
        <w:rPr>
          <w:rFonts w:ascii="Arial" w:cs="Arial" w:eastAsia="Arial" w:hAnsi="Arial"/>
          <w:sz w:val="15"/>
          <w:szCs w:val="15"/>
          <w:color w:val="auto"/>
        </w:rPr>
        <w:t>” has the meaning assigned to such term in the preamble to this Agreement.</w:t>
      </w:r>
    </w:p>
    <w:p>
      <w:pPr>
        <w:spacing w:after="0" w:line="14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Borrower Asset Coverage Ratio</w:t>
      </w:r>
      <w:r>
        <w:rPr>
          <w:rFonts w:ascii="Arial" w:cs="Arial" w:eastAsia="Arial" w:hAnsi="Arial"/>
          <w:sz w:val="15"/>
          <w:szCs w:val="15"/>
          <w:color w:val="auto"/>
        </w:rPr>
        <w:t>” means the ratio, determined on a consolidated basis for the Obligors, without duplication, of (a) (i) Total Assets minus (ii) Total Assets Concentration Limitation to (b) (i) Total Secured Debt plus (ii) the aggregate amount of senior securities representing unsecured indebtedness of the Obligors as of such date of determination with a maturity date that is within 90 days of such date of determination.</w:t>
      </w:r>
    </w:p>
    <w:p>
      <w:pPr>
        <w:spacing w:after="0" w:line="125"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Borrowing</w:t>
      </w:r>
      <w:r>
        <w:rPr>
          <w:rFonts w:ascii="Arial" w:cs="Arial" w:eastAsia="Arial" w:hAnsi="Arial"/>
          <w:sz w:val="15"/>
          <w:szCs w:val="15"/>
          <w:color w:val="auto"/>
        </w:rPr>
        <w:t>” means (a) all Syndicated ABR Loans of the same Class made, converted or continued on the same date, (b) all Eurocurrency Loans of the same Class denominated in the same Currency that have the same Interest Period, (c) all RFR Loans of the same Class and Type denominated in the same Currency that have the same Interest Period or (d) a Swingline Loan.</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Borrowing Base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5.13</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Borrowing Base Certificate</w:t>
      </w:r>
      <w:r>
        <w:rPr>
          <w:rFonts w:ascii="Arial" w:cs="Arial" w:eastAsia="Arial" w:hAnsi="Arial"/>
          <w:sz w:val="14"/>
          <w:szCs w:val="14"/>
          <w:color w:val="auto"/>
        </w:rPr>
        <w:t xml:space="preserve">” means a certificate of a Financial Officer of the Borrower, substantially in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and appropriately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242570</wp:posOffset>
            </wp:positionV>
            <wp:extent cx="721106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1" w:name="page122"/>
    <w:bookmarkEnd w:id="121"/>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Borrowing Base Deficiency</w:t>
      </w:r>
      <w:r>
        <w:rPr>
          <w:rFonts w:ascii="Arial" w:cs="Arial" w:eastAsia="Arial" w:hAnsi="Arial"/>
          <w:sz w:val="15"/>
          <w:szCs w:val="15"/>
          <w:color w:val="auto"/>
        </w:rPr>
        <w:t>” means, at any date on which the same is determined, the amount, if any, that (a) the aggregate Covered Debt Amount as of such date exceeds (b) the Borrowing Base as of such date.</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Borrowing Request</w:t>
      </w:r>
      <w:r>
        <w:rPr>
          <w:rFonts w:ascii="Arial" w:cs="Arial" w:eastAsia="Arial" w:hAnsi="Arial"/>
          <w:sz w:val="15"/>
          <w:szCs w:val="15"/>
          <w:color w:val="auto"/>
        </w:rPr>
        <w:t xml:space="preserve">” means a request by the Borrower for a Syndicated Borrowing in accordance with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which, if in writing, shall be substantially in the form of </w:t>
      </w:r>
      <w:r>
        <w:rPr>
          <w:rFonts w:ascii="Arial" w:cs="Arial" w:eastAsia="Arial" w:hAnsi="Arial"/>
          <w:sz w:val="15"/>
          <w:szCs w:val="15"/>
          <w:u w:val="single" w:color="auto"/>
          <w:color w:val="auto"/>
        </w:rPr>
        <w:t>Exhibit C</w:t>
      </w:r>
      <w:r>
        <w:rPr>
          <w:rFonts w:ascii="Arial" w:cs="Arial" w:eastAsia="Arial" w:hAnsi="Arial"/>
          <w:sz w:val="15"/>
          <w:szCs w:val="15"/>
          <w:color w:val="auto"/>
        </w:rPr>
        <w:t>.</w:t>
      </w:r>
    </w:p>
    <w:p>
      <w:pPr>
        <w:spacing w:after="0" w:line="115"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that is not a Saturday, Sunday or other day on which commercial banks in New York City are authorized or required by law to remain closed, provided that (a) when used in relation to a Eurocurrency Loan or a Eurocurrency Borrowing denominated in a Currency or in the calculation or computation of the Eurocurrency Rate for such Currency, the term “Business Day” shall also exclude any day that is not a Eurocurrency Banking Day for such Currency and (b) when used in relation to RFR Loans or any interest rate settings, fundings, disbursements, settlements or payments of any such RFR Loan, or any other dealings in the applicable Currency of such RFR Loan, the term “Business Day” shall also exclude any day that is not a RFR Business Day for such Currency.</w:t>
      </w:r>
    </w:p>
    <w:p>
      <w:pPr>
        <w:spacing w:after="0" w:line="129"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Calculation Amount</w:t>
      </w:r>
      <w:r>
        <w:rPr>
          <w:rFonts w:ascii="Arial" w:cs="Arial" w:eastAsia="Arial" w:hAnsi="Arial"/>
          <w:sz w:val="15"/>
          <w:szCs w:val="15"/>
          <w:color w:val="auto"/>
        </w:rPr>
        <w:t xml:space="preserve">” shall mean, as of the end of any Testing Period, an amount equal to the greater of: (a) (i) 125% of the Adjusted Covered Debt Balance (as of the end of such Testing Period)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the aggregate Value of all Quoted Investments included in the Borrowing Base (as of the end of such Testing Period) and (b) 10% of the aggregate Value of all Unquoted Investments included in the Borrowing Base (as of the end of such Testing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more than 25% (or, if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applies, 10%, or as near thereto as reasonably practicable) of the aggregate Value of the Unquoted Investments in the Borrowing Base be tested in respect of any applicable Testing Period.</w:t>
      </w:r>
    </w:p>
    <w:p>
      <w:pPr>
        <w:spacing w:after="0" w:line="12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CAM Exchange</w:t>
      </w:r>
      <w:r>
        <w:rPr>
          <w:rFonts w:ascii="Arial" w:cs="Arial" w:eastAsia="Arial" w:hAnsi="Arial"/>
          <w:sz w:val="15"/>
          <w:szCs w:val="15"/>
          <w:color w:val="auto"/>
        </w:rPr>
        <w:t xml:space="preserve">” means the exchange of the Lenders’ interests provided for in </w:t>
      </w:r>
      <w:r>
        <w:rPr>
          <w:rFonts w:ascii="Arial" w:cs="Arial" w:eastAsia="Arial" w:hAnsi="Arial"/>
          <w:sz w:val="15"/>
          <w:szCs w:val="15"/>
          <w:u w:val="single" w:color="auto"/>
          <w:color w:val="auto"/>
        </w:rPr>
        <w:t>Article VII</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CAM Exchange Date</w:t>
      </w:r>
      <w:r>
        <w:rPr>
          <w:rFonts w:ascii="Arial" w:cs="Arial" w:eastAsia="Arial" w:hAnsi="Arial"/>
          <w:sz w:val="15"/>
          <w:szCs w:val="15"/>
          <w:color w:val="auto"/>
        </w:rPr>
        <w:t xml:space="preserve">” means the date on which any Event of Default referred to in </w:t>
      </w:r>
      <w:r>
        <w:rPr>
          <w:rFonts w:ascii="Arial" w:cs="Arial" w:eastAsia="Arial" w:hAnsi="Arial"/>
          <w:sz w:val="15"/>
          <w:szCs w:val="15"/>
          <w:u w:val="single" w:color="auto"/>
          <w:color w:val="auto"/>
        </w:rPr>
        <w:t>clause (j)</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shall occur or the date on which the Borrower receives written notice from the Administrative Agent that any Event of Default referred to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Article VII</w:t>
      </w:r>
      <w:r>
        <w:rPr>
          <w:rFonts w:ascii="Arial" w:cs="Arial" w:eastAsia="Arial" w:hAnsi="Arial"/>
          <w:sz w:val="15"/>
          <w:szCs w:val="15"/>
          <w:color w:val="auto"/>
        </w:rPr>
        <w:t xml:space="preserve"> has occurred.</w:t>
      </w:r>
    </w:p>
    <w:p>
      <w:pPr>
        <w:spacing w:after="0" w:line="115"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CAM Percentage</w:t>
      </w:r>
      <w:r>
        <w:rPr>
          <w:rFonts w:ascii="Arial" w:cs="Arial" w:eastAsia="Arial" w:hAnsi="Arial"/>
          <w:sz w:val="14"/>
          <w:szCs w:val="14"/>
          <w:color w:val="auto"/>
        </w:rPr>
        <w:t>” means, as to each Lender, a fraction, expressed as a decimal, of which (a) the numerator shall be the aggregate Dollar Equivalent of the Designated Obligations owed to such Lender (whether or not at the time due and payable) immediately prior to the CAM Exchange Date and (b) the denominator shall be the aggregate Dollar Equivalent amount of the Designated Obligations owed to all the Lenders (whether or not at the time due and payable) immediately prior to the CAM Exchange Date.</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Canadian Dollars</w:t>
      </w:r>
      <w:r>
        <w:rPr>
          <w:rFonts w:ascii="Arial" w:cs="Arial" w:eastAsia="Arial" w:hAnsi="Arial"/>
          <w:sz w:val="15"/>
          <w:szCs w:val="15"/>
          <w:color w:val="auto"/>
        </w:rPr>
        <w:t>” means the single currency of Canada.</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Lease Obligations</w:t>
      </w:r>
      <w:r>
        <w:rPr>
          <w:rFonts w:ascii="Arial" w:cs="Arial" w:eastAsia="Arial" w:hAnsi="Arial"/>
          <w:sz w:val="15"/>
          <w:szCs w:val="15"/>
          <w:color w:val="auto"/>
        </w:rPr>
        <w:t>” of any Person means the obligations of such Person to pay rent or other amounts under any lease of (or other arrangement conveying the right to use) real or personal property, or a combination thereof, which obligations are required to be classified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2" w:name="page123"/>
    <w:bookmarkEnd w:id="122"/>
    <w:p>
      <w:pPr>
        <w:jc w:val="both"/>
        <w:ind w:right="20"/>
        <w:spacing w:after="0" w:line="262" w:lineRule="auto"/>
        <w:rPr>
          <w:sz w:val="20"/>
          <w:szCs w:val="20"/>
          <w:color w:val="auto"/>
        </w:rPr>
      </w:pPr>
      <w:r>
        <w:rPr>
          <w:rFonts w:ascii="Arial" w:cs="Arial" w:eastAsia="Arial" w:hAnsi="Arial"/>
          <w:sz w:val="15"/>
          <w:szCs w:val="15"/>
          <w:color w:val="auto"/>
        </w:rPr>
        <w:t>accounted for as capital leases on a balance sheet of such Person under GAAP, and the amount of such obligations shall be the capitalized amount thereof determined in accordance with GAAP.</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w:t>
      </w:r>
      <w:r>
        <w:rPr>
          <w:rFonts w:ascii="Arial" w:cs="Arial" w:eastAsia="Arial" w:hAnsi="Arial"/>
          <w:sz w:val="15"/>
          <w:szCs w:val="15"/>
          <w:color w:val="auto"/>
        </w:rPr>
        <w:t>” means any immediately available funds in Dollars or in any currency other than Dollars (measured in terms of the Dollar Equivalent thereof) which is a freely convertible currency.</w:t>
      </w:r>
    </w:p>
    <w:p>
      <w:pPr>
        <w:spacing w:after="0" w:line="115"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Collateralize</w:t>
      </w:r>
      <w:r>
        <w:rPr>
          <w:rFonts w:ascii="Arial" w:cs="Arial" w:eastAsia="Arial" w:hAnsi="Arial"/>
          <w:sz w:val="15"/>
          <w:szCs w:val="15"/>
          <w:color w:val="auto"/>
        </w:rPr>
        <w:t xml:space="preserve">” means, in respect of a Letter of Credit or any obligation hereunder, to provide and pledge cash collateral pursuant to </w:t>
      </w:r>
      <w:r>
        <w:rPr>
          <w:rFonts w:ascii="Arial" w:cs="Arial" w:eastAsia="Arial" w:hAnsi="Arial"/>
          <w:sz w:val="15"/>
          <w:szCs w:val="15"/>
          <w:u w:val="single" w:color="auto"/>
          <w:color w:val="auto"/>
        </w:rPr>
        <w:t>Section 2.05(k)</w:t>
      </w:r>
      <w:r>
        <w:rPr>
          <w:rFonts w:ascii="Arial" w:cs="Arial" w:eastAsia="Arial" w:hAnsi="Arial"/>
          <w:sz w:val="15"/>
          <w:szCs w:val="15"/>
          <w:color w:val="auto"/>
        </w:rPr>
        <w:t>, at a location and pursuant to documentation in form and substance reasonably satisfactory to Administrative Agent and each Issuing Bank. “</w:t>
      </w:r>
      <w:r>
        <w:rPr>
          <w:rFonts w:ascii="Arial" w:cs="Arial" w:eastAsia="Arial" w:hAnsi="Arial"/>
          <w:sz w:val="15"/>
          <w:szCs w:val="15"/>
          <w:u w:val="single" w:color="auto"/>
          <w:color w:val="auto"/>
        </w:rPr>
        <w:t>Cash Collateral</w:t>
      </w:r>
      <w:r>
        <w:rPr>
          <w:rFonts w:ascii="Arial" w:cs="Arial" w:eastAsia="Arial" w:hAnsi="Arial"/>
          <w:sz w:val="15"/>
          <w:szCs w:val="15"/>
          <w:color w:val="auto"/>
        </w:rPr>
        <w:t>” and “</w:t>
      </w:r>
      <w:r>
        <w:rPr>
          <w:rFonts w:ascii="Arial" w:cs="Arial" w:eastAsia="Arial" w:hAnsi="Arial"/>
          <w:sz w:val="15"/>
          <w:szCs w:val="15"/>
          <w:u w:val="single" w:color="auto"/>
          <w:color w:val="auto"/>
        </w:rPr>
        <w:t>Cash Collateralization</w:t>
      </w:r>
      <w:r>
        <w:rPr>
          <w:rFonts w:ascii="Arial" w:cs="Arial" w:eastAsia="Arial" w:hAnsi="Arial"/>
          <w:sz w:val="15"/>
          <w:szCs w:val="15"/>
          <w:color w:val="auto"/>
        </w:rPr>
        <w:t>” shall have meanings correlative to the foregoing and shall include the proceeds of such cash collateral and other credit support.</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Equivalents</w:t>
      </w:r>
      <w:r>
        <w:rPr>
          <w:rFonts w:ascii="Arial" w:cs="Arial" w:eastAsia="Arial" w:hAnsi="Arial"/>
          <w:sz w:val="15"/>
          <w:szCs w:val="15"/>
          <w:color w:val="auto"/>
        </w:rPr>
        <w:t>” means investments (other than Cash) that are one or more of the following obligations:</w:t>
      </w:r>
    </w:p>
    <w:p>
      <w:pPr>
        <w:spacing w:after="0" w:line="149" w:lineRule="exact"/>
        <w:rPr>
          <w:sz w:val="20"/>
          <w:szCs w:val="20"/>
          <w:color w:val="auto"/>
        </w:rPr>
      </w:pPr>
    </w:p>
    <w:p>
      <w:pPr>
        <w:ind w:left="2280" w:hanging="614"/>
        <w:spacing w:after="0"/>
        <w:tabs>
          <w:tab w:leader="none" w:pos="22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U.S. Government Securities, in each case maturing within one year from the date of acquisition thereof;</w:t>
      </w:r>
    </w:p>
    <w:p>
      <w:pPr>
        <w:spacing w:after="0" w:line="148" w:lineRule="exact"/>
        <w:rPr>
          <w:rFonts w:ascii="Arial" w:cs="Arial" w:eastAsia="Arial" w:hAnsi="Arial"/>
          <w:sz w:val="15"/>
          <w:szCs w:val="15"/>
          <w:color w:val="auto"/>
        </w:rPr>
      </w:pPr>
    </w:p>
    <w:p>
      <w:pPr>
        <w:jc w:val="both"/>
        <w:ind w:left="860" w:right="20" w:firstLine="806"/>
        <w:spacing w:after="0" w:line="177" w:lineRule="exact"/>
        <w:tabs>
          <w:tab w:leader="none" w:pos="2292" w:val="left"/>
        </w:tabs>
        <w:numPr>
          <w:ilvl w:val="1"/>
          <w:numId w:val="65"/>
        </w:numPr>
        <w:rPr>
          <w:rFonts w:ascii="Arial" w:cs="Arial" w:eastAsia="Arial" w:hAnsi="Arial"/>
          <w:sz w:val="15"/>
          <w:szCs w:val="15"/>
          <w:color w:val="auto"/>
        </w:rPr>
      </w:pPr>
      <w:r>
        <w:rPr>
          <w:rFonts w:ascii="Arial" w:cs="Arial" w:eastAsia="Arial" w:hAnsi="Arial"/>
          <w:sz w:val="15"/>
          <w:szCs w:val="15"/>
          <w:color w:val="auto"/>
        </w:rPr>
        <w:t>investments in commercial paper maturing within 270 days from the date of acquisition thereof and having, at such date of acquisition, a credit rating of at least A</w:t>
      </w:r>
      <w:r>
        <w:rPr>
          <w:rFonts w:ascii="MS PGothic" w:cs="MS PGothic" w:eastAsia="MS PGothic" w:hAnsi="MS PGothic"/>
          <w:sz w:val="15"/>
          <w:szCs w:val="15"/>
          <w:color w:val="auto"/>
        </w:rPr>
        <w:t>‑</w:t>
      </w:r>
      <w:r>
        <w:rPr>
          <w:rFonts w:ascii="Arial" w:cs="Arial" w:eastAsia="Arial" w:hAnsi="Arial"/>
          <w:sz w:val="15"/>
          <w:szCs w:val="15"/>
          <w:color w:val="auto"/>
        </w:rPr>
        <w:t>1 from S&amp;P and at least P</w:t>
      </w:r>
      <w:r>
        <w:rPr>
          <w:rFonts w:ascii="MS PGothic" w:cs="MS PGothic" w:eastAsia="MS PGothic" w:hAnsi="MS PGothic"/>
          <w:sz w:val="15"/>
          <w:szCs w:val="15"/>
          <w:color w:val="auto"/>
        </w:rPr>
        <w:t>‑</w:t>
      </w:r>
      <w:r>
        <w:rPr>
          <w:rFonts w:ascii="Arial" w:cs="Arial" w:eastAsia="Arial" w:hAnsi="Arial"/>
          <w:sz w:val="15"/>
          <w:szCs w:val="15"/>
          <w:color w:val="auto"/>
        </w:rPr>
        <w:t>1 from Moody’s (or if only one of S&amp;P or Moody’s provides such rating, such investment shall also have an equivalent credit rating from any other rating agency);</w:t>
      </w:r>
    </w:p>
    <w:p>
      <w:pPr>
        <w:spacing w:after="0" w:line="131" w:lineRule="exact"/>
        <w:rPr>
          <w:rFonts w:ascii="Arial" w:cs="Arial" w:eastAsia="Arial" w:hAnsi="Arial"/>
          <w:sz w:val="15"/>
          <w:szCs w:val="15"/>
          <w:color w:val="auto"/>
        </w:rPr>
      </w:pPr>
    </w:p>
    <w:p>
      <w:pPr>
        <w:ind w:left="2280" w:hanging="614"/>
        <w:spacing w:after="0"/>
        <w:tabs>
          <w:tab w:leader="none" w:pos="2280" w:val="left"/>
        </w:tabs>
        <w:numPr>
          <w:ilvl w:val="1"/>
          <w:numId w:val="65"/>
        </w:numPr>
        <w:rPr>
          <w:rFonts w:ascii="Arial" w:cs="Arial" w:eastAsia="Arial" w:hAnsi="Arial"/>
          <w:sz w:val="14"/>
          <w:szCs w:val="14"/>
          <w:color w:val="auto"/>
        </w:rPr>
      </w:pPr>
      <w:r>
        <w:rPr>
          <w:rFonts w:ascii="Arial" w:cs="Arial" w:eastAsia="Arial" w:hAnsi="Arial"/>
          <w:sz w:val="14"/>
          <w:szCs w:val="14"/>
          <w:color w:val="auto"/>
        </w:rPr>
        <w:t>investments in certificates of deposit, banker’s acceptances and time deposits maturing within 180 days from the date of acquisition thereof</w:t>
      </w:r>
    </w:p>
    <w:p>
      <w:pPr>
        <w:spacing w:after="0" w:line="21" w:lineRule="exact"/>
        <w:rPr>
          <w:rFonts w:ascii="Arial" w:cs="Arial" w:eastAsia="Arial" w:hAnsi="Arial"/>
          <w:sz w:val="14"/>
          <w:szCs w:val="14"/>
          <w:color w:val="auto"/>
        </w:rPr>
      </w:pPr>
    </w:p>
    <w:p>
      <w:pPr>
        <w:jc w:val="both"/>
        <w:ind w:left="860" w:right="20" w:firstLine="4"/>
        <w:spacing w:after="0" w:line="172" w:lineRule="exact"/>
        <w:tabs>
          <w:tab w:leader="none" w:pos="1045" w:val="left"/>
        </w:tabs>
        <w:numPr>
          <w:ilvl w:val="0"/>
          <w:numId w:val="66"/>
        </w:numPr>
        <w:rPr>
          <w:rFonts w:ascii="Arial" w:cs="Arial" w:eastAsia="Arial" w:hAnsi="Arial"/>
          <w:sz w:val="14"/>
          <w:szCs w:val="14"/>
          <w:color w:val="auto"/>
        </w:rPr>
      </w:pPr>
      <w:r>
        <w:rPr>
          <w:rFonts w:ascii="Arial" w:cs="Arial" w:eastAsia="Arial" w:hAnsi="Arial"/>
          <w:sz w:val="14"/>
          <w:szCs w:val="14"/>
          <w:color w:val="auto"/>
        </w:rPr>
        <w:t xml:space="preserve">issued or guaranteed by or placed with, and money market deposit accounts issued or offered by, any domestic office of any commercial bank organized under the laws of the United States of America or any State thereof or under the laws of the jurisdiction or any constituent jurisdiction thereof of any Agreed Foreign Currency;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certificates of deposit, banker’s acceptances and time deposits are held in a securities account (as defined in the Uniform Commercial Code) through which the Collateral Agent can perfect a security interest therein and (ii) having, at such date of acquisition, a credit rating of at least A</w:t>
      </w:r>
      <w:r>
        <w:rPr>
          <w:rFonts w:ascii="MS PGothic" w:cs="MS PGothic" w:eastAsia="MS PGothic" w:hAnsi="MS PGothic"/>
          <w:sz w:val="14"/>
          <w:szCs w:val="14"/>
          <w:color w:val="auto"/>
        </w:rPr>
        <w:t>‑</w:t>
      </w:r>
      <w:r>
        <w:rPr>
          <w:rFonts w:ascii="Arial" w:cs="Arial" w:eastAsia="Arial" w:hAnsi="Arial"/>
          <w:sz w:val="14"/>
          <w:szCs w:val="14"/>
          <w:color w:val="auto"/>
        </w:rPr>
        <w:t>1 from S&amp;P and at least P</w:t>
      </w:r>
      <w:r>
        <w:rPr>
          <w:rFonts w:ascii="MS PGothic" w:cs="MS PGothic" w:eastAsia="MS PGothic" w:hAnsi="MS PGothic"/>
          <w:sz w:val="14"/>
          <w:szCs w:val="14"/>
          <w:color w:val="auto"/>
        </w:rPr>
        <w:t>‑</w:t>
      </w:r>
      <w:r>
        <w:rPr>
          <w:rFonts w:ascii="Arial" w:cs="Arial" w:eastAsia="Arial" w:hAnsi="Arial"/>
          <w:sz w:val="14"/>
          <w:szCs w:val="14"/>
          <w:color w:val="auto"/>
        </w:rPr>
        <w:t>1 from Moody’s (or if only one of S&amp;P or Moody’s provides such rating, such investment shall also have an equivalent credit rating from any other rating agency);</w:t>
      </w:r>
    </w:p>
    <w:p>
      <w:pPr>
        <w:spacing w:after="0" w:line="131" w:lineRule="exact"/>
        <w:rPr>
          <w:rFonts w:ascii="Arial" w:cs="Arial" w:eastAsia="Arial" w:hAnsi="Arial"/>
          <w:sz w:val="14"/>
          <w:szCs w:val="14"/>
          <w:color w:val="auto"/>
        </w:rPr>
      </w:pPr>
    </w:p>
    <w:p>
      <w:pPr>
        <w:jc w:val="both"/>
        <w:ind w:left="860" w:firstLine="806"/>
        <w:spacing w:after="0" w:line="175" w:lineRule="exact"/>
        <w:tabs>
          <w:tab w:leader="none" w:pos="2292" w:val="left"/>
        </w:tabs>
        <w:numPr>
          <w:ilvl w:val="1"/>
          <w:numId w:val="66"/>
        </w:numPr>
        <w:rPr>
          <w:rFonts w:ascii="Arial" w:cs="Arial" w:eastAsia="Arial" w:hAnsi="Arial"/>
          <w:sz w:val="15"/>
          <w:szCs w:val="15"/>
          <w:color w:val="auto"/>
        </w:rPr>
      </w:pPr>
      <w:r>
        <w:rPr>
          <w:rFonts w:ascii="Arial" w:cs="Arial" w:eastAsia="Arial" w:hAnsi="Arial"/>
          <w:sz w:val="15"/>
          <w:szCs w:val="15"/>
          <w:color w:val="auto"/>
        </w:rPr>
        <w:t xml:space="preserve">fully collateralized repurchase agreements with a term of not more than 30 days from the date of acquisition thereof for U.S. Government Securities and entered into with (i) a financial institution satisfying the criteria described in </w:t>
      </w:r>
      <w:r>
        <w:rPr>
          <w:rFonts w:ascii="Arial" w:cs="Arial" w:eastAsia="Arial" w:hAnsi="Arial"/>
          <w:sz w:val="15"/>
          <w:szCs w:val="15"/>
          <w:u w:val="single" w:color="auto"/>
          <w:color w:val="auto"/>
        </w:rPr>
        <w:t>clause (c)</w:t>
      </w:r>
      <w:r>
        <w:rPr>
          <w:rFonts w:ascii="Arial" w:cs="Arial" w:eastAsia="Arial" w:hAnsi="Arial"/>
          <w:sz w:val="15"/>
          <w:szCs w:val="15"/>
          <w:color w:val="auto"/>
        </w:rPr>
        <w:t xml:space="preserve"> of this definition or (ii) an Approved Dealer having (or being a member of a consolidated group having) at such date of acquisition, a credit rating of at least A</w:t>
      </w:r>
      <w:r>
        <w:rPr>
          <w:rFonts w:ascii="MS PGothic" w:cs="MS PGothic" w:eastAsia="MS PGothic" w:hAnsi="MS PGothic"/>
          <w:sz w:val="15"/>
          <w:szCs w:val="15"/>
          <w:color w:val="auto"/>
        </w:rPr>
        <w:t>‑</w:t>
      </w:r>
      <w:r>
        <w:rPr>
          <w:rFonts w:ascii="Arial" w:cs="Arial" w:eastAsia="Arial" w:hAnsi="Arial"/>
          <w:sz w:val="15"/>
          <w:szCs w:val="15"/>
          <w:color w:val="auto"/>
        </w:rPr>
        <w:t>1 from S&amp;P and at least P</w:t>
      </w:r>
      <w:r>
        <w:rPr>
          <w:rFonts w:ascii="MS PGothic" w:cs="MS PGothic" w:eastAsia="MS PGothic" w:hAnsi="MS PGothic"/>
          <w:sz w:val="15"/>
          <w:szCs w:val="15"/>
          <w:color w:val="auto"/>
        </w:rPr>
        <w:t>‑</w:t>
      </w:r>
      <w:r>
        <w:rPr>
          <w:rFonts w:ascii="Arial" w:cs="Arial" w:eastAsia="Arial" w:hAnsi="Arial"/>
          <w:sz w:val="15"/>
          <w:szCs w:val="15"/>
          <w:color w:val="auto"/>
        </w:rPr>
        <w:t>1 from Moody’s (or if only one of S&amp;P or Moody’s provides such rating, such investment shall also have an equivalent credit rating from any other rating agency);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225425</wp:posOffset>
            </wp:positionV>
            <wp:extent cx="721106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3" w:name="page124"/>
    <w:bookmarkEnd w:id="123"/>
    <w:p>
      <w:pPr>
        <w:ind w:left="864" w:right="20" w:firstLine="806"/>
        <w:spacing w:after="0" w:line="262" w:lineRule="auto"/>
        <w:tabs>
          <w:tab w:leader="none" w:pos="2288"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investments in money market funds that invest solely, and which are restricted by their respective charters to invest solely, in investments of the type described in the immediately preceding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(d)</w:t>
      </w:r>
      <w:r>
        <w:rPr>
          <w:rFonts w:ascii="Arial" w:cs="Arial" w:eastAsia="Arial" w:hAnsi="Arial"/>
          <w:sz w:val="15"/>
          <w:szCs w:val="15"/>
          <w:color w:val="auto"/>
        </w:rPr>
        <w:t xml:space="preserve"> above (including as to credit quality and maturity).</w:t>
      </w:r>
    </w:p>
    <w:p>
      <w:pPr>
        <w:spacing w:after="0" w:line="115" w:lineRule="exact"/>
        <w:rPr>
          <w:sz w:val="20"/>
          <w:szCs w:val="20"/>
          <w:color w:val="auto"/>
        </w:rPr>
      </w:pPr>
    </w:p>
    <w:p>
      <w:pPr>
        <w:ind w:left="4"/>
        <w:spacing w:after="0"/>
        <w:rPr>
          <w:sz w:val="20"/>
          <w:szCs w:val="20"/>
          <w:color w:val="auto"/>
        </w:rPr>
      </w:pPr>
      <w:r>
        <w:rPr>
          <w:rFonts w:ascii="Arial" w:cs="Arial" w:eastAsia="Arial" w:hAnsi="Arial"/>
          <w:sz w:val="14"/>
          <w:szCs w:val="14"/>
          <w:color w:val="auto"/>
        </w:rPr>
        <w:t>ARTICLE VI</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in no event shall Cash Equivalents include any obligation that provides for the payment of interest alone (for example, interest-only securities or “IOs”);</w:t>
      </w:r>
    </w:p>
    <w:p>
      <w:pPr>
        <w:spacing w:after="0" w:line="21" w:lineRule="exact"/>
        <w:rPr>
          <w:sz w:val="20"/>
          <w:szCs w:val="20"/>
          <w:color w:val="auto"/>
        </w:rPr>
      </w:pPr>
    </w:p>
    <w:p>
      <w:pPr>
        <w:jc w:val="both"/>
        <w:ind w:left="4" w:hanging="4"/>
        <w:spacing w:after="0" w:line="239" w:lineRule="auto"/>
        <w:tabs>
          <w:tab w:leader="none" w:pos="232" w:val="left"/>
        </w:tabs>
        <w:numPr>
          <w:ilvl w:val="0"/>
          <w:numId w:val="68"/>
        </w:numPr>
        <w:rPr>
          <w:rFonts w:ascii="Arial" w:cs="Arial" w:eastAsia="Arial" w:hAnsi="Arial"/>
          <w:sz w:val="15"/>
          <w:szCs w:val="15"/>
          <w:color w:val="auto"/>
        </w:rPr>
      </w:pPr>
      <w:r>
        <w:rPr>
          <w:rFonts w:ascii="Arial" w:cs="Arial" w:eastAsia="Arial" w:hAnsi="Arial"/>
          <w:sz w:val="15"/>
          <w:szCs w:val="15"/>
          <w:color w:val="auto"/>
        </w:rPr>
        <w:t>if any of Moody’s or S&amp;P changes its rating system, then any ratings included in this definition shall be deemed to be an equivalent rating in a successor rating category of Moody’s or S&amp;P, as the case may be; (iii) Cash Equivalents (other than U.S. Government Securities, repurchase agreements or the money market funds described in clause (e) of this definition of Cash Equivalents) shall not include any such investment of more than 10% of total assets of the Borrower and its Subsidiaries in any single issuer; and (iv) in no event shall Cash Equivalents include any obligation that is not denominated in Dollars or an Agreed Foreign Currency.</w:t>
      </w:r>
    </w:p>
    <w:p>
      <w:pPr>
        <w:spacing w:after="0" w:line="133" w:lineRule="exact"/>
        <w:rPr>
          <w:sz w:val="20"/>
          <w:szCs w:val="20"/>
          <w:color w:val="auto"/>
        </w:rPr>
      </w:pPr>
    </w:p>
    <w:p>
      <w:pPr>
        <w:jc w:val="both"/>
        <w:ind w:left="4" w:right="20" w:firstLine="1737"/>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(a) the acquisition of ownership, directly or indirectly, beneficially or of record, by any Person or group (within the meaning of the Securities Exchange Act of 1934 and the rules of the Securities and Exchange Commission thereunder as in effect on the date hereof) other than TSSP Management Holdings, L.P or any of its Affiliates that are in the business of managing and advising clients, of shares representing more than 35% of the aggregate ordinary voting power represented by the issued and outstanding capital stock of the Borrower; (b) occupation of a majority of the seats (other than vacant seats) on the board of directors of the Borrower by Persons who were neither (i) nominated by the requisite members of the board of directors of the Borrower nor (ii) appointed by a majority of the directors so nominated; (c) the acquisition of direct or indirect Control of the Borrower by any Person or group other than TSSP Management Holdings, L.P or any of its Affiliates that are in the business of managing and advising clients; or (d) the External Manager ceases to be Controlled by TSSP Management Holdings, L.P.</w:t>
      </w:r>
    </w:p>
    <w:p>
      <w:pPr>
        <w:spacing w:after="0" w:line="130" w:lineRule="exact"/>
        <w:rPr>
          <w:sz w:val="20"/>
          <w:szCs w:val="20"/>
          <w:color w:val="auto"/>
        </w:rPr>
      </w:pPr>
    </w:p>
    <w:p>
      <w:pPr>
        <w:jc w:val="both"/>
        <w:ind w:left="4" w:firstLine="17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in Law</w:t>
      </w:r>
      <w:r>
        <w:rPr>
          <w:rFonts w:ascii="Arial" w:cs="Arial" w:eastAsia="Arial" w:hAnsi="Arial"/>
          <w:sz w:val="14"/>
          <w:szCs w:val="14"/>
          <w:color w:val="auto"/>
        </w:rPr>
        <w:t>” means the occurrence, after the date of this Agreement (or with respect to a Person becoming a Lender by assignment or joinder after the date of this Agreement, the effective date thereof), of (a) the adoption of any law, treaty or governmental rule or regulation or any change in any law, treaty or governmental rule or regulation or in the interpretation, administration or application thereof (regardless of whether the underlying law, treaty or governmental rule or regulation was issued or enacted prior to the date hereof (or with respect to a Person becoming a Lender by assignment or joinder after the date of this Agreement, the effective date thereof)), but excluding proposals thereof, or any determination of a court or Governmental Authority, (b) any guideline, request or directive by any Governmental Authority (whether or not having the force of law) or any implementation rules or interpretations of previously issued guidelines, requests or directives, in each case that is issued or made after the date hereof (or with respect to a Person becoming a Lender by assignment or joinder after the date of this Agreement, the effective date thereof) or (c) compliance by any Lender (or its applicable lending office) or any company controlling such Lender with any guideline, request or directive regarding capital adequacy or liquidity (whether or not having the force of law) of any such Governmental Authority, in each case adopted after the date hereof (or with respect to a Person becoming a Lender by assignment or joinder after the date of this Agreement, the effective date thereof). For the avoidance of doubt, all requests, rules, guidelines or directives concerning liquidity 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21106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24" w:name="page125"/>
    <w:bookmarkEnd w:id="124"/>
    <w:p>
      <w:pPr>
        <w:ind w:left="4"/>
        <w:spacing w:after="0"/>
        <w:rPr>
          <w:sz w:val="20"/>
          <w:szCs w:val="20"/>
          <w:color w:val="auto"/>
        </w:rPr>
      </w:pPr>
      <w:r>
        <w:rPr>
          <w:rFonts w:ascii="Arial" w:cs="Arial" w:eastAsia="Arial" w:hAnsi="Arial"/>
          <w:sz w:val="14"/>
          <w:szCs w:val="14"/>
          <w:color w:val="auto"/>
        </w:rPr>
        <w:t>adequacy issued (i) by any United States regulatory authority under or in connection with the implementation of the Dodd-Frank Wall Street Reform and Consumer Protection Act and</w:t>
      </w:r>
    </w:p>
    <w:p>
      <w:pPr>
        <w:spacing w:after="0" w:line="21" w:lineRule="exact"/>
        <w:rPr>
          <w:sz w:val="20"/>
          <w:szCs w:val="20"/>
          <w:color w:val="auto"/>
        </w:rPr>
      </w:pPr>
    </w:p>
    <w:p>
      <w:pPr>
        <w:jc w:val="both"/>
        <w:ind w:left="4" w:right="20" w:hanging="4"/>
        <w:spacing w:after="0" w:line="241" w:lineRule="auto"/>
        <w:tabs>
          <w:tab w:leader="none" w:pos="249" w:val="left"/>
        </w:tabs>
        <w:numPr>
          <w:ilvl w:val="0"/>
          <w:numId w:val="69"/>
        </w:numPr>
        <w:rPr>
          <w:rFonts w:ascii="Arial" w:cs="Arial" w:eastAsia="Arial" w:hAnsi="Arial"/>
          <w:sz w:val="15"/>
          <w:szCs w:val="15"/>
          <w:color w:val="auto"/>
        </w:rPr>
      </w:pPr>
      <w:r>
        <w:rPr>
          <w:rFonts w:ascii="Arial" w:cs="Arial" w:eastAsia="Arial" w:hAnsi="Arial"/>
          <w:sz w:val="15"/>
          <w:szCs w:val="15"/>
          <w:color w:val="auto"/>
        </w:rPr>
        <w:t>by any Governmental Authority in connection with the implementation of the recommendations of the Bank for International Settlements or the Basel Committee on Banking Regulations and Supervisory Practices (or any successor or similar authority), in each case pursuant to Basel III, shall in each case be deemed to be a “Change in Law”, regardless of the date adopted, issued, promulgated or implemented.</w:t>
      </w:r>
    </w:p>
    <w:p>
      <w:pPr>
        <w:spacing w:after="0" w:line="130" w:lineRule="exact"/>
        <w:rPr>
          <w:sz w:val="20"/>
          <w:szCs w:val="20"/>
          <w:color w:val="auto"/>
        </w:rPr>
      </w:pPr>
    </w:p>
    <w:p>
      <w:pPr>
        <w:jc w:val="both"/>
        <w:ind w:left="4"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Class</w:t>
      </w:r>
      <w:r>
        <w:rPr>
          <w:rFonts w:ascii="Arial" w:cs="Arial" w:eastAsia="Arial" w:hAnsi="Arial"/>
          <w:sz w:val="15"/>
          <w:szCs w:val="15"/>
          <w:color w:val="auto"/>
        </w:rPr>
        <w:t>”, when used in reference to any Loan or Borrowing, refers to whether such Loan, or the Loans constituting such Borrowing, are Syndicated Dollar Loans, Syndicated Multicurrency Loans or Swingline Loans; when used in reference to any Lender’s (i) Class of Commitment, refers to whether such Lender is a Dollar Lender or a Multicurrency Lender and (ii) Class of Final Maturity Date, refers to whether such Lender is an Extending Lender or a Non-Extending Lender; and, when used in reference to any Commitment, refers to whether such Commitment is a Dollar Commitment or a Multicurrency Commitment. The “</w:t>
      </w:r>
      <w:r>
        <w:rPr>
          <w:rFonts w:ascii="Arial" w:cs="Arial" w:eastAsia="Arial" w:hAnsi="Arial"/>
          <w:sz w:val="15"/>
          <w:szCs w:val="15"/>
          <w:u w:val="single" w:color="auto"/>
          <w:color w:val="auto"/>
        </w:rPr>
        <w:t>Class</w:t>
      </w:r>
      <w:r>
        <w:rPr>
          <w:rFonts w:ascii="Arial" w:cs="Arial" w:eastAsia="Arial" w:hAnsi="Arial"/>
          <w:sz w:val="15"/>
          <w:szCs w:val="15"/>
          <w:color w:val="auto"/>
        </w:rPr>
        <w:t>” of a Letter of Credit refers to whether such Letter of Credit is a Dollar Letter of Credit or a Multicurrency Letter of Credit.</w:t>
      </w:r>
    </w:p>
    <w:p>
      <w:pPr>
        <w:spacing w:after="0" w:line="12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from time to time.</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Collateral</w:t>
      </w:r>
      <w:r>
        <w:rPr>
          <w:rFonts w:ascii="Arial" w:cs="Arial" w:eastAsia="Arial" w:hAnsi="Arial"/>
          <w:sz w:val="15"/>
          <w:szCs w:val="15"/>
          <w:color w:val="auto"/>
        </w:rPr>
        <w:t>” has the meaning assigned to such term in the Guarantee and Security Agreement.</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 Agent</w:t>
      </w:r>
      <w:r>
        <w:rPr>
          <w:rFonts w:ascii="Arial" w:cs="Arial" w:eastAsia="Arial" w:hAnsi="Arial"/>
          <w:sz w:val="14"/>
          <w:szCs w:val="14"/>
          <w:color w:val="auto"/>
        </w:rPr>
        <w:t>” means Truist in its capacity as Collateral Agent under the Guarantee and Security Agreement, and includes any successor Collateral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Agent thereunder.</w:t>
      </w:r>
    </w:p>
    <w:p>
      <w:pPr>
        <w:spacing w:after="0" w:line="137" w:lineRule="exact"/>
        <w:rPr>
          <w:sz w:val="20"/>
          <w:szCs w:val="20"/>
          <w:color w:val="auto"/>
        </w:rPr>
      </w:pPr>
    </w:p>
    <w:p>
      <w:pPr>
        <w:jc w:val="both"/>
        <w:ind w:left="4" w:right="20" w:firstLine="1737"/>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 Pool</w:t>
      </w:r>
      <w:r>
        <w:rPr>
          <w:rFonts w:ascii="Arial" w:cs="Arial" w:eastAsia="Arial" w:hAnsi="Arial"/>
          <w:sz w:val="14"/>
          <w:szCs w:val="14"/>
          <w:color w:val="auto"/>
        </w:rPr>
        <w:t xml:space="preserve">” means, at any time, each Portfolio Investment that has been Delivered (as defined in the Guarantee and Security Agreement) to the Collateral Agent and is subject to the Lien of the Guaranty and Security Agreement, and then only for so long as such Portfolio Investment continues to be Delivered as contemplated therein and in which the Collateral Agent has a first-priority perfected Lien as security for the Secured Obligations (as such term is defined in the Guarantee and Security Agreement) (subject to any Lien permitted by </w:t>
      </w:r>
      <w:r>
        <w:rPr>
          <w:rFonts w:ascii="Arial" w:cs="Arial" w:eastAsia="Arial" w:hAnsi="Arial"/>
          <w:sz w:val="14"/>
          <w:szCs w:val="14"/>
          <w:u w:val="single" w:color="auto"/>
          <w:color w:val="auto"/>
        </w:rPr>
        <w:t>Section 6.02</w:t>
      </w:r>
      <w:r>
        <w:rPr>
          <w:rFonts w:ascii="Arial" w:cs="Arial" w:eastAsia="Arial" w:hAnsi="Arial"/>
          <w:sz w:val="14"/>
          <w:szCs w:val="14"/>
          <w:color w:val="auto"/>
        </w:rPr>
        <w:t xml:space="preserve"> hereof); provided that in the case of any Portfolio Investment in which the Collateral Agent has a first-priority perfected security interest pursuant to a valid Uniform Commercial Code filing (and for which no other method of perfection with a higher priority is possible), such Portfolio Investment may be included in the Borrowing Base so long as all remaining actions to complete “Delivery” are satisfied in full within 7 days of such inclusion.</w:t>
      </w:r>
    </w:p>
    <w:p>
      <w:pPr>
        <w:spacing w:after="0" w:line="118" w:lineRule="exact"/>
        <w:rPr>
          <w:sz w:val="20"/>
          <w:szCs w:val="20"/>
          <w:color w:val="auto"/>
        </w:rPr>
      </w:pPr>
    </w:p>
    <w:p>
      <w:pPr>
        <w:jc w:val="both"/>
        <w:ind w:left="4"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Combined Debt Amount</w:t>
      </w:r>
      <w:r>
        <w:rPr>
          <w:rFonts w:ascii="Arial" w:cs="Arial" w:eastAsia="Arial" w:hAnsi="Arial"/>
          <w:sz w:val="14"/>
          <w:szCs w:val="14"/>
          <w:color w:val="auto"/>
        </w:rPr>
        <w:t>” means, as of any date, (i) the aggregate amount of Commitments as of such date (or, if greater, the Revolving Credit Exposures of all Lenders as of such date) plus (ii) the aggregate amount of outstanding Designated Indebtedness (as such term is defined in the Guarantee and Security Agreement) and, without duplication, the aggregate amount of unused commitments under any Designated Indebtedness (as such term is defined in the Guarantee and Security Agreement).</w:t>
      </w:r>
    </w:p>
    <w:p>
      <w:pPr>
        <w:spacing w:after="0" w:line="108"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Commitment Increase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2.08(e)(i)</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25" w:name="page126"/>
    <w:bookmarkEnd w:id="125"/>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Commitment Increase Date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2.08(e)(i)</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Commitment Termination Date</w:t>
      </w:r>
      <w:r>
        <w:rPr>
          <w:rFonts w:ascii="Arial" w:cs="Arial" w:eastAsia="Arial" w:hAnsi="Arial"/>
          <w:sz w:val="14"/>
          <w:szCs w:val="14"/>
          <w:color w:val="auto"/>
        </w:rPr>
        <w:t>” means the Extended Commitment Termination Date or the relevant Non-Extended Commitment Termination Date, as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applicable.</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Commitments</w:t>
      </w:r>
      <w:r>
        <w:rPr>
          <w:rFonts w:ascii="Arial" w:cs="Arial" w:eastAsia="Arial" w:hAnsi="Arial"/>
          <w:sz w:val="15"/>
          <w:szCs w:val="15"/>
          <w:color w:val="auto"/>
        </w:rPr>
        <w:t>” means, collectively, the Dollar Commitments and the Multicurrency Commitments.</w:t>
      </w:r>
    </w:p>
    <w:p>
      <w:pPr>
        <w:spacing w:after="0" w:line="149" w:lineRule="exact"/>
        <w:rPr>
          <w:sz w:val="20"/>
          <w:szCs w:val="20"/>
          <w:color w:val="auto"/>
        </w:rPr>
      </w:pPr>
    </w:p>
    <w:p>
      <w:pPr>
        <w:jc w:val="both"/>
        <w:ind w:firstLine="1737"/>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Conforming Changes</w:t>
      </w:r>
      <w:r>
        <w:rPr>
          <w:rFonts w:ascii="Arial" w:cs="Arial" w:eastAsia="Arial" w:hAnsi="Arial"/>
          <w:sz w:val="14"/>
          <w:szCs w:val="14"/>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“Eurocurrency Rate”, “Alternate Base Rate”, the definition of “Business Day”, the definition of “Eurocurrency Banking Day”, the definition of “U.S. Government Securities Business Day”, the definition of “Daily Simple RFR”, the definition of “RFR”, the definition of “RFR Business Day”, the definition of “RFR Interest Day”, the definition of “RFR Reference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and other technical, administrative or operational matters) that the Administrative Agent, after consultation with the Borrower,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(after consultation with the Borrower) decides is reasonably necessary in connection with the administration of this Agreement and the other Loan Documents).</w:t>
      </w:r>
    </w:p>
    <w:p>
      <w:pPr>
        <w:spacing w:after="0" w:line="122" w:lineRule="exact"/>
        <w:rPr>
          <w:sz w:val="20"/>
          <w:szCs w:val="20"/>
          <w:color w:val="auto"/>
        </w:rPr>
      </w:pPr>
    </w:p>
    <w:p>
      <w:pPr>
        <w:jc w:val="both"/>
        <w:ind w:right="20"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Asset Coverage Ratio</w:t>
      </w:r>
      <w:r>
        <w:rPr>
          <w:rFonts w:ascii="Arial" w:cs="Arial" w:eastAsia="Arial" w:hAnsi="Arial"/>
          <w:sz w:val="15"/>
          <w:szCs w:val="15"/>
          <w:color w:val="auto"/>
        </w:rPr>
        <w:t>” means the ratio, determined on a consolidated basis for Borrower and its Subsidiaries, without duplication, of (a) the value of total assets of the Borrower and its Subsidiaries, less all liabilities and indebtedness not represented by senior securities to (b) the aggregate amount of senior securities representing indebtedness of Borrower and its Subsidiaries (including this Agreement), in each case as determined pursuant to the Investment Company Act and any orders of the Securities and Exchange Commission issued to or with respect to Borrower thereunder, including any exemptive relief granted by the Securities and Exchange Commission with respect to the indebtedness of any SBIC Subsidiary.</w:t>
      </w:r>
    </w:p>
    <w:p>
      <w:pPr>
        <w:spacing w:after="0" w:line="12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Group</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5.13(a)</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5"/>
          <w:szCs w:val="15"/>
          <w:u w:val="single" w:color="auto"/>
          <w:color w:val="auto"/>
        </w:rPr>
        <w:t>Controlling</w:t>
      </w:r>
      <w:r>
        <w:rPr>
          <w:rFonts w:ascii="Arial" w:cs="Arial" w:eastAsia="Arial" w:hAnsi="Arial"/>
          <w:sz w:val="15"/>
          <w:szCs w:val="15"/>
          <w:color w:val="auto"/>
        </w:rPr>
        <w:t>” and “</w:t>
      </w:r>
      <w:r>
        <w:rPr>
          <w:rFonts w:ascii="Arial" w:cs="Arial" w:eastAsia="Arial" w:hAnsi="Arial"/>
          <w:sz w:val="15"/>
          <w:szCs w:val="15"/>
          <w:u w:val="single" w:color="auto"/>
          <w:color w:val="auto"/>
        </w:rPr>
        <w:t>Controlled</w:t>
      </w:r>
      <w:r>
        <w:rPr>
          <w:rFonts w:ascii="Arial" w:cs="Arial" w:eastAsia="Arial" w:hAnsi="Arial"/>
          <w:sz w:val="15"/>
          <w:szCs w:val="15"/>
          <w:color w:val="auto"/>
        </w:rPr>
        <w:t xml:space="preserve">” have meanings correlative thereto;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“Control” shall not include “negative” control or “blocking” rights whereby action cannot be taken without the vote or consent of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6" w:name="page127"/>
    <w:bookmarkEnd w:id="126"/>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Conversion Rate</w:t>
      </w:r>
      <w:r>
        <w:rPr>
          <w:rFonts w:ascii="Arial" w:cs="Arial" w:eastAsia="Arial" w:hAnsi="Arial"/>
          <w:sz w:val="15"/>
          <w:szCs w:val="15"/>
          <w:color w:val="auto"/>
        </w:rPr>
        <w:t>” shall have the meaning specified in the Indenture.</w:t>
      </w:r>
    </w:p>
    <w:p>
      <w:pPr>
        <w:spacing w:after="0" w:line="149" w:lineRule="exact"/>
        <w:rPr>
          <w:sz w:val="20"/>
          <w:szCs w:val="20"/>
          <w:color w:val="auto"/>
        </w:rPr>
      </w:pPr>
    </w:p>
    <w:p>
      <w:pPr>
        <w:jc w:val="both"/>
        <w:ind w:firstLine="1737"/>
        <w:spacing w:after="0" w:line="25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Covered Debt Amount</w:t>
      </w:r>
      <w:r>
        <w:rPr>
          <w:rFonts w:ascii="Arial" w:cs="Arial" w:eastAsia="Arial" w:hAnsi="Arial"/>
          <w:sz w:val="14"/>
          <w:szCs w:val="14"/>
          <w:color w:val="auto"/>
        </w:rPr>
        <w:t xml:space="preserve">” means, on any date, the sum of (x) all of the Revolving Credit Exposures of all Lenders on such date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(y) the aggregate amount of Other Covered Indebtedness, the 2022 Convertible Notes, the 2023 Notes, the 2024 Notes, the 2026 Notes, Special Unsecured Indebtedness and Unsecured Longer-Term Indebtedness on such date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(z) the LC Exposures fully Cash Collateralized on such date pursuant to </w:t>
      </w:r>
      <w:r>
        <w:rPr>
          <w:rFonts w:ascii="Arial" w:cs="Arial" w:eastAsia="Arial" w:hAnsi="Arial"/>
          <w:sz w:val="14"/>
          <w:szCs w:val="14"/>
          <w:u w:val="single" w:color="auto"/>
          <w:color w:val="auto"/>
        </w:rPr>
        <w:t>Section 2.05(k)</w:t>
      </w:r>
      <w:r>
        <w:rPr>
          <w:rFonts w:ascii="Arial" w:cs="Arial" w:eastAsia="Arial" w:hAnsi="Arial"/>
          <w:sz w:val="14"/>
          <w:szCs w:val="14"/>
          <w:color w:val="auto"/>
        </w:rPr>
        <w:t xml:space="preserve"> and the last paragraph of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2022 Convertible Notes, the 2023 Notes, the 2024 Notes, the 2026 Notes, Special Unsecured Indebtedness and Unsecured Longer-Term Indebtedness shall be excluded from the calculation of the Covered Debt Amount, in each case, until the date that is nine (9) months prior to the scheduled maturity date of the 2022 Convertible Notes, the 2023 Notes, the 2024 Notes, the 2026 Notes, Special Unsecured Indebtedness or such Unsecured Longer-Term Indebtedness, as applicable (provided that, to the extent, but only to the extent, any portion of the 2022 Convertible Notes, the 2023 Notes, the 2024 Notes, the 2026 Notes, Special Unsecured Indebtedness or Unsecured Longer-Term Indebtedness is subject to a contractually scheduled amortization payment or other principal payment or mandatory redemption (other than any conversion of the 2022 Convertible Notes into common stock or any other conversion into common stock of the Borrower) earlier than six (6) months after the Final Maturity Date (in the case of the 2022 Convertible Notes, the 2023 Notes, the 2024 Notes, the 2026 Notes and Unsecured Longer-Term Indebtedness) or earlier than the original final maturity date of such Indebtedness (in the case of Special Unsecured Indebtedness), such portion of such Indebtedness, to the extent then outstanding, shall be included in the calculation of the Covered Debt Amount beginning upon the date that is the later of (i) nine (9) months prior to such scheduled amortization payment or other principal payment or mandatory redemption and (ii) the date the Borrower becomes aware that such Indebtedness is required to be paid or redeemed). Notwithstanding anything herein to the contrary, no portion of the 2022 Convertible Notes shall be included in the calculation of the Covered Debt Amount unless the Stock Price on the date of determination multiplied by the Conversion Rate on the date of determination (and taking into account any adjustments to the Conversion Rate carried forward and not yet included in such Conversion Rate) is less than $1,000.</w:t>
      </w:r>
    </w:p>
    <w:p>
      <w:pPr>
        <w:spacing w:after="0" w:line="12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Currency</w:t>
      </w:r>
      <w:r>
        <w:rPr>
          <w:rFonts w:ascii="Arial" w:cs="Arial" w:eastAsia="Arial" w:hAnsi="Arial"/>
          <w:sz w:val="15"/>
          <w:szCs w:val="15"/>
          <w:color w:val="auto"/>
        </w:rPr>
        <w:t>” means Dollars or any Foreign Currency.</w:t>
      </w:r>
    </w:p>
    <w:p>
      <w:pPr>
        <w:spacing w:after="0" w:line="149" w:lineRule="exact"/>
        <w:rPr>
          <w:sz w:val="20"/>
          <w:szCs w:val="20"/>
          <w:color w:val="auto"/>
        </w:rPr>
      </w:pPr>
    </w:p>
    <w:p>
      <w:pPr>
        <w:jc w:val="both"/>
        <w:ind w:firstLine="173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Daily Simple RFR</w:t>
      </w:r>
      <w:r>
        <w:rPr>
          <w:rFonts w:ascii="Arial" w:cs="Arial" w:eastAsia="Arial" w:hAnsi="Arial"/>
          <w:sz w:val="14"/>
          <w:szCs w:val="14"/>
          <w:color w:val="auto"/>
        </w:rPr>
        <w:t>” means, for any day (an “</w:t>
      </w:r>
      <w:r>
        <w:rPr>
          <w:rFonts w:ascii="Arial" w:cs="Arial" w:eastAsia="Arial" w:hAnsi="Arial"/>
          <w:sz w:val="14"/>
          <w:szCs w:val="14"/>
          <w:u w:val="single" w:color="auto"/>
          <w:color w:val="auto"/>
        </w:rPr>
        <w:t>RFR Interest Day</w:t>
      </w:r>
      <w:r>
        <w:rPr>
          <w:rFonts w:ascii="Arial" w:cs="Arial" w:eastAsia="Arial" w:hAnsi="Arial"/>
          <w:sz w:val="14"/>
          <w:szCs w:val="14"/>
          <w:color w:val="auto"/>
        </w:rPr>
        <w:t>”), an interest rate per annum equal to (a) for any RFR Loan denominated in Sterling, the greater of (i) SONIA for the day (the “</w:t>
      </w:r>
      <w:r>
        <w:rPr>
          <w:rFonts w:ascii="Arial" w:cs="Arial" w:eastAsia="Arial" w:hAnsi="Arial"/>
          <w:sz w:val="14"/>
          <w:szCs w:val="14"/>
          <w:u w:val="single" w:color="auto"/>
          <w:color w:val="auto"/>
        </w:rPr>
        <w:t>RFR Reference Day</w:t>
      </w:r>
      <w:r>
        <w:rPr>
          <w:rFonts w:ascii="Arial" w:cs="Arial" w:eastAsia="Arial" w:hAnsi="Arial"/>
          <w:sz w:val="14"/>
          <w:szCs w:val="14"/>
          <w:color w:val="auto"/>
        </w:rPr>
        <w:t>”) that is five Business Days prior to (A) if such RFR Interest Day is a Business Day, such RFR Interest Day or (B) if such RFR Interest Day is not a Business Day, the Business Day immediately preceding such RFR Interest Day, in each case, plus the applicable RFR Applicable Credit Adjustment Spread for the Interest Period in which such RFR Interest Day occurs and (ii) 0.00%; and (b) for any RFR Loan denominated in Swiss Francs, the greater of (i) SARON for the RFR Reference Day that is five Business Days prior to (A) if such RFR Interest Day is a Business Day, such RFR Interest Day or (B) if such RFR Interest Day is not a Business Day, the Business Day immediately preceding such RFR Interest Day, in each case, plus the applicable RFR Applicable Credit Adjustment Spread for the Interest Period in which such RFR Interest Day occurs and (ii) 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215265</wp:posOffset>
            </wp:positionV>
            <wp:extent cx="7211060"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7" w:name="page128"/>
    <w:bookmarkEnd w:id="127"/>
    <w:p>
      <w:pPr>
        <w:jc w:val="both"/>
        <w:spacing w:after="0" w:line="241" w:lineRule="auto"/>
        <w:rPr>
          <w:sz w:val="20"/>
          <w:szCs w:val="20"/>
          <w:color w:val="auto"/>
        </w:rPr>
      </w:pPr>
      <w:r>
        <w:rPr>
          <w:rFonts w:ascii="Arial" w:cs="Arial" w:eastAsia="Arial" w:hAnsi="Arial"/>
          <w:sz w:val="15"/>
          <w:szCs w:val="15"/>
          <w:color w:val="auto"/>
        </w:rPr>
        <w:t xml:space="preserve">Simple RFR has not occurred, then the RFR Rate for such RFR Reference Day will be the RFR Rate as published in respect of the first preceding RFR Business Day for which such RFR Rate was published on the RFR Administrator’s Website;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 When used in reference to any Loan or Borrowing, “Daily Simple RFR Loan” or “Daily Simple RFR Borrowing”, as applicable, refers to whether such Loan, or the Loans constituting such Borrowing, are bearing interest at a rate determined by reference to the Daily Simple RFR for the applicable Currency.</w:t>
      </w:r>
    </w:p>
    <w:p>
      <w:pPr>
        <w:spacing w:after="0" w:line="133"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Daily Simple SOFR</w:t>
      </w:r>
      <w:r>
        <w:rPr>
          <w:rFonts w:ascii="Arial" w:cs="Arial" w:eastAsia="Arial" w:hAnsi="Arial"/>
          <w:sz w:val="15"/>
          <w:szCs w:val="15"/>
          <w:color w:val="auto"/>
        </w:rPr>
        <w:t>” means, for any day (a “</w:t>
      </w:r>
      <w:r>
        <w:rPr>
          <w:rFonts w:ascii="Arial" w:cs="Arial" w:eastAsia="Arial" w:hAnsi="Arial"/>
          <w:sz w:val="15"/>
          <w:szCs w:val="15"/>
          <w:u w:val="single" w:color="auto"/>
          <w:color w:val="auto"/>
        </w:rPr>
        <w:t>Daily Simple SOFR Interest Day</w:t>
      </w:r>
      <w:r>
        <w:rPr>
          <w:rFonts w:ascii="Arial" w:cs="Arial" w:eastAsia="Arial" w:hAnsi="Arial"/>
          <w:sz w:val="15"/>
          <w:szCs w:val="15"/>
          <w:color w:val="auto"/>
        </w:rPr>
        <w:t>”) the greater of (i) SOFR for the day that is five Business Days prior to (A) if such Daily Simple SOFR Interest Day is a Business Day, such Daily Simple SOFR Interest Day, (B) if such Daily Simple SOFR Interest Day is not a Business Day, the Business Day immediately preceding such Daily Simple SOFR Interest Day and (ii) 0.00%.</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w:t>
      </w:r>
      <w:r>
        <w:rPr>
          <w:rFonts w:ascii="Arial" w:cs="Arial" w:eastAsia="Arial" w:hAnsi="Arial"/>
          <w:sz w:val="14"/>
          <w:szCs w:val="14"/>
          <w:color w:val="auto"/>
        </w:rPr>
        <w:t>” means any event or condition which constitutes an Event of Default or which upon notice, lapse of time or both would, unless cured or waived,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become an Event of Default.</w:t>
      </w:r>
    </w:p>
    <w:p>
      <w:pPr>
        <w:spacing w:after="0" w:line="137" w:lineRule="exact"/>
        <w:rPr>
          <w:sz w:val="20"/>
          <w:szCs w:val="20"/>
          <w:color w:val="auto"/>
        </w:rPr>
      </w:pPr>
    </w:p>
    <w:p>
      <w:pPr>
        <w:jc w:val="both"/>
        <w:ind w:firstLine="1737"/>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Defaulting Lender</w:t>
      </w:r>
      <w:r>
        <w:rPr>
          <w:rFonts w:ascii="Arial" w:cs="Arial" w:eastAsia="Arial" w:hAnsi="Arial"/>
          <w:sz w:val="14"/>
          <w:szCs w:val="14"/>
          <w:color w:val="auto"/>
        </w:rPr>
        <w:t xml:space="preserve">” means, subject to </w:t>
      </w:r>
      <w:r>
        <w:rPr>
          <w:rFonts w:ascii="Arial" w:cs="Arial" w:eastAsia="Arial" w:hAnsi="Arial"/>
          <w:sz w:val="14"/>
          <w:szCs w:val="14"/>
          <w:u w:val="single" w:color="auto"/>
          <w:color w:val="auto"/>
        </w:rPr>
        <w:t>Section 2.19(b)</w:t>
      </w:r>
      <w:r>
        <w:rPr>
          <w:rFonts w:ascii="Arial" w:cs="Arial" w:eastAsia="Arial" w:hAnsi="Arial"/>
          <w:sz w:val="14"/>
          <w:szCs w:val="14"/>
          <w:color w:val="auto"/>
        </w:rPr>
        <w:t xml:space="preserve">, any Lender that, during such Lender’s Availability Period, (a) has failed to (i) fund all or any portion of its Loans or participations in Letters of Credit within two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detail in such writing) has not been satisfied, or (ii) pay to the Administrative Agent, any Issuing Bank, any Swingline Lender or any Lender any other amount required to be paid by it hereunder (including in respect of its participation in Letters of Credit or Swingline Loans) within two Business Days of the date when due, (b) has notified the Borrower, the Administrative Agent, any Issuing Bank or any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the applicable default, if any, shall be specifically identified in detail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w:t>
      </w:r>
      <w:r>
        <w:rPr>
          <w:rFonts w:ascii="Arial" w:cs="Arial" w:eastAsia="Arial" w:hAnsi="Arial"/>
          <w:sz w:val="14"/>
          <w:szCs w:val="14"/>
          <w:u w:val="single" w:color="auto"/>
          <w:color w:val="auto"/>
        </w:rPr>
        <w:t>clause (c)</w:t>
      </w:r>
      <w:r>
        <w:rPr>
          <w:rFonts w:ascii="Arial" w:cs="Arial" w:eastAsia="Arial" w:hAnsi="Arial"/>
          <w:sz w:val="14"/>
          <w:szCs w:val="14"/>
          <w:color w:val="auto"/>
        </w:rPr>
        <w:t xml:space="preserve"> upon receipt of such written confirmation by Administrative Agent and Borrower), or (d) Administrative Agent has received notification that such Lender has become,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216535</wp:posOffset>
            </wp:positionV>
            <wp:extent cx="721106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28" w:name="page129"/>
    <w:bookmarkEnd w:id="128"/>
    <w:p>
      <w:pPr>
        <w:jc w:val="both"/>
        <w:ind w:left="4"/>
        <w:spacing w:after="0" w:line="260" w:lineRule="auto"/>
        <w:rPr>
          <w:sz w:val="20"/>
          <w:szCs w:val="20"/>
          <w:color w:val="auto"/>
        </w:rPr>
      </w:pPr>
      <w:r>
        <w:rPr>
          <w:rFonts w:ascii="Arial" w:cs="Arial" w:eastAsia="Arial" w:hAnsi="Arial"/>
          <w:sz w:val="14"/>
          <w:szCs w:val="14"/>
          <w:color w:val="auto"/>
        </w:rPr>
        <w:t xml:space="preserve">intervenor or sequestrator or the like has been appointed for such Lender or its direct or indirect parent company, or such Lender or its direct or indirect parent company has taken any action in furtherance of or indicating its consent to or acquiescence in any such proceeding or appointment or (iii) the subject of a Bail-In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Lender shall not be a Defaulting Lender solely by virtue of the ownership or acquisition of any Equity Interest in that Lender or any direct or indirect parent company thereof by a Governmental Authority or instrumentality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above shall be conclusive and binding absent manifest error, and such Lender shall be deemed to be a Defaulting Lender (subject to </w:t>
      </w:r>
      <w:r>
        <w:rPr>
          <w:rFonts w:ascii="Arial" w:cs="Arial" w:eastAsia="Arial" w:hAnsi="Arial"/>
          <w:sz w:val="14"/>
          <w:szCs w:val="14"/>
          <w:u w:val="single" w:color="auto"/>
          <w:color w:val="auto"/>
        </w:rPr>
        <w:t>Section 2.19(b)</w:t>
      </w:r>
      <w:r>
        <w:rPr>
          <w:rFonts w:ascii="Arial" w:cs="Arial" w:eastAsia="Arial" w:hAnsi="Arial"/>
          <w:sz w:val="14"/>
          <w:szCs w:val="14"/>
          <w:color w:val="auto"/>
        </w:rPr>
        <w:t>) upon such determination (and the Administrative Agent shall deliver written notice of such determination to the Borrower, each Issuing Bank and each Lender and each Swingline Lender).</w:t>
      </w:r>
    </w:p>
    <w:p>
      <w:pPr>
        <w:spacing w:after="0" w:line="117" w:lineRule="exact"/>
        <w:rPr>
          <w:sz w:val="20"/>
          <w:szCs w:val="20"/>
          <w:color w:val="auto"/>
        </w:rPr>
      </w:pPr>
    </w:p>
    <w:p>
      <w:pPr>
        <w:ind w:left="17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Obligations</w:t>
      </w:r>
      <w:r>
        <w:rPr>
          <w:rFonts w:ascii="Arial" w:cs="Arial" w:eastAsia="Arial" w:hAnsi="Arial"/>
          <w:sz w:val="14"/>
          <w:szCs w:val="14"/>
          <w:color w:val="auto"/>
        </w:rPr>
        <w:t>” means all obligations of the Borrower with respect to (a) principal of and interest on the Loans and (b) accrued and unpaid fees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under the Loan Documents.</w:t>
      </w:r>
    </w:p>
    <w:p>
      <w:pPr>
        <w:spacing w:after="0" w:line="137" w:lineRule="exact"/>
        <w:rPr>
          <w:sz w:val="20"/>
          <w:szCs w:val="20"/>
          <w:color w:val="auto"/>
        </w:rPr>
      </w:pPr>
    </w:p>
    <w:p>
      <w:pPr>
        <w:jc w:val="both"/>
        <w:ind w:left="4"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Disposition</w:t>
      </w:r>
      <w:r>
        <w:rPr>
          <w:rFonts w:ascii="Arial" w:cs="Arial" w:eastAsia="Arial" w:hAnsi="Arial"/>
          <w:sz w:val="15"/>
          <w:szCs w:val="15"/>
          <w:color w:val="auto"/>
        </w:rPr>
        <w:t>” or “</w:t>
      </w:r>
      <w:r>
        <w:rPr>
          <w:rFonts w:ascii="Arial" w:cs="Arial" w:eastAsia="Arial" w:hAnsi="Arial"/>
          <w:sz w:val="15"/>
          <w:szCs w:val="15"/>
          <w:u w:val="single" w:color="auto"/>
          <w:color w:val="auto"/>
        </w:rPr>
        <w:t>Dispose</w:t>
      </w:r>
      <w:r>
        <w:rPr>
          <w:rFonts w:ascii="Arial" w:cs="Arial" w:eastAsia="Arial" w:hAnsi="Arial"/>
          <w:sz w:val="15"/>
          <w:szCs w:val="15"/>
          <w:color w:val="auto"/>
        </w:rPr>
        <w:t xml:space="preserve">” means the sale, transfer, license, lease or other disposition (including any sale and leaseback transaction) of any property by any Person (or the granting of any option or other right to do any of the foregoing), including any sale, assignment, transfer or other disposal, with or without recourse, of any notes or accounts receivable or any rights and claims associated therewith;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 “Disposition” or “Dispose” shall not include the disposition of Investments originated by the Borrower and immediately transferred to a Financing Subsidiary pursuant to a transaction not prohibited hereunder.</w:t>
      </w:r>
    </w:p>
    <w:p>
      <w:pPr>
        <w:spacing w:after="0" w:line="128" w:lineRule="exact"/>
        <w:rPr>
          <w:sz w:val="20"/>
          <w:szCs w:val="20"/>
          <w:color w:val="auto"/>
        </w:rPr>
      </w:pPr>
    </w:p>
    <w:p>
      <w:pPr>
        <w:jc w:val="both"/>
        <w:ind w:left="4" w:right="20" w:firstLine="1737"/>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 Commitment</w:t>
      </w:r>
      <w:r>
        <w:rPr>
          <w:rFonts w:ascii="Arial" w:cs="Arial" w:eastAsia="Arial" w:hAnsi="Arial"/>
          <w:sz w:val="13"/>
          <w:szCs w:val="13"/>
          <w:color w:val="auto"/>
        </w:rPr>
        <w:t xml:space="preserve">” means, with respect to each Dollar Lender during such Dollar Lender’s Availability Period, the commitment of such Dollar Lender to make Syndicated Loans, and to acquire participations in Letters of Credit and Swingline Loans, denominated in Dollars hereunder, expressed as an amount representing the maximum aggregate amount of such Lender’s Revolving Dollar Credit Exposure hereunder, as such commitment may be (a) reduced or increased from time to time pursuant to </w:t>
      </w:r>
      <w:r>
        <w:rPr>
          <w:rFonts w:ascii="Arial" w:cs="Arial" w:eastAsia="Arial" w:hAnsi="Arial"/>
          <w:sz w:val="13"/>
          <w:szCs w:val="13"/>
          <w:u w:val="single" w:color="auto"/>
          <w:color w:val="auto"/>
        </w:rPr>
        <w:t>Section 2.08</w:t>
      </w:r>
      <w:r>
        <w:rPr>
          <w:rFonts w:ascii="Arial" w:cs="Arial" w:eastAsia="Arial" w:hAnsi="Arial"/>
          <w:sz w:val="13"/>
          <w:szCs w:val="13"/>
          <w:color w:val="auto"/>
        </w:rPr>
        <w:t xml:space="preserve"> and</w:t>
      </w:r>
    </w:p>
    <w:p>
      <w:pPr>
        <w:spacing w:after="0" w:line="1" w:lineRule="exact"/>
        <w:rPr>
          <w:sz w:val="20"/>
          <w:szCs w:val="20"/>
          <w:color w:val="auto"/>
        </w:rPr>
      </w:pPr>
    </w:p>
    <w:p>
      <w:pPr>
        <w:jc w:val="both"/>
        <w:ind w:left="4" w:hanging="4"/>
        <w:spacing w:after="0" w:line="241" w:lineRule="auto"/>
        <w:tabs>
          <w:tab w:leader="none" w:pos="226"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reduced or increased from time to time pursuant to assignments by or to such Lender pursuant to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The amount of each Lender’s Dollar Commitment as of the Twelfth Amendment Effective Date is set forth on </w:t>
      </w:r>
      <w:r>
        <w:rPr>
          <w:rFonts w:ascii="Arial" w:cs="Arial" w:eastAsia="Arial" w:hAnsi="Arial"/>
          <w:sz w:val="15"/>
          <w:szCs w:val="15"/>
          <w:u w:val="single" w:color="auto"/>
          <w:color w:val="auto"/>
        </w:rPr>
        <w:t>Schedule 1.01(b)</w:t>
      </w:r>
      <w:r>
        <w:rPr>
          <w:rFonts w:ascii="Arial" w:cs="Arial" w:eastAsia="Arial" w:hAnsi="Arial"/>
          <w:sz w:val="15"/>
          <w:szCs w:val="15"/>
          <w:color w:val="auto"/>
        </w:rPr>
        <w:t>, or in the Assignment and Assumption pursuant to which such Lender shall have assumed its Dollar Commitment, as applicable. The aggregate amount of the Lenders’ Dollar Commitments as of the Twelfth Amendment Effective Date is $510,000,000.00.</w:t>
      </w:r>
    </w:p>
    <w:p>
      <w:pPr>
        <w:spacing w:after="0" w:line="130" w:lineRule="exact"/>
        <w:rPr>
          <w:sz w:val="20"/>
          <w:szCs w:val="20"/>
          <w:color w:val="auto"/>
        </w:rPr>
      </w:pPr>
    </w:p>
    <w:p>
      <w:pPr>
        <w:jc w:val="both"/>
        <w:ind w:left="4"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Dollar Equivalent</w:t>
      </w:r>
      <w:r>
        <w:rPr>
          <w:rFonts w:ascii="Arial" w:cs="Arial" w:eastAsia="Arial" w:hAnsi="Arial"/>
          <w:sz w:val="14"/>
          <w:szCs w:val="14"/>
          <w:color w:val="auto"/>
        </w:rPr>
        <w:t>” means, on any date of determination, with respect to an amount denominated in any Foreign Currency, the amount of Dollars that would be required to purchase such amount of such Foreign Currency on the date two Business Days prior to such date, based upon the spot selling rate at which the Administrative Agent offers to sell such Foreign Currency for Dollars in the London foreign exchange market at approximately 11:00 a.m., London time, for delivery two Business Days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211060"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29" w:name="page130"/>
    <w:bookmarkEnd w:id="129"/>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 LC Exposure</w:t>
      </w:r>
      <w:r>
        <w:rPr>
          <w:rFonts w:ascii="Arial" w:cs="Arial" w:eastAsia="Arial" w:hAnsi="Arial"/>
          <w:sz w:val="15"/>
          <w:szCs w:val="15"/>
          <w:color w:val="auto"/>
        </w:rPr>
        <w:t xml:space="preserve">” means, at any time, the sum of (a) the aggregate undrawn amount of all outstanding Dollar Letters of Credit at such time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aggregate amount of all LC Disbursements in respect of such Letters of Credit that have not yet been reimbursed by or on behalf of the Borrower at such time. The Dollar LC Exposure of any Lender at any time shall be its Applicable Dollar Percentage of the total Dollar LC Exposure at such time.</w:t>
      </w:r>
    </w:p>
    <w:p>
      <w:pPr>
        <w:spacing w:after="0" w:line="125"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 Lender</w:t>
      </w:r>
      <w:r>
        <w:rPr>
          <w:rFonts w:ascii="Arial" w:cs="Arial" w:eastAsia="Arial" w:hAnsi="Arial"/>
          <w:sz w:val="15"/>
          <w:szCs w:val="15"/>
          <w:color w:val="auto"/>
        </w:rPr>
        <w:t xml:space="preserve">” means the Persons listed on </w:t>
      </w:r>
      <w:r>
        <w:rPr>
          <w:rFonts w:ascii="Arial" w:cs="Arial" w:eastAsia="Arial" w:hAnsi="Arial"/>
          <w:sz w:val="15"/>
          <w:szCs w:val="15"/>
          <w:u w:val="single" w:color="auto"/>
          <w:color w:val="auto"/>
        </w:rPr>
        <w:t>Schedule 1.01(b)</w:t>
      </w:r>
      <w:r>
        <w:rPr>
          <w:rFonts w:ascii="Arial" w:cs="Arial" w:eastAsia="Arial" w:hAnsi="Arial"/>
          <w:sz w:val="15"/>
          <w:szCs w:val="15"/>
          <w:color w:val="auto"/>
        </w:rPr>
        <w:t xml:space="preserve"> as having Dollar Commitments and any other Person that shall have become a party hereto pursuant to an Assignment and Assumption that provides for it to assume a Dollar Commitment or to acquire Revolving Dollar Credit Exposure, other than any such Person that ceases to be a party hereto pursuant to an Assignment and Assumption.</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 Letters of Credit</w:t>
      </w:r>
      <w:r>
        <w:rPr>
          <w:rFonts w:ascii="Arial" w:cs="Arial" w:eastAsia="Arial" w:hAnsi="Arial"/>
          <w:sz w:val="15"/>
          <w:szCs w:val="15"/>
          <w:color w:val="auto"/>
        </w:rPr>
        <w:t>” means Letters of Credit that utilize the Dollar Commitments.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 Loan</w:t>
      </w:r>
      <w:r>
        <w:rPr>
          <w:rFonts w:ascii="Arial" w:cs="Arial" w:eastAsia="Arial" w:hAnsi="Arial"/>
          <w:sz w:val="15"/>
          <w:szCs w:val="15"/>
          <w:color w:val="auto"/>
        </w:rPr>
        <w:t>” means a Loan denominated in Dollars.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Dollars</w:t>
      </w:r>
      <w:r>
        <w:rPr>
          <w:rFonts w:ascii="Arial" w:cs="Arial" w:eastAsia="Arial" w:hAnsi="Arial"/>
          <w:sz w:val="15"/>
          <w:szCs w:val="15"/>
          <w:color w:val="auto"/>
        </w:rPr>
        <w:t>” or “</w:t>
      </w:r>
      <w:r>
        <w:rPr>
          <w:rFonts w:ascii="Arial" w:cs="Arial" w:eastAsia="Arial" w:hAnsi="Arial"/>
          <w:sz w:val="15"/>
          <w:szCs w:val="15"/>
          <w:u w:val="single" w:color="auto"/>
          <w:color w:val="auto"/>
        </w:rPr>
        <w:t>$</w:t>
      </w:r>
      <w:r>
        <w:rPr>
          <w:rFonts w:ascii="Arial" w:cs="Arial" w:eastAsia="Arial" w:hAnsi="Arial"/>
          <w:sz w:val="15"/>
          <w:szCs w:val="15"/>
          <w:color w:val="auto"/>
        </w:rPr>
        <w:t>” refers to lawful money of the United States of America.</w:t>
      </w:r>
    </w:p>
    <w:p>
      <w:pPr>
        <w:spacing w:after="0" w:line="149"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Financial Institution</w:t>
      </w:r>
      <w:r>
        <w:rPr>
          <w:rFonts w:ascii="Arial" w:cs="Arial" w:eastAsia="Arial" w:hAnsi="Arial"/>
          <w:sz w:val="15"/>
          <w:szCs w:val="15"/>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2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Member Country</w:t>
      </w:r>
      <w:r>
        <w:rPr>
          <w:rFonts w:ascii="Arial" w:cs="Arial" w:eastAsia="Arial" w:hAnsi="Arial"/>
          <w:sz w:val="15"/>
          <w:szCs w:val="15"/>
          <w:color w:val="auto"/>
        </w:rPr>
        <w:t>” means any of the member states of the European Union, Iceland, Liechtenstein and Norway.</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EEA Resolution Authority</w:t>
      </w:r>
      <w:r>
        <w:rPr>
          <w:rFonts w:ascii="Arial" w:cs="Arial" w:eastAsia="Arial" w:hAnsi="Arial"/>
          <w:sz w:val="15"/>
          <w:szCs w:val="15"/>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xml:space="preserve">” means the date on which the conditions specified in </w:t>
      </w:r>
      <w:r>
        <w:rPr>
          <w:rFonts w:ascii="Arial" w:cs="Arial" w:eastAsia="Arial" w:hAnsi="Arial"/>
          <w:sz w:val="14"/>
          <w:szCs w:val="14"/>
          <w:u w:val="single" w:color="auto"/>
          <w:color w:val="auto"/>
        </w:rPr>
        <w:t>Section 4.01</w:t>
      </w:r>
      <w:r>
        <w:rPr>
          <w:rFonts w:ascii="Arial" w:cs="Arial" w:eastAsia="Arial" w:hAnsi="Arial"/>
          <w:sz w:val="14"/>
          <w:szCs w:val="14"/>
          <w:color w:val="auto"/>
        </w:rPr>
        <w:t xml:space="preserve"> are satisfied (or waived in accordance with </w:t>
      </w:r>
      <w:r>
        <w:rPr>
          <w:rFonts w:ascii="Arial" w:cs="Arial" w:eastAsia="Arial" w:hAnsi="Arial"/>
          <w:sz w:val="14"/>
          <w:szCs w:val="14"/>
          <w:u w:val="single" w:color="auto"/>
          <w:color w:val="auto"/>
        </w:rPr>
        <w:t>Section 9.02</w:t>
      </w:r>
      <w:r>
        <w:rPr>
          <w:rFonts w:ascii="Arial" w:cs="Arial" w:eastAsia="Arial" w:hAnsi="Arial"/>
          <w:sz w:val="14"/>
          <w:szCs w:val="14"/>
          <w:color w:val="auto"/>
        </w:rPr>
        <w:t>), which date 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February 27, 2014.</w:t>
      </w:r>
    </w:p>
    <w:p>
      <w:pPr>
        <w:spacing w:after="0" w:line="137"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Interests</w:t>
      </w:r>
      <w:r>
        <w:rPr>
          <w:rFonts w:ascii="Arial" w:cs="Arial" w:eastAsia="Arial" w:hAnsi="Arial"/>
          <w:sz w:val="15"/>
          <w:szCs w:val="15"/>
          <w:color w:val="auto"/>
        </w:rPr>
        <w:t>” means shares of capital stock, partnership interests, membership interests in a limited liability company, beneficial interests in a trust or other equity ownership interests or equivalents (however designated, including any instrument treated as equity for U.S. federal income tax purposes) in a Person, and any warrants, options or other rights entitling the holder thereof to purchase or acquire any such equity interest.</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w:t>
      </w:r>
      <w:r>
        <w:rPr>
          <w:rFonts w:ascii="Arial" w:cs="Arial" w:eastAsia="Arial" w:hAnsi="Arial"/>
          <w:sz w:val="15"/>
          <w:szCs w:val="15"/>
          <w:color w:val="auto"/>
        </w:rPr>
        <w:t>” means the Employee Retirement Income Security Act of 1974, as amended from time to time.</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Affiliate</w:t>
      </w:r>
      <w:r>
        <w:rPr>
          <w:rFonts w:ascii="Arial" w:cs="Arial" w:eastAsia="Arial" w:hAnsi="Arial"/>
          <w:sz w:val="15"/>
          <w:szCs w:val="15"/>
          <w:color w:val="auto"/>
        </w:rPr>
        <w:t>” means any trade or business (whether or not incorporated) that, together with the Borrower, is treated as a single employer under Section 414(b) or (c)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color w:val="auto"/>
        </w:rPr>
        <w:t>or, solely for purposes of Section 302 of ERISA and Section 412 of the Code, is treated as a single employer under Section 414 of the Code.</w:t>
      </w:r>
    </w:p>
    <w:p>
      <w:pPr>
        <w:spacing w:after="0" w:line="149" w:lineRule="exact"/>
        <w:rPr>
          <w:sz w:val="20"/>
          <w:szCs w:val="20"/>
          <w:color w:val="auto"/>
        </w:rPr>
      </w:pPr>
    </w:p>
    <w:p>
      <w:pPr>
        <w:jc w:val="both"/>
        <w:ind w:firstLine="1737"/>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 Event</w:t>
      </w:r>
      <w:r>
        <w:rPr>
          <w:rFonts w:ascii="Arial" w:cs="Arial" w:eastAsia="Arial" w:hAnsi="Arial"/>
          <w:sz w:val="15"/>
          <w:szCs w:val="15"/>
          <w:color w:val="auto"/>
        </w:rPr>
        <w:t>” means (a) any “reportable event”, as defined in Section 4043 of ERISA or the regulations issued thereunder with respect to a Plan (other than an event for which the 30-day notice period is waived); (b) any failure by any Plan to satisfy the minimum funding standard (within the meaning of Section 412 of the Code or Section 302 of ERISA) applicable to such Plan; (c) the filing pursuant to Section 412(c) of the Code or Section 302(c)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Erroneous Payment</w:t>
      </w:r>
      <w:r>
        <w:rPr>
          <w:rFonts w:ascii="Arial" w:cs="Arial" w:eastAsia="Arial" w:hAnsi="Arial"/>
          <w:sz w:val="15"/>
          <w:szCs w:val="15"/>
          <w:color w:val="auto"/>
        </w:rPr>
        <w:t xml:space="preserve">” has the meaning assigned to it in </w:t>
      </w:r>
      <w:r>
        <w:rPr>
          <w:rFonts w:ascii="Arial" w:cs="Arial" w:eastAsia="Arial" w:hAnsi="Arial"/>
          <w:sz w:val="15"/>
          <w:szCs w:val="15"/>
          <w:u w:val="single" w:color="auto"/>
          <w:color w:val="auto"/>
        </w:rPr>
        <w:t>Section 8.09(a)</w:t>
      </w:r>
      <w:r>
        <w:rPr>
          <w:rFonts w:ascii="Arial" w:cs="Arial" w:eastAsia="Arial" w:hAnsi="Arial"/>
          <w:sz w:val="15"/>
          <w:szCs w:val="15"/>
          <w:color w:val="auto"/>
        </w:rPr>
        <w:t>.</w:t>
      </w:r>
    </w:p>
    <w:p>
      <w:pPr>
        <w:spacing w:after="0" w:line="13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Erroneous Payment Deficiency Assignment</w:t>
      </w:r>
      <w:r>
        <w:rPr>
          <w:rFonts w:ascii="Arial" w:cs="Arial" w:eastAsia="Arial" w:hAnsi="Arial"/>
          <w:sz w:val="15"/>
          <w:szCs w:val="15"/>
          <w:color w:val="auto"/>
        </w:rPr>
        <w:t xml:space="preserve">” has the meaning assigned to it in </w:t>
      </w:r>
      <w:r>
        <w:rPr>
          <w:rFonts w:ascii="Arial" w:cs="Arial" w:eastAsia="Arial" w:hAnsi="Arial"/>
          <w:sz w:val="15"/>
          <w:szCs w:val="15"/>
          <w:u w:val="single" w:color="auto"/>
          <w:color w:val="auto"/>
        </w:rPr>
        <w:t>Section 8.09(d)</w:t>
      </w:r>
      <w:r>
        <w:rPr>
          <w:rFonts w:ascii="Arial" w:cs="Arial" w:eastAsia="Arial" w:hAnsi="Arial"/>
          <w:sz w:val="15"/>
          <w:szCs w:val="15"/>
          <w:color w:val="auto"/>
        </w:rPr>
        <w:t>.</w:t>
      </w:r>
    </w:p>
    <w:p>
      <w:pPr>
        <w:spacing w:after="0" w:line="13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Erroneous Payment Impacted Class</w:t>
      </w:r>
      <w:r>
        <w:rPr>
          <w:rFonts w:ascii="Arial" w:cs="Arial" w:eastAsia="Arial" w:hAnsi="Arial"/>
          <w:sz w:val="15"/>
          <w:szCs w:val="15"/>
          <w:color w:val="auto"/>
        </w:rPr>
        <w:t xml:space="preserve">” has the meaning assigned to it in </w:t>
      </w:r>
      <w:r>
        <w:rPr>
          <w:rFonts w:ascii="Arial" w:cs="Arial" w:eastAsia="Arial" w:hAnsi="Arial"/>
          <w:sz w:val="15"/>
          <w:szCs w:val="15"/>
          <w:u w:val="single" w:color="auto"/>
          <w:color w:val="auto"/>
        </w:rPr>
        <w:t>Section 8.09(d)</w:t>
      </w:r>
      <w:r>
        <w:rPr>
          <w:rFonts w:ascii="Arial" w:cs="Arial" w:eastAsia="Arial" w:hAnsi="Arial"/>
          <w:sz w:val="15"/>
          <w:szCs w:val="15"/>
          <w:color w:val="auto"/>
        </w:rPr>
        <w:t>.</w:t>
      </w:r>
    </w:p>
    <w:p>
      <w:pPr>
        <w:spacing w:after="0" w:line="13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Erroneous Payment Return Deficiency</w:t>
      </w:r>
      <w:r>
        <w:rPr>
          <w:rFonts w:ascii="Arial" w:cs="Arial" w:eastAsia="Arial" w:hAnsi="Arial"/>
          <w:sz w:val="15"/>
          <w:szCs w:val="15"/>
          <w:color w:val="auto"/>
        </w:rPr>
        <w:t xml:space="preserve">” has the meaning assigned to it in </w:t>
      </w:r>
      <w:r>
        <w:rPr>
          <w:rFonts w:ascii="Arial" w:cs="Arial" w:eastAsia="Arial" w:hAnsi="Arial"/>
          <w:sz w:val="15"/>
          <w:szCs w:val="15"/>
          <w:u w:val="single" w:color="auto"/>
          <w:color w:val="auto"/>
        </w:rPr>
        <w:t>Section 8.09(d)</w:t>
      </w:r>
      <w:r>
        <w:rPr>
          <w:rFonts w:ascii="Arial" w:cs="Arial" w:eastAsia="Arial" w:hAnsi="Arial"/>
          <w:sz w:val="15"/>
          <w:szCs w:val="15"/>
          <w:color w:val="auto"/>
        </w:rPr>
        <w:t>.</w:t>
      </w:r>
    </w:p>
    <w:p>
      <w:pPr>
        <w:spacing w:after="0" w:line="13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Erroneous Payment Subrogation Rights</w:t>
      </w:r>
      <w:r>
        <w:rPr>
          <w:rFonts w:ascii="Arial" w:cs="Arial" w:eastAsia="Arial" w:hAnsi="Arial"/>
          <w:sz w:val="15"/>
          <w:szCs w:val="15"/>
          <w:color w:val="auto"/>
        </w:rPr>
        <w:t xml:space="preserve">” has the meaning assigned to it in </w:t>
      </w:r>
      <w:r>
        <w:rPr>
          <w:rFonts w:ascii="Arial" w:cs="Arial" w:eastAsia="Arial" w:hAnsi="Arial"/>
          <w:sz w:val="15"/>
          <w:szCs w:val="15"/>
          <w:u w:val="single" w:color="auto"/>
          <w:color w:val="auto"/>
        </w:rPr>
        <w:t>Section 8.09(d)</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 Bail-In Legislation Schedule</w:t>
      </w:r>
      <w:r>
        <w:rPr>
          <w:rFonts w:ascii="Arial" w:cs="Arial" w:eastAsia="Arial" w:hAnsi="Arial"/>
          <w:sz w:val="14"/>
          <w:szCs w:val="14"/>
          <w:color w:val="auto"/>
        </w:rPr>
        <w:t>” means the EU Bail-In Legislation Schedule published by the Loan Market Association (or any successor person), as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effect from time to time.</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w:t>
      </w:r>
      <w:r>
        <w:rPr>
          <w:rFonts w:ascii="Arial" w:cs="Arial" w:eastAsia="Arial" w:hAnsi="Arial"/>
          <w:sz w:val="15"/>
          <w:szCs w:val="15"/>
          <w:color w:val="auto"/>
        </w:rPr>
        <w:t>” means a single currency of the Participating Member States.</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w:t>
      </w:r>
      <w:r>
        <w:rPr>
          <w:rFonts w:ascii="Arial" w:cs="Arial" w:eastAsia="Arial" w:hAnsi="Arial"/>
          <w:sz w:val="15"/>
          <w:szCs w:val="15"/>
          <w:color w:val="auto"/>
        </w:rPr>
        <w:t>”, when used in reference to any Loan or Borrowing, refers to whether such Loan, or the Loans constituting such Borrowing, are bearing interest at a rate determined by reference to the Eurocurrency Rate.</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Eurocurrency Banking Day</w:t>
      </w:r>
      <w:r>
        <w:rPr>
          <w:rFonts w:ascii="Arial" w:cs="Arial" w:eastAsia="Arial" w:hAnsi="Arial"/>
          <w:sz w:val="14"/>
          <w:szCs w:val="14"/>
          <w:color w:val="auto"/>
        </w:rPr>
        <w:t>” means for Eurocurrency Loans, Eurocurrency Borrowings, interest, fees, commissions or other amounts denominated in, or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calculated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227330</wp:posOffset>
            </wp:positionV>
            <wp:extent cx="721106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1" w:name="page132"/>
    <w:bookmarkEnd w:id="131"/>
    <w:p>
      <w:pPr>
        <w:ind w:left="1220" w:hanging="627"/>
        <w:spacing w:after="0"/>
        <w:tabs>
          <w:tab w:leader="none" w:pos="12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Euros, a TARGET Day;</w:t>
      </w:r>
    </w:p>
    <w:p>
      <w:pPr>
        <w:spacing w:after="0" w:line="148" w:lineRule="exact"/>
        <w:rPr>
          <w:rFonts w:ascii="Arial" w:cs="Arial" w:eastAsia="Arial" w:hAnsi="Arial"/>
          <w:sz w:val="15"/>
          <w:szCs w:val="15"/>
          <w:color w:val="auto"/>
        </w:rPr>
      </w:pPr>
    </w:p>
    <w:p>
      <w:pPr>
        <w:ind w:left="1220" w:hanging="627"/>
        <w:spacing w:after="0"/>
        <w:tabs>
          <w:tab w:leader="none" w:pos="12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Canadian Dollars, any day (other than a Saturday or Sunday) on which banks are open for business in Toronto, Canada;</w:t>
      </w:r>
    </w:p>
    <w:p>
      <w:pPr>
        <w:spacing w:after="0" w:line="148" w:lineRule="exact"/>
        <w:rPr>
          <w:rFonts w:ascii="Arial" w:cs="Arial" w:eastAsia="Arial" w:hAnsi="Arial"/>
          <w:sz w:val="15"/>
          <w:szCs w:val="15"/>
          <w:color w:val="auto"/>
        </w:rPr>
      </w:pPr>
    </w:p>
    <w:p>
      <w:pPr>
        <w:ind w:left="1220" w:hanging="627"/>
        <w:spacing w:after="0"/>
        <w:tabs>
          <w:tab w:leader="none" w:pos="12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Australian Dollars, any day (other than a Saturday or Sunday) on which banks are open for business in Melbourne, Australia;</w:t>
      </w:r>
    </w:p>
    <w:p>
      <w:pPr>
        <w:spacing w:after="0" w:line="148" w:lineRule="exact"/>
        <w:rPr>
          <w:rFonts w:ascii="Arial" w:cs="Arial" w:eastAsia="Arial" w:hAnsi="Arial"/>
          <w:sz w:val="15"/>
          <w:szCs w:val="15"/>
          <w:color w:val="auto"/>
        </w:rPr>
      </w:pPr>
    </w:p>
    <w:p>
      <w:pPr>
        <w:ind w:left="1220" w:hanging="627"/>
        <w:spacing w:after="0"/>
        <w:tabs>
          <w:tab w:leader="none" w:pos="12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New Zealand Dollars, any day (other than a Saturday or Sunday) on which banks are open for business in Auckland, New Zealand;</w:t>
      </w:r>
    </w:p>
    <w:p>
      <w:pPr>
        <w:spacing w:after="0" w:line="148" w:lineRule="exact"/>
        <w:rPr>
          <w:rFonts w:ascii="Arial" w:cs="Arial" w:eastAsia="Arial" w:hAnsi="Arial"/>
          <w:sz w:val="15"/>
          <w:szCs w:val="15"/>
          <w:color w:val="auto"/>
        </w:rPr>
      </w:pPr>
    </w:p>
    <w:p>
      <w:pPr>
        <w:ind w:left="1220" w:hanging="627"/>
        <w:spacing w:after="0"/>
        <w:tabs>
          <w:tab w:leader="none" w:pos="12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Swedish Krona, any day (other than a Saturday or Sunday) on which banks are open for business in Stockholm, Sweden; or</w:t>
      </w:r>
    </w:p>
    <w:p>
      <w:pPr>
        <w:spacing w:after="0" w:line="148" w:lineRule="exact"/>
        <w:rPr>
          <w:rFonts w:ascii="Arial" w:cs="Arial" w:eastAsia="Arial" w:hAnsi="Arial"/>
          <w:sz w:val="15"/>
          <w:szCs w:val="15"/>
          <w:color w:val="auto"/>
        </w:rPr>
      </w:pPr>
    </w:p>
    <w:p>
      <w:pPr>
        <w:ind w:left="1200" w:hanging="607"/>
        <w:spacing w:after="0"/>
        <w:tabs>
          <w:tab w:leader="none" w:pos="12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Japanese Yen, any day (other than a Saturday or Sunday) on which banks are open for business in Tokyo, Japan.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Eurocurrency Rate</w:t>
      </w:r>
      <w:r>
        <w:rPr>
          <w:rFonts w:ascii="Arial" w:cs="Arial" w:eastAsia="Arial" w:hAnsi="Arial"/>
          <w:sz w:val="15"/>
          <w:szCs w:val="15"/>
          <w:color w:val="auto"/>
        </w:rPr>
        <w:t>” means, for any Interest Period:</w:t>
      </w:r>
    </w:p>
    <w:p>
      <w:pPr>
        <w:spacing w:after="0" w:line="149" w:lineRule="exact"/>
        <w:rPr>
          <w:sz w:val="20"/>
          <w:szCs w:val="20"/>
          <w:color w:val="auto"/>
        </w:rPr>
      </w:pPr>
    </w:p>
    <w:p>
      <w:pPr>
        <w:jc w:val="both"/>
        <w:ind w:left="-280" w:firstLine="806"/>
        <w:spacing w:after="0" w:line="268" w:lineRule="auto"/>
        <w:tabs>
          <w:tab w:leader="none" w:pos="1143"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Euros, the rate per annum equal to the Euro Interbank Offered Rate as administered by the European Money Markets Institute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(Brussels time) two Eurocurrency Banking Days for Euros prior to the first day of such Interest Period;</w:t>
      </w:r>
    </w:p>
    <w:p>
      <w:pPr>
        <w:spacing w:after="0" w:line="112" w:lineRule="exact"/>
        <w:rPr>
          <w:rFonts w:ascii="Arial" w:cs="Arial" w:eastAsia="Arial" w:hAnsi="Arial"/>
          <w:sz w:val="14"/>
          <w:szCs w:val="14"/>
          <w:color w:val="auto"/>
        </w:rPr>
      </w:pPr>
    </w:p>
    <w:p>
      <w:pPr>
        <w:jc w:val="both"/>
        <w:ind w:left="-280" w:firstLine="806"/>
        <w:spacing w:after="0" w:line="241" w:lineRule="auto"/>
        <w:tabs>
          <w:tab w:leader="none" w:pos="1152"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the case of Eurocurrency Borrowings denominated in Canadian Dollars, the rate per annum equal to the average of the annual yield rates applicable to Canadian Dollar banker’s acceptances at or about 10:00 a.m. (Toronto, Ontario time) on the first day of such Interest Period (or if such day is not a Eurocurrency Banking Day, then on the immediately preceding Eurocurrency Banking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 for a term equivalent to such Interest Period (or if such Interest Period is not equal to a number of months, for a term equivalent to the number of months closest to such Interest Period);</w:t>
      </w:r>
    </w:p>
    <w:p>
      <w:pPr>
        <w:spacing w:after="0" w:line="133" w:lineRule="exact"/>
        <w:rPr>
          <w:rFonts w:ascii="Arial" w:cs="Arial" w:eastAsia="Arial" w:hAnsi="Arial"/>
          <w:sz w:val="15"/>
          <w:szCs w:val="15"/>
          <w:color w:val="auto"/>
        </w:rPr>
      </w:pPr>
    </w:p>
    <w:p>
      <w:pPr>
        <w:jc w:val="both"/>
        <w:ind w:left="-280" w:firstLine="806"/>
        <w:spacing w:after="0" w:line="243" w:lineRule="auto"/>
        <w:tabs>
          <w:tab w:leader="none" w:pos="11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the case of Eurocurrency Borrowings denominated in Australian Dollars, the rate per annum equal to the Bank Bill Swap Reference Bid rate or a successor thereto approved by the Administrative Agent (“</w:t>
      </w:r>
      <w:r>
        <w:rPr>
          <w:rFonts w:ascii="Arial" w:cs="Arial" w:eastAsia="Arial" w:hAnsi="Arial"/>
          <w:sz w:val="15"/>
          <w:szCs w:val="15"/>
          <w:u w:val="single" w:color="auto"/>
          <w:color w:val="auto"/>
        </w:rPr>
        <w:t>BBSY</w:t>
      </w:r>
      <w:r>
        <w:rPr>
          <w:rFonts w:ascii="Arial" w:cs="Arial" w:eastAsia="Arial" w:hAnsi="Arial"/>
          <w:sz w:val="15"/>
          <w:szCs w:val="15"/>
          <w:color w:val="auto"/>
        </w:rPr>
        <w:t>”) as published by Reuters (or such other page or commercially available source providing BBSY (Bid) quotations as may be designated by the Administrative Agent from time to time) at or about 10:30 a.m. (Melbourne, Australia time) on the day that is two Eurocurrency Banking Days for Australian Dollars prior to the first day of the Interest Period (or if such day is not an Eurocurrency Banking Day for Australian Dollars, then on the immediately preceding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222250</wp:posOffset>
            </wp:positionV>
            <wp:extent cx="721106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140"/>
          </w:cols>
          <w:pgMar w:left="1440" w:top="295" w:right="319" w:bottom="1440" w:gutter="0" w:footer="0" w:header="0"/>
        </w:sectPr>
      </w:pPr>
    </w:p>
    <w:bookmarkStart w:id="132" w:name="page133"/>
    <w:bookmarkEnd w:id="132"/>
    <w:p>
      <w:pPr>
        <w:ind w:left="860"/>
        <w:spacing w:after="0"/>
        <w:rPr>
          <w:sz w:val="20"/>
          <w:szCs w:val="20"/>
          <w:color w:val="auto"/>
        </w:rPr>
      </w:pPr>
      <w:r>
        <w:rPr>
          <w:rFonts w:ascii="Arial" w:cs="Arial" w:eastAsia="Arial" w:hAnsi="Arial"/>
          <w:sz w:val="15"/>
          <w:szCs w:val="15"/>
          <w:color w:val="auto"/>
        </w:rPr>
        <w:t>Eurocurrency Banking Day for Australian Dollars) with a term equivalent to such Interest Period;</w:t>
      </w:r>
    </w:p>
    <w:p>
      <w:pPr>
        <w:spacing w:after="0" w:line="149" w:lineRule="exact"/>
        <w:rPr>
          <w:sz w:val="20"/>
          <w:szCs w:val="20"/>
          <w:color w:val="auto"/>
        </w:rPr>
      </w:pPr>
    </w:p>
    <w:p>
      <w:pPr>
        <w:jc w:val="both"/>
        <w:ind w:left="860" w:right="20" w:firstLine="806"/>
        <w:spacing w:after="0" w:line="264" w:lineRule="auto"/>
        <w:tabs>
          <w:tab w:leader="none" w:pos="2292"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the case of Eurocurrency Borrowings denominated in New Zealand Dollars, the rate per annum equal to the Bank Bill Reference Bid Rate or a successor thereto approved by the Administrative Agent (“</w:t>
      </w:r>
      <w:r>
        <w:rPr>
          <w:rFonts w:ascii="Arial" w:cs="Arial" w:eastAsia="Arial" w:hAnsi="Arial"/>
          <w:sz w:val="14"/>
          <w:szCs w:val="14"/>
          <w:u w:val="single" w:color="auto"/>
          <w:color w:val="auto"/>
        </w:rPr>
        <w:t>BKBM</w:t>
      </w:r>
      <w:r>
        <w:rPr>
          <w:rFonts w:ascii="Arial" w:cs="Arial" w:eastAsia="Arial" w:hAnsi="Arial"/>
          <w:sz w:val="14"/>
          <w:szCs w:val="14"/>
          <w:color w:val="auto"/>
        </w:rPr>
        <w:t>”) as published by Reuters (or such other page or commercially available source providing BKBM (Bid) quotations as may be designated by the Administrative Agent from time to time) at or about 10:45 a.m. (Auckland, New Zealand time) on the day that is two Eurocurrency Banking Days for New Zealand Dollars prior to the first day of the Interest Period (or if such day is not an Eurocurrency Banking Day for New Zealand Dollars, then on the immediately preceding Eurocurrency Banking Day for New Zealand Dollars) with a term equivalent to such Interest Period;</w:t>
      </w:r>
    </w:p>
    <w:p>
      <w:pPr>
        <w:spacing w:after="0" w:line="116" w:lineRule="exact"/>
        <w:rPr>
          <w:rFonts w:ascii="Arial" w:cs="Arial" w:eastAsia="Arial" w:hAnsi="Arial"/>
          <w:sz w:val="14"/>
          <w:szCs w:val="14"/>
          <w:color w:val="auto"/>
        </w:rPr>
      </w:pPr>
    </w:p>
    <w:p>
      <w:pPr>
        <w:jc w:val="both"/>
        <w:ind w:left="860" w:firstLine="806"/>
        <w:spacing w:after="0" w:line="243" w:lineRule="auto"/>
        <w:tabs>
          <w:tab w:leader="none" w:pos="2283"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case of Eurocurrency Borrowings denominated in Swedish Krona, the rate per annum equal to the Stockholm Interbank Offered Rate or a successor thereto approved by the Administrative Agent (“</w:t>
      </w:r>
      <w:r>
        <w:rPr>
          <w:rFonts w:ascii="Arial" w:cs="Arial" w:eastAsia="Arial" w:hAnsi="Arial"/>
          <w:sz w:val="15"/>
          <w:szCs w:val="15"/>
          <w:u w:val="single" w:color="auto"/>
          <w:color w:val="auto"/>
        </w:rPr>
        <w:t>STIBOR</w:t>
      </w:r>
      <w:r>
        <w:rPr>
          <w:rFonts w:ascii="Arial" w:cs="Arial" w:eastAsia="Arial" w:hAnsi="Arial"/>
          <w:sz w:val="15"/>
          <w:szCs w:val="15"/>
          <w:color w:val="auto"/>
        </w:rPr>
        <w:t>”) as published by Reuters (or such other page or commercially available source providing STIBOR quotations as may be designated by the Administrative Agent from time to time) at or about 11:00 a.m. (Stockholm, Sweden time) on the day that is two Eurocurrency Banking Days for Swedish Krona prior to the first day of the Interest Period (or if such day is not an Eurocurrency Banking Day for Swedish Krona, then on the immediately preceding Eurocurrency Banking Day for Swedish Krona) with a term equivalent to such Interest Period; and</w:t>
      </w:r>
    </w:p>
    <w:p>
      <w:pPr>
        <w:spacing w:after="0" w:line="128" w:lineRule="exact"/>
        <w:rPr>
          <w:rFonts w:ascii="Arial" w:cs="Arial" w:eastAsia="Arial" w:hAnsi="Arial"/>
          <w:sz w:val="15"/>
          <w:szCs w:val="15"/>
          <w:color w:val="auto"/>
        </w:rPr>
      </w:pPr>
    </w:p>
    <w:p>
      <w:pPr>
        <w:jc w:val="both"/>
        <w:ind w:left="860" w:firstLine="806"/>
        <w:spacing w:after="0" w:line="243" w:lineRule="auto"/>
        <w:tabs>
          <w:tab w:leader="none" w:pos="2267"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the case of Eurocurrency Borrowings denominated in Japanese Yen, the rate per annum equal to the Tokyo Interbank Offered Rate as administered by the Ippan Shadan Hojin JBA TIBOR Administration (or any other Person that takes over the administration of such rate) for a period equal in length to such Interest Period, as displayed on the applicable Bloomberg page (or on any successor or substitute page or service providing such quotations as determined by the Administrative Agent from time to time) at approximately 11:00 a.m. (Tokyo time) two Eurocurrency Banking Days for Japanese Yen prior to the first day of such Interest Period;</w:t>
      </w:r>
    </w:p>
    <w:p>
      <w:pPr>
        <w:spacing w:after="0" w:line="129" w:lineRule="exact"/>
        <w:rPr>
          <w:sz w:val="20"/>
          <w:szCs w:val="20"/>
          <w:color w:val="auto"/>
        </w:rPr>
      </w:pPr>
    </w:p>
    <w:p>
      <w:pPr>
        <w:ind w:left="1740"/>
        <w:spacing w:after="0"/>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in each case, if such rate for any Currency is less than zero, such rate shall be deemed to be zero for purposes of this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Event of Default</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Article VII</w:t>
      </w:r>
      <w:r>
        <w:rPr>
          <w:rFonts w:ascii="Arial" w:cs="Arial" w:eastAsia="Arial" w:hAnsi="Arial"/>
          <w:sz w:val="15"/>
          <w:szCs w:val="15"/>
          <w:color w:val="auto"/>
        </w:rPr>
        <w:t>.</w:t>
      </w:r>
    </w:p>
    <w:p>
      <w:pPr>
        <w:spacing w:after="0" w:line="149" w:lineRule="exact"/>
        <w:rPr>
          <w:sz w:val="20"/>
          <w:szCs w:val="20"/>
          <w:color w:val="auto"/>
        </w:rPr>
      </w:pPr>
    </w:p>
    <w:p>
      <w:pPr>
        <w:jc w:val="both"/>
        <w:ind w:firstLine="1737"/>
        <w:spacing w:after="0" w:line="26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Taxes</w:t>
      </w:r>
      <w:r>
        <w:rPr>
          <w:rFonts w:ascii="Arial" w:cs="Arial" w:eastAsia="Arial" w:hAnsi="Arial"/>
          <w:sz w:val="14"/>
          <w:szCs w:val="14"/>
          <w:color w:val="auto"/>
        </w:rPr>
        <w:t>” means, with respect to the Administrative Agent, any Lender, any Issuing Bank or any other recipient of any payment to be made by or on account of any obligation of the Borrower hereunder, (a) Taxes imposed on (or measured by) its net income (however denominated), net profits, franchise Taxes and branch profits or any similar Taxes, in each case, (i) imposed by the United States of America (or any state or political subdivision thereof), or by the jurisdiction (or any political subdivision thereof) under the laws of which such recipient is organized or in which its principal office is located or, in the case of any Lender, in which its applicable lending office is located or (ii) any Taxes imposed by any jurisdiction by reason of the recipient having any present or former connection with such jurisdiction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214630</wp:posOffset>
            </wp:positionV>
            <wp:extent cx="721106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3" w:name="page134"/>
    <w:bookmarkEnd w:id="133"/>
    <w:p>
      <w:pPr>
        <w:jc w:val="both"/>
        <w:ind w:right="20"/>
        <w:spacing w:after="0" w:line="261" w:lineRule="auto"/>
        <w:rPr>
          <w:sz w:val="20"/>
          <w:szCs w:val="20"/>
          <w:color w:val="auto"/>
        </w:rPr>
      </w:pPr>
      <w:r>
        <w:rPr>
          <w:rFonts w:ascii="Arial" w:cs="Arial" w:eastAsia="Arial" w:hAnsi="Arial"/>
          <w:sz w:val="14"/>
          <w:szCs w:val="14"/>
          <w:color w:val="auto"/>
        </w:rPr>
        <w:t xml:space="preserve">a connection arising solely from entering into, receiving any payment under or enforcing its rights under this Agreement or any other Loan Document or selling or assigning an interest in any Loan or Loan Document), (b) in the case of a Lender, any Taxes that are U.S. withholding taxes imposed on amounts payable to such Lender (i) at the time such Lender (other than an assignee pursuant to a request by the Borrower under </w:t>
      </w:r>
      <w:r>
        <w:rPr>
          <w:rFonts w:ascii="Arial" w:cs="Arial" w:eastAsia="Arial" w:hAnsi="Arial"/>
          <w:sz w:val="14"/>
          <w:szCs w:val="14"/>
          <w:u w:val="single" w:color="auto"/>
          <w:color w:val="auto"/>
        </w:rPr>
        <w:t>Section 2.18(b)</w:t>
      </w:r>
      <w:r>
        <w:rPr>
          <w:rFonts w:ascii="Arial" w:cs="Arial" w:eastAsia="Arial" w:hAnsi="Arial"/>
          <w:sz w:val="14"/>
          <w:szCs w:val="14"/>
          <w:color w:val="auto"/>
        </w:rPr>
        <w:t xml:space="preserve">) becomes a party to this Agreement or designates a new lending office, except to the extent that such Lender’s assignor or such Lender was entitled to receive additional amounts from the Borrower with respect to such withholding tax pursuant to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at the time of such assignment or designation (other than to the extent such withholding is as a result of a CAM Exchange), or (ii) that is attributable to such Lender’s failure or inability (other than as a result of a Change in Law occurring after the date such Lender becomes a party to this Agreement) to comply with </w:t>
      </w:r>
      <w:r>
        <w:rPr>
          <w:rFonts w:ascii="Arial" w:cs="Arial" w:eastAsia="Arial" w:hAnsi="Arial"/>
          <w:sz w:val="14"/>
          <w:szCs w:val="14"/>
          <w:u w:val="single" w:color="auto"/>
          <w:color w:val="auto"/>
        </w:rPr>
        <w:t>Section 2.16(f)</w:t>
      </w:r>
      <w:r>
        <w:rPr>
          <w:rFonts w:ascii="Arial" w:cs="Arial" w:eastAsia="Arial" w:hAnsi="Arial"/>
          <w:sz w:val="14"/>
          <w:szCs w:val="14"/>
          <w:color w:val="auto"/>
        </w:rPr>
        <w:t>, (c) any U.S. federal, state or local backup withholding Taxes imposed on payments made under any Loan Document, and (d) any Taxes that are imposed under FATCA.</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xml:space="preserve">” has the meaning assigned to such term in the </w:t>
      </w:r>
      <w:r>
        <w:rPr>
          <w:rFonts w:ascii="Arial" w:cs="Arial" w:eastAsia="Arial" w:hAnsi="Arial"/>
          <w:sz w:val="15"/>
          <w:szCs w:val="15"/>
          <w:u w:val="single" w:color="auto"/>
          <w:color w:val="auto"/>
        </w:rPr>
        <w:t>recitals</w:t>
      </w:r>
      <w:r>
        <w:rPr>
          <w:rFonts w:ascii="Arial" w:cs="Arial" w:eastAsia="Arial" w:hAnsi="Arial"/>
          <w:sz w:val="15"/>
          <w:szCs w:val="15"/>
          <w:color w:val="auto"/>
        </w:rPr>
        <w:t xml:space="preserve"> to this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Lenders</w:t>
      </w:r>
      <w:r>
        <w:rPr>
          <w:rFonts w:ascii="Arial" w:cs="Arial" w:eastAsia="Arial" w:hAnsi="Arial"/>
          <w:sz w:val="15"/>
          <w:szCs w:val="15"/>
          <w:color w:val="auto"/>
        </w:rPr>
        <w:t xml:space="preserve">” has the meaning assigned to such term in the </w:t>
      </w:r>
      <w:r>
        <w:rPr>
          <w:rFonts w:ascii="Arial" w:cs="Arial" w:eastAsia="Arial" w:hAnsi="Arial"/>
          <w:sz w:val="15"/>
          <w:szCs w:val="15"/>
          <w:u w:val="single" w:color="auto"/>
          <w:color w:val="auto"/>
        </w:rPr>
        <w:t>recitals</w:t>
      </w:r>
      <w:r>
        <w:rPr>
          <w:rFonts w:ascii="Arial" w:cs="Arial" w:eastAsia="Arial" w:hAnsi="Arial"/>
          <w:sz w:val="15"/>
          <w:szCs w:val="15"/>
          <w:color w:val="auto"/>
        </w:rPr>
        <w:t xml:space="preserve"> to this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Loans</w:t>
      </w:r>
      <w:r>
        <w:rPr>
          <w:rFonts w:ascii="Arial" w:cs="Arial" w:eastAsia="Arial" w:hAnsi="Arial"/>
          <w:sz w:val="15"/>
          <w:szCs w:val="15"/>
          <w:color w:val="auto"/>
        </w:rPr>
        <w:t xml:space="preserve">” has the meaning assigned to such term in the </w:t>
      </w:r>
      <w:r>
        <w:rPr>
          <w:rFonts w:ascii="Arial" w:cs="Arial" w:eastAsia="Arial" w:hAnsi="Arial"/>
          <w:sz w:val="15"/>
          <w:szCs w:val="15"/>
          <w:u w:val="single" w:color="auto"/>
          <w:color w:val="auto"/>
        </w:rPr>
        <w:t>recitals</w:t>
      </w:r>
      <w:r>
        <w:rPr>
          <w:rFonts w:ascii="Arial" w:cs="Arial" w:eastAsia="Arial" w:hAnsi="Arial"/>
          <w:sz w:val="15"/>
          <w:szCs w:val="15"/>
          <w:color w:val="auto"/>
        </w:rPr>
        <w:t xml:space="preserve"> to this Agreement.</w:t>
      </w:r>
    </w:p>
    <w:p>
      <w:pPr>
        <w:spacing w:after="0" w:line="149" w:lineRule="exact"/>
        <w:rPr>
          <w:sz w:val="20"/>
          <w:szCs w:val="20"/>
          <w:color w:val="auto"/>
        </w:rPr>
      </w:pPr>
    </w:p>
    <w:p>
      <w:pPr>
        <w:jc w:val="both"/>
        <w:ind w:firstLine="1737"/>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Applicable Margin</w:t>
      </w:r>
      <w:r>
        <w:rPr>
          <w:rFonts w:ascii="Arial" w:cs="Arial" w:eastAsia="Arial" w:hAnsi="Arial"/>
          <w:sz w:val="15"/>
          <w:szCs w:val="15"/>
          <w:color w:val="auto"/>
        </w:rPr>
        <w:t xml:space="preserve">” means, with respect to any Extending Lender: (a) if the Borrowing Base (as of the most recently delivered Borrowing Base Certificate) is equal to or greater than 1.60 times the Combined Debt Amount, (i) with respect to any ABR Loan, 0.75% per annum; (ii) with respect to any Eurocurrency Loan, 1.75% per annum; and (iii) with respect to any RFR Loan 1.75% per annum; and (b) if the Borrowing Base (as of the most recently delivered Borrowing Base Certificate) is less than 1.60 times the Combined Debt Amount (i) with respect to any ABR Loan, 0.875% per annum; (ii) with respect to any Eurocurrency Loan, 1.875% per annum; and (iii) with respect to any RFR Loan 1.875% per annum. Any change in the Extended Applicable Margin due to a change in the ratio of the Borrowing Base to the Combined Debt Amount as set forth in any Borrowing Base Certificate shall be effective from and including the day immediately succeeding the date of delivery of such Borrowing Base Certificate;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Borrowing Base Certificate has not been delivered in accordance with </w:t>
      </w:r>
      <w:r>
        <w:rPr>
          <w:rFonts w:ascii="Arial" w:cs="Arial" w:eastAsia="Arial" w:hAnsi="Arial"/>
          <w:sz w:val="15"/>
          <w:szCs w:val="15"/>
          <w:u w:val="single" w:color="auto"/>
          <w:color w:val="auto"/>
        </w:rPr>
        <w:t>Section 5.01(d)</w:t>
      </w:r>
      <w:r>
        <w:rPr>
          <w:rFonts w:ascii="Arial" w:cs="Arial" w:eastAsia="Arial" w:hAnsi="Arial"/>
          <w:sz w:val="15"/>
          <w:szCs w:val="15"/>
          <w:color w:val="auto"/>
        </w:rPr>
        <w:t xml:space="preserve">, then from and including the day immediately succeeding the date on which such Borrowing Base Certificate was required to be delivered, the Extended Applicable Margin shall be the Extended Applicable Margin set forth in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above to and including the date on which the required Borrowing Base Certificate is delivered.</w:t>
      </w:r>
    </w:p>
    <w:p>
      <w:pPr>
        <w:spacing w:after="0" w:line="137"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Availability Period</w:t>
      </w:r>
      <w:r>
        <w:rPr>
          <w:rFonts w:ascii="Arial" w:cs="Arial" w:eastAsia="Arial" w:hAnsi="Arial"/>
          <w:sz w:val="15"/>
          <w:szCs w:val="15"/>
          <w:color w:val="auto"/>
        </w:rPr>
        <w:t>” means, with respect to any Extending Lender, the period from and including the Effective Date to but excluding the earlier of the Extended Commitment Termination Date and the date of termination of the Commitments.</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Commitment Termination Date</w:t>
      </w:r>
      <w:r>
        <w:rPr>
          <w:rFonts w:ascii="Arial" w:cs="Arial" w:eastAsia="Arial" w:hAnsi="Arial"/>
          <w:sz w:val="15"/>
          <w:szCs w:val="15"/>
          <w:color w:val="auto"/>
        </w:rPr>
        <w:t>” means, with respect to each Extending Lender, 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4" w:name="page135"/>
    <w:bookmarkEnd w:id="134"/>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Final Maturity Date</w:t>
      </w:r>
      <w:r>
        <w:rPr>
          <w:rFonts w:ascii="Arial" w:cs="Arial" w:eastAsia="Arial" w:hAnsi="Arial"/>
          <w:sz w:val="15"/>
          <w:szCs w:val="15"/>
          <w:color w:val="auto"/>
        </w:rPr>
        <w:t>” means, with respect to each Extending Lender, April 23, 2027.</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Extended Loans</w:t>
      </w:r>
      <w:r>
        <w:rPr>
          <w:rFonts w:ascii="Arial" w:cs="Arial" w:eastAsia="Arial" w:hAnsi="Arial"/>
          <w:sz w:val="15"/>
          <w:szCs w:val="15"/>
          <w:color w:val="auto"/>
        </w:rPr>
        <w:t>” means Loans or Borrowings of any Extending Lender maturing on the Extended Final Maturity Date.</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Extending Lender</w:t>
      </w:r>
      <w:r>
        <w:rPr>
          <w:rFonts w:ascii="Arial" w:cs="Arial" w:eastAsia="Arial" w:hAnsi="Arial"/>
          <w:sz w:val="15"/>
          <w:szCs w:val="15"/>
          <w:color w:val="auto"/>
        </w:rPr>
        <w:t xml:space="preserve">” means each Lender designated as an “Extending Lender” on </w:t>
      </w:r>
      <w:r>
        <w:rPr>
          <w:rFonts w:ascii="Arial" w:cs="Arial" w:eastAsia="Arial" w:hAnsi="Arial"/>
          <w:sz w:val="15"/>
          <w:szCs w:val="15"/>
          <w:u w:val="single" w:color="auto"/>
          <w:color w:val="auto"/>
        </w:rPr>
        <w:t>Schedule 1.01(b)</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External Manager</w:t>
      </w:r>
      <w:r>
        <w:rPr>
          <w:rFonts w:ascii="Arial" w:cs="Arial" w:eastAsia="Arial" w:hAnsi="Arial"/>
          <w:sz w:val="15"/>
          <w:szCs w:val="15"/>
          <w:color w:val="auto"/>
        </w:rPr>
        <w:t>” means Sixth Street Specialty Lending Advisers, LLC.</w:t>
      </w:r>
    </w:p>
    <w:p>
      <w:pPr>
        <w:spacing w:after="0" w:line="149" w:lineRule="exact"/>
        <w:rPr>
          <w:sz w:val="20"/>
          <w:szCs w:val="20"/>
          <w:color w:val="auto"/>
        </w:rPr>
      </w:pPr>
    </w:p>
    <w:p>
      <w:pPr>
        <w:jc w:val="both"/>
        <w:ind w:firstLine="1737"/>
        <w:spacing w:after="0" w:line="28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Extraordinary Receipts</w:t>
      </w:r>
      <w:r>
        <w:rPr>
          <w:rFonts w:ascii="Arial" w:cs="Arial" w:eastAsia="Arial" w:hAnsi="Arial"/>
          <w:sz w:val="13"/>
          <w:szCs w:val="13"/>
          <w:color w:val="auto"/>
        </w:rPr>
        <w:t xml:space="preserve">” means any cash received by or paid to any Obligor on account of any foreign, United States, state or local tax refunds, pension plan reversions, judgments, proceeds of settlements or other consideration of any kind in connection with any cause of action, condemnation awards (and payments in lieu thereof), indemnity payments received not in the ordinary course of business and any purchase price adjustment received not in the ordinary course of business in connection with any purchase agreement and proceeds of insurance (excluding, however, for the avoidance of doubt, proceeds of any issuance of Equity Interests and issuances of Indebtedness by any Obligor);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Extraordinary Receipts shall not include any (x) amounts that the Borrower receives from the Administrative Agent or any Lender pursuant to </w:t>
      </w:r>
      <w:r>
        <w:rPr>
          <w:rFonts w:ascii="Arial" w:cs="Arial" w:eastAsia="Arial" w:hAnsi="Arial"/>
          <w:sz w:val="13"/>
          <w:szCs w:val="13"/>
          <w:u w:val="single" w:color="auto"/>
          <w:color w:val="auto"/>
        </w:rPr>
        <w:t>Section 2.16(f)</w:t>
      </w:r>
      <w:r>
        <w:rPr>
          <w:rFonts w:ascii="Arial" w:cs="Arial" w:eastAsia="Arial" w:hAnsi="Arial"/>
          <w:sz w:val="13"/>
          <w:szCs w:val="13"/>
          <w:color w:val="auto"/>
        </w:rPr>
        <w:t>, or (y) cash receipts to the extent received from proceeds of insurance, condemnation awards (or payments in lieu thereof), indemnity payments or payments in respect of judgments or settlements of claims, litigation or proceedings to the extent that such proceeds, awards or payments are received by any Person in respect of any unaffiliated third party claim against or loss by such Person and promptly applied to pay (or to reimburse such Person for its prior payment of) such claim or loss and the costs and expenses of such Person with respect thereto.</w:t>
      </w:r>
    </w:p>
    <w:p>
      <w:pPr>
        <w:spacing w:after="0" w:line="107" w:lineRule="exact"/>
        <w:rPr>
          <w:sz w:val="20"/>
          <w:szCs w:val="20"/>
          <w:color w:val="auto"/>
        </w:rPr>
      </w:pPr>
    </w:p>
    <w:p>
      <w:pPr>
        <w:jc w:val="both"/>
        <w:ind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FATCA</w:t>
      </w:r>
      <w:r>
        <w:rPr>
          <w:rFonts w:ascii="Arial" w:cs="Arial" w:eastAsia="Arial" w:hAnsi="Arial"/>
          <w:sz w:val="14"/>
          <w:szCs w:val="14"/>
          <w:color w:val="auto"/>
        </w:rPr>
        <w:t>” means Sections 1471 through 1474 of the Code, as of the date of this Agreement (or any amended or successor version that is substantively comparable and not materially more onerous to comply with) and any regulations promulgated thereunder and official interpretations thereof and any foreign legislation implemented to give effect to any intergovernmental agreements entered into thereunder and any agreements entered into pursuant to Section 1471(b)(1) of the Code.</w:t>
      </w:r>
    </w:p>
    <w:p>
      <w:pPr>
        <w:spacing w:after="0" w:line="108"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Funds Effective Rate</w:t>
      </w:r>
      <w:r>
        <w:rPr>
          <w:rFonts w:ascii="Arial" w:cs="Arial" w:eastAsia="Arial" w:hAnsi="Arial"/>
          <w:sz w:val="15"/>
          <w:szCs w:val="15"/>
          <w:color w:val="auto"/>
        </w:rPr>
        <w:t>” means, for any day, the weighted average (rounded upwards, if necessary, to the next 1/100 of 1%) of the rates on overnight Federal funds transactions with members of the Federal Reserve System,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28"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Final Maturity Date</w:t>
      </w:r>
      <w:r>
        <w:rPr>
          <w:rFonts w:ascii="Arial" w:cs="Arial" w:eastAsia="Arial" w:hAnsi="Arial"/>
          <w:sz w:val="15"/>
          <w:szCs w:val="15"/>
          <w:color w:val="auto"/>
        </w:rPr>
        <w:t>” means (i) in the case of any Extending Lender (with respect to such Extending Lender’s Extended Loans), the Extended Final Maturity Date or (ii) in the case of any Non-Extending Lender (with respect to such Non-Extending Lender’s Non-Extended Loans), such Non-Extending Lender’s Non-Extended Final Maturity Date,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5" w:name="page136"/>
    <w:bookmarkEnd w:id="135"/>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Financial Officer</w:t>
      </w:r>
      <w:r>
        <w:rPr>
          <w:rFonts w:ascii="Arial" w:cs="Arial" w:eastAsia="Arial" w:hAnsi="Arial"/>
          <w:sz w:val="15"/>
          <w:szCs w:val="15"/>
          <w:color w:val="auto"/>
        </w:rPr>
        <w:t>” means the chief financial officer, principal accounting officer, treasurer or controller of the Borrower.</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Financing Subsidiary</w:t>
      </w:r>
      <w:r>
        <w:rPr>
          <w:rFonts w:ascii="Arial" w:cs="Arial" w:eastAsia="Arial" w:hAnsi="Arial"/>
          <w:sz w:val="15"/>
          <w:szCs w:val="15"/>
          <w:color w:val="auto"/>
        </w:rPr>
        <w:t>” means an SPE Subsidiary or an SBIC Subsidiary.</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Floor</w:t>
      </w:r>
      <w:r>
        <w:rPr>
          <w:rFonts w:ascii="Arial" w:cs="Arial" w:eastAsia="Arial" w:hAnsi="Arial"/>
          <w:sz w:val="15"/>
          <w:szCs w:val="15"/>
          <w:color w:val="auto"/>
        </w:rPr>
        <w:t>” means the benchmark rate floor, if any, provided in this Agreement initially (as of the execution of this Agreement, the modification, amendment or renewal of this Agreement or otherwise) with respect to any applicable Benchmark; provided that in no event shall the Floor be less than zero</w:t>
      </w:r>
      <w:r>
        <w:rPr>
          <w:rFonts w:ascii="Arial" w:cs="Arial" w:eastAsia="Arial" w:hAnsi="Arial"/>
          <w:sz w:val="13"/>
          <w:szCs w:val="13"/>
          <w:color w:val="auto"/>
        </w:rPr>
        <w:t>.</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Currency</w:t>
      </w:r>
      <w:r>
        <w:rPr>
          <w:rFonts w:ascii="Arial" w:cs="Arial" w:eastAsia="Arial" w:hAnsi="Arial"/>
          <w:sz w:val="15"/>
          <w:szCs w:val="15"/>
          <w:color w:val="auto"/>
        </w:rPr>
        <w:t>” means at any time any Currency other than Dollars.</w:t>
      </w:r>
    </w:p>
    <w:p>
      <w:pPr>
        <w:spacing w:after="0" w:line="149" w:lineRule="exact"/>
        <w:rPr>
          <w:sz w:val="20"/>
          <w:szCs w:val="20"/>
          <w:color w:val="auto"/>
        </w:rPr>
      </w:pPr>
    </w:p>
    <w:p>
      <w:pPr>
        <w:jc w:val="both"/>
        <w:ind w:firstLine="1737"/>
        <w:spacing w:after="0" w:line="29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Foreign Currency Equivalent</w:t>
      </w:r>
      <w:r>
        <w:rPr>
          <w:rFonts w:ascii="Arial" w:cs="Arial" w:eastAsia="Arial" w:hAnsi="Arial"/>
          <w:sz w:val="14"/>
          <w:szCs w:val="14"/>
          <w:color w:val="auto"/>
        </w:rPr>
        <w:t>” means, with respect to any amount in Dollars, the amount of any Foreign Currency that could be purchased with such amount of Dollars using the reciprocal of the foreign exchange rate(s) specified in the definition of the term “Dollar Equivalent”, as determined by the Administrative Agent.</w:t>
      </w:r>
    </w:p>
    <w:p>
      <w:pPr>
        <w:spacing w:after="0" w:line="92"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Lender</w:t>
      </w:r>
      <w:r>
        <w:rPr>
          <w:rFonts w:ascii="Arial" w:cs="Arial" w:eastAsia="Arial" w:hAnsi="Arial"/>
          <w:sz w:val="15"/>
          <w:szCs w:val="15"/>
          <w:color w:val="auto"/>
        </w:rPr>
        <w:t>” means any Lender that is not a “United States person” as defined under Section 7701(a)(30) of the Code.</w:t>
      </w:r>
    </w:p>
    <w:p>
      <w:pPr>
        <w:spacing w:after="0" w:line="149"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Foreign Subsidiary</w:t>
      </w:r>
      <w:r>
        <w:rPr>
          <w:rFonts w:ascii="Arial" w:cs="Arial" w:eastAsia="Arial" w:hAnsi="Arial"/>
          <w:sz w:val="15"/>
          <w:szCs w:val="15"/>
          <w:color w:val="auto"/>
        </w:rPr>
        <w:t>” means any (a) direct or indirect Subsidiary of the Borrower that is organized under the laws of any jurisdiction other than the United States or its territories or possessions and that is treated as a corporation for United States federal income tax purposes, (b) direct or indirect Subsidiary of the Borrower which is a “controlled foreign corporation” within the meaning of the Code or (c) direct or indirect Subsidiary that is disregarded as an entity that is separate from its owner for United States federal income tax purposes and substantially all of its assets consist of the Capital Stock of one or more direct or indirect Foreign Subsidiaries.</w:t>
      </w:r>
    </w:p>
    <w:p>
      <w:pPr>
        <w:spacing w:after="0" w:line="128"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Fronting Exposure</w:t>
      </w:r>
      <w:r>
        <w:rPr>
          <w:rFonts w:ascii="Arial" w:cs="Arial" w:eastAsia="Arial" w:hAnsi="Arial"/>
          <w:sz w:val="15"/>
          <w:szCs w:val="15"/>
          <w:color w:val="auto"/>
        </w:rPr>
        <w:t>” means, at any time there is a Defaulting Lender, with respect to any Issuing Bank, such Defaulting Lender’s (a) Applicable Dollar Percentage of the outstanding Dollar LC Exposure and (b) Applicable Multicurrency Percentage of the outstanding Multicurrency LC Exposure, in each case with respect to Letters of Credit issued by such Issuing Bank other than Dollar LC Exposure or Multicurrency LC Exposure, as the case may be, as to which such Defaulting Lender’s participation obligation has been reallocated to other Lenders or Cash Collateralized in accordance with the terms hereof.</w:t>
      </w:r>
    </w:p>
    <w:p>
      <w:pPr>
        <w:spacing w:after="0" w:line="12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in the United States of America.</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the government of the United States of America, or of any other nation, or any political subdivision thereof, whether state or local, and any agency, authority, instrumentality, regulatory body, court, central bank, supranational authority or other entity exercising executive, legislative, judicial, taxing, regulatory or administrative powers or functions of or pertaining to government.</w:t>
      </w:r>
    </w:p>
    <w:p>
      <w:pPr>
        <w:spacing w:after="0" w:line="12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w:t>
      </w:r>
      <w:r>
        <w:rPr>
          <w:rFonts w:ascii="Arial" w:cs="Arial" w:eastAsia="Arial" w:hAnsi="Arial"/>
          <w:sz w:val="15"/>
          <w:szCs w:val="15"/>
          <w:color w:val="auto"/>
        </w:rPr>
        <w:t>” of or by any Person (the “</w:t>
      </w:r>
      <w:r>
        <w:rPr>
          <w:rFonts w:ascii="Arial" w:cs="Arial" w:eastAsia="Arial" w:hAnsi="Arial"/>
          <w:sz w:val="15"/>
          <w:szCs w:val="15"/>
          <w:u w:val="single" w:color="auto"/>
          <w:color w:val="auto"/>
        </w:rPr>
        <w:t>guarantor</w:t>
      </w:r>
      <w:r>
        <w:rPr>
          <w:rFonts w:ascii="Arial" w:cs="Arial" w:eastAsia="Arial" w:hAnsi="Arial"/>
          <w:sz w:val="15"/>
          <w:szCs w:val="15"/>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6" w:name="page137"/>
    <w:bookmarkEnd w:id="136"/>
    <w:p>
      <w:pPr>
        <w:jc w:val="both"/>
        <w:spacing w:after="0"/>
        <w:rPr>
          <w:sz w:val="20"/>
          <w:szCs w:val="20"/>
          <w:color w:val="auto"/>
        </w:rPr>
      </w:pPr>
      <w:r>
        <w:rPr>
          <w:rFonts w:ascii="Arial" w:cs="Arial" w:eastAsia="Arial" w:hAnsi="Arial"/>
          <w:sz w:val="15"/>
          <w:szCs w:val="15"/>
          <w:color w:val="auto"/>
        </w:rPr>
        <w:t xml:space="preserve">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term Guarantee shall not include (i) endorsements for collection or deposit in the ordinary course of business or (ii) customary indemnification agreements entered into in the ordinary course of business, provided that such indemnification obligations are unsecured, such Person has determined that any liability thereunder is remote and such indemnification obligations are not the functional equivalent of the guaranty of a payment obligation of the primary obligor.</w:t>
      </w:r>
    </w:p>
    <w:p>
      <w:pPr>
        <w:spacing w:after="0" w:line="133"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and Security Agreement</w:t>
      </w:r>
      <w:r>
        <w:rPr>
          <w:rFonts w:ascii="Arial" w:cs="Arial" w:eastAsia="Arial" w:hAnsi="Arial"/>
          <w:sz w:val="15"/>
          <w:szCs w:val="15"/>
          <w:color w:val="auto"/>
        </w:rPr>
        <w:t>” means that certain Amended and Restated Guarantee and Security Agreement dated as of July 2, 2013 among the Borrower, the Administrative Agent, each Subsidiary of the Borrower from time to time party thereto, each holder (or a representative or trustee therefor) from time to time of any Secured Longer-Term Indebtedness or Secured Shorter-Term Indebtedness, and the Collateral Agent, as the same shall be amended, restated, modified and supplemented and in effect from time to time.</w:t>
      </w:r>
    </w:p>
    <w:p>
      <w:pPr>
        <w:spacing w:after="0" w:line="128"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Assumption Agreement</w:t>
      </w:r>
      <w:r>
        <w:rPr>
          <w:rFonts w:ascii="Arial" w:cs="Arial" w:eastAsia="Arial" w:hAnsi="Arial"/>
          <w:sz w:val="15"/>
          <w:szCs w:val="15"/>
          <w:color w:val="auto"/>
        </w:rPr>
        <w:t xml:space="preserve">” means a Guarantee Assumption Agreement substantially in the form of Exhibit B to the Guarantee and Security Agreement between the Collateral Agent and an entity that pursuant to </w:t>
      </w:r>
      <w:r>
        <w:rPr>
          <w:rFonts w:ascii="Arial" w:cs="Arial" w:eastAsia="Arial" w:hAnsi="Arial"/>
          <w:sz w:val="15"/>
          <w:szCs w:val="15"/>
          <w:u w:val="single" w:color="auto"/>
          <w:color w:val="auto"/>
        </w:rPr>
        <w:t>Section 5.08</w:t>
      </w:r>
      <w:r>
        <w:rPr>
          <w:rFonts w:ascii="Arial" w:cs="Arial" w:eastAsia="Arial" w:hAnsi="Arial"/>
          <w:sz w:val="15"/>
          <w:szCs w:val="15"/>
          <w:color w:val="auto"/>
        </w:rPr>
        <w:t xml:space="preserve"> is required to become a “Subsidiary Guarantor” under the Guarantee and Security Agreement (with such changes as the Administrative Agent shall request consistent with the requirements of </w:t>
      </w:r>
      <w:r>
        <w:rPr>
          <w:rFonts w:ascii="Arial" w:cs="Arial" w:eastAsia="Arial" w:hAnsi="Arial"/>
          <w:sz w:val="15"/>
          <w:szCs w:val="15"/>
          <w:u w:val="single" w:color="auto"/>
          <w:color w:val="auto"/>
        </w:rPr>
        <w:t>Section 5.08</w:t>
      </w:r>
      <w:r>
        <w:rPr>
          <w:rFonts w:ascii="Arial" w:cs="Arial" w:eastAsia="Arial" w:hAnsi="Arial"/>
          <w:sz w:val="15"/>
          <w:szCs w:val="15"/>
          <w:color w:val="auto"/>
        </w:rPr>
        <w:t>).</w:t>
      </w:r>
    </w:p>
    <w:p>
      <w:pPr>
        <w:spacing w:after="0" w:line="12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Hedging Agreement</w:t>
      </w:r>
      <w:r>
        <w:rPr>
          <w:rFonts w:ascii="Arial" w:cs="Arial" w:eastAsia="Arial" w:hAnsi="Arial"/>
          <w:sz w:val="15"/>
          <w:szCs w:val="15"/>
          <w:color w:val="auto"/>
        </w:rPr>
        <w:t>” means any interest rate protection agreement, foreign currency exchange protection agreement, commodity price protection agreement or other interest or currency exchange rate or commodity price hedging arrangement.</w:t>
      </w:r>
    </w:p>
    <w:p>
      <w:pPr>
        <w:spacing w:after="0" w:line="115"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Immaterial Subsidiaries</w:t>
      </w:r>
      <w:r>
        <w:rPr>
          <w:rFonts w:ascii="Arial" w:cs="Arial" w:eastAsia="Arial" w:hAnsi="Arial"/>
          <w:sz w:val="15"/>
          <w:szCs w:val="15"/>
          <w:color w:val="auto"/>
        </w:rPr>
        <w:t xml:space="preserve">” means those Subsidiaries of the Borrower that are “designated” as Immaterial Subsidiaries by the Borrower from time to time (it being understood that the Borrower may at any time change any such designation);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designated Immaterial Subsidiaries shall collectively meet all of the following criteria as of the date of the most recent balance sheet required to be delivered pursuant to </w:t>
      </w:r>
      <w:r>
        <w:rPr>
          <w:rFonts w:ascii="Arial" w:cs="Arial" w:eastAsia="Arial" w:hAnsi="Arial"/>
          <w:sz w:val="15"/>
          <w:szCs w:val="15"/>
          <w:u w:val="single" w:color="auto"/>
          <w:color w:val="auto"/>
        </w:rPr>
        <w:t>Section 5.01</w:t>
      </w:r>
      <w:r>
        <w:rPr>
          <w:rFonts w:ascii="Arial" w:cs="Arial" w:eastAsia="Arial" w:hAnsi="Arial"/>
          <w:sz w:val="15"/>
          <w:szCs w:val="15"/>
          <w:color w:val="auto"/>
        </w:rPr>
        <w:t>: (a) the aggregate assets of such Subsidiaries and their Subsidiaries (on a consolidated basis) as of such date do not exceed an amount equal to 3% of the consolidated assets of the Borrower and its Subsidiaries as of such date; and (b) the aggregate revenues of such Subsidiaries and their Subsidiaries (on a consolidated basis) for the fiscal quarter ending on such date do not exceed an amount equal to 3% of the consolidated revenues of the Borrower and its Subsidiaries for such period.</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Increasing Lender</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2.08(e)(i)</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of any Person means, without duplication, (a) all obligations of such Person for borrowed money or with respect to deposits or advances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any kind, (b) all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227330</wp:posOffset>
            </wp:positionV>
            <wp:extent cx="721106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7" w:name="page138"/>
    <w:bookmarkEnd w:id="137"/>
    <w:p>
      <w:pPr>
        <w:jc w:val="both"/>
        <w:spacing w:after="0" w:line="258" w:lineRule="auto"/>
        <w:rPr>
          <w:sz w:val="20"/>
          <w:szCs w:val="20"/>
          <w:color w:val="auto"/>
        </w:rPr>
      </w:pPr>
      <w:r>
        <w:rPr>
          <w:rFonts w:ascii="Arial" w:cs="Arial" w:eastAsia="Arial" w:hAnsi="Arial"/>
          <w:sz w:val="14"/>
          <w:szCs w:val="14"/>
          <w:color w:val="auto"/>
        </w:rPr>
        <w:t>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and accrued expenses incurred in the ordinary course of business), (e) all Indebtedness of others secured by any Lien on property owned or acquired by such Person, whether or not the Indebtedness secured thereby has been assumed (with the value of such Indebtedness being the lower of the outstanding amount of such Indebtedness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and (i)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“Indebtedness” shall not include (x) escrows or purchase price holdbacks arising in the ordinary course of business in respect of a portion of the purchase price of an asset or Investment to satisfy unperformed obligations of the seller of such asset or Investment or (y) a commitment arising in the ordinary course of business to make a future Portfolio Investment.</w:t>
      </w:r>
    </w:p>
    <w:p>
      <w:pPr>
        <w:spacing w:after="0" w:line="11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Indemnified Taxes</w:t>
      </w:r>
      <w:r>
        <w:rPr>
          <w:rFonts w:ascii="Arial" w:cs="Arial" w:eastAsia="Arial" w:hAnsi="Arial"/>
          <w:sz w:val="15"/>
          <w:szCs w:val="15"/>
          <w:color w:val="auto"/>
        </w:rPr>
        <w:t>” means Taxes, other than Excluded Taxes, imposed on or with respect to any payment made by or on account of any obligation of the Borrower under this Agreement.</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Indenture</w:t>
      </w:r>
      <w:r>
        <w:rPr>
          <w:rFonts w:ascii="Arial" w:cs="Arial" w:eastAsia="Arial" w:hAnsi="Arial"/>
          <w:sz w:val="15"/>
          <w:szCs w:val="15"/>
          <w:color w:val="auto"/>
        </w:rPr>
        <w:t>” means that certain Indenture dated as of February 1, 2017, between the Company, as issuer and Wells Fargo Bank, National Association, a national banking association, as trustee.</w:t>
      </w:r>
    </w:p>
    <w:p>
      <w:pPr>
        <w:spacing w:after="0" w:line="115"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Independent</w:t>
      </w:r>
      <w:r>
        <w:rPr>
          <w:rFonts w:ascii="Arial" w:cs="Arial" w:eastAsia="Arial" w:hAnsi="Arial"/>
          <w:sz w:val="15"/>
          <w:szCs w:val="15"/>
          <w:color w:val="auto"/>
        </w:rPr>
        <w:t>” when used with respect to any specified Person means that such Person (a) does not have any direct financial interest or any material indirect financial interest in the Borrower or any of its Subsidiaries or Affiliates (including its investment advisor or any Affiliate thereof) and (b) is not connected with the Borrower or of its Subsidiaries or Affiliates (including its investment advisor or any Affiliate thereof) as an officer, employee, promoter, underwriter, trustee, partner, director or Person performing similar functions.</w:t>
      </w:r>
    </w:p>
    <w:p>
      <w:pPr>
        <w:spacing w:after="0" w:line="128"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Industry Classification Group</w:t>
      </w:r>
      <w:r>
        <w:rPr>
          <w:rFonts w:ascii="Arial" w:cs="Arial" w:eastAsia="Arial" w:hAnsi="Arial"/>
          <w:sz w:val="15"/>
          <w:szCs w:val="15"/>
          <w:color w:val="auto"/>
        </w:rPr>
        <w:t xml:space="preserve">” means (a) any of the classification groups set forth in </w:t>
      </w:r>
      <w:r>
        <w:rPr>
          <w:rFonts w:ascii="Arial" w:cs="Arial" w:eastAsia="Arial" w:hAnsi="Arial"/>
          <w:sz w:val="15"/>
          <w:szCs w:val="15"/>
          <w:u w:val="single" w:color="auto"/>
          <w:color w:val="auto"/>
        </w:rPr>
        <w:t>Schedule 1.01(c)</w:t>
      </w:r>
      <w:r>
        <w:rPr>
          <w:rFonts w:ascii="Arial" w:cs="Arial" w:eastAsia="Arial" w:hAnsi="Arial"/>
          <w:sz w:val="15"/>
          <w:szCs w:val="15"/>
          <w:color w:val="auto"/>
        </w:rPr>
        <w:t xml:space="preserve"> hereto, together with any such classification groups that may be subsequently established by Moody’s and provided by the Borrower to the Lenders, and (b) up to three additional industry group classifications established by the Borrower pursuant to </w:t>
      </w:r>
      <w:r>
        <w:rPr>
          <w:rFonts w:ascii="Arial" w:cs="Arial" w:eastAsia="Arial" w:hAnsi="Arial"/>
          <w:sz w:val="15"/>
          <w:szCs w:val="15"/>
          <w:u w:val="single" w:color="auto"/>
          <w:color w:val="auto"/>
        </w:rPr>
        <w:t>Section 5.12</w:t>
      </w:r>
      <w:r>
        <w:rPr>
          <w:rFonts w:ascii="Arial" w:cs="Arial" w:eastAsia="Arial" w:hAnsi="Arial"/>
          <w:sz w:val="15"/>
          <w:szCs w:val="15"/>
          <w:color w:val="auto"/>
        </w:rPr>
        <w:t>.</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Election Request</w:t>
      </w:r>
      <w:r>
        <w:rPr>
          <w:rFonts w:ascii="Arial" w:cs="Arial" w:eastAsia="Arial" w:hAnsi="Arial"/>
          <w:sz w:val="15"/>
          <w:szCs w:val="15"/>
          <w:color w:val="auto"/>
        </w:rPr>
        <w:t xml:space="preserve">” means a request by the Borrower to convert or continue a Syndicated Borrowing in accordance with </w:t>
      </w:r>
      <w:r>
        <w:rPr>
          <w:rFonts w:ascii="Arial" w:cs="Arial" w:eastAsia="Arial" w:hAnsi="Arial"/>
          <w:sz w:val="15"/>
          <w:szCs w:val="15"/>
          <w:u w:val="single" w:color="auto"/>
          <w:color w:val="auto"/>
        </w:rPr>
        <w:t>Section 2.07</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 Payment Date</w:t>
      </w:r>
      <w:r>
        <w:rPr>
          <w:rFonts w:ascii="Arial" w:cs="Arial" w:eastAsia="Arial" w:hAnsi="Arial"/>
          <w:sz w:val="15"/>
          <w:szCs w:val="15"/>
          <w:color w:val="auto"/>
        </w:rPr>
        <w:t>” means (a) with respect to any Syndicated ABR Loan, each Quarterly Date, (b) with respect to any Eurocurrency Loan or RFR Loan, in each case, in respect of which the Borrower has selected a one- or three-month Interest Period, the last day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8" w:name="page139"/>
    <w:bookmarkEnd w:id="138"/>
    <w:p>
      <w:pPr>
        <w:jc w:val="both"/>
        <w:ind w:right="20"/>
        <w:spacing w:after="0" w:line="339" w:lineRule="auto"/>
        <w:rPr>
          <w:sz w:val="20"/>
          <w:szCs w:val="20"/>
          <w:color w:val="auto"/>
        </w:rPr>
      </w:pPr>
      <w:r>
        <w:rPr>
          <w:rFonts w:ascii="Arial" w:cs="Arial" w:eastAsia="Arial" w:hAnsi="Arial"/>
          <w:sz w:val="13"/>
          <w:szCs w:val="13"/>
          <w:color w:val="auto"/>
        </w:rPr>
        <w:t>Interest Period therefor and, in the case of any Eurocurrency Loan or Term SOFR Loan with an Interest Period of more than three months’ duration, each day prior to the last day of such Interest Period that occurs at three-month intervals after the first day of such Interest Period and (c) with respect to any Swingline Loan, the day that such Loan is required to be repaid.</w:t>
      </w:r>
    </w:p>
    <w:p>
      <w:pPr>
        <w:spacing w:after="0" w:line="69" w:lineRule="exact"/>
        <w:rPr>
          <w:sz w:val="20"/>
          <w:szCs w:val="20"/>
          <w:color w:val="auto"/>
        </w:rPr>
      </w:pPr>
    </w:p>
    <w:p>
      <w:pPr>
        <w:jc w:val="both"/>
        <w:ind w:firstLine="1737"/>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Period</w:t>
      </w:r>
      <w:r>
        <w:rPr>
          <w:rFonts w:ascii="Arial" w:cs="Arial" w:eastAsia="Arial" w:hAnsi="Arial"/>
          <w:sz w:val="14"/>
          <w:szCs w:val="14"/>
          <w:color w:val="auto"/>
        </w:rPr>
        <w:t xml:space="preserve">” means, for any Eurocurrency Loan or Borrowing or any RFR Loan or Borrowing, the period commencing on the date of such Loan or Borrowing and ending on the numerically corresponding day in the calendar month that is one month, three months or, except with respect to Eurocurrency Loans denominated in Canadian Dollars and Daily Simple RFR Loans, six months thereafter or, with respect to such portion of any Eurocurrency Loan, RFR Loan or Borrowing denominated in a Foreign Currency that is scheduled to be repaid on the applicable Final Maturity Date, a period of less than one month’s duration commencing on the date of such Loan or Borrowing and ending on the applicable Final Maturity Date, as specified in the applicable Borrowing Request or Interest Election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(other than an Interest Period pertaining to a Eurocurrency Borrowing denominated in a Foreign Currency or RFR Borrowing that ends on the applicable Final Maturity Date that is permitted to be of less than one month’s duration as provided in this definition)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Arial" w:cs="Arial" w:eastAsia="Arial" w:hAnsi="Arial"/>
          <w:sz w:val="14"/>
          <w:szCs w:val="14"/>
          <w:u w:val="single" w:color="auto"/>
          <w:color w:val="auto"/>
        </w:rPr>
        <w:t>Section 2.21(d)</w:t>
      </w:r>
      <w:r>
        <w:rPr>
          <w:rFonts w:ascii="Arial" w:cs="Arial" w:eastAsia="Arial" w:hAnsi="Arial"/>
          <w:sz w:val="14"/>
          <w:szCs w:val="14"/>
          <w:color w:val="auto"/>
        </w:rPr>
        <w:t xml:space="preserve"> shall be available for specification in such Borrowing Request or notice of conversion or continuation. For purposes hereof, the date of a Loan initially shall be the date on which such Loan is made and thereafter shall be the effective date of the most recent conversion or continuation of such Loan, and the date of a Syndicated Borrowing comprising Loans that have been converted or continued shall be the effective date of the most recent conversion or continuation of such Loans.</w:t>
      </w:r>
    </w:p>
    <w:p>
      <w:pPr>
        <w:spacing w:after="0" w:line="122" w:lineRule="exact"/>
        <w:rPr>
          <w:sz w:val="20"/>
          <w:szCs w:val="20"/>
          <w:color w:val="auto"/>
        </w:rPr>
      </w:pPr>
    </w:p>
    <w:p>
      <w:pPr>
        <w:jc w:val="both"/>
        <w:ind w:firstLine="173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Investment</w:t>
      </w:r>
      <w:r>
        <w:rPr>
          <w:rFonts w:ascii="Arial" w:cs="Arial" w:eastAsia="Arial" w:hAnsi="Arial"/>
          <w:sz w:val="14"/>
          <w:szCs w:val="14"/>
          <w:color w:val="auto"/>
        </w:rPr>
        <w:t>” means, for any Person: (a) Equity Interests, bonds, notes, debentures or other securities of any other Person or any agreement to acquire any Equity Interests, bonds, notes, debentures or other securities of any other Person (and any rights or proceeds in respect of (x) any “short sale” of securities or (y) any sale of any securities at a time when such securities are not owned by such Person);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1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 Company Act</w:t>
      </w:r>
      <w:r>
        <w:rPr>
          <w:rFonts w:ascii="Arial" w:cs="Arial" w:eastAsia="Arial" w:hAnsi="Arial"/>
          <w:sz w:val="15"/>
          <w:szCs w:val="15"/>
          <w:color w:val="auto"/>
        </w:rPr>
        <w:t>” means the Investment Company Act of 1940, as amended from time to time.</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Investment Policies</w:t>
      </w:r>
      <w:r>
        <w:rPr>
          <w:rFonts w:ascii="Arial" w:cs="Arial" w:eastAsia="Arial" w:hAnsi="Arial"/>
          <w:sz w:val="15"/>
          <w:szCs w:val="15"/>
          <w:color w:val="auto"/>
        </w:rPr>
        <w:t>” means the investment objectives, policies, restrictions and limitations set forth in the “BUSINESS” section of its Registration Statement, and as the same may be changed, altered, expanded, amended, modified, terminated or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39" w:name="page140"/>
    <w:bookmarkEnd w:id="139"/>
    <w:p>
      <w:pPr>
        <w:jc w:val="both"/>
        <w:ind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Issuing Bank</w:t>
      </w:r>
      <w:r>
        <w:rPr>
          <w:rFonts w:ascii="Arial" w:cs="Arial" w:eastAsia="Arial" w:hAnsi="Arial"/>
          <w:sz w:val="14"/>
          <w:szCs w:val="14"/>
          <w:color w:val="auto"/>
        </w:rPr>
        <w:t xml:space="preserve">” means Truist, JPMorgan Chase Bank, N.A., and any other Issuing Bank designated pursuant to </w:t>
      </w:r>
      <w:r>
        <w:rPr>
          <w:rFonts w:ascii="Arial" w:cs="Arial" w:eastAsia="Arial" w:hAnsi="Arial"/>
          <w:sz w:val="14"/>
          <w:szCs w:val="14"/>
          <w:u w:val="single" w:color="auto"/>
          <w:color w:val="auto"/>
        </w:rPr>
        <w:t>Section 2.05(l)</w:t>
      </w:r>
      <w:r>
        <w:rPr>
          <w:rFonts w:ascii="Arial" w:cs="Arial" w:eastAsia="Arial" w:hAnsi="Arial"/>
          <w:sz w:val="14"/>
          <w:szCs w:val="14"/>
          <w:color w:val="auto"/>
        </w:rPr>
        <w:t xml:space="preserve">, in their capacity as the issuers of Letters of Credit hereunder, and their respective successors in such capacity as provided in </w:t>
      </w:r>
      <w:r>
        <w:rPr>
          <w:rFonts w:ascii="Arial" w:cs="Arial" w:eastAsia="Arial" w:hAnsi="Arial"/>
          <w:sz w:val="14"/>
          <w:szCs w:val="14"/>
          <w:u w:val="single" w:color="auto"/>
          <w:color w:val="auto"/>
        </w:rPr>
        <w:t>Section 2.05(j)</w:t>
      </w:r>
      <w:r>
        <w:rPr>
          <w:rFonts w:ascii="Arial" w:cs="Arial" w:eastAsia="Arial" w:hAnsi="Arial"/>
          <w:sz w:val="14"/>
          <w:szCs w:val="14"/>
          <w:color w:val="auto"/>
        </w:rPr>
        <w:t>. In the case of any Letter of Credit to be issued in an Agreed Foreign Currency, Truist and JPMorgan Chase Bank, N.A., respectively, may designate any of their respective affiliates as the “Issuing Bank” for purposes of such Letter of Credit.</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Japanese Yen</w:t>
      </w:r>
      <w:r>
        <w:rPr>
          <w:rFonts w:ascii="Arial" w:cs="Arial" w:eastAsia="Arial" w:hAnsi="Arial"/>
          <w:sz w:val="15"/>
          <w:szCs w:val="15"/>
          <w:color w:val="auto"/>
        </w:rPr>
        <w:t>” means the lawful currency of Japan.</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Joint Lead Arrangers</w:t>
      </w:r>
      <w:r>
        <w:rPr>
          <w:rFonts w:ascii="Arial" w:cs="Arial" w:eastAsia="Arial" w:hAnsi="Arial"/>
          <w:sz w:val="15"/>
          <w:szCs w:val="15"/>
          <w:color w:val="auto"/>
        </w:rPr>
        <w:t>” means Truist Securities, Inc., JPMorgan Chase Bank, N.A., MUFG Union Bank, N.A., Sumitomo Mitsui Banking Corporation, State Street Bank and Trust Company and Santander Bank, N.A.</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Disbursement</w:t>
      </w:r>
      <w:r>
        <w:rPr>
          <w:rFonts w:ascii="Arial" w:cs="Arial" w:eastAsia="Arial" w:hAnsi="Arial"/>
          <w:sz w:val="15"/>
          <w:szCs w:val="15"/>
          <w:color w:val="auto"/>
        </w:rPr>
        <w:t>” means a payment made by any Issuing Bank pursuant to a Letter of Credit.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LC Exposure</w:t>
      </w:r>
      <w:r>
        <w:rPr>
          <w:rFonts w:ascii="Arial" w:cs="Arial" w:eastAsia="Arial" w:hAnsi="Arial"/>
          <w:sz w:val="15"/>
          <w:szCs w:val="15"/>
          <w:color w:val="auto"/>
        </w:rPr>
        <w:t>” means, at any time, the sum of the Dollar LC Exposure and the Multicurrency LC Exposure.</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Lenders</w:t>
      </w:r>
      <w:r>
        <w:rPr>
          <w:rFonts w:ascii="Arial" w:cs="Arial" w:eastAsia="Arial" w:hAnsi="Arial"/>
          <w:sz w:val="14"/>
          <w:szCs w:val="14"/>
          <w:color w:val="auto"/>
        </w:rPr>
        <w:t>” means, collectively, the Dollar Lenders and the Multicurrency Lenders. Unless the context otherwise requires, the term “Lenders” includes each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Swingline Lender.</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Letter of Credit</w:t>
      </w:r>
      <w:r>
        <w:rPr>
          <w:rFonts w:ascii="Arial" w:cs="Arial" w:eastAsia="Arial" w:hAnsi="Arial"/>
          <w:sz w:val="15"/>
          <w:szCs w:val="15"/>
          <w:color w:val="auto"/>
        </w:rPr>
        <w:t>” means any letter of credit issued pursuant to this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Letter of Credit Collateral Account</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2.05(k)</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Letter of Credit Documents</w:t>
      </w:r>
      <w:r>
        <w:rPr>
          <w:rFonts w:ascii="Arial" w:cs="Arial" w:eastAsia="Arial" w:hAnsi="Arial"/>
          <w:sz w:val="15"/>
          <w:szCs w:val="15"/>
          <w:color w:val="auto"/>
        </w:rPr>
        <w:t>” means, with respect to any Letter of Credit, collectively, any application therefor and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modified and supplemented and in effect from time to time.</w:t>
      </w:r>
    </w:p>
    <w:p>
      <w:pPr>
        <w:spacing w:after="0" w:line="128"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Investments that are securities, excluding customary drag-along, tag-along, right of first refusal and other similar rights in favor of the equity holders of the same issuer).</w:t>
      </w:r>
    </w:p>
    <w:p>
      <w:pPr>
        <w:spacing w:after="0" w:line="12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Documents</w:t>
      </w:r>
      <w:r>
        <w:rPr>
          <w:rFonts w:ascii="Arial" w:cs="Arial" w:eastAsia="Arial" w:hAnsi="Arial"/>
          <w:sz w:val="15"/>
          <w:szCs w:val="15"/>
          <w:color w:val="auto"/>
        </w:rPr>
        <w:t>” means, collectively, this Agreement, the Letter of Credit Documents, the Security Documents and the First Amendment to this Agreement dated as of June 3, 2014, the Second Amendment to this Agreement dated as of June 27, 2014, the Third Amendment to this Agreement dated as of October 17, 2014, the Fourth Amendment to this Agreement dated as of October 2, 2015, the Fifth Amendment to this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0" w:name="page141"/>
    <w:bookmarkEnd w:id="140"/>
    <w:p>
      <w:pPr>
        <w:jc w:val="both"/>
        <w:spacing w:after="0" w:line="275" w:lineRule="auto"/>
        <w:rPr>
          <w:sz w:val="20"/>
          <w:szCs w:val="20"/>
          <w:color w:val="auto"/>
        </w:rPr>
      </w:pPr>
      <w:r>
        <w:rPr>
          <w:rFonts w:ascii="Arial" w:cs="Arial" w:eastAsia="Arial" w:hAnsi="Arial"/>
          <w:sz w:val="14"/>
          <w:szCs w:val="14"/>
          <w:color w:val="auto"/>
        </w:rPr>
        <w:t>December 22, 2016, the Sixth Amendment to this Agreement dated as of February 20, 2018, the Seventh Amendment to this Agreement dated as of November 5, 2018, the Eighth Amendment to this Agreement dated as of February 14, 2019, the Ninth Amendment to this Agreement dated as of January 31, 2020, the Tenth Amendment to this Agreement dated as of February 5, 2021, the Eleventh Amendment to this Agreement dated as of December 14, 2021 and the Twelfth Amendment to this Agreement dated as of April 25, 2022.</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Loans</w:t>
      </w:r>
      <w:r>
        <w:rPr>
          <w:rFonts w:ascii="Arial" w:cs="Arial" w:eastAsia="Arial" w:hAnsi="Arial"/>
          <w:sz w:val="15"/>
          <w:szCs w:val="15"/>
          <w:color w:val="auto"/>
        </w:rPr>
        <w:t>” means the loans made by the Lenders to the Borrower pursuant to this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Margin Stock</w:t>
      </w:r>
      <w:r>
        <w:rPr>
          <w:rFonts w:ascii="Arial" w:cs="Arial" w:eastAsia="Arial" w:hAnsi="Arial"/>
          <w:sz w:val="15"/>
          <w:szCs w:val="15"/>
          <w:color w:val="auto"/>
        </w:rPr>
        <w:t>” means “margin stock” within the meaning of Regulations T, U and X.</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Change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3.04(b)</w:t>
      </w:r>
      <w:r>
        <w:rPr>
          <w:rFonts w:ascii="Arial" w:cs="Arial" w:eastAsia="Arial" w:hAnsi="Arial"/>
          <w:sz w:val="15"/>
          <w:szCs w:val="15"/>
          <w:color w:val="auto"/>
        </w:rPr>
        <w:t>.</w:t>
      </w:r>
    </w:p>
    <w:p>
      <w:pPr>
        <w:spacing w:after="0" w:line="149"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 material adverse effect on (a) the business, Portfolio Investments and other assets, liabilities and financial condition of the Borrower or the Borrower and its Subsidiaries (other than Financing Subsidiaries) taken as a whole (excluding in any case a decline in the net asset value of the Borrower or a change in general market conditions or values of the Portfolio Investments), or (b) the validity or enforceability of any of the Loan Documents or the rights or remedies of the Administrative Agent and the Lenders thereunder.</w:t>
      </w:r>
    </w:p>
    <w:p>
      <w:pPr>
        <w:spacing w:after="0" w:line="128"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Indebtedness</w:t>
      </w:r>
      <w:r>
        <w:rPr>
          <w:rFonts w:ascii="Arial" w:cs="Arial" w:eastAsia="Arial" w:hAnsi="Arial"/>
          <w:sz w:val="15"/>
          <w:szCs w:val="15"/>
          <w:color w:val="auto"/>
        </w:rPr>
        <w:t>” means (a) Indebtedness (other than the Loans, Letters of Credit and Hedging Agreements), of any one or more of the Borrower and its Subsidiaries in an aggregate principal amount exceeding $25,000,000 and (b) obligations in respect of one or more Hedging Agreements under which the maximum aggregate amount (giving effect to any netting agreements) that the Borrower and its Subsidiaries would be required to pay if such Hedging Agreement(s) were terminated at such time would exceed $25,000,000.</w:t>
      </w:r>
    </w:p>
    <w:p>
      <w:pPr>
        <w:spacing w:after="0" w:line="128"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Minimum Collateral Amount</w:t>
      </w:r>
      <w:r>
        <w:rPr>
          <w:rFonts w:ascii="Arial" w:cs="Arial" w:eastAsia="Arial" w:hAnsi="Arial"/>
          <w:sz w:val="15"/>
          <w:szCs w:val="15"/>
          <w:color w:val="auto"/>
        </w:rPr>
        <w:t>” means, at any time, with respect to Cash Collateral consisting of Cash or deposit account balances, an amount equal to 100% of the Fronting Exposure of each Issuing Bank with respect to Letters of Credit issued and outstanding at such time.</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Moody’s</w:t>
      </w:r>
      <w:r>
        <w:rPr>
          <w:rFonts w:ascii="Arial" w:cs="Arial" w:eastAsia="Arial" w:hAnsi="Arial"/>
          <w:sz w:val="15"/>
          <w:szCs w:val="15"/>
          <w:color w:val="auto"/>
        </w:rPr>
        <w:t>” means Moody’s Investors Service, Inc. or any successor thereto.</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Multicurrency Commitment</w:t>
      </w:r>
      <w:r>
        <w:rPr>
          <w:rFonts w:ascii="Arial" w:cs="Arial" w:eastAsia="Arial" w:hAnsi="Arial"/>
          <w:sz w:val="14"/>
          <w:szCs w:val="14"/>
          <w:color w:val="auto"/>
        </w:rPr>
        <w:t xml:space="preserve">” means, with respect to each Multicurrency Lender during such Multicurrency Lender’s Availability Period, the commitment of such Multicurrency Lender to make Syndicated Loans, and to acquire participations in Letters of Credit and Swingline Loans, denominated in Dollars and in Agreed Foreign Currencies hereunder, during such Multicurrency Lender’s Availability Period, expressed as an amount representing the maximum aggregate amount of such Lender’s Revolving Multicurrency Credit Exposure hereunder, as such commitment may be (a) reduced from time to time pursuant to </w:t>
      </w:r>
      <w:r>
        <w:rPr>
          <w:rFonts w:ascii="Arial" w:cs="Arial" w:eastAsia="Arial" w:hAnsi="Arial"/>
          <w:sz w:val="14"/>
          <w:szCs w:val="14"/>
          <w:u w:val="single" w:color="auto"/>
          <w:color w:val="auto"/>
        </w:rPr>
        <w:t>Section 2.08</w:t>
      </w:r>
      <w:r>
        <w:rPr>
          <w:rFonts w:ascii="Arial" w:cs="Arial" w:eastAsia="Arial" w:hAnsi="Arial"/>
          <w:sz w:val="14"/>
          <w:szCs w:val="14"/>
          <w:color w:val="auto"/>
        </w:rPr>
        <w:t xml:space="preserve"> and (b) reduced or increased from time to time pursuant to assignments by or to such Lender pursuant to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The amount of each Lender’s Multicurrency Commitment as of the Twelfth Amendment Effective Date is set forth on </w:t>
      </w:r>
      <w:r>
        <w:rPr>
          <w:rFonts w:ascii="Arial" w:cs="Arial" w:eastAsia="Arial" w:hAnsi="Arial"/>
          <w:sz w:val="14"/>
          <w:szCs w:val="14"/>
          <w:u w:val="single" w:color="auto"/>
          <w:color w:val="auto"/>
        </w:rPr>
        <w:t>Schedule 1.01(b)</w:t>
      </w:r>
      <w:r>
        <w:rPr>
          <w:rFonts w:ascii="Arial" w:cs="Arial" w:eastAsia="Arial" w:hAnsi="Arial"/>
          <w:sz w:val="14"/>
          <w:szCs w:val="14"/>
          <w:color w:val="auto"/>
        </w:rPr>
        <w:t>, or in the Assignment and Assumption pursuant to which such Lender shall have assumed its Multicurrency commitment, as applicable.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215265</wp:posOffset>
            </wp:positionV>
            <wp:extent cx="721106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color w:val="auto"/>
        </w:rPr>
        <w:t>amount of the Lenders’ Multicurrency Commitments as of the Twelfth Amendment Effective Date is $1,075,000,000.</w:t>
      </w:r>
    </w:p>
    <w:p>
      <w:pPr>
        <w:spacing w:after="0" w:line="149" w:lineRule="exact"/>
        <w:rPr>
          <w:sz w:val="20"/>
          <w:szCs w:val="20"/>
          <w:color w:val="auto"/>
        </w:rPr>
      </w:pPr>
    </w:p>
    <w:p>
      <w:pPr>
        <w:jc w:val="both"/>
        <w:ind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Multicurrency LC Exposure</w:t>
      </w:r>
      <w:r>
        <w:rPr>
          <w:rFonts w:ascii="Arial" w:cs="Arial" w:eastAsia="Arial" w:hAnsi="Arial"/>
          <w:sz w:val="14"/>
          <w:szCs w:val="14"/>
          <w:color w:val="auto"/>
        </w:rPr>
        <w:t xml:space="preserve">” means, at any time, the sum of (a) the aggregate undrawn amount of all outstanding Multicurrency Letters of Credit at such time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(b) the aggregate amount of all LC Disbursements in respect of such Letters of Credit that have not yet been reimbursed by or on behalf of the Borrower at such time. The Multicurrency LC Exposure of any Lender at any time shall be its Applicable Multicurrency Percentage of the total Multicurrency LC Exposure at such time.</w:t>
      </w:r>
    </w:p>
    <w:p>
      <w:pPr>
        <w:spacing w:after="0" w:line="108"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Multicurrency Lender</w:t>
      </w:r>
      <w:r>
        <w:rPr>
          <w:rFonts w:ascii="Arial" w:cs="Arial" w:eastAsia="Arial" w:hAnsi="Arial"/>
          <w:sz w:val="15"/>
          <w:szCs w:val="15"/>
          <w:color w:val="auto"/>
        </w:rPr>
        <w:t xml:space="preserve">” means the Persons listed on </w:t>
      </w:r>
      <w:r>
        <w:rPr>
          <w:rFonts w:ascii="Arial" w:cs="Arial" w:eastAsia="Arial" w:hAnsi="Arial"/>
          <w:sz w:val="15"/>
          <w:szCs w:val="15"/>
          <w:u w:val="single" w:color="auto"/>
          <w:color w:val="auto"/>
        </w:rPr>
        <w:t>Schedule 1.01(b)</w:t>
      </w:r>
      <w:r>
        <w:rPr>
          <w:rFonts w:ascii="Arial" w:cs="Arial" w:eastAsia="Arial" w:hAnsi="Arial"/>
          <w:sz w:val="15"/>
          <w:szCs w:val="15"/>
          <w:color w:val="auto"/>
        </w:rPr>
        <w:t xml:space="preserve"> as having Multicurrency Commitments and any other Person that shall have become a party hereto pursuant to an Assignment and Assumption that provides for it to assume a Multicurrency Commitment or to acquire Revolving Multicurrency Credit Exposure, other than any such Person that ceases to be a party hereto pursuant to an Assignment and Assumption.</w:t>
      </w:r>
    </w:p>
    <w:p>
      <w:pPr>
        <w:spacing w:after="0" w:line="125" w:lineRule="exact"/>
        <w:rPr>
          <w:sz w:val="20"/>
          <w:szCs w:val="20"/>
          <w:color w:val="auto"/>
        </w:rPr>
      </w:pPr>
    </w:p>
    <w:p>
      <w:pPr>
        <w:ind w:left="1740" w:right="3320"/>
        <w:spacing w:after="0" w:line="44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Multicurrency Letters of Credit</w:t>
      </w:r>
      <w:r>
        <w:rPr>
          <w:rFonts w:ascii="Arial" w:cs="Arial" w:eastAsia="Arial" w:hAnsi="Arial"/>
          <w:sz w:val="15"/>
          <w:szCs w:val="15"/>
          <w:color w:val="auto"/>
        </w:rPr>
        <w:t>” means Letters of Credit that utilize the Multicurrency Commitments. “</w:t>
      </w:r>
      <w:r>
        <w:rPr>
          <w:rFonts w:ascii="Arial" w:cs="Arial" w:eastAsia="Arial" w:hAnsi="Arial"/>
          <w:sz w:val="15"/>
          <w:szCs w:val="15"/>
          <w:u w:val="single" w:color="auto"/>
          <w:color w:val="auto"/>
        </w:rPr>
        <w:t>Multicurrency Loan</w:t>
      </w:r>
      <w:r>
        <w:rPr>
          <w:rFonts w:ascii="Arial" w:cs="Arial" w:eastAsia="Arial" w:hAnsi="Arial"/>
          <w:sz w:val="15"/>
          <w:szCs w:val="15"/>
          <w:color w:val="auto"/>
        </w:rPr>
        <w:t>” means a Loan denominated in Dollars or an Agreed Foreign Currency. “</w:t>
      </w:r>
      <w:r>
        <w:rPr>
          <w:rFonts w:ascii="Arial" w:cs="Arial" w:eastAsia="Arial" w:hAnsi="Arial"/>
          <w:sz w:val="15"/>
          <w:szCs w:val="15"/>
          <w:u w:val="single" w:color="auto"/>
          <w:color w:val="auto"/>
        </w:rPr>
        <w:t>Multiemployer Plan</w:t>
      </w:r>
      <w:r>
        <w:rPr>
          <w:rFonts w:ascii="Arial" w:cs="Arial" w:eastAsia="Arial" w:hAnsi="Arial"/>
          <w:sz w:val="15"/>
          <w:szCs w:val="15"/>
          <w:color w:val="auto"/>
        </w:rPr>
        <w:t>” means a multiemployer plan as defined in Section 4001(a)(3) of ERISA. “</w:t>
      </w:r>
      <w:r>
        <w:rPr>
          <w:rFonts w:ascii="Arial" w:cs="Arial" w:eastAsia="Arial" w:hAnsi="Arial"/>
          <w:sz w:val="15"/>
          <w:szCs w:val="15"/>
          <w:u w:val="single" w:color="auto"/>
          <w:color w:val="auto"/>
        </w:rPr>
        <w:t>National Currency</w:t>
      </w:r>
      <w:r>
        <w:rPr>
          <w:rFonts w:ascii="Arial" w:cs="Arial" w:eastAsia="Arial" w:hAnsi="Arial"/>
          <w:sz w:val="15"/>
          <w:szCs w:val="15"/>
          <w:color w:val="auto"/>
        </w:rPr>
        <w:t>” means the currency, other than the Euro, of a Participating Member State. “</w:t>
      </w:r>
      <w:r>
        <w:rPr>
          <w:rFonts w:ascii="Arial" w:cs="Arial" w:eastAsia="Arial" w:hAnsi="Arial"/>
          <w:sz w:val="15"/>
          <w:szCs w:val="15"/>
          <w:u w:val="single" w:color="auto"/>
          <w:color w:val="auto"/>
        </w:rPr>
        <w:t>Net Cash Proceeds</w:t>
      </w:r>
      <w:r>
        <w:rPr>
          <w:rFonts w:ascii="Arial" w:cs="Arial" w:eastAsia="Arial" w:hAnsi="Arial"/>
          <w:sz w:val="15"/>
          <w:szCs w:val="15"/>
          <w:color w:val="auto"/>
        </w:rPr>
        <w:t>” means:</w:t>
      </w:r>
    </w:p>
    <w:p>
      <w:pPr>
        <w:spacing w:after="0" w:line="1" w:lineRule="exact"/>
        <w:rPr>
          <w:sz w:val="20"/>
          <w:szCs w:val="20"/>
          <w:color w:val="auto"/>
        </w:rPr>
      </w:pPr>
    </w:p>
    <w:p>
      <w:pPr>
        <w:jc w:val="both"/>
        <w:ind w:firstLine="1733"/>
        <w:spacing w:after="0" w:line="281" w:lineRule="auto"/>
        <w:tabs>
          <w:tab w:leader="none" w:pos="2359" w:val="left"/>
        </w:tabs>
        <w:numPr>
          <w:ilvl w:val="0"/>
          <w:numId w:val="74"/>
        </w:numPr>
        <w:rPr>
          <w:rFonts w:ascii="Arial" w:cs="Arial" w:eastAsia="Arial" w:hAnsi="Arial"/>
          <w:sz w:val="13"/>
          <w:szCs w:val="13"/>
          <w:color w:val="auto"/>
        </w:rPr>
      </w:pPr>
      <w:r>
        <w:rPr>
          <w:rFonts w:ascii="Arial" w:cs="Arial" w:eastAsia="Arial" w:hAnsi="Arial"/>
          <w:sz w:val="13"/>
          <w:szCs w:val="13"/>
          <w:color w:val="auto"/>
        </w:rPr>
        <w:t xml:space="preserve">with respect to any Disposition by the Borrower or any of its Subsidiaries (other than Financing Subsidiaries), or any Extraordinary Receipt received or paid to the account of the Borrower or any of its Subsidiaries (other than Financing Subsidiaries) (in each case, which requires a payment of the Loans under </w:t>
      </w:r>
      <w:r>
        <w:rPr>
          <w:rFonts w:ascii="Arial" w:cs="Arial" w:eastAsia="Arial" w:hAnsi="Arial"/>
          <w:sz w:val="13"/>
          <w:szCs w:val="13"/>
          <w:u w:val="single" w:color="auto"/>
          <w:color w:val="auto"/>
        </w:rPr>
        <w:t>Section 2.10(d)</w:t>
      </w:r>
      <w:r>
        <w:rPr>
          <w:rFonts w:ascii="Arial" w:cs="Arial" w:eastAsia="Arial" w:hAnsi="Arial"/>
          <w:sz w:val="13"/>
          <w:szCs w:val="13"/>
          <w:color w:val="auto"/>
        </w:rPr>
        <w:t xml:space="preserve">), an amount equal to (a) the sum of cash and Cash Equivalents received in connection with such transaction (including any cash or Cash Equivalents received by way of deferred payment pursuant to, or by monetization of, a note receivable or otherwise, but only as and when so received)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(b) the sum of (i) the principal amount of any Indebtedness that is secured by the applicable asset and that is required to be repaid in connection with such transaction (other than Indebtedness under the Loan Documents), (ii) the reasonable out-of-pocket fees, costs and expenses incurred by the Borrower or such Subsidiary in connection with such transaction, (iii) the taxes paid or reasonably estimated to be actually payable within two years of the date of the relevant transaction in connection with such transaction;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amount of any estimated taxes pursuant to </w:t>
      </w:r>
      <w:r>
        <w:rPr>
          <w:rFonts w:ascii="Arial" w:cs="Arial" w:eastAsia="Arial" w:hAnsi="Arial"/>
          <w:sz w:val="13"/>
          <w:szCs w:val="13"/>
          <w:u w:val="single" w:color="auto"/>
          <w:color w:val="auto"/>
        </w:rPr>
        <w:t>clause (iii)</w:t>
      </w:r>
      <w:r>
        <w:rPr>
          <w:rFonts w:ascii="Arial" w:cs="Arial" w:eastAsia="Arial" w:hAnsi="Arial"/>
          <w:sz w:val="13"/>
          <w:szCs w:val="13"/>
          <w:color w:val="auto"/>
        </w:rPr>
        <w:t xml:space="preserve"> exceeds the amount of taxes actually required to be paid in cash in respect of such Disposition, the aggregate amount of such excess shall constitute Net Cash Proceeds (as of the date the Borrower determines such excess exists) and (iv) any reasonable costs, fees, commissions, premiums and expenses incurred by the Borrower or any of its Subsidiaries in connection with such Disposition;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208915</wp:posOffset>
            </wp:positionV>
            <wp:extent cx="721106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2" w:name="page143"/>
    <w:bookmarkEnd w:id="142"/>
    <w:p>
      <w:pPr>
        <w:jc w:val="both"/>
        <w:ind w:left="4" w:firstLine="1733"/>
        <w:spacing w:after="0" w:line="277" w:lineRule="auto"/>
        <w:tabs>
          <w:tab w:leader="none" w:pos="2372" w:val="left"/>
        </w:tabs>
        <w:numPr>
          <w:ilvl w:val="1"/>
          <w:numId w:val="75"/>
        </w:numPr>
        <w:rPr>
          <w:rFonts w:ascii="Arial" w:cs="Arial" w:eastAsia="Arial" w:hAnsi="Arial"/>
          <w:sz w:val="13"/>
          <w:szCs w:val="13"/>
          <w:color w:val="auto"/>
        </w:rPr>
      </w:pPr>
      <w:r>
        <w:rPr>
          <w:rFonts w:ascii="Arial" w:cs="Arial" w:eastAsia="Arial" w:hAnsi="Arial"/>
          <w:sz w:val="13"/>
          <w:szCs w:val="13"/>
          <w:color w:val="auto"/>
        </w:rPr>
        <w:t xml:space="preserve">with respect to the sale or issuance of any Equity Interest by the Borrower or any of its Subsidiaries (other than any Financing Subsidiary) (including, for the avoidance of doubt, cash received by the Borrower or any of its Subsidiaries (other than any Financing Subsidiaries) for the sale by the Borrower or such Subsidiary of any Equity Interest of a Financing Subsidiary but specifically excluding any sale of any Equity Interest by a Financing Subsidiary or cash received by a Financing Subsidiary in connection with the sale of any Equity Interest), or the incurrence or issuance of any Indebtedness by the Borrower or any of its Subsidiaries (other than Financing Subsidiaries) (in each case, which requires a payment of the Loans under </w:t>
      </w:r>
      <w:r>
        <w:rPr>
          <w:rFonts w:ascii="Arial" w:cs="Arial" w:eastAsia="Arial" w:hAnsi="Arial"/>
          <w:sz w:val="13"/>
          <w:szCs w:val="13"/>
          <w:u w:val="single" w:color="auto"/>
          <w:color w:val="auto"/>
        </w:rPr>
        <w:t>Section 2.10(d)</w:t>
      </w:r>
      <w:r>
        <w:rPr>
          <w:rFonts w:ascii="Arial" w:cs="Arial" w:eastAsia="Arial" w:hAnsi="Arial"/>
          <w:sz w:val="13"/>
          <w:szCs w:val="13"/>
          <w:color w:val="auto"/>
        </w:rPr>
        <w:t xml:space="preserve">), an amount equal to (i) the sum of the cash and Cash Equivalents received in connection with such transaction </w:t>
      </w:r>
      <w:r>
        <w:rPr>
          <w:rFonts w:ascii="Arial" w:cs="Arial" w:eastAsia="Arial" w:hAnsi="Arial"/>
          <w:sz w:val="13"/>
          <w:szCs w:val="13"/>
          <w:u w:val="single" w:color="auto"/>
          <w:color w:val="auto"/>
        </w:rPr>
        <w:t>minus</w:t>
      </w:r>
    </w:p>
    <w:p>
      <w:pPr>
        <w:ind w:left="4" w:hanging="4"/>
        <w:spacing w:after="0" w:line="280" w:lineRule="auto"/>
        <w:tabs>
          <w:tab w:leader="none" w:pos="258"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the sum of (1) reasonable out-of-pocket fees, costs and expenses, incurred by the Borrower or such Subsidiary in connection therewith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(2) any reasonable costs, fees, commissions, premiums, expenses, or underwriting discounts or commissions incurred by the Borrower or any of its Subsidiaries in connection with such sale or issuance.</w:t>
      </w:r>
    </w:p>
    <w:p>
      <w:pPr>
        <w:spacing w:after="0" w:line="104"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New Zealand Dollars</w:t>
      </w:r>
      <w:r>
        <w:rPr>
          <w:rFonts w:ascii="Arial" w:cs="Arial" w:eastAsia="Arial" w:hAnsi="Arial"/>
          <w:sz w:val="15"/>
          <w:szCs w:val="15"/>
          <w:color w:val="auto"/>
        </w:rPr>
        <w:t>” means the lawful currency of New Zealand.</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Ninth Amendment Effective Date</w:t>
      </w:r>
      <w:r>
        <w:rPr>
          <w:rFonts w:ascii="Arial" w:cs="Arial" w:eastAsia="Arial" w:hAnsi="Arial"/>
          <w:sz w:val="15"/>
          <w:szCs w:val="15"/>
          <w:color w:val="auto"/>
        </w:rPr>
        <w:t>” means January 31, 2020.</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Non-Defaulting Lender</w:t>
      </w:r>
      <w:r>
        <w:rPr>
          <w:rFonts w:ascii="Arial" w:cs="Arial" w:eastAsia="Arial" w:hAnsi="Arial"/>
          <w:sz w:val="15"/>
          <w:szCs w:val="15"/>
          <w:color w:val="auto"/>
        </w:rPr>
        <w:t>” means, at any time, a Lender that is not a Defaulting Lender at such time.</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Non-Extended Applicable Margin</w:t>
      </w:r>
      <w:r>
        <w:rPr>
          <w:rFonts w:ascii="Arial" w:cs="Arial" w:eastAsia="Arial" w:hAnsi="Arial"/>
          <w:sz w:val="15"/>
          <w:szCs w:val="15"/>
          <w:color w:val="auto"/>
        </w:rPr>
        <w:t>” means:</w:t>
      </w:r>
    </w:p>
    <w:p>
      <w:pPr>
        <w:spacing w:after="0" w:line="149" w:lineRule="exact"/>
        <w:rPr>
          <w:sz w:val="20"/>
          <w:szCs w:val="20"/>
          <w:color w:val="auto"/>
        </w:rPr>
      </w:pPr>
    </w:p>
    <w:p>
      <w:pPr>
        <w:jc w:val="both"/>
        <w:ind w:left="4" w:firstLine="1733"/>
        <w:spacing w:after="0" w:line="262" w:lineRule="auto"/>
        <w:tabs>
          <w:tab w:leader="none" w:pos="1953" w:val="left"/>
        </w:tabs>
        <w:numPr>
          <w:ilvl w:val="1"/>
          <w:numId w:val="77"/>
        </w:numPr>
        <w:rPr>
          <w:rFonts w:ascii="Arial" w:cs="Arial" w:eastAsia="Arial" w:hAnsi="Arial"/>
          <w:sz w:val="14"/>
          <w:szCs w:val="14"/>
          <w:color w:val="auto"/>
        </w:rPr>
      </w:pPr>
      <w:r>
        <w:rPr>
          <w:rFonts w:ascii="Arial" w:cs="Arial" w:eastAsia="Arial" w:hAnsi="Arial"/>
          <w:sz w:val="14"/>
          <w:szCs w:val="14"/>
          <w:color w:val="auto"/>
        </w:rPr>
        <w:t>with respect to each Non-Extending Lender to which the Non-Extended Final Maturity Date of January 31, 2025 is applicable, (i) if the Borrowing Base (as of the most recently delivered Borrowing Base Certificate) is equal to or greater than 1.85 times the Combined Debt Amount, (A) with respect to any ABR Loan, 0.75% per annum;</w:t>
      </w:r>
    </w:p>
    <w:p>
      <w:pPr>
        <w:jc w:val="both"/>
        <w:ind w:left="4" w:right="20" w:hanging="4"/>
        <w:spacing w:after="0" w:line="266" w:lineRule="auto"/>
        <w:tabs>
          <w:tab w:leader="none" w:pos="254" w:val="left"/>
        </w:tabs>
        <w:numPr>
          <w:ilvl w:val="0"/>
          <w:numId w:val="78"/>
        </w:numPr>
        <w:rPr>
          <w:rFonts w:ascii="Arial" w:cs="Arial" w:eastAsia="Arial" w:hAnsi="Arial"/>
          <w:sz w:val="14"/>
          <w:szCs w:val="14"/>
          <w:color w:val="auto"/>
        </w:rPr>
      </w:pPr>
      <w:r>
        <w:rPr>
          <w:rFonts w:ascii="Arial" w:cs="Arial" w:eastAsia="Arial" w:hAnsi="Arial"/>
          <w:sz w:val="14"/>
          <w:szCs w:val="14"/>
          <w:color w:val="auto"/>
        </w:rPr>
        <w:t>with respect to any Eurocurrency Loan, 1.75% per annum; and (C) with respect to any RFR Loan, 1.75% per annum plus the Applicable Credit Adjustment Spread; and (ii) if the Borrowing Base (as of the most recently delivered Borrowing Base Certificate) is less than 1.85 times the Combined Debt Amount (A) with respect to any ABR Loan, 0.875% per annum; (B) with respect to any Eurocurrency Loan, 1.875% per annum; and (C) with respect to any RFR Loan, 1.875% per annum plus the Applicable Credit Adjustment Spread; and</w:t>
      </w:r>
    </w:p>
    <w:p>
      <w:pPr>
        <w:spacing w:after="0" w:line="114" w:lineRule="exact"/>
        <w:rPr>
          <w:rFonts w:ascii="Arial" w:cs="Arial" w:eastAsia="Arial" w:hAnsi="Arial"/>
          <w:sz w:val="14"/>
          <w:szCs w:val="14"/>
          <w:color w:val="auto"/>
        </w:rPr>
      </w:pPr>
    </w:p>
    <w:p>
      <w:pPr>
        <w:jc w:val="both"/>
        <w:ind w:left="4" w:right="20" w:firstLine="1733"/>
        <w:spacing w:after="0" w:line="262" w:lineRule="auto"/>
        <w:tabs>
          <w:tab w:leader="none" w:pos="1961" w:val="left"/>
        </w:tabs>
        <w:numPr>
          <w:ilvl w:val="1"/>
          <w:numId w:val="78"/>
        </w:numPr>
        <w:rPr>
          <w:rFonts w:ascii="Arial" w:cs="Arial" w:eastAsia="Arial" w:hAnsi="Arial"/>
          <w:sz w:val="14"/>
          <w:szCs w:val="14"/>
          <w:color w:val="auto"/>
        </w:rPr>
      </w:pPr>
      <w:r>
        <w:rPr>
          <w:rFonts w:ascii="Arial" w:cs="Arial" w:eastAsia="Arial" w:hAnsi="Arial"/>
          <w:sz w:val="14"/>
          <w:szCs w:val="14"/>
          <w:color w:val="auto"/>
        </w:rPr>
        <w:t>with respect to each Non-Extending Lender to which the Non-Extended Final Maturity Date of February 4, 2026 is applicable, (i) if the Borrowing Base (as of the most recently delivered Borrowing Base Certificate) is equal to or greater than 1.85 times the Combined Debt Amount, (A) with respect to any ABR Loan, 0.75% per annum;</w:t>
      </w:r>
    </w:p>
    <w:p>
      <w:pPr>
        <w:jc w:val="both"/>
        <w:ind w:left="4" w:right="20" w:hanging="4"/>
        <w:spacing w:after="0" w:line="266" w:lineRule="auto"/>
        <w:tabs>
          <w:tab w:leader="none" w:pos="254" w:val="left"/>
        </w:tabs>
        <w:numPr>
          <w:ilvl w:val="0"/>
          <w:numId w:val="79"/>
        </w:numPr>
        <w:rPr>
          <w:rFonts w:ascii="Arial" w:cs="Arial" w:eastAsia="Arial" w:hAnsi="Arial"/>
          <w:sz w:val="14"/>
          <w:szCs w:val="14"/>
          <w:color w:val="auto"/>
        </w:rPr>
      </w:pPr>
      <w:r>
        <w:rPr>
          <w:rFonts w:ascii="Arial" w:cs="Arial" w:eastAsia="Arial" w:hAnsi="Arial"/>
          <w:sz w:val="14"/>
          <w:szCs w:val="14"/>
          <w:color w:val="auto"/>
        </w:rPr>
        <w:t>with respect to any Eurocurrency Loan, 1.75% per annum; and (C) with respect to any RFR Loan, 1.75% per annum plus the Applicable Credit Adjustment Spread; and (ii) if the Borrowing Base (as of the most recently delivered Borrowing Base Certificate) is less than 1.85 times the Combined Debt Amount (A) with respect to any ABR Loan, 0.875% per annum; (B) with respect to any Eurocurrency Loan, 1.875% per annum; and (C) with respect to any RFR Loan, 1.875% per annum plus the Applicable Credit Adjustment Spread.</w:t>
      </w:r>
    </w:p>
    <w:p>
      <w:pPr>
        <w:spacing w:after="0" w:line="114" w:lineRule="exact"/>
        <w:rPr>
          <w:sz w:val="20"/>
          <w:szCs w:val="20"/>
          <w:color w:val="auto"/>
        </w:rPr>
      </w:pPr>
    </w:p>
    <w:p>
      <w:pPr>
        <w:ind w:left="1744"/>
        <w:spacing w:after="0"/>
        <w:rPr>
          <w:sz w:val="20"/>
          <w:szCs w:val="20"/>
          <w:color w:val="auto"/>
        </w:rPr>
      </w:pPr>
      <w:r>
        <w:rPr>
          <w:rFonts w:ascii="Arial" w:cs="Arial" w:eastAsia="Arial" w:hAnsi="Arial"/>
          <w:sz w:val="14"/>
          <w:szCs w:val="14"/>
          <w:color w:val="auto"/>
        </w:rPr>
        <w:t>Any change in the Non-Extended Applicable Margin due to a change in the ratio of the Borrowing Base to the Combined Debt Amount as set forth in any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5"/>
          <w:szCs w:val="15"/>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227330</wp:posOffset>
            </wp:positionV>
            <wp:extent cx="721106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43" w:name="page144"/>
    <w:bookmarkEnd w:id="143"/>
    <w:p>
      <w:pPr>
        <w:jc w:val="both"/>
        <w:spacing w:after="0" w:line="245" w:lineRule="auto"/>
        <w:rPr>
          <w:sz w:val="20"/>
          <w:szCs w:val="20"/>
          <w:color w:val="auto"/>
        </w:rPr>
      </w:pPr>
      <w:r>
        <w:rPr>
          <w:rFonts w:ascii="Arial" w:cs="Arial" w:eastAsia="Arial" w:hAnsi="Arial"/>
          <w:sz w:val="15"/>
          <w:szCs w:val="15"/>
          <w:color w:val="auto"/>
        </w:rPr>
        <w:t xml:space="preserve">shall be effective from and including the day immediately succeeding the date of delivery of such Borrowing Base Certificate; provided that if any Borrowing Base Certificate has not been delivered in accordance with </w:t>
      </w:r>
      <w:r>
        <w:rPr>
          <w:rFonts w:ascii="Arial" w:cs="Arial" w:eastAsia="Arial" w:hAnsi="Arial"/>
          <w:sz w:val="15"/>
          <w:szCs w:val="15"/>
          <w:u w:val="single" w:color="auto"/>
          <w:color w:val="auto"/>
        </w:rPr>
        <w:t>Section 5.01(d)</w:t>
      </w:r>
      <w:r>
        <w:rPr>
          <w:rFonts w:ascii="Arial" w:cs="Arial" w:eastAsia="Arial" w:hAnsi="Arial"/>
          <w:sz w:val="15"/>
          <w:szCs w:val="15"/>
          <w:color w:val="auto"/>
        </w:rPr>
        <w:t>, then from and including the day immediately succeeding the date on which such Borrowing Base Certificate was required to be delivered, the Non-Extended Applicable Margin shall be the Non-Extended Applicable Margin set forth in clause (a)(ii) or clause (b)(ii) above, as applicable, to and including the date on which the required Borrowing Base Certificate is delivered.</w:t>
      </w:r>
    </w:p>
    <w:p>
      <w:pPr>
        <w:spacing w:after="0" w:line="128"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Non-Extended Availability Period</w:t>
      </w:r>
      <w:r>
        <w:rPr>
          <w:rFonts w:ascii="Arial" w:cs="Arial" w:eastAsia="Arial" w:hAnsi="Arial"/>
          <w:sz w:val="15"/>
          <w:szCs w:val="15"/>
          <w:color w:val="auto"/>
        </w:rPr>
        <w:t>” means, with respect to any Non-Extending Lender, the period from and including the Effective Date to but excluding the earlier of the Non-Extended Commitment Termination Date for such Non-Extending Lender and the date of termination of the Commitments.</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Non-Extended Commitment Termination Date</w:t>
      </w:r>
      <w:r>
        <w:rPr>
          <w:rFonts w:ascii="Arial" w:cs="Arial" w:eastAsia="Arial" w:hAnsi="Arial"/>
          <w:sz w:val="15"/>
          <w:szCs w:val="15"/>
          <w:color w:val="auto"/>
        </w:rPr>
        <w:t xml:space="preserve">” means, with respect to each Non-Extending Lender, the “Non-Extended Commitment Termination Date” set forth next to such Non-Extending Lender’s name on </w:t>
      </w:r>
      <w:r>
        <w:rPr>
          <w:rFonts w:ascii="Arial" w:cs="Arial" w:eastAsia="Arial" w:hAnsi="Arial"/>
          <w:sz w:val="15"/>
          <w:szCs w:val="15"/>
          <w:u w:val="single" w:color="auto"/>
          <w:color w:val="auto"/>
        </w:rPr>
        <w:t>Schedule 1.01(b)</w:t>
      </w:r>
      <w:r>
        <w:rPr>
          <w:rFonts w:ascii="Arial" w:cs="Arial" w:eastAsia="Arial" w:hAnsi="Arial"/>
          <w:sz w:val="15"/>
          <w:szCs w:val="15"/>
          <w:color w:val="auto"/>
        </w:rPr>
        <w:t>.</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Non-Extended Final Maturity Date</w:t>
      </w:r>
      <w:r>
        <w:rPr>
          <w:rFonts w:ascii="Arial" w:cs="Arial" w:eastAsia="Arial" w:hAnsi="Arial"/>
          <w:sz w:val="15"/>
          <w:szCs w:val="15"/>
          <w:color w:val="auto"/>
        </w:rPr>
        <w:t xml:space="preserve">” means, with respect to each Non-Extending Lender, the “Non-Extended Final Maturity Date” set forth next to such Non-Extending Lender’s name on </w:t>
      </w:r>
      <w:r>
        <w:rPr>
          <w:rFonts w:ascii="Arial" w:cs="Arial" w:eastAsia="Arial" w:hAnsi="Arial"/>
          <w:sz w:val="15"/>
          <w:szCs w:val="15"/>
          <w:u w:val="single" w:color="auto"/>
          <w:color w:val="auto"/>
        </w:rPr>
        <w:t>Schedule 1.01(b)</w:t>
      </w:r>
      <w:r>
        <w:rPr>
          <w:rFonts w:ascii="Arial" w:cs="Arial" w:eastAsia="Arial" w:hAnsi="Arial"/>
          <w:sz w:val="15"/>
          <w:szCs w:val="15"/>
          <w:color w:val="auto"/>
        </w:rPr>
        <w:t>.</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Non-Extended Loans</w:t>
      </w:r>
      <w:r>
        <w:rPr>
          <w:rFonts w:ascii="Arial" w:cs="Arial" w:eastAsia="Arial" w:hAnsi="Arial"/>
          <w:sz w:val="14"/>
          <w:szCs w:val="14"/>
          <w:color w:val="auto"/>
        </w:rPr>
        <w:t>” means Loans or Borrowings of any Non-Extending Lender maturing on the Non-Extended Final Maturity Date for such Non-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Extending Lender.</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Non-Extending Lender</w:t>
      </w:r>
      <w:r>
        <w:rPr>
          <w:rFonts w:ascii="Arial" w:cs="Arial" w:eastAsia="Arial" w:hAnsi="Arial"/>
          <w:sz w:val="15"/>
          <w:szCs w:val="15"/>
          <w:color w:val="auto"/>
        </w:rPr>
        <w:t xml:space="preserve">” means each Lender designated as a “Non-Extending Lender” on </w:t>
      </w:r>
      <w:r>
        <w:rPr>
          <w:rFonts w:ascii="Arial" w:cs="Arial" w:eastAsia="Arial" w:hAnsi="Arial"/>
          <w:sz w:val="15"/>
          <w:szCs w:val="15"/>
          <w:u w:val="single" w:color="auto"/>
          <w:color w:val="auto"/>
        </w:rPr>
        <w:t>Schedule 1.01(b)</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Non-Public Information</w:t>
      </w:r>
      <w:r>
        <w:rPr>
          <w:rFonts w:ascii="Arial" w:cs="Arial" w:eastAsia="Arial" w:hAnsi="Arial"/>
          <w:sz w:val="15"/>
          <w:szCs w:val="15"/>
          <w:color w:val="auto"/>
        </w:rPr>
        <w:t>” means material non-public information (within the meaning of United States federal, state or other applicable securities laws) with respect to Borrower or its Affiliates or their Securities.</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Obligor</w:t>
      </w:r>
      <w:r>
        <w:rPr>
          <w:rFonts w:ascii="Arial" w:cs="Arial" w:eastAsia="Arial" w:hAnsi="Arial"/>
          <w:sz w:val="15"/>
          <w:szCs w:val="15"/>
          <w:color w:val="auto"/>
        </w:rPr>
        <w:t>” means, collectively, the Borrower and the Subsidiary Guarantors.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Currency</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2.17</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Original Effective Date</w:t>
      </w:r>
      <w:r>
        <w:rPr>
          <w:rFonts w:ascii="Arial" w:cs="Arial" w:eastAsia="Arial" w:hAnsi="Arial"/>
          <w:sz w:val="15"/>
          <w:szCs w:val="15"/>
          <w:color w:val="auto"/>
        </w:rPr>
        <w:t>” means July 3, 2013.</w:t>
      </w:r>
    </w:p>
    <w:p>
      <w:pPr>
        <w:spacing w:after="0" w:line="149"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Benchmark Rate Election</w:t>
      </w:r>
      <w:r>
        <w:rPr>
          <w:rFonts w:ascii="Arial" w:cs="Arial" w:eastAsia="Arial" w:hAnsi="Arial"/>
          <w:sz w:val="14"/>
          <w:szCs w:val="14"/>
          <w:color w:val="auto"/>
        </w:rPr>
        <w:t>” means, with respect to any Loan denominated in Dollars, if a Benchmark Replacement for the Term SOFR Reference Rate has been determined in accordance with clause (1) of the definition of “Benchmark Replacement”, that the Administrative Agent, in its sole discretion, and the Borrower have jointly elected to trigger a fallback from the then-current Benchmark and the Administrative Agent has provided written notice of such election to the Borrower and the Lenders.</w:t>
      </w:r>
    </w:p>
    <w:p>
      <w:pPr>
        <w:spacing w:after="0" w:line="108" w:lineRule="exact"/>
        <w:rPr>
          <w:sz w:val="20"/>
          <w:szCs w:val="20"/>
          <w:color w:val="auto"/>
        </w:rPr>
      </w:pPr>
    </w:p>
    <w:p>
      <w:pPr>
        <w:jc w:val="both"/>
        <w:ind w:right="20" w:firstLine="1737"/>
        <w:spacing w:after="0" w:line="29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Covered Indebtedness</w:t>
      </w:r>
      <w:r>
        <w:rPr>
          <w:rFonts w:ascii="Arial" w:cs="Arial" w:eastAsia="Arial" w:hAnsi="Arial"/>
          <w:sz w:val="14"/>
          <w:szCs w:val="14"/>
          <w:color w:val="auto"/>
        </w:rPr>
        <w:t xml:space="preserve">” means, collectively, Secured Longer-Term Indebtedness, Secured Shorter-Term Indebtedness and Unsecured Shorter-Term Indebtedness; provided that “Other Covered Indebtedness” shall not include any Indebtedness secured by a Lien on Portfolio Investments permitted under </w:t>
      </w:r>
      <w:r>
        <w:rPr>
          <w:rFonts w:ascii="Arial" w:cs="Arial" w:eastAsia="Arial" w:hAnsi="Arial"/>
          <w:sz w:val="14"/>
          <w:szCs w:val="14"/>
          <w:u w:val="single" w:color="auto"/>
          <w:color w:val="auto"/>
        </w:rPr>
        <w:t>Section 6.02(e)</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198755</wp:posOffset>
            </wp:positionV>
            <wp:extent cx="721106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4" w:name="page145"/>
    <w:bookmarkEnd w:id="144"/>
    <w:p>
      <w:pPr>
        <w:jc w:val="both"/>
        <w:ind w:firstLine="1737"/>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Permitted Indebtedness</w:t>
      </w:r>
      <w:r>
        <w:rPr>
          <w:rFonts w:ascii="Arial" w:cs="Arial" w:eastAsia="Arial" w:hAnsi="Arial"/>
          <w:sz w:val="15"/>
          <w:szCs w:val="15"/>
          <w:color w:val="auto"/>
        </w:rPr>
        <w:t xml:space="preserve">” means (a) accrued expenses and current trade accounts payable incurred in the ordinary course of the Borrower’s business which are not overdue for a period of more than 90 days or which are being contested in good faith by appropriate proceedings, (b) Indebtedness (other than Indebtedness for borrowed money) arising in connection with transactions in the ordinary course of the Borrower’s business in connection with its securities transactions, derivatives transactions, reverse repurchase agreements or dollar rolls to the extent such transactions are permitted under the Investment Company Act and the Borrower’s Investment Policies (after giving effect to any Permitted Policy Amendments), provided that such Indebtedness does not arise in connection with the purchase of Portfolio Investments other than Cash Equivalents and U.S. Government Securities and (c) Indebtedness in respect of judgments or awards that have been in force for less than the applicable period for taking an appeal so long as such judgments or awards do not constitute an Event of Default under </w:t>
      </w:r>
      <w:r>
        <w:rPr>
          <w:rFonts w:ascii="Arial" w:cs="Arial" w:eastAsia="Arial" w:hAnsi="Arial"/>
          <w:sz w:val="15"/>
          <w:szCs w:val="15"/>
          <w:u w:val="single" w:color="auto"/>
          <w:color w:val="auto"/>
        </w:rPr>
        <w:t>clause (l)</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Article VII</w:t>
      </w:r>
      <w:r>
        <w:rPr>
          <w:rFonts w:ascii="Arial" w:cs="Arial" w:eastAsia="Arial" w:hAnsi="Arial"/>
          <w:sz w:val="15"/>
          <w:szCs w:val="15"/>
          <w:color w:val="auto"/>
        </w:rPr>
        <w:t>.</w:t>
      </w:r>
    </w:p>
    <w:p>
      <w:pPr>
        <w:spacing w:after="0" w:line="130" w:lineRule="exact"/>
        <w:rPr>
          <w:sz w:val="20"/>
          <w:szCs w:val="20"/>
          <w:color w:val="auto"/>
        </w:rPr>
      </w:pPr>
    </w:p>
    <w:p>
      <w:pPr>
        <w:jc w:val="both"/>
        <w:ind w:firstLine="1737"/>
        <w:spacing w:after="0" w:line="26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Taxes</w:t>
      </w:r>
      <w:r>
        <w:rPr>
          <w:rFonts w:ascii="Arial" w:cs="Arial" w:eastAsia="Arial" w:hAnsi="Arial"/>
          <w:sz w:val="14"/>
          <w:szCs w:val="14"/>
          <w:color w:val="auto"/>
        </w:rPr>
        <w:t xml:space="preserve">” means any and all present or future stamp or documentary taxes or any other excise or property taxes, charges or similar levies arising from any payment made under any Loan Document or from the execution, delivery or enforcement of, or otherwise with respect to, any Loan Document, excluding (i) any such taxes, charges or similar levies resulting from an assignment by any Lender in accordance with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hereof (unless such assignment is made pursuant to </w:t>
      </w:r>
      <w:r>
        <w:rPr>
          <w:rFonts w:ascii="Arial" w:cs="Arial" w:eastAsia="Arial" w:hAnsi="Arial"/>
          <w:sz w:val="14"/>
          <w:szCs w:val="14"/>
          <w:u w:val="single" w:color="auto"/>
          <w:color w:val="auto"/>
        </w:rPr>
        <w:t>Section 2.18(b)</w:t>
      </w:r>
      <w:r>
        <w:rPr>
          <w:rFonts w:ascii="Arial" w:cs="Arial" w:eastAsia="Arial" w:hAnsi="Arial"/>
          <w:sz w:val="14"/>
          <w:szCs w:val="14"/>
          <w:color w:val="auto"/>
        </w:rPr>
        <w:t>) or (ii) any Taxes imposed by any jurisdiction by reason of the recipient of any payment on or account of this Agreement having any present or former connection with such jurisdiction (other than a connection arising solely from entering into, receiving any payment under or enforcing its rights under this Agreement or any other Loan Document).</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9.04(f)</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 Register</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9.04(f)</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Participating Member State</w:t>
      </w:r>
      <w:r>
        <w:rPr>
          <w:rFonts w:ascii="Arial" w:cs="Arial" w:eastAsia="Arial" w:hAnsi="Arial"/>
          <w:sz w:val="15"/>
          <w:szCs w:val="15"/>
          <w:color w:val="auto"/>
        </w:rPr>
        <w:t>” means any member state of the European Community that adopts or has adopted the Euro as its lawful currency in accordance with the legislation of the European Union relating to the European Monetary Union.</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PBGC</w:t>
      </w:r>
      <w:r>
        <w:rPr>
          <w:rFonts w:ascii="Arial" w:cs="Arial" w:eastAsia="Arial" w:hAnsi="Arial"/>
          <w:sz w:val="14"/>
          <w:szCs w:val="14"/>
          <w:color w:val="auto"/>
        </w:rPr>
        <w:t>” means the Pension Benefit Guaranty Corporation referred to and defined in ERISA and any successor entity performing similar functions.</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Periodic Term SOFR Determination Day</w:t>
      </w:r>
      <w:r>
        <w:rPr>
          <w:rFonts w:ascii="Arial" w:cs="Arial" w:eastAsia="Arial" w:hAnsi="Arial"/>
          <w:sz w:val="15"/>
          <w:szCs w:val="15"/>
          <w:color w:val="auto"/>
        </w:rPr>
        <w:t>” has the meaning set forth in the definition of “Term SOFR”.</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Equity Interests</w:t>
      </w:r>
      <w:r>
        <w:rPr>
          <w:rFonts w:ascii="Arial" w:cs="Arial" w:eastAsia="Arial" w:hAnsi="Arial"/>
          <w:sz w:val="15"/>
          <w:szCs w:val="15"/>
          <w:color w:val="auto"/>
        </w:rPr>
        <w:t>” means common stock of the Borrower that after its issuance is not subject to any agreement between the holder of such common stock and the Borrower where the Borrower is required to purchase, redeem, retire, acquire, cancel or terminate any such common stock.</w:t>
      </w:r>
    </w:p>
    <w:p>
      <w:pPr>
        <w:spacing w:after="0" w:line="115"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means (a) Liens imposed by any Governmental Authority for taxes, assessments or charges not yet due or that are being contested in good faith and by appropriate proceedings if adequate reserves with respect thereto are maintained on the books of the Borrower in accordance with GAAP; (b) Liens of clearing agencies, broker-dealers and similar Liens incurred in the ordinary course of business, provided that such Liens (i) attach only to the securities (or proceeds) being purchased or sold and (ii) secure only obligations incurred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221615</wp:posOffset>
            </wp:positionV>
            <wp:extent cx="721106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5" w:name="page146"/>
    <w:bookmarkEnd w:id="145"/>
    <w:p>
      <w:pPr>
        <w:jc w:val="both"/>
        <w:ind w:left="4" w:right="20"/>
        <w:spacing w:after="0" w:line="279" w:lineRule="auto"/>
        <w:rPr>
          <w:sz w:val="20"/>
          <w:szCs w:val="20"/>
          <w:color w:val="auto"/>
        </w:rPr>
      </w:pPr>
      <w:r>
        <w:rPr>
          <w:rFonts w:ascii="Arial" w:cs="Arial" w:eastAsia="Arial" w:hAnsi="Arial"/>
          <w:sz w:val="13"/>
          <w:szCs w:val="13"/>
          <w:color w:val="auto"/>
        </w:rPr>
        <w:t>connection with such purchase or sale, and not any obligation in connection with margin financing; (c) Liens imposed by law, such as materialmen’s, mechanics’, carriers’, workmens’, storage and repairmen’s Liens and other similar Liens arising in the ordinary course of business and securing obligations (other than Indebtedness for borrowed money) not yet due or that are being contested in good faith and by appropriate proceedings if adequate reserves with respect thereto are maintained on the books of the Borrower in accordance with GAAP;</w:t>
      </w:r>
    </w:p>
    <w:p>
      <w:pPr>
        <w:spacing w:after="0" w:line="1" w:lineRule="exact"/>
        <w:rPr>
          <w:sz w:val="20"/>
          <w:szCs w:val="20"/>
          <w:color w:val="auto"/>
        </w:rPr>
      </w:pPr>
    </w:p>
    <w:p>
      <w:pPr>
        <w:jc w:val="both"/>
        <w:ind w:left="4" w:hanging="4"/>
        <w:spacing w:after="0" w:line="255" w:lineRule="auto"/>
        <w:tabs>
          <w:tab w:leader="none" w:pos="231" w:val="left"/>
        </w:tabs>
        <w:numPr>
          <w:ilvl w:val="0"/>
          <w:numId w:val="80"/>
        </w:numPr>
        <w:rPr>
          <w:rFonts w:ascii="Arial" w:cs="Arial" w:eastAsia="Arial" w:hAnsi="Arial"/>
          <w:sz w:val="14"/>
          <w:szCs w:val="14"/>
          <w:color w:val="auto"/>
        </w:rPr>
      </w:pPr>
      <w:r>
        <w:rPr>
          <w:rFonts w:ascii="Arial" w:cs="Arial" w:eastAsia="Arial" w:hAnsi="Arial"/>
          <w:sz w:val="14"/>
          <w:szCs w:val="14"/>
          <w:color w:val="auto"/>
        </w:rPr>
        <w:t xml:space="preserve">Liens incurred or pledges or deposits made to secure obligations incurred in the ordinary course of business under workers’ compensation laws, unemployment insurance or other similar social security legislation (other than in respect of employee benefit plans subject to ERISA) or to secure public or statutory obligations; (e) Liens securing the performance of, or payment in respect of, bids, insurance premiums, deductibles or co-insured amounts, tenders, government or utility contracts (other than for the repayment of borrowed money), surety, stay, customs and appeal bonds and other obligations of a similar nature incurred in the ordinary course of business; (f) Liens arising out of judgments or awards that have been in force for less than the applicable period for taking an appeal so long as such judgments or awards do not constitute an Event of Default under </w:t>
      </w:r>
      <w:r>
        <w:rPr>
          <w:rFonts w:ascii="Arial" w:cs="Arial" w:eastAsia="Arial" w:hAnsi="Arial"/>
          <w:sz w:val="14"/>
          <w:szCs w:val="14"/>
          <w:u w:val="single" w:color="auto"/>
          <w:color w:val="auto"/>
        </w:rPr>
        <w:t>clause (l)</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Article VII</w:t>
      </w:r>
      <w:r>
        <w:rPr>
          <w:rFonts w:ascii="Arial" w:cs="Arial" w:eastAsia="Arial" w:hAnsi="Arial"/>
          <w:sz w:val="14"/>
          <w:szCs w:val="14"/>
          <w:color w:val="auto"/>
        </w:rPr>
        <w:t>; (g) customary rights of setoff and liens upon (i) deposits of cash in favor of banks or other depository institutions in which such cash is maintained in the ordinary course of business, (ii) cash and financial assets held in securities accounts in favor of banks and other financial institutions with which such accounts are maintained in the ordinary course of business and (iii) assets held by a custodian in favor of such custodian in the ordinary course of business securing payment of fees, indemnities and other similar obligations; (h) Liens arising solely from precautionary filings of financing statements under the Uniform Commercial Code of the applicable jurisdictions in respect of operating leases entered into by the Borrower or any of its Subsidiaries in the ordinary course of business; (i) deposits of money securing leases to which Borrower is a party as lessee made in the ordinary course of business; (j) easements, rights of way, zoning restrictions and similar encumbrances on real property and minor irregularities in the title thereto that do not (i) secure obligations for the payment of money or (ii) materially impair the value of such property or its use by any Obligor or any of its Subsidiaries in the normal conduct of such Person’s business; and (k) Liens in favor of any escrow agent solely on and in respect of any cash earnest money deposits made by any Obligor in connection with any letter of intent or purchase agreement (to the extent that the acquisition or disposition with respect thereto is otherwise permitted hereunder).</w:t>
      </w:r>
    </w:p>
    <w:p>
      <w:pPr>
        <w:spacing w:after="0" w:line="127" w:lineRule="exact"/>
        <w:rPr>
          <w:sz w:val="20"/>
          <w:szCs w:val="20"/>
          <w:color w:val="auto"/>
        </w:rPr>
      </w:pPr>
    </w:p>
    <w:p>
      <w:pPr>
        <w:jc w:val="both"/>
        <w:ind w:left="4" w:firstLine="1737"/>
        <w:spacing w:after="0" w:line="24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Policy Amendment</w:t>
      </w:r>
      <w:r>
        <w:rPr>
          <w:rFonts w:ascii="Arial" w:cs="Arial" w:eastAsia="Arial" w:hAnsi="Arial"/>
          <w:sz w:val="15"/>
          <w:szCs w:val="15"/>
          <w:color w:val="auto"/>
        </w:rPr>
        <w:t>” means any change, alteration, expansion, amendment, modification, termination or restatement of the Investment Policies that is either (a) approved in writing by the Administrative Agent (with the consent of the Required Lenders), (b) required by applicable law, rule, regulation or Governmental Authority, or (c) not materially adverse to the rights, remedies or interests of the Lenders in the reasonable discretion of the Administrative Agent (for the avoidance of doubt, no change, alteration, expansion, amendment, modification, termination or restatement of the Investment Policies shall be deemed “material” if investment size proportionately increases as the size of the Borrower’s capital base changes.</w:t>
      </w:r>
    </w:p>
    <w:p>
      <w:pPr>
        <w:spacing w:after="0" w:line="129" w:lineRule="exact"/>
        <w:rPr>
          <w:sz w:val="20"/>
          <w:szCs w:val="20"/>
          <w:color w:val="auto"/>
        </w:rPr>
      </w:pPr>
    </w:p>
    <w:p>
      <w:pPr>
        <w:jc w:val="both"/>
        <w:ind w:left="4" w:right="20" w:firstLine="1737"/>
        <w:spacing w:after="0" w:line="30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SBIC Guarantee</w:t>
      </w:r>
      <w:r>
        <w:rPr>
          <w:rFonts w:ascii="Arial" w:cs="Arial" w:eastAsia="Arial" w:hAnsi="Arial"/>
          <w:sz w:val="13"/>
          <w:szCs w:val="13"/>
          <w:color w:val="auto"/>
        </w:rPr>
        <w:t xml:space="preserve">” means a guarantee by the Borrower of Indebtedness of an SBIC Subsidiary on the SBA’s then applicable form, provided that the recourse to the Borrower thereunder is expressly limited only to periods after the occurrence of an event or condition that is an impermissible change in the control of such SBIC Subsidiary (it being understood that, as provided in </w:t>
      </w:r>
      <w:r>
        <w:rPr>
          <w:rFonts w:ascii="Arial" w:cs="Arial" w:eastAsia="Arial" w:hAnsi="Arial"/>
          <w:sz w:val="13"/>
          <w:szCs w:val="13"/>
          <w:u w:val="single" w:color="auto"/>
          <w:color w:val="auto"/>
        </w:rPr>
        <w:t>clause (s)</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Article VII</w:t>
      </w:r>
      <w:r>
        <w:rPr>
          <w:rFonts w:ascii="Arial" w:cs="Arial" w:eastAsia="Arial" w:hAnsi="Arial"/>
          <w:sz w:val="13"/>
          <w:szCs w:val="13"/>
          <w:color w:val="auto"/>
        </w:rPr>
        <w:t>, it shall be an Event of Default hereunder if any such event or condition giving rise to such recourse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197485</wp:posOffset>
            </wp:positionV>
            <wp:extent cx="721106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46" w:name="page147"/>
    <w:bookmarkEnd w:id="146"/>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means any natural person, corporation, limited liability company, trust, joint venture, association, company, partnership, Governmental Authority or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other entity.</w:t>
      </w:r>
    </w:p>
    <w:p>
      <w:pPr>
        <w:spacing w:after="0" w:line="137"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Platform</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5.01(i)</w:t>
      </w:r>
      <w:r>
        <w:rPr>
          <w:rFonts w:ascii="Arial" w:cs="Arial" w:eastAsia="Arial" w:hAnsi="Arial"/>
          <w:sz w:val="15"/>
          <w:szCs w:val="15"/>
          <w:color w:val="auto"/>
        </w:rPr>
        <w:t>.</w:t>
      </w:r>
    </w:p>
    <w:p>
      <w:pPr>
        <w:spacing w:after="0" w:line="149" w:lineRule="exact"/>
        <w:rPr>
          <w:sz w:val="20"/>
          <w:szCs w:val="20"/>
          <w:color w:val="auto"/>
        </w:rPr>
      </w:pPr>
    </w:p>
    <w:p>
      <w:pPr>
        <w:jc w:val="both"/>
        <w:ind w:firstLine="173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Portfolio Investment</w:t>
      </w:r>
      <w:r>
        <w:rPr>
          <w:rFonts w:ascii="Arial" w:cs="Arial" w:eastAsia="Arial" w:hAnsi="Arial"/>
          <w:sz w:val="14"/>
          <w:szCs w:val="14"/>
          <w:color w:val="auto"/>
        </w:rPr>
        <w:t>” means any Investment held by the Obligors in their asset portfolio (and solely for purposes of determining the Borrowing Base, Cash). Without limiting the generality of the foregoing, the following Investments shall not be considered Portfolio Investments under this Agreement or any other Loan Document: (a) any Investment by an Obligor in any Subsidiary or Affiliate of such Obligor or any Financing Subsidiary (including, for the avoidance of doubt, any Investment by an Obligor in an entity constituting a portfolio investment of such Obligor or an Affiliate of such Obligor); (b) any Investment that provides in favor of the obligor in respect of such Portfolio Investment an express right of rescission, set-off, counterclaim or any other defenses; (d) any Investment, which if debt, is an obligation (other than a revolving loan or delayed draw term loan) pursuant to which any future advances or payments to the Obligor may be required to be made by the Borrower; (e) any Investment which is made to a bankrupt entity (other than a debtor-in-possession financing and current pay obligations); and (f) any Investment, Cash or account in which a Financing Subsidiary has an interest.</w:t>
      </w:r>
    </w:p>
    <w:p>
      <w:pPr>
        <w:spacing w:after="0" w:line="11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Prime Rate</w:t>
      </w:r>
      <w:r>
        <w:rPr>
          <w:rFonts w:ascii="Arial" w:cs="Arial" w:eastAsia="Arial" w:hAnsi="Arial"/>
          <w:sz w:val="15"/>
          <w:szCs w:val="15"/>
          <w:color w:val="auto"/>
        </w:rPr>
        <w:t xml:space="preserve">” means the rate which is quoted as the “prime rate” in the print edition of </w:t>
      </w:r>
      <w:r>
        <w:rPr>
          <w:rFonts w:ascii="Arial" w:cs="Arial" w:eastAsia="Arial" w:hAnsi="Arial"/>
          <w:sz w:val="15"/>
          <w:szCs w:val="15"/>
          <w:i w:val="1"/>
          <w:iCs w:val="1"/>
          <w:color w:val="auto"/>
        </w:rPr>
        <w:t>The Wall Street Journal</w:t>
      </w:r>
      <w:r>
        <w:rPr>
          <w:rFonts w:ascii="Arial" w:cs="Arial" w:eastAsia="Arial" w:hAnsi="Arial"/>
          <w:sz w:val="15"/>
          <w:szCs w:val="15"/>
          <w:color w:val="auto"/>
        </w:rPr>
        <w:t>, Money Rates Section.</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Principal Financial Center</w:t>
      </w:r>
      <w:r>
        <w:rPr>
          <w:rFonts w:ascii="Arial" w:cs="Arial" w:eastAsia="Arial" w:hAnsi="Arial"/>
          <w:sz w:val="13"/>
          <w:szCs w:val="13"/>
          <w:color w:val="auto"/>
        </w:rPr>
        <w:t>” means, in the case of any Currency, the principal financial center where such Currency is cleared and settled, as determined by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Administrative Agent.</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PTE</w:t>
      </w:r>
      <w:r>
        <w:rPr>
          <w:rFonts w:ascii="Arial" w:cs="Arial" w:eastAsia="Arial" w:hAnsi="Arial"/>
          <w:sz w:val="13"/>
          <w:szCs w:val="13"/>
          <w:color w:val="auto"/>
        </w:rPr>
        <w:t>” means a prohibited transaction class exemption issued by the U.S. Department of Labor, as any such exemption may be amended from time to time.</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Public Lender</w:t>
      </w:r>
      <w:r>
        <w:rPr>
          <w:rFonts w:ascii="Arial" w:cs="Arial" w:eastAsia="Arial" w:hAnsi="Arial"/>
          <w:sz w:val="13"/>
          <w:szCs w:val="13"/>
          <w:color w:val="auto"/>
        </w:rPr>
        <w:t>” means Lenders that do not wish to receive Non-Public Information with respect to the Borrower or any of its Subsidiaries or their Securities.</w:t>
      </w:r>
    </w:p>
    <w:p>
      <w:pPr>
        <w:spacing w:after="0" w:line="172"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Quarterly Dates</w:t>
      </w:r>
      <w:r>
        <w:rPr>
          <w:rFonts w:ascii="Arial" w:cs="Arial" w:eastAsia="Arial" w:hAnsi="Arial"/>
          <w:sz w:val="15"/>
          <w:szCs w:val="15"/>
          <w:color w:val="auto"/>
        </w:rPr>
        <w:t>” means the last Business Day of March, June, September and December in each year, commencing on September 30, 2013.</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Quoted Investments</w:t>
      </w:r>
      <w:r>
        <w:rPr>
          <w:rFonts w:ascii="Arial" w:cs="Arial" w:eastAsia="Arial" w:hAnsi="Arial"/>
          <w:sz w:val="15"/>
          <w:szCs w:val="15"/>
          <w:color w:val="auto"/>
        </w:rPr>
        <w:t xml:space="preserve">” means a Portfolio Investment with a value assigned by the Borrower pursuant to </w:t>
      </w:r>
      <w:r>
        <w:rPr>
          <w:rFonts w:ascii="Arial" w:cs="Arial" w:eastAsia="Arial" w:hAnsi="Arial"/>
          <w:sz w:val="15"/>
          <w:szCs w:val="15"/>
          <w:u w:val="single" w:color="auto"/>
          <w:color w:val="auto"/>
        </w:rPr>
        <w:t>Section 5.12(b)(ii)(A)</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Register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9.04(c)</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means the Registration Statement filed by the Borrower with the Securities and Exchange Commission on March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242570</wp:posOffset>
            </wp:positionV>
            <wp:extent cx="721106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7" w:name="page148"/>
    <w:bookmarkEnd w:id="147"/>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Regulations D, T, U and X</w:t>
      </w:r>
      <w:r>
        <w:rPr>
          <w:rFonts w:ascii="Arial" w:cs="Arial" w:eastAsia="Arial" w:hAnsi="Arial"/>
          <w:sz w:val="15"/>
          <w:szCs w:val="15"/>
          <w:color w:val="auto"/>
        </w:rPr>
        <w:t>” means, respectively, Regulations D, T, U and X of the Board of Governors of the Federal Reserve System (or any successor), as the same may be modified and supplemented and in effect from time to time.</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Parties</w:t>
      </w:r>
      <w:r>
        <w:rPr>
          <w:rFonts w:ascii="Arial" w:cs="Arial" w:eastAsia="Arial" w:hAnsi="Arial"/>
          <w:sz w:val="15"/>
          <w:szCs w:val="15"/>
          <w:color w:val="auto"/>
        </w:rPr>
        <w:t>” means, with respect to any specified Person, such Person’s Affiliates and the respective partners, directors, officers, employees, agents and advisors of such Person and such Person’s Affiliates.</w:t>
      </w:r>
    </w:p>
    <w:p>
      <w:pPr>
        <w:spacing w:after="0" w:line="115" w:lineRule="exact"/>
        <w:rPr>
          <w:sz w:val="20"/>
          <w:szCs w:val="20"/>
          <w:color w:val="auto"/>
        </w:rPr>
      </w:pPr>
    </w:p>
    <w:p>
      <w:pPr>
        <w:jc w:val="both"/>
        <w:ind w:right="20" w:firstLine="173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Relevant Governmental Body</w:t>
      </w:r>
      <w:r>
        <w:rPr>
          <w:rFonts w:ascii="Arial" w:cs="Arial" w:eastAsia="Arial" w:hAnsi="Arial"/>
          <w:sz w:val="14"/>
          <w:szCs w:val="14"/>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17" w:lineRule="exact"/>
        <w:rPr>
          <w:sz w:val="20"/>
          <w:szCs w:val="20"/>
          <w:color w:val="auto"/>
        </w:rPr>
      </w:pPr>
    </w:p>
    <w:p>
      <w:pPr>
        <w:jc w:val="both"/>
        <w:ind w:right="20" w:firstLine="1737"/>
        <w:spacing w:after="0" w:line="24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Lenders</w:t>
      </w:r>
      <w:r>
        <w:rPr>
          <w:rFonts w:ascii="Arial" w:cs="Arial" w:eastAsia="Arial" w:hAnsi="Arial"/>
          <w:sz w:val="15"/>
          <w:szCs w:val="15"/>
          <w:color w:val="auto"/>
        </w:rPr>
        <w:t xml:space="preserve">” means, at any time, Lenders having Revolving Credit Exposures and unused Commitments representing more than 50% of the sum of the total Revolving Credit Exposures and unused Commitments at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Revolving Credit Exposures and unused Commitments of any Defaulting Lender shall be disregarded in the determination of Required Lenders. The Required Lenders of a Class (which shall include the terms “Required Dollar Lenders” and “Required Multicurrency Lenders”) means Lenders having Revolving Credit Exposures and unused Commitments of such Class representing more than 50% of the sum of the total Revolving Credit Exposures and unused Commitments of such Class at such time. Notwithstanding the foregoing, the Revolving Credit Exposure and unused Commitments of any Defaulting Lender shall be disregarded in the determination of Required Lenders or Required Lenders of a Class.</w:t>
      </w:r>
    </w:p>
    <w:p>
      <w:pPr>
        <w:spacing w:after="0" w:line="133"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Resolution Authority</w:t>
      </w:r>
      <w:r>
        <w:rPr>
          <w:rFonts w:ascii="Arial" w:cs="Arial" w:eastAsia="Arial" w:hAnsi="Arial"/>
          <w:sz w:val="15"/>
          <w:szCs w:val="15"/>
          <w:color w:val="auto"/>
        </w:rPr>
        <w:t>” means an EEA Resolution Authority or, with respect to any UK Financial Institution, a UK Resolution Authority.</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Responsible Officer</w:t>
      </w:r>
      <w:r>
        <w:rPr>
          <w:rFonts w:ascii="Arial" w:cs="Arial" w:eastAsia="Arial" w:hAnsi="Arial"/>
          <w:sz w:val="15"/>
          <w:szCs w:val="15"/>
          <w:color w:val="auto"/>
        </w:rPr>
        <w:t>” means the chief executive officer, president, chief financial officer, treasurer, assistant treasurer or controller of an Obligor.</w:t>
      </w:r>
    </w:p>
    <w:p>
      <w:pPr>
        <w:spacing w:after="0" w:line="14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Payment</w:t>
      </w:r>
      <w:r>
        <w:rPr>
          <w:rFonts w:ascii="Arial" w:cs="Arial" w:eastAsia="Arial" w:hAnsi="Arial"/>
          <w:sz w:val="15"/>
          <w:szCs w:val="15"/>
          <w:color w:val="auto"/>
        </w:rPr>
        <w:t>” means any dividend or other distribution (whether in cash, securities or other property) with respect to any shares of any class of capital stock of the Borrower or any of its Subsidiaries, or any payment (whether in cash, securities or other property), including any sinking fund or similar deposit, on account of the purchase, redemption, retirement, acquisition, cancellation or termination of any such shares of capital stock of the Borrower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8" w:name="page149"/>
    <w:bookmarkEnd w:id="148"/>
    <w:p>
      <w:pPr>
        <w:jc w:val="both"/>
        <w:ind w:right="20"/>
        <w:spacing w:after="0" w:line="262" w:lineRule="auto"/>
        <w:rPr>
          <w:sz w:val="20"/>
          <w:szCs w:val="20"/>
          <w:color w:val="auto"/>
        </w:rPr>
      </w:pPr>
      <w:r>
        <w:rPr>
          <w:rFonts w:ascii="Arial" w:cs="Arial" w:eastAsia="Arial" w:hAnsi="Arial"/>
          <w:sz w:val="15"/>
          <w:szCs w:val="15"/>
          <w:color w:val="auto"/>
        </w:rPr>
        <w:t>option, warrant or other right to acquire any such shares of capital stock of the Borrower (it being understood that none of: (w) the conversion features under convertible notes; (x) the triggering and/or settlement thereof; or (y) any cash payment made by the Borrower in respect thereof, shall constitute a Restricted Payment hereunder).</w:t>
      </w:r>
    </w:p>
    <w:p>
      <w:pPr>
        <w:spacing w:after="0" w:line="115" w:lineRule="exact"/>
        <w:rPr>
          <w:sz w:val="20"/>
          <w:szCs w:val="20"/>
          <w:color w:val="auto"/>
        </w:rPr>
      </w:pPr>
    </w:p>
    <w:p>
      <w:pPr>
        <w:jc w:val="both"/>
        <w:ind w:firstLine="1737"/>
        <w:spacing w:after="0" w:line="26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Return of Capital</w:t>
      </w:r>
      <w:r>
        <w:rPr>
          <w:rFonts w:ascii="Arial" w:cs="Arial" w:eastAsia="Arial" w:hAnsi="Arial"/>
          <w:sz w:val="14"/>
          <w:szCs w:val="14"/>
          <w:color w:val="auto"/>
        </w:rPr>
        <w:t xml:space="preserve">” means (a) any net cash amount received by any Obligor in respect of the outstanding principal of any Portfolio Investment (whether at stated maturity, by acceleration or otherwise), (b) without duplication of amounts received under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any net cash proceeds received by any Obligor from the sale of any property or assets pledged as collateral in respect of any Portfolio Investment to the extent such net cash proceeds are less than or equal to the outstanding principal balance of such Portfolio Investment, (c) any net cash amount received by any Obligor in respect of any Portfolio Investment that is an Equity Interest (x) upon the liquidation or dissolution of the issuer of such Portfolio Investment, (y) as a distribution of capital made on or in respect of such Portfolio Investment, or (z) pursuant to the recapitalization or reclassification of the capital of the issuer of such Portfolio Investment or pursuant to the reorganization of such issuer or (d) any similar return of capital received by any Obligor in cash in respect of any Portfolio Investment (in the case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net of any fees, costs, expenses and taxes payable with respect thereto).</w:t>
      </w:r>
    </w:p>
    <w:p>
      <w:pPr>
        <w:spacing w:after="0" w:line="117"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Credit Exposure</w:t>
      </w:r>
      <w:r>
        <w:rPr>
          <w:rFonts w:ascii="Arial" w:cs="Arial" w:eastAsia="Arial" w:hAnsi="Arial"/>
          <w:sz w:val="15"/>
          <w:szCs w:val="15"/>
          <w:color w:val="auto"/>
        </w:rPr>
        <w:t>” means, with respect to any Lender at any time, the sum of the outstanding principal amount of such Lender’s Revolving Dollar Credit Exposure and Revolving Multicurrency Credit Exposure at such time.</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Dollar Credit Exposure</w:t>
      </w:r>
      <w:r>
        <w:rPr>
          <w:rFonts w:ascii="Arial" w:cs="Arial" w:eastAsia="Arial" w:hAnsi="Arial"/>
          <w:sz w:val="15"/>
          <w:szCs w:val="15"/>
          <w:color w:val="auto"/>
        </w:rPr>
        <w:t>” means, with respect to any Lender at any time, the sum of the outstanding principal amount of such Lender’s Syndicated Loans, and its LC Exposure and Swingline Exposure, at such time made or incurred under the Dollar Commitments.</w:t>
      </w:r>
    </w:p>
    <w:p>
      <w:pPr>
        <w:spacing w:after="0" w:line="115"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Multicurrency Credit Exposure</w:t>
      </w:r>
      <w:r>
        <w:rPr>
          <w:rFonts w:ascii="Arial" w:cs="Arial" w:eastAsia="Arial" w:hAnsi="Arial"/>
          <w:sz w:val="15"/>
          <w:szCs w:val="15"/>
          <w:color w:val="auto"/>
        </w:rPr>
        <w:t>” means, with respect to any Lender at any time, the sum of the outstanding principal amount of such Lender’s Syndicated Loans, and its LC Exposure and Swingline Exposure, at such time made or incurred under the Multicurrency Commitments.</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Revolving Percentage</w:t>
      </w:r>
      <w:r>
        <w:rPr>
          <w:rFonts w:ascii="Arial" w:cs="Arial" w:eastAsia="Arial" w:hAnsi="Arial"/>
          <w:sz w:val="15"/>
          <w:szCs w:val="15"/>
          <w:color w:val="auto"/>
        </w:rPr>
        <w:t>” means, as of any date of determination, the result, expressed as a percentage, of the Revolving Credit Exposure on such date divided by the aggregate outstanding Covered Debt Amount on such date.</w:t>
      </w:r>
    </w:p>
    <w:p>
      <w:pPr>
        <w:spacing w:after="0" w:line="115"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RFR</w:t>
      </w:r>
      <w:r>
        <w:rPr>
          <w:rFonts w:ascii="Arial" w:cs="Arial" w:eastAsia="Arial" w:hAnsi="Arial"/>
          <w:sz w:val="14"/>
          <w:szCs w:val="14"/>
          <w:color w:val="auto"/>
        </w:rPr>
        <w:t>”, when used in reference to any Loan or Borrowing, refers to whether such Loan, or the Loans constituting such Borrowing, are bearing interest at a rate determined by reference to (a) for Dollars, Term SOFR, and (b) for Sterling and Swiss Francs, the Daily Simple RFR for the applicable Currency. For the avoidance of doubt, “RFR Borrowings” shall include Term SOFR Borrowings and Daily Simple RFR Borrowings and “RFR Loans” shall include Term SOFR Loans and Daily Simple RFR Loans.</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Administrator</w:t>
      </w:r>
      <w:r>
        <w:rPr>
          <w:rFonts w:ascii="Arial" w:cs="Arial" w:eastAsia="Arial" w:hAnsi="Arial"/>
          <w:sz w:val="15"/>
          <w:szCs w:val="15"/>
          <w:color w:val="auto"/>
        </w:rPr>
        <w:t>” means the SONIA Administrator or the SARON Administrator, as applicable.</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Administrator’s Website</w:t>
      </w:r>
      <w:r>
        <w:rPr>
          <w:rFonts w:ascii="Arial" w:cs="Arial" w:eastAsia="Arial" w:hAnsi="Arial"/>
          <w:sz w:val="15"/>
          <w:szCs w:val="15"/>
          <w:color w:val="auto"/>
        </w:rPr>
        <w:t>” means the SONIA Administrator’s Website or the SARON Administrator’s Website,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49" w:name="page150"/>
    <w:bookmarkEnd w:id="149"/>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Applicable Credit Adjustment Spread</w:t>
      </w:r>
      <w:r>
        <w:rPr>
          <w:rFonts w:ascii="Arial" w:cs="Arial" w:eastAsia="Arial" w:hAnsi="Arial"/>
          <w:sz w:val="15"/>
          <w:szCs w:val="15"/>
          <w:color w:val="auto"/>
        </w:rPr>
        <w:t>” means, (a) with respect to RFR Loans denominated in Sterling, (i) with an Interest Period of three months, 0.1193% and (ii) with an Interest Period of one month, 0.0326%, (b) with respect to RFR Loans denominated in Swiss Francs (i) with an Interest Period of three months, 0.0031% and (ii) with an Interest Period of one month, -0.0571%, and (c) with respect to RFR Loans denominated in Dollars, 0.10%.</w:t>
      </w:r>
    </w:p>
    <w:p>
      <w:pPr>
        <w:spacing w:after="0" w:line="125"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Business Day</w:t>
      </w:r>
      <w:r>
        <w:rPr>
          <w:rFonts w:ascii="Arial" w:cs="Arial" w:eastAsia="Arial" w:hAnsi="Arial"/>
          <w:sz w:val="15"/>
          <w:szCs w:val="15"/>
          <w:color w:val="auto"/>
        </w:rPr>
        <w:t>” means, for any Loans, Borrowings, interest, fees, commissions or other amounts denominated in, or calculated with respect to, (a) Sterling, any day except for (i) a Saturday, (ii) a Sunday or (iii) a day on which banks are closed for general business in London, (b) Swiss Francs, any day except for (i) a Saturday, (ii) a Sunday or (iii) a day on which banks are closed for the settlement of payments and foreign exchange transactions in Zurich, and (c) Dollars, any U.S. Government Securities Business Day.</w:t>
      </w:r>
    </w:p>
    <w:p>
      <w:pPr>
        <w:spacing w:after="0" w:line="12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Interest Day</w:t>
      </w:r>
      <w:r>
        <w:rPr>
          <w:rFonts w:ascii="Arial" w:cs="Arial" w:eastAsia="Arial" w:hAnsi="Arial"/>
          <w:sz w:val="15"/>
          <w:szCs w:val="15"/>
          <w:color w:val="auto"/>
        </w:rPr>
        <w:t>” has the meaning specified in the definition of “Daily Simple RFR”.</w:t>
      </w:r>
    </w:p>
    <w:p>
      <w:pPr>
        <w:spacing w:after="0" w:line="14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Rate</w:t>
      </w:r>
      <w:r>
        <w:rPr>
          <w:rFonts w:ascii="Arial" w:cs="Arial" w:eastAsia="Arial" w:hAnsi="Arial"/>
          <w:sz w:val="15"/>
          <w:szCs w:val="15"/>
          <w:color w:val="auto"/>
        </w:rPr>
        <w:t>” means, for any Loans, Borrowings, interest, fees, commissions or other amounts denominated in, or calculated with respect to (a) Sterling, SONIA, and (b) Swiss Francs, SARON.</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RFR Reference Day</w:t>
      </w:r>
      <w:r>
        <w:rPr>
          <w:rFonts w:ascii="Arial" w:cs="Arial" w:eastAsia="Arial" w:hAnsi="Arial"/>
          <w:sz w:val="15"/>
          <w:szCs w:val="15"/>
          <w:color w:val="auto"/>
        </w:rPr>
        <w:t>” has the meaning specified in the definition of “Daily Simple RFR”.</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RIC</w:t>
      </w:r>
      <w:r>
        <w:rPr>
          <w:rFonts w:ascii="Arial" w:cs="Arial" w:eastAsia="Arial" w:hAnsi="Arial"/>
          <w:sz w:val="15"/>
          <w:szCs w:val="15"/>
          <w:color w:val="auto"/>
        </w:rPr>
        <w:t>” means a person qualifying for treatment as a “regulated investment company” under the Code.</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S&amp;P</w:t>
      </w:r>
      <w:r>
        <w:rPr>
          <w:rFonts w:ascii="Arial" w:cs="Arial" w:eastAsia="Arial" w:hAnsi="Arial"/>
          <w:sz w:val="15"/>
          <w:szCs w:val="15"/>
          <w:color w:val="auto"/>
        </w:rPr>
        <w:t>” means S&amp;P Global Ratings or any successor thereto.</w:t>
      </w:r>
    </w:p>
    <w:p>
      <w:pPr>
        <w:spacing w:after="0" w:line="149" w:lineRule="exact"/>
        <w:rPr>
          <w:sz w:val="20"/>
          <w:szCs w:val="20"/>
          <w:color w:val="auto"/>
        </w:rPr>
      </w:pPr>
    </w:p>
    <w:p>
      <w:pPr>
        <w:jc w:val="both"/>
        <w:ind w:firstLine="1737"/>
        <w:spacing w:after="0" w:line="29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Country</w:t>
      </w:r>
      <w:r>
        <w:rPr>
          <w:rFonts w:ascii="Arial" w:cs="Arial" w:eastAsia="Arial" w:hAnsi="Arial"/>
          <w:sz w:val="14"/>
          <w:szCs w:val="14"/>
          <w:color w:val="auto"/>
        </w:rPr>
        <w:t>” means, at any time, a country, territory or region that is the subject or the target of country-wide or territory-wide Sanctions broadly prohibiting dealings with such country, territory or region (currently, Cuba, the Crimea, Donetsk and Luhansk regions of Ukraine, Iran, North Korea and Syria).</w:t>
      </w:r>
    </w:p>
    <w:p>
      <w:pPr>
        <w:spacing w:after="0" w:line="92"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Sanctions</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3.15(a)</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SARON</w:t>
      </w:r>
      <w:r>
        <w:rPr>
          <w:rFonts w:ascii="Arial" w:cs="Arial" w:eastAsia="Arial" w:hAnsi="Arial"/>
          <w:sz w:val="15"/>
          <w:szCs w:val="15"/>
          <w:color w:val="auto"/>
        </w:rPr>
        <w:t>” means a rate equal to the Swiss Average Rate Overnight as administered by the SARON Administrator.</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SARON Administrator</w:t>
      </w:r>
      <w:r>
        <w:rPr>
          <w:rFonts w:ascii="Arial" w:cs="Arial" w:eastAsia="Arial" w:hAnsi="Arial"/>
          <w:sz w:val="15"/>
          <w:szCs w:val="15"/>
          <w:color w:val="auto"/>
        </w:rPr>
        <w:t>” means the SIX Swiss Exchange AG (or any successor administrator of the Swiss Average Rate Overnight).</w:t>
      </w:r>
    </w:p>
    <w:p>
      <w:pPr>
        <w:spacing w:after="0" w:line="14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SARON Administrator’s Website</w:t>
      </w:r>
      <w:r>
        <w:rPr>
          <w:rFonts w:ascii="Arial" w:cs="Arial" w:eastAsia="Arial" w:hAnsi="Arial"/>
          <w:sz w:val="15"/>
          <w:szCs w:val="15"/>
          <w:color w:val="auto"/>
        </w:rPr>
        <w:t>” means SIX Swiss Exchange AG’s website, currently at https://www.six-group.com, or any successor source for the Swiss Average Rate Overnight identified as such by the SARON Administrator from time to time.</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SBA</w:t>
      </w:r>
      <w:r>
        <w:rPr>
          <w:rFonts w:ascii="Arial" w:cs="Arial" w:eastAsia="Arial" w:hAnsi="Arial"/>
          <w:sz w:val="15"/>
          <w:szCs w:val="15"/>
          <w:color w:val="auto"/>
        </w:rPr>
        <w:t>” means the United States Small Business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50" w:name="page151"/>
    <w:bookmarkEnd w:id="150"/>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SBIC Equity Commitment</w:t>
      </w:r>
      <w:r>
        <w:rPr>
          <w:rFonts w:ascii="Arial" w:cs="Arial" w:eastAsia="Arial" w:hAnsi="Arial"/>
          <w:sz w:val="15"/>
          <w:szCs w:val="15"/>
          <w:color w:val="auto"/>
        </w:rPr>
        <w:t>” means a commitment by the Borrower to make one or more capital contributions to an SBIC Subsidiary.</w:t>
      </w:r>
    </w:p>
    <w:p>
      <w:pPr>
        <w:spacing w:after="0" w:line="149" w:lineRule="exact"/>
        <w:rPr>
          <w:sz w:val="20"/>
          <w:szCs w:val="20"/>
          <w:color w:val="auto"/>
        </w:rPr>
      </w:pPr>
    </w:p>
    <w:p>
      <w:pPr>
        <w:jc w:val="both"/>
        <w:ind w:firstLine="1737"/>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SBIC Subsidiary</w:t>
      </w:r>
      <w:r>
        <w:rPr>
          <w:rFonts w:ascii="Arial" w:cs="Arial" w:eastAsia="Arial" w:hAnsi="Arial"/>
          <w:sz w:val="15"/>
          <w:szCs w:val="15"/>
          <w:color w:val="auto"/>
        </w:rPr>
        <w:t>” means any direct or indirect Subsidiary (including such Subsidiary’s general partner or managing entity to the extent that the only material asset of such general partner or managing entity is its equity interest in the SBIC Subsidiary) of the Borrower licensed as a small business investment company under the Small Business Investment Act of 1958, as amended, (or that has applied for such a license and is actively pursuing the granting thereof by appropriate proceedings promptly instituted and diligently conducted) and which is designated by the Borrower (as provided below) as an SBIC Subsidiary, so long as (a) no portion of the Indebtedness or any other obligations (contingent or otherwise) of such Subsidiary: (i) is Guaranteed by any Obligor (other than a Permitted SBIC Guarantee), (ii) is recourse to or obligates any Obligor in any way (other than in respect of any SBIC Equity Commitment or Permitted SBIC Guarantee), or (iii) subjects any property of any Obligor, directly or indirectly, contingently or otherwise, to the satisfaction thereof, other than Equity Interests in any SBIC Subsidiary pledged to secure such Indebtedness, and (b) no Obligor has any obligation to maintain or preserve such Subsidiary’s financial condition or cause such entity to achieve certain levels of operating results. 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w:t>
      </w:r>
    </w:p>
    <w:p>
      <w:pPr>
        <w:spacing w:after="0" w:line="135" w:lineRule="exact"/>
        <w:rPr>
          <w:sz w:val="20"/>
          <w:szCs w:val="20"/>
          <w:color w:val="auto"/>
        </w:rPr>
      </w:pPr>
    </w:p>
    <w:p>
      <w:pPr>
        <w:jc w:val="both"/>
        <w:ind w:firstLine="1737"/>
        <w:spacing w:after="0" w:line="25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Longer-Term Indebtedness</w:t>
      </w:r>
      <w:r>
        <w:rPr>
          <w:rFonts w:ascii="Arial" w:cs="Arial" w:eastAsia="Arial" w:hAnsi="Arial"/>
          <w:sz w:val="14"/>
          <w:szCs w:val="14"/>
          <w:color w:val="auto"/>
        </w:rPr>
        <w:t xml:space="preserve">” means, as at any date, Indebtedness (other than Indebtedness hereunder) of an Obligor (which may be Guaranteed by Subsidiary Guarantors) that (a) has no scheduled amortization prior to, and a final maturity date not earlier than, six months after the Extended Final Maturity Date (it being understood that none of: (w) the conversion features under convertible notes; (x) the triggering and/or settlement thereof; or (y) any cash payment made in respect thereof , shall constitute “amortization” for purposes of this </w:t>
      </w:r>
      <w:r>
        <w:rPr>
          <w:rFonts w:ascii="Arial" w:cs="Arial" w:eastAsia="Arial" w:hAnsi="Arial"/>
          <w:sz w:val="14"/>
          <w:szCs w:val="14"/>
          <w:u w:val="single" w:color="auto"/>
          <w:color w:val="auto"/>
        </w:rPr>
        <w:t>clause (a)</w:t>
      </w:r>
      <w:r>
        <w:rPr>
          <w:rFonts w:ascii="Arial" w:cs="Arial" w:eastAsia="Arial" w:hAnsi="Arial"/>
          <w:sz w:val="14"/>
          <w:szCs w:val="14"/>
          <w:color w:val="auto"/>
        </w:rPr>
        <w:t>), (b) is incurred pursuant to documentation that is substantially comparable to market terms for substantially similar debt of other similarly situated borrowers as determined by the Borrower in its reasonable judgment and (c)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 pursuant to which the holders (or an authorized agent, representative or trustee of such holders) of such Secured Longer-Term Indebtedness shall have become a party to the Guarantee and Security Agreement and assumed the obligations of a Financing Agent or Designated Indebtedness Holder (in each case, as defined in the Guarantee and Security Agreement).</w:t>
      </w:r>
    </w:p>
    <w:p>
      <w:pPr>
        <w:spacing w:after="0" w:line="119" w:lineRule="exact"/>
        <w:rPr>
          <w:sz w:val="20"/>
          <w:szCs w:val="20"/>
          <w:color w:val="auto"/>
        </w:rPr>
      </w:pPr>
    </w:p>
    <w:p>
      <w:pPr>
        <w:jc w:val="both"/>
        <w:ind w:firstLine="173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Secured Shorter-Term Indebtedness</w:t>
      </w:r>
      <w:r>
        <w:rPr>
          <w:rFonts w:ascii="Arial" w:cs="Arial" w:eastAsia="Arial" w:hAnsi="Arial"/>
          <w:sz w:val="14"/>
          <w:szCs w:val="14"/>
          <w:color w:val="auto"/>
        </w:rPr>
        <w:t>” means, collectively, (a) any Indebtedness of an Obligor that is secured by any assets of any Obligor and that does not constitute Secured Longer-Term Indebtedness, (b) any Indebtedness of an Obligor that is not secured by any assets of any Obligor other than pursuant to this Agreement or the Security Documents and the holders of which (or an authorized agent, representative or trustee of such holders) have either executed (i) a joinder agreement to the Guarantee and Security Agreement or (ii) such other document or agreement, in a form reasonably satisfactory to the Administrative Agent and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212090</wp:posOffset>
            </wp:positionV>
            <wp:extent cx="721106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51" w:name="page152"/>
    <w:bookmarkEnd w:id="151"/>
    <w:p>
      <w:pPr>
        <w:jc w:val="both"/>
        <w:ind w:right="20"/>
        <w:spacing w:after="0" w:line="249" w:lineRule="auto"/>
        <w:rPr>
          <w:sz w:val="20"/>
          <w:szCs w:val="20"/>
          <w:color w:val="auto"/>
        </w:rPr>
      </w:pPr>
      <w:r>
        <w:rPr>
          <w:rFonts w:ascii="Arial" w:cs="Arial" w:eastAsia="Arial" w:hAnsi="Arial"/>
          <w:sz w:val="15"/>
          <w:szCs w:val="15"/>
          <w:color w:val="auto"/>
        </w:rPr>
        <w:t xml:space="preserve">pursuant to which the holders (or an authorized agent, representative or trustee of such holders) of such Secured Shorter-Term Indebtedness shall have become a party to the Guarantee and Security Agreement and assumed the obligations of a Financing Agent or Designated Indebtedness Holder (in each case, as defined in the Guarantee and Security Agreement) and (c) any Indebtedness that is designated as “Secured Shorter-Term Indebtedness” pursuant to </w:t>
      </w:r>
      <w:r>
        <w:rPr>
          <w:rFonts w:ascii="Arial" w:cs="Arial" w:eastAsia="Arial" w:hAnsi="Arial"/>
          <w:sz w:val="15"/>
          <w:szCs w:val="15"/>
          <w:u w:val="single" w:color="auto"/>
          <w:color w:val="auto"/>
        </w:rPr>
        <w:t>Section 6.11(a)</w:t>
      </w:r>
      <w:r>
        <w:rPr>
          <w:rFonts w:ascii="Arial" w:cs="Arial" w:eastAsia="Arial" w:hAnsi="Arial"/>
          <w:sz w:val="15"/>
          <w:szCs w:val="15"/>
          <w:color w:val="auto"/>
        </w:rPr>
        <w:t>.</w:t>
      </w:r>
    </w:p>
    <w:p>
      <w:pPr>
        <w:spacing w:after="0" w:line="125"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Documents</w:t>
      </w:r>
      <w:r>
        <w:rPr>
          <w:rFonts w:ascii="Arial" w:cs="Arial" w:eastAsia="Arial" w:hAnsi="Arial"/>
          <w:sz w:val="15"/>
          <w:szCs w:val="15"/>
          <w:color w:val="auto"/>
        </w:rPr>
        <w:t>” means, collectively, the Guarantee and Security Agreement, all Uniform Commercial Code financing statements filed with respect to the security interests in personal property created pursuant to the Guarantee and Security Agreement and all other assignments, pledge agreements, security agreements, control agreements and other instruments executed and delivered on or after the date hereof by any of the Obligors pursuant to the Guarantee and Security Agreement or otherwise providing or relating to any collateral security for any of the Secured Obligations under and as defined in the Guarantee and Security Agreement.</w:t>
      </w:r>
    </w:p>
    <w:p>
      <w:pPr>
        <w:spacing w:after="0" w:line="128"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Shareholders’ Equity</w:t>
      </w:r>
      <w:r>
        <w:rPr>
          <w:rFonts w:ascii="Arial" w:cs="Arial" w:eastAsia="Arial" w:hAnsi="Arial"/>
          <w:sz w:val="15"/>
          <w:szCs w:val="15"/>
          <w:color w:val="auto"/>
        </w:rPr>
        <w:t>” means, at any date, the amount determined on a consolidated basis, without duplication, in accordance with GAAP, of shareholders equity for the Borrower and its Subsidiaries at such date.</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SOFR</w:t>
      </w:r>
      <w:r>
        <w:rPr>
          <w:rFonts w:ascii="Arial" w:cs="Arial" w:eastAsia="Arial" w:hAnsi="Arial"/>
          <w:sz w:val="15"/>
          <w:szCs w:val="15"/>
          <w:color w:val="auto"/>
        </w:rPr>
        <w:t>” means a rate per annum equal to the secured overnight financing rate as administered by the SOFR Administrator.</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SOFR Administrator</w:t>
      </w:r>
      <w:r>
        <w:rPr>
          <w:rFonts w:ascii="Arial" w:cs="Arial" w:eastAsia="Arial" w:hAnsi="Arial"/>
          <w:sz w:val="15"/>
          <w:szCs w:val="15"/>
          <w:color w:val="auto"/>
        </w:rPr>
        <w:t>” means the Federal Reserve Bank of New York (or a successor administrator of the secured overnight financing rate).</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SONIA</w:t>
      </w:r>
      <w:r>
        <w:rPr>
          <w:rFonts w:ascii="Arial" w:cs="Arial" w:eastAsia="Arial" w:hAnsi="Arial"/>
          <w:sz w:val="15"/>
          <w:szCs w:val="15"/>
          <w:color w:val="auto"/>
        </w:rPr>
        <w:t>” means a rate equal to the Sterling Overnight Index Average as administered by the SONIA Administrator.</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SONIA Administrator</w:t>
      </w:r>
      <w:r>
        <w:rPr>
          <w:rFonts w:ascii="Arial" w:cs="Arial" w:eastAsia="Arial" w:hAnsi="Arial"/>
          <w:sz w:val="15"/>
          <w:szCs w:val="15"/>
          <w:color w:val="auto"/>
        </w:rPr>
        <w:t>” means the Bank of England (or any successor administrator of the Sterling Overnight Index Average).</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SONIA Administrator’s Website</w:t>
      </w:r>
      <w:r>
        <w:rPr>
          <w:rFonts w:ascii="Arial" w:cs="Arial" w:eastAsia="Arial" w:hAnsi="Arial"/>
          <w:sz w:val="15"/>
          <w:szCs w:val="15"/>
          <w:color w:val="auto"/>
        </w:rPr>
        <w:t>” means the Bank of England’s website, currently at http://www.bankofengland.co.uk, or any successor source for the Sterling Overnight Index Average identified as such by the SONIA Administrator from time to time.</w:t>
      </w:r>
    </w:p>
    <w:p>
      <w:pPr>
        <w:spacing w:after="0" w:line="115"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 Subsidiary</w:t>
      </w:r>
      <w:r>
        <w:rPr>
          <w:rFonts w:ascii="Arial" w:cs="Arial" w:eastAsia="Arial" w:hAnsi="Arial"/>
          <w:sz w:val="15"/>
          <w:szCs w:val="15"/>
          <w:color w:val="auto"/>
        </w:rPr>
        <w:t>” means a direct or indirect Subsidiary of the Borrower to which any Obligor sells, conveys or otherwise transfers (whether directly or indirectly) Portfolio Investments, which engages in no material activities other than in connection with the purchase, holding, disposition or financing of such assets and which is designated by the Borrower (as provided below) as an SPE Subsidiary:</w:t>
      </w:r>
    </w:p>
    <w:p>
      <w:pPr>
        <w:spacing w:after="0" w:line="125" w:lineRule="exact"/>
        <w:rPr>
          <w:sz w:val="20"/>
          <w:szCs w:val="20"/>
          <w:color w:val="auto"/>
        </w:rPr>
      </w:pPr>
    </w:p>
    <w:p>
      <w:pPr>
        <w:jc w:val="both"/>
        <w:ind w:firstLine="1733"/>
        <w:spacing w:after="0" w:line="245" w:lineRule="auto"/>
        <w:tabs>
          <w:tab w:leader="none" w:pos="2359"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 portion of the Indebtedness or any other obligations (contingent or otherwise) of which (i) is Guaranteed by any Obligor (other than Guarantees in respect of Standard Securitization Undertakings), (ii) is recourse to or obligates any Obligor in any way other than pursuant to Standard Securitization Undertakings or (iii) subjects any property of any Obligor, directly or indirectly, contingently or otherwise, to the satisfaction thereof, other than pursuant to Standard Securitization Undertakings or any Guarantee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221615</wp:posOffset>
            </wp:positionV>
            <wp:extent cx="7211060"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52" w:name="page153"/>
    <w:bookmarkEnd w:id="152"/>
    <w:p>
      <w:pPr>
        <w:jc w:val="both"/>
        <w:ind w:left="4" w:right="20" w:firstLine="1733"/>
        <w:spacing w:after="0" w:line="249" w:lineRule="auto"/>
        <w:tabs>
          <w:tab w:leader="none" w:pos="2372" w:val="left"/>
        </w:tabs>
        <w:numPr>
          <w:ilvl w:val="0"/>
          <w:numId w:val="82"/>
        </w:numPr>
        <w:rPr>
          <w:rFonts w:ascii="Arial" w:cs="Arial" w:eastAsia="Arial" w:hAnsi="Arial"/>
          <w:sz w:val="15"/>
          <w:szCs w:val="15"/>
          <w:color w:val="auto"/>
        </w:rPr>
      </w:pPr>
      <w:r>
        <w:rPr>
          <w:rFonts w:ascii="Arial" w:cs="Arial" w:eastAsia="Arial" w:hAnsi="Arial"/>
          <w:sz w:val="15"/>
          <w:szCs w:val="15"/>
          <w:color w:val="auto"/>
        </w:rPr>
        <w:t>with which no Obligor has any material contract, agreement, arrangement or understanding other than on terms, taken as a whole, not materially less favorable to such Obligor than those that might be obtained at the time from Persons that are not Affiliates of any Obligor, other than fees payable in the ordinary course of business in connection with servicing receivables, and</w:t>
      </w:r>
    </w:p>
    <w:p>
      <w:pPr>
        <w:spacing w:after="0" w:line="124" w:lineRule="exact"/>
        <w:rPr>
          <w:rFonts w:ascii="Arial" w:cs="Arial" w:eastAsia="Arial" w:hAnsi="Arial"/>
          <w:sz w:val="15"/>
          <w:szCs w:val="15"/>
          <w:color w:val="auto"/>
        </w:rPr>
      </w:pPr>
    </w:p>
    <w:p>
      <w:pPr>
        <w:ind w:left="2364" w:hanging="627"/>
        <w:spacing w:after="0"/>
        <w:tabs>
          <w:tab w:leader="none" w:pos="236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to which no Obligor has any obligation to maintain or preserve such entity’s financial condition or cause such entity to achieve certain levels of</w:t>
      </w:r>
    </w:p>
    <w:p>
      <w:pPr>
        <w:spacing w:after="0" w:line="2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5"/>
          <w:szCs w:val="15"/>
          <w:color w:val="auto"/>
        </w:rPr>
        <w:t>operating results.</w:t>
      </w:r>
    </w:p>
    <w:p>
      <w:pPr>
        <w:spacing w:after="0" w:line="137" w:lineRule="exact"/>
        <w:rPr>
          <w:sz w:val="20"/>
          <w:szCs w:val="20"/>
          <w:color w:val="auto"/>
        </w:rPr>
      </w:pPr>
    </w:p>
    <w:p>
      <w:pPr>
        <w:jc w:val="both"/>
        <w:ind w:left="4" w:firstLine="1737"/>
        <w:spacing w:after="0" w:line="249" w:lineRule="auto"/>
        <w:rPr>
          <w:sz w:val="20"/>
          <w:szCs w:val="20"/>
          <w:color w:val="auto"/>
        </w:rPr>
      </w:pPr>
      <w:r>
        <w:rPr>
          <w:rFonts w:ascii="Arial" w:cs="Arial" w:eastAsia="Arial" w:hAnsi="Arial"/>
          <w:sz w:val="15"/>
          <w:szCs w:val="15"/>
          <w:color w:val="auto"/>
        </w:rPr>
        <w:t>Any such designation by the Borrower shall be effected pursuant to a certificate of a Financial Officer delivered to the Administrative Agent, which certificate shall include a statement to the effect that, to the best of such officer’s knowledge, such designation complied with the foregoing conditions. Each Subsidiary of an SPE Subsidiary shall be deemed to be an SPE Subsidiary and shall comply with the foregoing requirements of this definition.</w:t>
      </w:r>
    </w:p>
    <w:p>
      <w:pPr>
        <w:spacing w:after="0" w:line="125" w:lineRule="exact"/>
        <w:rPr>
          <w:sz w:val="20"/>
          <w:szCs w:val="20"/>
          <w:color w:val="auto"/>
        </w:rPr>
      </w:pPr>
    </w:p>
    <w:p>
      <w:pPr>
        <w:jc w:val="both"/>
        <w:ind w:left="4" w:right="20" w:firstLine="1737"/>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Equity Interest</w:t>
      </w:r>
      <w:r>
        <w:rPr>
          <w:rFonts w:ascii="Arial" w:cs="Arial" w:eastAsia="Arial" w:hAnsi="Arial"/>
          <w:sz w:val="14"/>
          <w:szCs w:val="14"/>
          <w:color w:val="auto"/>
        </w:rPr>
        <w:t xml:space="preserve">” means any Equity Interest that is subject to a Lien in favor of creditors of the issuer of such Equity Interest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such Lien was created to secure Indebtedness owing by such issuer to such creditors, (b) such Indebtedness was (i) in existence at the time the Obligors acquired such Equity Interest,</w:t>
      </w:r>
    </w:p>
    <w:p>
      <w:pPr>
        <w:spacing w:after="0" w:line="1" w:lineRule="exact"/>
        <w:rPr>
          <w:sz w:val="20"/>
          <w:szCs w:val="20"/>
          <w:color w:val="auto"/>
        </w:rPr>
      </w:pPr>
    </w:p>
    <w:p>
      <w:pPr>
        <w:ind w:left="4" w:right="20" w:hanging="4"/>
        <w:spacing w:after="0" w:line="280" w:lineRule="auto"/>
        <w:tabs>
          <w:tab w:leader="none" w:pos="245"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incurred or assumed by such issuer substantially contemporaneously with such acquisition or (iii) already subject to a Lien granted to such creditors and (c) unless such Equity Interest is not intended to be included in the Collateral, the documentation creating or governing such Lien does not prohibit the inclusion of such Equity Interest in the Collateral.</w:t>
      </w:r>
    </w:p>
    <w:p>
      <w:pPr>
        <w:spacing w:after="0" w:line="104" w:lineRule="exact"/>
        <w:rPr>
          <w:sz w:val="20"/>
          <w:szCs w:val="20"/>
          <w:color w:val="auto"/>
        </w:rPr>
      </w:pPr>
    </w:p>
    <w:p>
      <w:pPr>
        <w:jc w:val="both"/>
        <w:ind w:left="4" w:firstLine="173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Unsecured Indebtedness</w:t>
      </w:r>
      <w:r>
        <w:rPr>
          <w:rFonts w:ascii="Arial" w:cs="Arial" w:eastAsia="Arial" w:hAnsi="Arial"/>
          <w:sz w:val="14"/>
          <w:szCs w:val="14"/>
          <w:color w:val="auto"/>
        </w:rPr>
        <w:t xml:space="preserve">” means Indebtedness of an Obligor issued after the Twelfth Amendment Effective Date (which may be Guaranteed by Subsidiary Guarantors) that (a) has no amortization prior to, and a final maturity date not earlier than, five years from the date such Indebtedness is issued (it being understood that (A) none of: (w) the conversion features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containing (i) covenants and events of default that are not materially more burdensome on the Borrower than those set forth in the Loan Documents or (ii) terms substantially comparable to market terms for substantially similar debt of other similarly situated borrowers as determined by the Borrower in its reasonable judgment and (c) is not secured by any assets of any Obligor;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Special Unsecured Indebtedness shall not include any Indebtedness permitted pursuant to </w:t>
      </w:r>
      <w:r>
        <w:rPr>
          <w:rFonts w:ascii="Arial" w:cs="Arial" w:eastAsia="Arial" w:hAnsi="Arial"/>
          <w:sz w:val="14"/>
          <w:szCs w:val="14"/>
          <w:u w:val="single" w:color="auto"/>
          <w:color w:val="auto"/>
        </w:rPr>
        <w:t>Section 6.01(l)</w:t>
      </w:r>
      <w:r>
        <w:rPr>
          <w:rFonts w:ascii="Arial" w:cs="Arial" w:eastAsia="Arial" w:hAnsi="Arial"/>
          <w:sz w:val="14"/>
          <w:szCs w:val="14"/>
          <w:color w:val="auto"/>
        </w:rPr>
        <w:t>.</w:t>
      </w:r>
    </w:p>
    <w:p>
      <w:pPr>
        <w:spacing w:after="0" w:line="117" w:lineRule="exact"/>
        <w:rPr>
          <w:sz w:val="20"/>
          <w:szCs w:val="20"/>
          <w:color w:val="auto"/>
        </w:rPr>
      </w:pPr>
    </w:p>
    <w:p>
      <w:pPr>
        <w:jc w:val="both"/>
        <w:ind w:left="4" w:right="20" w:firstLine="173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Standard Securitization Undertakings</w:t>
      </w:r>
      <w:r>
        <w:rPr>
          <w:rFonts w:ascii="Arial" w:cs="Arial" w:eastAsia="Arial" w:hAnsi="Arial"/>
          <w:sz w:val="14"/>
          <w:szCs w:val="14"/>
          <w:color w:val="auto"/>
        </w:rPr>
        <w:t>”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collectibility of the assets sold or the creditworthiness of the associated account debtors) and (c) representations, warranties, covenants and indemnities (together with any related performance guarantees) of a type that are reasonably customary in accounts receivable securitizations.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721106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53" w:name="page154"/>
    <w:bookmarkEnd w:id="153"/>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Sterling</w:t>
      </w:r>
      <w:r>
        <w:rPr>
          <w:rFonts w:ascii="Arial" w:cs="Arial" w:eastAsia="Arial" w:hAnsi="Arial"/>
          <w:sz w:val="15"/>
          <w:szCs w:val="15"/>
          <w:color w:val="auto"/>
        </w:rPr>
        <w:t>” means the lawful currency of the United Kingdom.</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Price</w:t>
      </w:r>
      <w:r>
        <w:rPr>
          <w:rFonts w:ascii="Arial" w:cs="Arial" w:eastAsia="Arial" w:hAnsi="Arial"/>
          <w:sz w:val="15"/>
          <w:szCs w:val="15"/>
          <w:color w:val="auto"/>
        </w:rPr>
        <w:t>” shall have the meaning specified in the Indenture.</w:t>
      </w:r>
    </w:p>
    <w:p>
      <w:pPr>
        <w:spacing w:after="0" w:line="149" w:lineRule="exact"/>
        <w:rPr>
          <w:sz w:val="20"/>
          <w:szCs w:val="20"/>
          <w:color w:val="auto"/>
        </w:rPr>
      </w:pPr>
    </w:p>
    <w:p>
      <w:pPr>
        <w:jc w:val="both"/>
        <w:ind w:right="20" w:firstLine="1737"/>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(the “</w:t>
      </w:r>
      <w:r>
        <w:rPr>
          <w:rFonts w:ascii="Arial" w:cs="Arial" w:eastAsia="Arial" w:hAnsi="Arial"/>
          <w:sz w:val="15"/>
          <w:szCs w:val="15"/>
          <w:u w:val="single" w:color="auto"/>
          <w:color w:val="auto"/>
        </w:rPr>
        <w:t>parent</w:t>
      </w:r>
      <w:r>
        <w:rPr>
          <w:rFonts w:ascii="Arial" w:cs="Arial" w:eastAsia="Arial" w:hAnsi="Arial"/>
          <w:sz w:val="15"/>
          <w:szCs w:val="15"/>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an Investment held by the Borrower in the ordinary course of business and that is not, under GAAP, consolidated on the financial statements of the Borrower and its Subsidiaries. Unless otherwise specified, “Subsidiary” means a Subsidiary of the Borrower.</w:t>
      </w:r>
    </w:p>
    <w:p>
      <w:pPr>
        <w:spacing w:after="0" w:line="133"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 Guarantor</w:t>
      </w:r>
      <w:r>
        <w:rPr>
          <w:rFonts w:ascii="Arial" w:cs="Arial" w:eastAsia="Arial" w:hAnsi="Arial"/>
          <w:sz w:val="15"/>
          <w:szCs w:val="15"/>
          <w:color w:val="auto"/>
        </w:rPr>
        <w:t>” means any Subsidiary that is a Guarantor under the Guarantee and Security Agreement. It is understood and agreed that no Financing Subsidiary, Immaterial Subsidiary, Foreign Subsidiary or a Subsidiary of a Foreign Subsidiary shall be a Subsidiary Guarantor.</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Swedish Krona</w:t>
      </w:r>
      <w:r>
        <w:rPr>
          <w:rFonts w:ascii="Arial" w:cs="Arial" w:eastAsia="Arial" w:hAnsi="Arial"/>
          <w:sz w:val="15"/>
          <w:szCs w:val="15"/>
          <w:color w:val="auto"/>
        </w:rPr>
        <w:t>” means the lawful currency of Sweden.</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Swingline Exposure</w:t>
      </w:r>
      <w:r>
        <w:rPr>
          <w:rFonts w:ascii="Arial" w:cs="Arial" w:eastAsia="Arial" w:hAnsi="Arial"/>
          <w:sz w:val="15"/>
          <w:szCs w:val="15"/>
          <w:color w:val="auto"/>
        </w:rPr>
        <w:t>” means, at any time, the aggregate principal amount of all Swingline Loans outstanding at such time. The Swingline Exposure of any Lender at any time shall be the sum of (i) its Applicable Dollar Percentage of the total Swingline Exposure incurred under the Dollar Commitments and (ii) its Applicable Multicurrency Percentage of the total Swingline Exposure at such time incurred under the Multicurrency Commitments.</w:t>
      </w:r>
    </w:p>
    <w:p>
      <w:pPr>
        <w:spacing w:after="0" w:line="12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Swingline Lender</w:t>
      </w:r>
      <w:r>
        <w:rPr>
          <w:rFonts w:ascii="Arial" w:cs="Arial" w:eastAsia="Arial" w:hAnsi="Arial"/>
          <w:sz w:val="15"/>
          <w:szCs w:val="15"/>
          <w:color w:val="auto"/>
        </w:rPr>
        <w:t xml:space="preserve">” means any of Truist or JPMorgan Chase Bank, N.A., in its capacity as lender of Swingline Loans hereunder, and its successors in such capacity as provided in </w:t>
      </w:r>
      <w:r>
        <w:rPr>
          <w:rFonts w:ascii="Arial" w:cs="Arial" w:eastAsia="Arial" w:hAnsi="Arial"/>
          <w:sz w:val="15"/>
          <w:szCs w:val="15"/>
          <w:u w:val="single" w:color="auto"/>
          <w:color w:val="auto"/>
        </w:rPr>
        <w:t>Section 2.04(d)</w:t>
      </w:r>
      <w:r>
        <w:rPr>
          <w:rFonts w:ascii="Arial" w:cs="Arial" w:eastAsia="Arial" w:hAnsi="Arial"/>
          <w:sz w:val="15"/>
          <w:szCs w:val="15"/>
          <w:color w:val="auto"/>
        </w:rPr>
        <w:t>.</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Swingline Loan</w:t>
      </w:r>
      <w:r>
        <w:rPr>
          <w:rFonts w:ascii="Arial" w:cs="Arial" w:eastAsia="Arial" w:hAnsi="Arial"/>
          <w:sz w:val="15"/>
          <w:szCs w:val="15"/>
          <w:color w:val="auto"/>
        </w:rPr>
        <w:t xml:space="preserve">” means a Loan made pursuant to </w:t>
      </w:r>
      <w:r>
        <w:rPr>
          <w:rFonts w:ascii="Arial" w:cs="Arial" w:eastAsia="Arial" w:hAnsi="Arial"/>
          <w:sz w:val="15"/>
          <w:szCs w:val="15"/>
          <w:u w:val="single" w:color="auto"/>
          <w:color w:val="auto"/>
        </w:rPr>
        <w:t>Section 2.04</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Swiss Franc</w:t>
      </w:r>
      <w:r>
        <w:rPr>
          <w:rFonts w:ascii="Arial" w:cs="Arial" w:eastAsia="Arial" w:hAnsi="Arial"/>
          <w:sz w:val="15"/>
          <w:szCs w:val="15"/>
          <w:color w:val="auto"/>
        </w:rPr>
        <w:t>” means the lawful currency of Switzerland.</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Syndicated</w:t>
      </w:r>
      <w:r>
        <w:rPr>
          <w:rFonts w:ascii="Arial" w:cs="Arial" w:eastAsia="Arial" w:hAnsi="Arial"/>
          <w:sz w:val="13"/>
          <w:szCs w:val="13"/>
          <w:color w:val="auto"/>
        </w:rPr>
        <w:t>”, when used in reference to any Loan or Borrowing, refers to whether such Loan, or the Loans constituting such Borrowing, are made pursuant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to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137"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TARGET Day</w:t>
      </w:r>
      <w:r>
        <w:rPr>
          <w:rFonts w:ascii="Arial" w:cs="Arial" w:eastAsia="Arial" w:hAnsi="Arial"/>
          <w:sz w:val="15"/>
          <w:szCs w:val="15"/>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54" w:name="page155"/>
    <w:bookmarkEnd w:id="154"/>
    <w:p>
      <w:pPr>
        <w:ind w:left="4"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Taxes</w:t>
      </w:r>
      <w:r>
        <w:rPr>
          <w:rFonts w:ascii="Arial" w:cs="Arial" w:eastAsia="Arial" w:hAnsi="Arial"/>
          <w:sz w:val="15"/>
          <w:szCs w:val="15"/>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15"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SOFR</w:t>
      </w:r>
      <w:r>
        <w:rPr>
          <w:rFonts w:ascii="Arial" w:cs="Arial" w:eastAsia="Arial" w:hAnsi="Arial"/>
          <w:sz w:val="15"/>
          <w:szCs w:val="15"/>
          <w:color w:val="auto"/>
        </w:rPr>
        <w:t>” means,</w:t>
      </w:r>
    </w:p>
    <w:p>
      <w:pPr>
        <w:spacing w:after="0" w:line="149" w:lineRule="exact"/>
        <w:rPr>
          <w:sz w:val="20"/>
          <w:szCs w:val="20"/>
          <w:color w:val="auto"/>
        </w:rPr>
      </w:pPr>
    </w:p>
    <w:p>
      <w:pPr>
        <w:jc w:val="both"/>
        <w:ind w:left="4" w:firstLine="1733"/>
        <w:spacing w:after="0"/>
        <w:tabs>
          <w:tab w:leader="none" w:pos="2363" w:val="left"/>
        </w:tabs>
        <w:numPr>
          <w:ilvl w:val="1"/>
          <w:numId w:val="84"/>
        </w:numPr>
        <w:rPr>
          <w:rFonts w:ascii="Arial" w:cs="Arial" w:eastAsia="Arial" w:hAnsi="Arial"/>
          <w:sz w:val="15"/>
          <w:szCs w:val="15"/>
          <w:color w:val="auto"/>
        </w:rPr>
      </w:pPr>
      <w:r>
        <w:rPr>
          <w:rFonts w:ascii="Arial" w:cs="Arial" w:eastAsia="Arial" w:hAnsi="Arial"/>
          <w:sz w:val="15"/>
          <w:szCs w:val="15"/>
          <w:color w:val="auto"/>
        </w:rPr>
        <w:t>for any calculation with respect to a Term SOFR Loan for any Interest Period, the sum of (i) RFR Applicable Credit Adjustment Spread for Term SOFR Loans and (ii) the Term SOFR Reference Rate for a tenor comparable to the applicable Interest Period on the day (such day, the “</w:t>
      </w:r>
      <w:r>
        <w:rPr>
          <w:rFonts w:ascii="Arial" w:cs="Arial" w:eastAsia="Arial" w:hAnsi="Arial"/>
          <w:sz w:val="15"/>
          <w:szCs w:val="15"/>
          <w:u w:val="single" w:color="auto"/>
          <w:color w:val="auto"/>
        </w:rPr>
        <w:t>Periodic Term SOFR Determination Day</w:t>
      </w:r>
      <w:r>
        <w:rPr>
          <w:rFonts w:ascii="Arial" w:cs="Arial" w:eastAsia="Arial" w:hAnsi="Arial"/>
          <w:sz w:val="15"/>
          <w:szCs w:val="15"/>
          <w:color w:val="auto"/>
        </w:rPr>
        <w:t xml:space="preserve">”) that is two (2) U.S. Government Securities Business Days prior to the first day of such Interest Period, as such rate is published by the Term SOFR Administrator; </w:t>
      </w:r>
      <w:r>
        <w:rPr>
          <w:rFonts w:ascii="Arial" w:cs="Arial" w:eastAsia="Arial" w:hAnsi="Arial"/>
          <w:sz w:val="15"/>
          <w:szCs w:val="15"/>
          <w:u w:val="single" w:color="auto"/>
          <w:color w:val="auto"/>
        </w:rPr>
        <w:t>provided</w:t>
      </w:r>
      <w:r>
        <w:rPr>
          <w:rFonts w:ascii="Arial" w:cs="Arial" w:eastAsia="Arial" w:hAnsi="Arial"/>
          <w:sz w:val="15"/>
          <w:szCs w:val="15"/>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32" w:lineRule="exact"/>
        <w:rPr>
          <w:rFonts w:ascii="Arial" w:cs="Arial" w:eastAsia="Arial" w:hAnsi="Arial"/>
          <w:sz w:val="15"/>
          <w:szCs w:val="15"/>
          <w:color w:val="auto"/>
        </w:rPr>
      </w:pPr>
    </w:p>
    <w:p>
      <w:pPr>
        <w:ind w:left="2364" w:hanging="627"/>
        <w:spacing w:after="0"/>
        <w:tabs>
          <w:tab w:leader="none" w:pos="2364" w:val="left"/>
        </w:tabs>
        <w:numPr>
          <w:ilvl w:val="1"/>
          <w:numId w:val="84"/>
        </w:numPr>
        <w:rPr>
          <w:rFonts w:ascii="Arial" w:cs="Arial" w:eastAsia="Arial" w:hAnsi="Arial"/>
          <w:sz w:val="14"/>
          <w:szCs w:val="14"/>
          <w:color w:val="auto"/>
        </w:rPr>
      </w:pPr>
      <w:r>
        <w:rPr>
          <w:rFonts w:ascii="Arial" w:cs="Arial" w:eastAsia="Arial" w:hAnsi="Arial"/>
          <w:sz w:val="14"/>
          <w:szCs w:val="14"/>
          <w:color w:val="auto"/>
        </w:rPr>
        <w:t>for any calculation with respect to an ABR Loan on any day, the sum of (i) RFR Applicable Credit Adjustment Spread for Term SOFR Loans and</w:t>
      </w:r>
    </w:p>
    <w:p>
      <w:pPr>
        <w:spacing w:after="0" w:line="21" w:lineRule="exact"/>
        <w:rPr>
          <w:rFonts w:ascii="Arial" w:cs="Arial" w:eastAsia="Arial" w:hAnsi="Arial"/>
          <w:sz w:val="14"/>
          <w:szCs w:val="14"/>
          <w:color w:val="auto"/>
        </w:rPr>
      </w:pPr>
    </w:p>
    <w:p>
      <w:pPr>
        <w:jc w:val="both"/>
        <w:ind w:left="4" w:hanging="4"/>
        <w:spacing w:after="0" w:line="258" w:lineRule="auto"/>
        <w:tabs>
          <w:tab w:leader="none" w:pos="23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Term SOFR Reference Rate for a tenor of one month on the day (such day, the “</w:t>
      </w:r>
      <w:r>
        <w:rPr>
          <w:rFonts w:ascii="Arial" w:cs="Arial" w:eastAsia="Arial" w:hAnsi="Arial"/>
          <w:sz w:val="14"/>
          <w:szCs w:val="14"/>
          <w:u w:val="single" w:color="auto"/>
          <w:color w:val="auto"/>
        </w:rPr>
        <w:t>Base Rate Term SOFR Determination Day</w:t>
      </w:r>
      <w:r>
        <w:rPr>
          <w:rFonts w:ascii="Arial" w:cs="Arial" w:eastAsia="Arial" w:hAnsi="Arial"/>
          <w:sz w:val="14"/>
          <w:szCs w:val="14"/>
          <w:color w:val="auto"/>
        </w:rPr>
        <w:t xml:space="preserve">”) that is two (2) U.S. Government Securities Business Days prior to such day, as such rate is published by the Term SOFR Administrator;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22" w:lineRule="exact"/>
        <w:rPr>
          <w:sz w:val="20"/>
          <w:szCs w:val="20"/>
          <w:color w:val="auto"/>
        </w:rPr>
      </w:pPr>
    </w:p>
    <w:p>
      <w:pPr>
        <w:ind w:left="4" w:right="20"/>
        <w:spacing w:after="0" w:line="262"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Term SOFR determined as provided above (including pursuant to the proviso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above) shall ever be less than zero, then Term SOFR shall be deemed to be zero.</w:t>
      </w:r>
    </w:p>
    <w:p>
      <w:pPr>
        <w:spacing w:after="0" w:line="115" w:lineRule="exact"/>
        <w:rPr>
          <w:sz w:val="20"/>
          <w:szCs w:val="20"/>
          <w:color w:val="auto"/>
        </w:rPr>
      </w:pPr>
    </w:p>
    <w:p>
      <w:pPr>
        <w:ind w:left="4" w:right="20" w:firstLine="869"/>
        <w:spacing w:after="0" w:line="262" w:lineRule="auto"/>
        <w:rPr>
          <w:sz w:val="20"/>
          <w:szCs w:val="20"/>
          <w:color w:val="auto"/>
        </w:rPr>
      </w:pPr>
      <w:r>
        <w:rPr>
          <w:rFonts w:ascii="Arial" w:cs="Arial" w:eastAsia="Arial" w:hAnsi="Arial"/>
          <w:sz w:val="15"/>
          <w:szCs w:val="15"/>
          <w:color w:val="auto"/>
        </w:rPr>
        <w:t>When used in reference to any Loan or Borrowing, “Term SOFR Loan” or “Term SOFR Borrowing”, as applicable, refers to whether such Loan, or the Loans constituting such Borrowing, are bearing interest at a rate determined by reference to Term SOFR.</w:t>
      </w:r>
    </w:p>
    <w:p>
      <w:pPr>
        <w:spacing w:after="0" w:line="115" w:lineRule="exact"/>
        <w:rPr>
          <w:sz w:val="20"/>
          <w:szCs w:val="20"/>
          <w:color w:val="auto"/>
        </w:rPr>
      </w:pPr>
    </w:p>
    <w:p>
      <w:pPr>
        <w:ind w:left="4"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SOFR Administrator</w:t>
      </w:r>
      <w:r>
        <w:rPr>
          <w:rFonts w:ascii="Arial" w:cs="Arial" w:eastAsia="Arial" w:hAnsi="Arial"/>
          <w:sz w:val="15"/>
          <w:szCs w:val="15"/>
          <w:color w:val="auto"/>
        </w:rPr>
        <w:t>” shall mean the CME Group Benchmark Administration Limited (CBA) (or a successor administrator of the Term SOFR Reference Rate selected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55" w:name="page156"/>
    <w:bookmarkEnd w:id="155"/>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SOFR Reference Rate</w:t>
      </w:r>
      <w:r>
        <w:rPr>
          <w:rFonts w:ascii="Arial" w:cs="Arial" w:eastAsia="Arial" w:hAnsi="Arial"/>
          <w:sz w:val="14"/>
          <w:szCs w:val="14"/>
          <w:color w:val="auto"/>
        </w:rPr>
        <w:t>” shall mean the rate per annum determined by the Administrative Agent as the forward-looking term rate based on SOFR.</w:t>
      </w:r>
    </w:p>
    <w:p>
      <w:pPr>
        <w:spacing w:after="0" w:line="160"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Termination Date</w:t>
      </w:r>
      <w:r>
        <w:rPr>
          <w:rFonts w:ascii="Arial" w:cs="Arial" w:eastAsia="Arial" w:hAnsi="Arial"/>
          <w:sz w:val="15"/>
          <w:szCs w:val="15"/>
          <w:color w:val="auto"/>
        </w:rPr>
        <w:t xml:space="preserve">” means the earliest to occur of (i) the Extended Final Maturity Date, (ii) the date of the termination of the Commitments in full pursuant to </w:t>
      </w:r>
      <w:r>
        <w:rPr>
          <w:rFonts w:ascii="Arial" w:cs="Arial" w:eastAsia="Arial" w:hAnsi="Arial"/>
          <w:sz w:val="15"/>
          <w:szCs w:val="15"/>
          <w:u w:val="single" w:color="auto"/>
          <w:color w:val="auto"/>
        </w:rPr>
        <w:t>Section 2.08(c)</w:t>
      </w:r>
      <w:r>
        <w:rPr>
          <w:rFonts w:ascii="Arial" w:cs="Arial" w:eastAsia="Arial" w:hAnsi="Arial"/>
          <w:sz w:val="15"/>
          <w:szCs w:val="15"/>
          <w:color w:val="auto"/>
        </w:rPr>
        <w:t xml:space="preserve">, or (iii) the date on which the Commitments are terminated pursuant to </w:t>
      </w:r>
      <w:r>
        <w:rPr>
          <w:rFonts w:ascii="Arial" w:cs="Arial" w:eastAsia="Arial" w:hAnsi="Arial"/>
          <w:sz w:val="15"/>
          <w:szCs w:val="15"/>
          <w:u w:val="single" w:color="auto"/>
          <w:color w:val="auto"/>
        </w:rPr>
        <w:t>Article VII</w:t>
      </w:r>
      <w:r>
        <w:rPr>
          <w:rFonts w:ascii="Arial" w:cs="Arial" w:eastAsia="Arial" w:hAnsi="Arial"/>
          <w:sz w:val="15"/>
          <w:szCs w:val="15"/>
          <w:color w:val="auto"/>
        </w:rPr>
        <w:t>.</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Testing Period</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5.12(b)(ii)(E)(x)</w:t>
      </w:r>
      <w:r>
        <w:rPr>
          <w:rFonts w:ascii="Arial" w:cs="Arial" w:eastAsia="Arial" w:hAnsi="Arial"/>
          <w:sz w:val="15"/>
          <w:szCs w:val="15"/>
          <w:color w:val="auto"/>
        </w:rPr>
        <w: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Testing Quarter</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5.12(b)(ii)(B)</w:t>
      </w:r>
      <w:r>
        <w:rPr>
          <w:rFonts w:ascii="Arial" w:cs="Arial" w:eastAsia="Arial" w:hAnsi="Arial"/>
          <w:sz w:val="15"/>
          <w:szCs w:val="15"/>
          <w:color w:val="auto"/>
        </w:rPr>
        <w:t>.</w:t>
      </w:r>
    </w:p>
    <w:p>
      <w:pPr>
        <w:spacing w:after="0" w:line="14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Total Assets</w:t>
      </w:r>
      <w:r>
        <w:rPr>
          <w:rFonts w:ascii="Arial" w:cs="Arial" w:eastAsia="Arial" w:hAnsi="Arial"/>
          <w:sz w:val="15"/>
          <w:szCs w:val="15"/>
          <w:color w:val="auto"/>
        </w:rPr>
        <w:t>” means, as of any date of determination, the value of the total assets of the Obligors on a consolidated basis, less all liabilities and indebtedness not represented by senior securities, in each case, as of such date of determination.</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Total Assets Concentration Limitation</w:t>
      </w:r>
      <w:r>
        <w:rPr>
          <w:rFonts w:ascii="Arial" w:cs="Arial" w:eastAsia="Arial" w:hAnsi="Arial"/>
          <w:sz w:val="15"/>
          <w:szCs w:val="15"/>
          <w:color w:val="auto"/>
        </w:rPr>
        <w:t>” means, as of any date of determination, the amount by which the aggregate value of Equity Interests in Financing Subsidiaries held by the Obligors as of such date of determination exceeds 10% of the Total Assets as of such date of determination.</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Total Secured Debt</w:t>
      </w:r>
      <w:r>
        <w:rPr>
          <w:rFonts w:ascii="Arial" w:cs="Arial" w:eastAsia="Arial" w:hAnsi="Arial"/>
          <w:sz w:val="15"/>
          <w:szCs w:val="15"/>
          <w:color w:val="auto"/>
        </w:rPr>
        <w:t>” means, as of any date of determination, the aggregate amount of senior securities representing secured indebtedness of the Obligors as of such date of determination.</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Transactions</w:t>
      </w:r>
      <w:r>
        <w:rPr>
          <w:rFonts w:ascii="Arial" w:cs="Arial" w:eastAsia="Arial" w:hAnsi="Arial"/>
          <w:sz w:val="15"/>
          <w:szCs w:val="15"/>
          <w:color w:val="auto"/>
        </w:rPr>
        <w:t>” means the execution, delivery and performance by the Borrower of this Agreement and the other Loan Documents, the borrowing of Loans, the use of the proceeds thereof and the issuance of Letters of Credit hereunder.</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Truist</w:t>
      </w:r>
      <w:r>
        <w:rPr>
          <w:rFonts w:ascii="Arial" w:cs="Arial" w:eastAsia="Arial" w:hAnsi="Arial"/>
          <w:sz w:val="15"/>
          <w:szCs w:val="15"/>
          <w:color w:val="auto"/>
        </w:rPr>
        <w:t>” means Truist Bank.</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Twelfth Amendment Effective Date</w:t>
      </w:r>
      <w:r>
        <w:rPr>
          <w:rFonts w:ascii="Arial" w:cs="Arial" w:eastAsia="Arial" w:hAnsi="Arial"/>
          <w:sz w:val="15"/>
          <w:szCs w:val="15"/>
          <w:color w:val="auto"/>
        </w:rPr>
        <w:t>” means April 25, 2022.</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Type</w:t>
      </w:r>
      <w:r>
        <w:rPr>
          <w:rFonts w:ascii="Arial" w:cs="Arial" w:eastAsia="Arial" w:hAnsi="Arial"/>
          <w:sz w:val="15"/>
          <w:szCs w:val="15"/>
          <w:color w:val="auto"/>
        </w:rPr>
        <w:t>”, when used in reference to any Loan or Borrowing, refers to whether the rate of interest on such Loan, or on the Loans constituting such Borrowing, is determined by reference to the Eurocurrency Rate, Term SOFR, the Daily Simple RFR or the Alternate Base Rate.</w:t>
      </w:r>
    </w:p>
    <w:p>
      <w:pPr>
        <w:spacing w:after="0" w:line="115"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Financial Institution</w:t>
      </w:r>
      <w:r>
        <w:rPr>
          <w:rFonts w:ascii="Arial" w:cs="Arial" w:eastAsia="Arial" w:hAnsi="Arial"/>
          <w:sz w:val="14"/>
          <w:szCs w:val="14"/>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UK Resolution Authority</w:t>
      </w:r>
      <w:r>
        <w:rPr>
          <w:rFonts w:ascii="Arial" w:cs="Arial" w:eastAsia="Arial" w:hAnsi="Arial"/>
          <w:sz w:val="14"/>
          <w:szCs w:val="14"/>
          <w:color w:val="auto"/>
        </w:rPr>
        <w:t>” means the Bank of England or any other public administrative authority having responsibility for the resolution of any UK</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227330</wp:posOffset>
            </wp:positionV>
            <wp:extent cx="721106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56" w:name="page157"/>
    <w:bookmarkEnd w:id="156"/>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Unadjusted Benchmark Replacement</w:t>
      </w:r>
      <w:r>
        <w:rPr>
          <w:rFonts w:ascii="Arial" w:cs="Arial" w:eastAsia="Arial" w:hAnsi="Arial"/>
          <w:sz w:val="14"/>
          <w:szCs w:val="14"/>
          <w:color w:val="auto"/>
        </w:rPr>
        <w:t>” means the applicable Benchmark Replacement excluding the related Benchmark Replacement Adjustment.</w:t>
      </w:r>
    </w:p>
    <w:p>
      <w:pPr>
        <w:spacing w:after="0" w:line="160"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Undisclosed Administration</w:t>
      </w:r>
      <w:r>
        <w:rPr>
          <w:rFonts w:ascii="Arial" w:cs="Arial" w:eastAsia="Arial" w:hAnsi="Arial"/>
          <w:sz w:val="15"/>
          <w:szCs w:val="15"/>
          <w:color w:val="auto"/>
        </w:rPr>
        <w:t>” means, in relation to a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Uniform Commercial Code</w:t>
      </w:r>
      <w:r>
        <w:rPr>
          <w:rFonts w:ascii="Arial" w:cs="Arial" w:eastAsia="Arial" w:hAnsi="Arial"/>
          <w:sz w:val="15"/>
          <w:szCs w:val="15"/>
          <w:color w:val="auto"/>
        </w:rPr>
        <w:t>” means the Uniform Commercial Code as in effect from time to time in the State of New York.</w:t>
      </w:r>
    </w:p>
    <w:p>
      <w:pPr>
        <w:spacing w:after="0" w:line="14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Unsecured Longer-Term Indebtedness</w:t>
      </w:r>
      <w:r>
        <w:rPr>
          <w:rFonts w:ascii="Arial" w:cs="Arial" w:eastAsia="Arial" w:hAnsi="Arial"/>
          <w:sz w:val="14"/>
          <w:szCs w:val="14"/>
          <w:color w:val="auto"/>
        </w:rPr>
        <w:t>” means any Indebtedness of an Obligor (which may be Guaranteed by Subsidiary Guarantors) that (a) has no amortization prior to, and a final maturity date not earlier than, six months after the Extended Final Maturity Date (it being understood that (A) none of: (w) the conversion features under convertible notes; (x) the triggering and/or settlement thereof or (y) any cash payment made in respect thereof, shall constitute “amortization” for purposes of this clause (a); and (B) any mandatory amortization that is contingent upon the happening of an event that is not certain to occur (including a change of control or bankruptcy) shall not in and of itself be deemed to disqualify such Indebtedness under this clause (a)), (b) is incurred pursuant to documentation that is substantially comparable to market terms for substantially similar debt of other similarly situated borrowers as determined by the Borrower in its reasonable judgment and (c) is not secured by any assets of any Obligor.</w:t>
      </w:r>
    </w:p>
    <w:p>
      <w:pPr>
        <w:spacing w:after="0" w:line="118"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Unsecured Shorter-Term Indebtedness</w:t>
      </w:r>
      <w:r>
        <w:rPr>
          <w:rFonts w:ascii="Arial" w:cs="Arial" w:eastAsia="Arial" w:hAnsi="Arial"/>
          <w:sz w:val="15"/>
          <w:szCs w:val="15"/>
          <w:color w:val="auto"/>
        </w:rPr>
        <w:t xml:space="preserve">” means, collectively, (a) any Indebtedness of an Obligor that is not secured by any assets of any Obligor and that does not constitute Unsecured Longer-Term Indebtedness and (b) any Indebtedness that is designated as “Unsecured Shorter-Term Indebtedness” pursuant to </w:t>
      </w:r>
      <w:r>
        <w:rPr>
          <w:rFonts w:ascii="Arial" w:cs="Arial" w:eastAsia="Arial" w:hAnsi="Arial"/>
          <w:sz w:val="15"/>
          <w:szCs w:val="15"/>
          <w:u w:val="single" w:color="auto"/>
          <w:color w:val="auto"/>
        </w:rPr>
        <w:t>Section 6.11(a)</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Unsecured Shorter-Term Indebtedness shall not include any Indebtedness permitted pursuant to </w:t>
      </w:r>
      <w:r>
        <w:rPr>
          <w:rFonts w:ascii="Arial" w:cs="Arial" w:eastAsia="Arial" w:hAnsi="Arial"/>
          <w:sz w:val="15"/>
          <w:szCs w:val="15"/>
          <w:u w:val="single" w:color="auto"/>
          <w:color w:val="auto"/>
        </w:rPr>
        <w:t>Section 6.01(l)</w:t>
      </w:r>
      <w:r>
        <w:rPr>
          <w:rFonts w:ascii="Arial" w:cs="Arial" w:eastAsia="Arial" w:hAnsi="Arial"/>
          <w:sz w:val="15"/>
          <w:szCs w:val="15"/>
          <w:color w:val="auto"/>
        </w:rPr>
        <w:t>.</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Unquoted Investments</w:t>
      </w:r>
      <w:r>
        <w:rPr>
          <w:rFonts w:ascii="Arial" w:cs="Arial" w:eastAsia="Arial" w:hAnsi="Arial"/>
          <w:sz w:val="15"/>
          <w:szCs w:val="15"/>
          <w:color w:val="auto"/>
        </w:rPr>
        <w:t xml:space="preserve">” means a Portfolio Investment with a value assigned by the Borrower pursuant to </w:t>
      </w:r>
      <w:r>
        <w:rPr>
          <w:rFonts w:ascii="Arial" w:cs="Arial" w:eastAsia="Arial" w:hAnsi="Arial"/>
          <w:sz w:val="15"/>
          <w:szCs w:val="15"/>
          <w:u w:val="single" w:color="auto"/>
          <w:color w:val="auto"/>
        </w:rPr>
        <w:t>Section 5.12(b)(ii)(B)</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Government Securities</w:t>
      </w:r>
      <w:r>
        <w:rPr>
          <w:rFonts w:ascii="Arial" w:cs="Arial" w:eastAsia="Arial" w:hAnsi="Arial"/>
          <w:sz w:val="15"/>
          <w:szCs w:val="15"/>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25" w:lineRule="exact"/>
        <w:rPr>
          <w:sz w:val="20"/>
          <w:szCs w:val="20"/>
          <w:color w:val="auto"/>
        </w:rPr>
      </w:pPr>
    </w:p>
    <w:p>
      <w:pPr>
        <w:jc w:val="both"/>
        <w:ind w:firstLine="1737"/>
        <w:spacing w:after="0" w:line="33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Government Securities Business Day</w:t>
      </w:r>
      <w:r>
        <w:rPr>
          <w:rFonts w:ascii="Arial" w:cs="Arial" w:eastAsia="Arial" w:hAnsi="Arial"/>
          <w:sz w:val="13"/>
          <w:szCs w:val="13"/>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6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Person</w:t>
      </w:r>
      <w:r>
        <w:rPr>
          <w:rFonts w:ascii="Arial" w:cs="Arial" w:eastAsia="Arial" w:hAnsi="Arial"/>
          <w:sz w:val="15"/>
          <w:szCs w:val="15"/>
          <w:color w:val="auto"/>
        </w:rPr>
        <w:t>” means any Person that is a “United States Person” as defined in Section 7701(a)(30) of the Code.</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Value</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5.13</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57" w:name="page158"/>
    <w:bookmarkEnd w:id="157"/>
    <w:p>
      <w:pPr>
        <w:jc w:val="both"/>
        <w:ind w:left="4"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Withdrawal Liability</w:t>
      </w:r>
      <w:r>
        <w:rPr>
          <w:rFonts w:ascii="Arial" w:cs="Arial" w:eastAsia="Arial" w:hAnsi="Arial"/>
          <w:sz w:val="15"/>
          <w:szCs w:val="15"/>
          <w:color w:val="auto"/>
        </w:rPr>
        <w:t>” means liability to a Multiemployer Plan as a result of a complete or partial withdrawal from such Multiemployer Plan, as such terms are defined in Part I of Subtitle E of Title IV of ERISA.</w:t>
      </w:r>
    </w:p>
    <w:p>
      <w:pPr>
        <w:spacing w:after="0" w:line="115"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Write-Down and Conversion Powers</w:t>
      </w:r>
      <w:r>
        <w:rPr>
          <w:rFonts w:ascii="Arial" w:cs="Arial" w:eastAsia="Arial" w:hAnsi="Arial"/>
          <w:sz w:val="14"/>
          <w:szCs w:val="14"/>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1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1.02.</w:t>
      </w:r>
      <w:r>
        <w:rPr>
          <w:sz w:val="20"/>
          <w:szCs w:val="20"/>
          <w:color w:val="auto"/>
        </w:rPr>
        <w:tab/>
      </w:r>
      <w:r>
        <w:rPr>
          <w:rFonts w:ascii="Arial" w:cs="Arial" w:eastAsia="Arial" w:hAnsi="Arial"/>
          <w:sz w:val="14"/>
          <w:szCs w:val="14"/>
          <w:u w:val="single" w:color="auto"/>
          <w:color w:val="auto"/>
        </w:rPr>
        <w:t>Classification of Loans and Borrowings</w:t>
      </w:r>
    </w:p>
    <w:p>
      <w:pPr>
        <w:spacing w:after="0" w:line="149" w:lineRule="exact"/>
        <w:rPr>
          <w:sz w:val="20"/>
          <w:szCs w:val="20"/>
          <w:color w:val="auto"/>
        </w:rPr>
      </w:pPr>
    </w:p>
    <w:p>
      <w:pPr>
        <w:jc w:val="both"/>
        <w:ind w:left="4" w:hanging="4"/>
        <w:spacing w:after="0" w:line="245" w:lineRule="auto"/>
        <w:tabs>
          <w:tab w:leader="none" w:pos="143" w:val="left"/>
        </w:tabs>
        <w:numPr>
          <w:ilvl w:val="0"/>
          <w:numId w:val="86"/>
        </w:numPr>
        <w:rPr>
          <w:rFonts w:ascii="Arial" w:cs="Arial" w:eastAsia="Arial" w:hAnsi="Arial"/>
          <w:sz w:val="15"/>
          <w:szCs w:val="15"/>
          <w:color w:val="auto"/>
        </w:rPr>
      </w:pPr>
      <w:r>
        <w:rPr>
          <w:rFonts w:ascii="Arial" w:cs="Arial" w:eastAsia="Arial" w:hAnsi="Arial"/>
          <w:sz w:val="15"/>
          <w:szCs w:val="15"/>
          <w:color w:val="auto"/>
        </w:rPr>
        <w:t>For purposes of this Agreement, Loans may be classified and referred to by Class (e.g., a “Syndicated Dollar Loan” or “Syndicated Multicurrency Loan”), by Type (e.g., an “ABR Loan”) or by Class and Type (e.g., a “Syndicated Multicurrency Eurocurrency Loan”). Borrowings also may be classified and referred to by Class (e.g., a “Dollar Borrowing”, “Multicurrency Borrowing” or “Syndicated Borrowing”), by Type (e.g., an “ABR Borrowing”) or by Class and Type (e.g., a “Syndicated ABR Borrowing” or “Syndicated Multicurrency Eurocurrency Borrowing”). Loans and Borrowings may also be identified by Currency.</w:t>
      </w:r>
    </w:p>
    <w:p>
      <w:pPr>
        <w:spacing w:after="0" w:line="12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1.03.</w:t>
      </w:r>
      <w:r>
        <w:rPr>
          <w:sz w:val="20"/>
          <w:szCs w:val="20"/>
          <w:color w:val="auto"/>
        </w:rPr>
        <w:tab/>
      </w:r>
      <w:r>
        <w:rPr>
          <w:rFonts w:ascii="Arial" w:cs="Arial" w:eastAsia="Arial" w:hAnsi="Arial"/>
          <w:sz w:val="13"/>
          <w:szCs w:val="13"/>
          <w:u w:val="single" w:color="auto"/>
          <w:color w:val="auto"/>
        </w:rPr>
        <w:t>Terms Generally</w:t>
      </w:r>
    </w:p>
    <w:p>
      <w:pPr>
        <w:spacing w:after="0" w:line="149" w:lineRule="exact"/>
        <w:rPr>
          <w:sz w:val="20"/>
          <w:szCs w:val="20"/>
          <w:color w:val="auto"/>
        </w:rPr>
      </w:pPr>
    </w:p>
    <w:p>
      <w:pPr>
        <w:jc w:val="both"/>
        <w:ind w:left="4" w:hanging="4"/>
        <w:spacing w:after="0" w:line="275" w:lineRule="auto"/>
        <w:tabs>
          <w:tab w:leader="none" w:pos="173"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w:t>
      </w:r>
    </w:p>
    <w:p>
      <w:pPr>
        <w:spacing w:after="0" w:line="4" w:lineRule="exact"/>
        <w:rPr>
          <w:rFonts w:ascii="Arial" w:cs="Arial" w:eastAsia="Arial" w:hAnsi="Arial"/>
          <w:sz w:val="13"/>
          <w:szCs w:val="13"/>
          <w:color w:val="auto"/>
        </w:rPr>
      </w:pPr>
    </w:p>
    <w:p>
      <w:pPr>
        <w:jc w:val="both"/>
        <w:ind w:left="4" w:right="20"/>
        <w:spacing w:after="0" w:line="262" w:lineRule="auto"/>
        <w:rPr>
          <w:rFonts w:ascii="Arial" w:cs="Arial" w:eastAsia="Arial" w:hAnsi="Arial"/>
          <w:sz w:val="13"/>
          <w:szCs w:val="13"/>
          <w:color w:val="auto"/>
        </w:rPr>
      </w:pPr>
      <w:r>
        <w:rPr>
          <w:rFonts w:ascii="Arial" w:cs="Arial" w:eastAsia="Arial" w:hAnsi="Arial"/>
          <w:sz w:val="14"/>
          <w:szCs w:val="14"/>
          <w:color w:val="auto"/>
        </w:rPr>
        <w:t>(e) the words “asset” and “property” shall be construed to have the same meaning and effect and to refer to any and all tangible and intangible assets and properties, including cash, securities, accounts and contract rights. Any reference herein to a merger, amalgamation, consolidation, or similar term, shall be deemed to apply to a division of or by a limited liability company, or an allocation of assets to a series of a limited liability company (or the unwinding of such a division or allocation), as if it were a merger, amalgamation, consolidation or similar term, as applicable, to, of or with a separate Person. Any division of a limited liability company shall constitute a separate Person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214630</wp:posOffset>
            </wp:positionV>
            <wp:extent cx="7211060"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58" w:name="page159"/>
    <w:bookmarkEnd w:id="158"/>
    <w:p>
      <w:pPr>
        <w:ind w:left="4"/>
        <w:spacing w:after="0"/>
        <w:rPr>
          <w:sz w:val="20"/>
          <w:szCs w:val="20"/>
          <w:color w:val="auto"/>
        </w:rPr>
      </w:pPr>
      <w:r>
        <w:rPr>
          <w:rFonts w:ascii="Arial" w:cs="Arial" w:eastAsia="Arial" w:hAnsi="Arial"/>
          <w:sz w:val="15"/>
          <w:szCs w:val="15"/>
          <w:color w:val="auto"/>
        </w:rPr>
        <w:t>(and each division of any limited liability company that is a Subsidiary, joint venture or any other like term shall also constitute such a Person or entity).</w:t>
      </w:r>
    </w:p>
    <w:p>
      <w:pPr>
        <w:spacing w:after="0" w:line="14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1.04.</w:t>
      </w:r>
      <w:r>
        <w:rPr>
          <w:sz w:val="20"/>
          <w:szCs w:val="20"/>
          <w:color w:val="auto"/>
        </w:rPr>
        <w:tab/>
      </w:r>
      <w:r>
        <w:rPr>
          <w:rFonts w:ascii="Arial" w:cs="Arial" w:eastAsia="Arial" w:hAnsi="Arial"/>
          <w:sz w:val="14"/>
          <w:szCs w:val="14"/>
          <w:u w:val="single" w:color="auto"/>
          <w:color w:val="auto"/>
        </w:rPr>
        <w:t>Accounting Terms; GAAP</w:t>
      </w:r>
    </w:p>
    <w:p>
      <w:pPr>
        <w:spacing w:after="0" w:line="149" w:lineRule="exact"/>
        <w:rPr>
          <w:sz w:val="20"/>
          <w:szCs w:val="20"/>
          <w:color w:val="auto"/>
        </w:rPr>
      </w:pPr>
    </w:p>
    <w:p>
      <w:pPr>
        <w:ind w:left="124" w:hanging="124"/>
        <w:spacing w:after="0"/>
        <w:tabs>
          <w:tab w:leader="none" w:pos="124" w:val="left"/>
        </w:tabs>
        <w:numPr>
          <w:ilvl w:val="0"/>
          <w:numId w:val="88"/>
        </w:numPr>
        <w:rPr>
          <w:rFonts w:ascii="Arial" w:cs="Arial" w:eastAsia="Arial" w:hAnsi="Arial"/>
          <w:sz w:val="13"/>
          <w:szCs w:val="13"/>
          <w:color w:val="auto"/>
        </w:rPr>
      </w:pPr>
      <w:r>
        <w:rPr>
          <w:rFonts w:ascii="Arial" w:cs="Arial" w:eastAsia="Arial" w:hAnsi="Arial"/>
          <w:sz w:val="13"/>
          <w:szCs w:val="13"/>
          <w:color w:val="auto"/>
        </w:rPr>
        <w:t xml:space="preserve">Except as otherwise expressly provided herein, all terms of an accounting or financial nature shall be construed in accordance with GAAP, as in effect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32" w:lineRule="exact"/>
        <w:rPr>
          <w:rFonts w:ascii="Arial" w:cs="Arial" w:eastAsia="Arial" w:hAnsi="Arial"/>
          <w:sz w:val="13"/>
          <w:szCs w:val="13"/>
          <w:color w:val="auto"/>
        </w:rPr>
      </w:pPr>
    </w:p>
    <w:p>
      <w:pPr>
        <w:jc w:val="both"/>
        <w:ind w:left="4"/>
        <w:spacing w:after="0" w:line="255" w:lineRule="auto"/>
        <w:rPr>
          <w:rFonts w:ascii="Arial" w:cs="Arial" w:eastAsia="Arial" w:hAnsi="Arial"/>
          <w:sz w:val="13"/>
          <w:szCs w:val="13"/>
          <w:color w:val="auto"/>
        </w:rPr>
      </w:pPr>
      <w:r>
        <w:rPr>
          <w:rFonts w:ascii="Arial" w:cs="Arial" w:eastAsia="Arial" w:hAnsi="Arial"/>
          <w:sz w:val="14"/>
          <w:szCs w:val="14"/>
          <w:color w:val="auto"/>
        </w:rPr>
        <w:t>(a)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(b) all leases that are or would have been treated as operating leases for purposes of GAAP prior to the issuance on February 25, 2016 of the Accounting Standards Update (the “</w:t>
      </w:r>
      <w:r>
        <w:rPr>
          <w:rFonts w:ascii="Arial" w:cs="Arial" w:eastAsia="Arial" w:hAnsi="Arial"/>
          <w:sz w:val="14"/>
          <w:szCs w:val="14"/>
          <w:u w:val="single" w:color="auto"/>
          <w:color w:val="auto"/>
        </w:rPr>
        <w:t>ASU</w:t>
      </w:r>
      <w:r>
        <w:rPr>
          <w:rFonts w:ascii="Arial" w:cs="Arial" w:eastAsia="Arial" w:hAnsi="Arial"/>
          <w:sz w:val="14"/>
          <w:szCs w:val="14"/>
          <w:color w:val="auto"/>
        </w:rPr>
        <w:t>”) shall continue to be accounted for as operating leases for purposes of all financial definitions and calculations for purposes of the Loan Documents (whether or not such operating lease obligations were in effect on such date) notwithstanding the fact that such obligations are required in accordance with the ASU (on a prospective or retroactive basis or otherwise) to be treated as capitalized lease obligations in the financial statements to be delivered pursuant to the Loan Documents. The Borrower covenants and agrees with the Lenders that whether or not the Borrower may at any time adopt Financial Accounting Standard No. 159 (or successor standard solely as it relates to fair valuing liabilities) or accounts for liabilities acquired in an acquisition on a fair value basis pursuant to Financial Accounting Standard No. 141(R) (or successor standard solely as it relates to fair valuing liabilities), all determinations of compliance with the terms and conditions of this Agreement shall be made on the basis that the Borrower has not adopted Financial Accounting Standard No. 159 (or such successor standard solely as it relates to fair valuing liabilities) or, in the case of liabilities acquired in an acquisition, Financial Accounting Standard No. 141(R) (or such successor standard solely as it relates to fair valuing liabilities).</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1.05.</w:t>
            </w:r>
          </w:p>
        </w:tc>
        <w:tc>
          <w:tcPr>
            <w:tcW w:w="1300" w:type="dxa"/>
            <w:vAlign w:val="bottom"/>
          </w:tcPr>
          <w:p>
            <w:pPr>
              <w:spacing w:after="0"/>
              <w:rPr>
                <w:sz w:val="14"/>
                <w:szCs w:val="14"/>
                <w:color w:val="auto"/>
              </w:rPr>
            </w:pPr>
          </w:p>
        </w:tc>
        <w:tc>
          <w:tcPr>
            <w:tcW w:w="6720" w:type="dxa"/>
            <w:vAlign w:val="bottom"/>
            <w:gridSpan w:val="3"/>
          </w:tcPr>
          <w:p>
            <w:pPr>
              <w:ind w:left="300"/>
              <w:spacing w:after="0"/>
              <w:rPr>
                <w:sz w:val="20"/>
                <w:szCs w:val="20"/>
                <w:color w:val="auto"/>
              </w:rPr>
            </w:pPr>
            <w:r>
              <w:rPr>
                <w:rFonts w:ascii="Arial" w:cs="Arial" w:eastAsia="Arial" w:hAnsi="Arial"/>
                <w:sz w:val="15"/>
                <w:szCs w:val="15"/>
                <w:color w:val="auto"/>
              </w:rPr>
              <w:t>Currencies; Currency Equivalents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3"/>
              </w:rPr>
              <w:t>Currencies Generally. At any time, any reference in the definition of the term “Agreed Foreign Currency” or in any other provision</w:t>
            </w:r>
          </w:p>
        </w:tc>
      </w:tr>
      <w:tr>
        <w:trPr>
          <w:trHeight w:val="20"/>
        </w:trPr>
        <w:tc>
          <w:tcPr>
            <w:tcW w:w="3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41" w:lineRule="auto"/>
        <w:rPr>
          <w:sz w:val="20"/>
          <w:szCs w:val="20"/>
          <w:color w:val="auto"/>
        </w:rPr>
      </w:pPr>
      <w:r>
        <w:rPr>
          <w:rFonts w:ascii="Arial" w:cs="Arial" w:eastAsia="Arial" w:hAnsi="Arial"/>
          <w:sz w:val="15"/>
          <w:szCs w:val="15"/>
          <w:color w:val="auto"/>
        </w:rPr>
        <w:t xml:space="preserve">of this Agreement to the Currency of any particular nation means the lawful currency of such nation at such time whether or not the name of such Currency is the same as it was on the date hereof. Except as provided in </w:t>
      </w:r>
      <w:r>
        <w:rPr>
          <w:rFonts w:ascii="Arial" w:cs="Arial" w:eastAsia="Arial" w:hAnsi="Arial"/>
          <w:sz w:val="15"/>
          <w:szCs w:val="15"/>
          <w:u w:val="single" w:color="auto"/>
          <w:color w:val="auto"/>
        </w:rPr>
        <w:t>Section 2.10(b)</w:t>
      </w:r>
      <w:r>
        <w:rPr>
          <w:rFonts w:ascii="Arial" w:cs="Arial" w:eastAsia="Arial" w:hAnsi="Arial"/>
          <w:sz w:val="15"/>
          <w:szCs w:val="15"/>
          <w:color w:val="auto"/>
        </w:rPr>
        <w:t xml:space="preserve"> and the last sentence of </w:t>
      </w:r>
      <w:r>
        <w:rPr>
          <w:rFonts w:ascii="Arial" w:cs="Arial" w:eastAsia="Arial" w:hAnsi="Arial"/>
          <w:sz w:val="15"/>
          <w:szCs w:val="15"/>
          <w:u w:val="single" w:color="auto"/>
          <w:color w:val="auto"/>
        </w:rPr>
        <w:t>Section 2.17(a)</w:t>
      </w:r>
      <w:r>
        <w:rPr>
          <w:rFonts w:ascii="Arial" w:cs="Arial" w:eastAsia="Arial" w:hAnsi="Arial"/>
          <w:sz w:val="15"/>
          <w:szCs w:val="15"/>
          <w:color w:val="auto"/>
        </w:rPr>
        <w:t>, for purposes of determining (i) whether the amount of any Borrowing or Letter of Credit under the Multicurrency Commitments, together with all other Borrowings and Letters of Credit under the Multicurrency Commitments then outstanding or to be borrowed at the same time as such Borrowing, would exceed the aggregate amount of the Multicurrency Commitments, (ii) the aggregate unutilized amount of the Multicurrency Commitments, (iii) the Revolving Credit Exposure, (iv) the Multicurrency LC Exposure, (v) the Covered Debt Amount and (vi) the Borrowing Base or the Value or the fair market value of any Portfolio Investment, the outstanding principal amount of any Borrowing or Letter of Credit that is denominated in any Foreign Currency or the Value or the fair market value of any Portfolio Investment that is denominated in any Foreign Currency shall be deemed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222885</wp:posOffset>
            </wp:positionV>
            <wp:extent cx="721106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59" w:name="page160"/>
    <w:bookmarkEnd w:id="159"/>
    <w:p>
      <w:pPr>
        <w:jc w:val="both"/>
        <w:ind w:left="4"/>
        <w:spacing w:after="0" w:line="241" w:lineRule="auto"/>
        <w:rPr>
          <w:sz w:val="20"/>
          <w:szCs w:val="20"/>
          <w:color w:val="auto"/>
        </w:rPr>
      </w:pPr>
      <w:r>
        <w:rPr>
          <w:rFonts w:ascii="Arial" w:cs="Arial" w:eastAsia="Arial" w:hAnsi="Arial"/>
          <w:sz w:val="15"/>
          <w:szCs w:val="15"/>
          <w:color w:val="auto"/>
        </w:rPr>
        <w:t xml:space="preserve">the Dollar Equivalent of the amount of the Foreign Currency of such Borrowing, Letter of Credit or Portfolio Investment, as the case may be, determined as of the date of such Borrowing or Letter of Credit (determined in accordance with the last sentence of the definition of the term “Interest Period”) or the date of valuation of such Portfolio Investment, as the case may be. Wherever in this Agreement in connection with a Borrowing or Loan an amount, such as a required minimum or multiple amount, is expressed in Dollars, but such Borrowing or Loan is denominated in a Foreign Currency, such amount shall be the relevant Foreign Currency Equivalent of such Dollar amount (rounded to the nearest 1,000 units of such Foreign Currency). Notwithstanding the foregoing, for purposes of determining compliance with any basket in </w:t>
      </w:r>
      <w:r>
        <w:rPr>
          <w:rFonts w:ascii="Arial" w:cs="Arial" w:eastAsia="Arial" w:hAnsi="Arial"/>
          <w:sz w:val="15"/>
          <w:szCs w:val="15"/>
          <w:u w:val="single" w:color="auto"/>
          <w:color w:val="auto"/>
        </w:rPr>
        <w:t>Sections 6.03(g)</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6.04(f)</w:t>
      </w:r>
      <w:r>
        <w:rPr>
          <w:rFonts w:ascii="Arial" w:cs="Arial" w:eastAsia="Arial" w:hAnsi="Arial"/>
          <w:sz w:val="15"/>
          <w:szCs w:val="15"/>
          <w:color w:val="auto"/>
        </w:rPr>
        <w:t>, in no event shall the Borrower or any Obligor be deemed to not be in compliance with any such basket solely as a result of a change in exchange rates.</w:t>
      </w:r>
    </w:p>
    <w:p>
      <w:pPr>
        <w:spacing w:after="0" w:line="133" w:lineRule="exact"/>
        <w:rPr>
          <w:sz w:val="20"/>
          <w:szCs w:val="20"/>
          <w:color w:val="auto"/>
        </w:rPr>
      </w:pPr>
    </w:p>
    <w:p>
      <w:pPr>
        <w:jc w:val="both"/>
        <w:ind w:left="4" w:firstLine="1737"/>
        <w:spacing w:after="0" w:line="259"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Special Provisions Relating to Euro</w:t>
      </w:r>
      <w:r>
        <w:rPr>
          <w:rFonts w:ascii="Arial" w:cs="Arial" w:eastAsia="Arial" w:hAnsi="Arial"/>
          <w:sz w:val="14"/>
          <w:szCs w:val="14"/>
          <w:color w:val="auto"/>
        </w:rPr>
        <w:t xml:space="preserve">. Each obligation hereunder of any party hereto that is denominated in the National Currency of a state that is not a Participating Member State on the date hereof shall, effective from the date on which such state becomes a Participating Member State, be redenominated in Euro in accordance with the legislation of the European Union applicable to the European Monetary Union;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and to the extent that any such legislation provides that any such obligation of any such party payable within such Participating Member State by crediting an account of the creditor can be paid by the debtor either in Euros or such National Currency, such party shall be entitled to pay or repay such amount either in Euros or in such National Currency. If the basis of accrual of interest or fees expressed in this Agreement with respect to an Agreed Foreign Currency of any country that becomes a Participating Member State after the date on which such currency becomes an Agreed Foreign Currency shall be inconsistent with any convention or practice in the interbank market for the basis of accrual of interest or fees in respect of the Euro, such convention or practice shall replace such expressed basis effective as of and from the date on which such state becomes a Participating Member State;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any Borrowing denominated in such currency that is outstanding immediately prior to such date, such replacement shall take effect at the end of the Interest Period therefor.</w:t>
      </w:r>
    </w:p>
    <w:p>
      <w:pPr>
        <w:spacing w:after="0" w:line="119" w:lineRule="exact"/>
        <w:rPr>
          <w:sz w:val="20"/>
          <w:szCs w:val="20"/>
          <w:color w:val="auto"/>
        </w:rPr>
      </w:pPr>
    </w:p>
    <w:p>
      <w:pPr>
        <w:jc w:val="both"/>
        <w:ind w:left="4" w:firstLine="869"/>
        <w:spacing w:after="0" w:line="243" w:lineRule="auto"/>
        <w:rPr>
          <w:sz w:val="20"/>
          <w:szCs w:val="20"/>
          <w:color w:val="auto"/>
        </w:rPr>
      </w:pPr>
      <w:r>
        <w:rPr>
          <w:rFonts w:ascii="Arial" w:cs="Arial" w:eastAsia="Arial" w:hAnsi="Arial"/>
          <w:sz w:val="15"/>
          <w:szCs w:val="15"/>
          <w:color w:val="auto"/>
        </w:rPr>
        <w:t xml:space="preserve">Without prejudice to the respective liabilities of the Borrower to the Lenders and the Lenders to the Borrower under or pursuant to this Agreement, each provision of this Agreement shall be subject to such reasonable changes of construction as the Administrative Agent may from time to time, in consultation with the Borrower, reasonably specify to be necessary or appropriate to reflect the introduction or changeover to the Euro in any country that becomes a Participating Member State after the date 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shall provide the Borrower and the Lenders with prior notice of the proposed change with an explanation of such change in sufficient time to permit the Borrower and the Lenders an opportunity to respond to such proposed change.</w:t>
      </w:r>
    </w:p>
    <w:p>
      <w:pPr>
        <w:spacing w:after="0" w:line="12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1.06.</w:t>
      </w:r>
      <w:r>
        <w:rPr>
          <w:sz w:val="20"/>
          <w:szCs w:val="20"/>
          <w:color w:val="auto"/>
        </w:rPr>
        <w:tab/>
      </w:r>
      <w:r>
        <w:rPr>
          <w:rFonts w:ascii="Arial" w:cs="Arial" w:eastAsia="Arial" w:hAnsi="Arial"/>
          <w:sz w:val="13"/>
          <w:szCs w:val="13"/>
          <w:u w:val="single" w:color="auto"/>
          <w:color w:val="auto"/>
        </w:rPr>
        <w:t>Rates</w:t>
      </w:r>
    </w:p>
    <w:p>
      <w:pPr>
        <w:spacing w:after="0" w:line="149" w:lineRule="exact"/>
        <w:rPr>
          <w:sz w:val="20"/>
          <w:szCs w:val="20"/>
          <w:color w:val="auto"/>
        </w:rPr>
      </w:pPr>
    </w:p>
    <w:p>
      <w:pPr>
        <w:jc w:val="both"/>
        <w:ind w:left="4" w:hanging="4"/>
        <w:spacing w:after="0" w:line="245" w:lineRule="auto"/>
        <w:tabs>
          <w:tab w:leader="none" w:pos="156"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Administrative Agent does not warrant or accept responsibility for, and shall not have any liability with respect to (a) the continuation of, administration of, submission of, calculation of or any other matter related to the Alternate Base Rate, the Daily Simple RFR, Term SOFR or Eurocurrency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221615</wp:posOffset>
            </wp:positionV>
            <wp:extent cx="7211060"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60" w:name="page161"/>
    <w:bookmarkEnd w:id="160"/>
    <w:p>
      <w:pPr>
        <w:jc w:val="both"/>
        <w:ind w:left="4" w:right="20"/>
        <w:spacing w:after="0" w:line="260" w:lineRule="auto"/>
        <w:rPr>
          <w:sz w:val="20"/>
          <w:szCs w:val="20"/>
          <w:color w:val="auto"/>
        </w:rPr>
      </w:pPr>
      <w:r>
        <w:rPr>
          <w:rFonts w:ascii="Arial" w:cs="Arial" w:eastAsia="Arial" w:hAnsi="Arial"/>
          <w:sz w:val="14"/>
          <w:szCs w:val="14"/>
          <w:color w:val="auto"/>
        </w:rPr>
        <w:t>Replacement) will be similar to, or produce the same value or economic equivalence of, or have the same volume or liquidity as, the Alternate Base Rate, the Daily Simple RFR, Term SOFR, the Eurocurrency Rate or any other Benchmark prior to its discontinuance or unavailability, or (b) the effect, implementation or composition of any Conforming Changes. The Administrative Agent and its affiliates or other related entities may engage in transactions that affect the calculation of the Alternate Base Rate, the Daily Simple RFR, Term SOFR, the Eurocurrency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the Daily Simple RFR, Term SOFR, the Eurocurrency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by any such information source or service of any such rate (or component thereof).</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120" w:type="dxa"/>
            <w:vAlign w:val="bottom"/>
            <w:gridSpan w:val="3"/>
          </w:tcPr>
          <w:p>
            <w:pPr>
              <w:jc w:val="center"/>
              <w:ind w:right="5160"/>
              <w:spacing w:after="0"/>
              <w:rPr>
                <w:sz w:val="20"/>
                <w:szCs w:val="20"/>
                <w:color w:val="auto"/>
              </w:rPr>
            </w:pPr>
            <w:r>
              <w:rPr>
                <w:rFonts w:ascii="Arial" w:cs="Arial" w:eastAsia="Arial" w:hAnsi="Arial"/>
                <w:sz w:val="15"/>
                <w:szCs w:val="15"/>
                <w:color w:val="auto"/>
              </w:rPr>
              <w:t>ARTICLE II</w:t>
            </w:r>
          </w:p>
        </w:tc>
      </w:tr>
      <w:tr>
        <w:trPr>
          <w:trHeight w:val="306"/>
        </w:trPr>
        <w:tc>
          <w:tcPr>
            <w:tcW w:w="3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gridSpan w:val="3"/>
          </w:tcPr>
          <w:p>
            <w:pPr>
              <w:jc w:val="center"/>
              <w:ind w:right="5160"/>
              <w:spacing w:after="0"/>
              <w:rPr>
                <w:sz w:val="20"/>
                <w:szCs w:val="20"/>
                <w:color w:val="auto"/>
              </w:rPr>
            </w:pPr>
            <w:r>
              <w:rPr>
                <w:rFonts w:ascii="Arial" w:cs="Arial" w:eastAsia="Arial" w:hAnsi="Arial"/>
                <w:sz w:val="15"/>
                <w:szCs w:val="15"/>
                <w:color w:val="auto"/>
                <w:w w:val="95"/>
              </w:rPr>
              <w:t>THE CREDITS</w:t>
            </w:r>
          </w:p>
        </w:tc>
      </w:tr>
      <w:tr>
        <w:trPr>
          <w:trHeight w:val="20"/>
        </w:trPr>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301"/>
        </w:trPr>
        <w:tc>
          <w:tcPr>
            <w:tcW w:w="3240" w:type="dxa"/>
            <w:vAlign w:val="bottom"/>
          </w:tcPr>
          <w:p>
            <w:pPr>
              <w:ind w:left="1740"/>
              <w:spacing w:after="0"/>
              <w:rPr>
                <w:sz w:val="20"/>
                <w:szCs w:val="20"/>
                <w:color w:val="auto"/>
              </w:rPr>
            </w:pPr>
            <w:r>
              <w:rPr>
                <w:rFonts w:ascii="Arial" w:cs="Arial" w:eastAsia="Arial" w:hAnsi="Arial"/>
                <w:sz w:val="15"/>
                <w:szCs w:val="15"/>
                <w:color w:val="auto"/>
              </w:rPr>
              <w:t>SECTION 2.01.</w:t>
            </w:r>
          </w:p>
        </w:tc>
        <w:tc>
          <w:tcPr>
            <w:tcW w:w="8040" w:type="dxa"/>
            <w:vAlign w:val="bottom"/>
            <w:gridSpan w:val="5"/>
          </w:tcPr>
          <w:p>
            <w:pPr>
              <w:ind w:left="1620"/>
              <w:spacing w:after="0"/>
              <w:rPr>
                <w:sz w:val="20"/>
                <w:szCs w:val="20"/>
                <w:color w:val="auto"/>
              </w:rPr>
            </w:pPr>
            <w:r>
              <w:rPr>
                <w:rFonts w:ascii="Arial" w:cs="Arial" w:eastAsia="Arial" w:hAnsi="Arial"/>
                <w:sz w:val="15"/>
                <w:szCs w:val="15"/>
                <w:color w:val="auto"/>
              </w:rPr>
              <w:t>The Commitments</w:t>
            </w:r>
          </w:p>
        </w:tc>
      </w:tr>
      <w:tr>
        <w:trPr>
          <w:trHeight w:val="336"/>
        </w:trPr>
        <w:tc>
          <w:tcPr>
            <w:tcW w:w="3240" w:type="dxa"/>
            <w:vAlign w:val="bottom"/>
          </w:tcPr>
          <w:p>
            <w:pPr>
              <w:spacing w:after="0"/>
              <w:rPr>
                <w:sz w:val="20"/>
                <w:szCs w:val="20"/>
                <w:color w:val="auto"/>
              </w:rPr>
            </w:pPr>
            <w:r>
              <w:rPr>
                <w:rFonts w:ascii="Arial" w:cs="Arial" w:eastAsia="Arial" w:hAnsi="Arial"/>
                <w:sz w:val="15"/>
                <w:szCs w:val="15"/>
                <w:color w:val="auto"/>
                <w:w w:val="91"/>
              </w:rPr>
              <w:t>. Subject to the terms and conditions set forth herein:</w:t>
            </w:r>
          </w:p>
        </w:tc>
        <w:tc>
          <w:tcPr>
            <w:tcW w:w="16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13"/>
        </w:trPr>
        <w:tc>
          <w:tcPr>
            <w:tcW w:w="324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5"/>
          </w:tcPr>
          <w:p>
            <w:pPr>
              <w:ind w:left="20"/>
              <w:spacing w:after="0"/>
              <w:rPr>
                <w:sz w:val="20"/>
                <w:szCs w:val="20"/>
                <w:color w:val="auto"/>
              </w:rPr>
            </w:pPr>
            <w:r>
              <w:rPr>
                <w:rFonts w:ascii="Arial" w:cs="Arial" w:eastAsia="Arial" w:hAnsi="Arial"/>
                <w:sz w:val="15"/>
                <w:szCs w:val="15"/>
                <w:color w:val="auto"/>
                <w:w w:val="95"/>
              </w:rPr>
              <w:t>each Dollar Lender severally agrees to make Syndicated Loans in Dollars to the Borrower from time to time during such Dollar</w:t>
            </w:r>
          </w:p>
        </w:tc>
      </w:tr>
    </w:tbl>
    <w:p>
      <w:pPr>
        <w:ind w:left="4"/>
        <w:spacing w:after="0"/>
        <w:rPr>
          <w:sz w:val="20"/>
          <w:szCs w:val="20"/>
          <w:color w:val="auto"/>
        </w:rPr>
      </w:pPr>
      <w:r>
        <w:rPr>
          <w:rFonts w:ascii="Arial" w:cs="Arial" w:eastAsia="Arial" w:hAnsi="Arial"/>
          <w:sz w:val="14"/>
          <w:szCs w:val="14"/>
          <w:color w:val="auto"/>
        </w:rPr>
        <w:t>Lender’s Availability Period in an aggregate principal amount that will not result in (i) such Lender’s Revolving Dollar Credit Exposure exceeding such Lender’s Dollar Commitment,</w:t>
      </w:r>
    </w:p>
    <w:p>
      <w:pPr>
        <w:spacing w:after="0" w:line="9" w:lineRule="exact"/>
        <w:rPr>
          <w:sz w:val="20"/>
          <w:szCs w:val="20"/>
          <w:color w:val="auto"/>
        </w:rPr>
      </w:pPr>
    </w:p>
    <w:p>
      <w:pPr>
        <w:ind w:left="224" w:hanging="224"/>
        <w:spacing w:after="0"/>
        <w:tabs>
          <w:tab w:leader="none" w:pos="2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aggregate Revolving Dollar Credit Exposure of all of the Dollar Lenders with Dollar Commitments then in effect exceeding the aggregate Dollar Commitments at such time or</w:t>
      </w:r>
    </w:p>
    <w:p>
      <w:pPr>
        <w:spacing w:after="0" w:line="9" w:lineRule="exact"/>
        <w:rPr>
          <w:rFonts w:ascii="Arial" w:cs="Arial" w:eastAsia="Arial" w:hAnsi="Arial"/>
          <w:sz w:val="14"/>
          <w:szCs w:val="14"/>
          <w:color w:val="auto"/>
        </w:rPr>
      </w:pPr>
    </w:p>
    <w:p>
      <w:pPr>
        <w:ind w:left="264" w:hanging="264"/>
        <w:spacing w:after="0"/>
        <w:tabs>
          <w:tab w:leader="none" w:pos="264"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total Covered Debt Amount exceeding the Borrowing Base then in effect; and</w:t>
      </w:r>
    </w:p>
    <w:p>
      <w:pPr>
        <w:spacing w:after="0" w:line="137" w:lineRule="exact"/>
        <w:rPr>
          <w:sz w:val="20"/>
          <w:szCs w:val="20"/>
          <w:color w:val="auto"/>
        </w:rPr>
      </w:pPr>
    </w:p>
    <w:p>
      <w:pPr>
        <w:jc w:val="both"/>
        <w:ind w:left="4" w:right="20" w:firstLine="1737"/>
        <w:spacing w:after="0" w:line="243" w:lineRule="auto"/>
        <w:rPr>
          <w:sz w:val="20"/>
          <w:szCs w:val="20"/>
          <w:color w:val="auto"/>
        </w:rPr>
      </w:pPr>
      <w:r>
        <w:rPr>
          <w:rFonts w:ascii="Arial" w:cs="Arial" w:eastAsia="Arial" w:hAnsi="Arial"/>
          <w:sz w:val="15"/>
          <w:szCs w:val="15"/>
          <w:color w:val="auto"/>
        </w:rPr>
        <w:t>(b) each Multicurrency Lender severally agrees to make Syndicated Loans in Dollars and in Agreed Foreign Currencies to the Borrower from time to time during such Multicurrency Lender’s Availability Period in an aggregate principal amount that will not result in (i) such Lender’s Revolving Multicurrency Credit Exposure exceeding such Lender’s Multicurrency Commitment, (ii) the aggregate Revolving Multicurrency Credit Exposure of all of the Multicurrency Lenders with Multicurrency Commitments then in effect exceeding the aggregate Multicurrency Commitments at such time or (iii) the total Covered Debt Amount exceeding the Borrowing Base then in effect.</w:t>
      </w:r>
    </w:p>
    <w:p>
      <w:pPr>
        <w:spacing w:after="0" w:line="129" w:lineRule="exact"/>
        <w:rPr>
          <w:sz w:val="20"/>
          <w:szCs w:val="20"/>
          <w:color w:val="auto"/>
        </w:rPr>
      </w:pPr>
    </w:p>
    <w:p>
      <w:pPr>
        <w:ind w:left="1744"/>
        <w:spacing w:after="0"/>
        <w:rPr>
          <w:sz w:val="20"/>
          <w:szCs w:val="20"/>
          <w:color w:val="auto"/>
        </w:rPr>
      </w:pPr>
      <w:r>
        <w:rPr>
          <w:rFonts w:ascii="Arial" w:cs="Arial" w:eastAsia="Arial" w:hAnsi="Arial"/>
          <w:sz w:val="14"/>
          <w:szCs w:val="14"/>
          <w:color w:val="auto"/>
        </w:rPr>
        <w:t>Within the foregoing limits and subject to the terms and conditions set forth herein, the Borrower may borrow, prepay and reborrow Syndicated Loans.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000" w:type="dxa"/>
            <w:vAlign w:val="bottom"/>
          </w:tcPr>
          <w:p>
            <w:pPr>
              <w:ind w:left="1740"/>
              <w:spacing w:after="0"/>
              <w:rPr>
                <w:sz w:val="20"/>
                <w:szCs w:val="20"/>
                <w:color w:val="auto"/>
              </w:rPr>
            </w:pPr>
            <w:r>
              <w:rPr>
                <w:rFonts w:ascii="Arial" w:cs="Arial" w:eastAsia="Arial" w:hAnsi="Arial"/>
                <w:sz w:val="15"/>
                <w:szCs w:val="15"/>
                <w:color w:val="auto"/>
              </w:rPr>
              <w:t>SECTION 2.02.</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640" w:type="dxa"/>
            <w:vAlign w:val="bottom"/>
            <w:gridSpan w:val="3"/>
          </w:tcPr>
          <w:p>
            <w:pPr>
              <w:ind w:left="180"/>
              <w:spacing w:after="0"/>
              <w:rPr>
                <w:sz w:val="20"/>
                <w:szCs w:val="20"/>
                <w:color w:val="auto"/>
              </w:rPr>
            </w:pPr>
            <w:r>
              <w:rPr>
                <w:rFonts w:ascii="Arial" w:cs="Arial" w:eastAsia="Arial" w:hAnsi="Arial"/>
                <w:sz w:val="15"/>
                <w:szCs w:val="15"/>
                <w:color w:val="auto"/>
              </w:rPr>
              <w:t>Loans and Borrowings</w:t>
            </w:r>
          </w:p>
        </w:tc>
      </w:tr>
      <w:tr>
        <w:trPr>
          <w:trHeight w:val="336"/>
        </w:trPr>
        <w:tc>
          <w:tcPr>
            <w:tcW w:w="3000" w:type="dxa"/>
            <w:vAlign w:val="bottom"/>
          </w:tcPr>
          <w:p>
            <w:pP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87"/>
        </w:trPr>
        <w:tc>
          <w:tcPr>
            <w:tcW w:w="3000" w:type="dxa"/>
            <w:vAlign w:val="bottom"/>
          </w:tcPr>
          <w:p>
            <w:pPr>
              <w:ind w:left="1740"/>
              <w:spacing w:after="0"/>
              <w:rPr>
                <w:sz w:val="20"/>
                <w:szCs w:val="20"/>
                <w:color w:val="auto"/>
              </w:rPr>
            </w:pPr>
            <w:r>
              <w:rPr>
                <w:rFonts w:ascii="Arial" w:cs="Arial" w:eastAsia="Arial" w:hAnsi="Arial"/>
                <w:sz w:val="15"/>
                <w:szCs w:val="15"/>
                <w:color w:val="auto"/>
              </w:rPr>
              <w:t>(a)</w:t>
            </w:r>
          </w:p>
        </w:tc>
        <w:tc>
          <w:tcPr>
            <w:tcW w:w="8320" w:type="dxa"/>
            <w:vAlign w:val="bottom"/>
            <w:gridSpan w:val="5"/>
          </w:tcPr>
          <w:p>
            <w:pPr>
              <w:ind w:left="260"/>
              <w:spacing w:after="0"/>
              <w:rPr>
                <w:sz w:val="20"/>
                <w:szCs w:val="20"/>
                <w:color w:val="auto"/>
              </w:rPr>
            </w:pPr>
            <w:r>
              <w:rPr>
                <w:rFonts w:ascii="Arial" w:cs="Arial" w:eastAsia="Arial" w:hAnsi="Arial"/>
                <w:sz w:val="15"/>
                <w:szCs w:val="15"/>
                <w:color w:val="auto"/>
                <w:w w:val="96"/>
              </w:rPr>
              <w:t>Obligations of Lenders.  Each Syndicated Loan shall be made as part of a Borrowing consisting of Loans of the same Class of</w:t>
            </w:r>
          </w:p>
        </w:tc>
      </w:tr>
      <w:tr>
        <w:trPr>
          <w:trHeight w:val="185"/>
        </w:trPr>
        <w:tc>
          <w:tcPr>
            <w:tcW w:w="3000" w:type="dxa"/>
            <w:vAlign w:val="bottom"/>
          </w:tcPr>
          <w:p>
            <w:pPr>
              <w:spacing w:after="0"/>
              <w:rPr>
                <w:sz w:val="20"/>
                <w:szCs w:val="20"/>
                <w:color w:val="auto"/>
              </w:rPr>
            </w:pPr>
            <w:r>
              <w:rPr>
                <w:rFonts w:ascii="Arial" w:cs="Arial" w:eastAsia="Arial" w:hAnsi="Arial"/>
                <w:sz w:val="15"/>
                <w:szCs w:val="15"/>
                <w:color w:val="auto"/>
                <w:w w:val="99"/>
              </w:rPr>
              <w:t>Commitments (other than with respect to any</w:t>
            </w:r>
          </w:p>
        </w:tc>
        <w:tc>
          <w:tcPr>
            <w:tcW w:w="26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80" w:type="dxa"/>
            <w:vAlign w:val="bottom"/>
          </w:tcPr>
          <w:p>
            <w:pPr>
              <w:spacing w:after="0"/>
              <w:rPr>
                <w:sz w:val="16"/>
                <w:szCs w:val="16"/>
                <w:color w:val="auto"/>
              </w:rPr>
            </w:pPr>
          </w:p>
        </w:tc>
      </w:tr>
      <w:tr>
        <w:trPr>
          <w:trHeight w:val="372"/>
        </w:trPr>
        <w:tc>
          <w:tcPr>
            <w:tcW w:w="3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-24130</wp:posOffset>
            </wp:positionV>
            <wp:extent cx="31115"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-24130</wp:posOffset>
            </wp:positionV>
            <wp:extent cx="3111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4"/>
          </w:cols>
          <w:pgMar w:left="296" w:top="295" w:right="279" w:bottom="1440" w:gutter="0" w:footer="0" w:header="0"/>
        </w:sectPr>
      </w:pPr>
    </w:p>
    <w:bookmarkStart w:id="161" w:name="page162"/>
    <w:bookmarkEnd w:id="161"/>
    <w:p>
      <w:pPr>
        <w:jc w:val="both"/>
        <w:ind w:right="20"/>
        <w:spacing w:after="0" w:line="249" w:lineRule="auto"/>
        <w:rPr>
          <w:sz w:val="20"/>
          <w:szCs w:val="20"/>
          <w:color w:val="auto"/>
        </w:rPr>
      </w:pPr>
      <w:r>
        <w:rPr>
          <w:rFonts w:ascii="Arial" w:cs="Arial" w:eastAsia="Arial" w:hAnsi="Arial"/>
          <w:sz w:val="15"/>
          <w:szCs w:val="15"/>
          <w:color w:val="auto"/>
        </w:rPr>
        <w:t xml:space="preserve">Syndicated Loan requested pursuant to </w:t>
      </w:r>
      <w:r>
        <w:rPr>
          <w:rFonts w:ascii="Arial" w:cs="Arial" w:eastAsia="Arial" w:hAnsi="Arial"/>
          <w:sz w:val="15"/>
          <w:szCs w:val="15"/>
          <w:u w:val="single" w:color="auto"/>
          <w:color w:val="auto"/>
        </w:rPr>
        <w:t>Section 2.20</w:t>
      </w:r>
      <w:r>
        <w:rPr>
          <w:rFonts w:ascii="Arial" w:cs="Arial" w:eastAsia="Arial" w:hAnsi="Arial"/>
          <w:sz w:val="15"/>
          <w:szCs w:val="15"/>
          <w:color w:val="auto"/>
        </w:rPr>
        <w:t xml:space="preserve">), Currency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Commitments of the Lenders are several and no Lender shall be responsible for any other Lender’s failure to make Loans as required.</w:t>
      </w:r>
    </w:p>
    <w:p>
      <w:pPr>
        <w:spacing w:after="0" w:line="125"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Type of Loans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each Syndicated Borrowing of a Class shall be constituted entirely of ABR Loans, Term SOFR Loans, Daily Simple RFR Loans or of Eurocurrency Loans of such Class denominated in a single Currency as the Borrower may request in accordance herewith. Each ABR Loan shall be denominated in Dollars. Each Eurocurrency Loan shall be denominated in an Agreed Foreign Currency (other than Sterling and Swiss Francs). Each Term SOFR Loan shall be denominated in Dollars. Each Daily Simple RFR Loan shall be denominated in Sterling or Swiss Francs. Each Lender at its option may make any Eurocurrency Loan or RFR Loan by causing any domestic or foreign branch or Affiliate of such Lender to make such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exercise of such option shall not affect the obligation of the Borrower to repay such Loan in accordance with the terms of this Agreement.</w:t>
      </w:r>
    </w:p>
    <w:p>
      <w:pPr>
        <w:spacing w:after="0" w:line="133"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Minimum Amounts</w:t>
      </w:r>
      <w:r>
        <w:rPr>
          <w:rFonts w:ascii="Arial" w:cs="Arial" w:eastAsia="Arial" w:hAnsi="Arial"/>
          <w:sz w:val="15"/>
          <w:szCs w:val="15"/>
          <w:color w:val="auto"/>
        </w:rPr>
        <w:t xml:space="preserve">. Each Eurocurrency Borrowing and RFR Borrowing shall be in an aggregate amount of $1,000,000 or a larger multiple of $1,000,000, and each ABR Borrowing (whether a Syndicated Loan or a Swingline Loan) shall be in an aggregate amount of $1,000,000 or a larger multiple of $100,000;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Syndicated ABR Borrowing of a Class may be in an aggregate amount that is equal to the entire unused balance of the total Commitments of such Class or that is required to finance the reimbursement of an LC Disbursement of such Class as contemplated by </w:t>
      </w:r>
      <w:r>
        <w:rPr>
          <w:rFonts w:ascii="Arial" w:cs="Arial" w:eastAsia="Arial" w:hAnsi="Arial"/>
          <w:sz w:val="15"/>
          <w:szCs w:val="15"/>
          <w:u w:val="single" w:color="auto"/>
          <w:color w:val="auto"/>
        </w:rPr>
        <w:t>Section 2.05(f)</w:t>
      </w:r>
      <w:r>
        <w:rPr>
          <w:rFonts w:ascii="Arial" w:cs="Arial" w:eastAsia="Arial" w:hAnsi="Arial"/>
          <w:sz w:val="15"/>
          <w:szCs w:val="15"/>
          <w:color w:val="auto"/>
        </w:rPr>
        <w:t>. Borrowings of more than one Class, Currency and Type may be outstanding at the same time.</w:t>
      </w:r>
    </w:p>
    <w:p>
      <w:pPr>
        <w:spacing w:after="0" w:line="12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Limitations on Interest Periods</w:t>
      </w:r>
      <w:r>
        <w:rPr>
          <w:rFonts w:ascii="Arial" w:cs="Arial" w:eastAsia="Arial" w:hAnsi="Arial"/>
          <w:sz w:val="15"/>
          <w:szCs w:val="15"/>
          <w:color w:val="auto"/>
        </w:rPr>
        <w:t>. Notwithstanding any other provision of this Agreement, the Borrower shall not be entitled to request (or to elect to convert to or continue as a Eurocurrency Borrowing or RFR Borrowing) any Borrowing if the Interest Period requested therefor would end after the Final Maturity Date with respect to such Borrowing.</w:t>
      </w:r>
    </w:p>
    <w:p>
      <w:pPr>
        <w:spacing w:after="0" w:line="125"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Treatment of Classes</w:t>
      </w:r>
      <w:r>
        <w:rPr>
          <w:rFonts w:ascii="Arial" w:cs="Arial" w:eastAsia="Arial" w:hAnsi="Arial"/>
          <w:sz w:val="15"/>
          <w:szCs w:val="15"/>
          <w:color w:val="auto"/>
        </w:rPr>
        <w:t xml:space="preserve">. Notwithstanding anything to the contrary contained herein, with respect to each Syndicated Loan, Swingline Loan or Letter of Credit designated in Dollars (including any Loan requested pursuant to </w:t>
      </w:r>
      <w:r>
        <w:rPr>
          <w:rFonts w:ascii="Arial" w:cs="Arial" w:eastAsia="Arial" w:hAnsi="Arial"/>
          <w:sz w:val="15"/>
          <w:szCs w:val="15"/>
          <w:u w:val="single" w:color="auto"/>
          <w:color w:val="auto"/>
        </w:rPr>
        <w:t>Section 2.20</w:t>
      </w:r>
      <w:r>
        <w:rPr>
          <w:rFonts w:ascii="Arial" w:cs="Arial" w:eastAsia="Arial" w:hAnsi="Arial"/>
          <w:sz w:val="15"/>
          <w:szCs w:val="15"/>
          <w:color w:val="auto"/>
        </w:rPr>
        <w:t>), the Administrative Agent shall deem the Borrower to have requested that such Syndicated Loan, Swingline Loan or Letter of Credit be applied ratably to each of the Dollar Commitments and the Multicurrency Commitments, based upon the percentage of the aggregate Commitments represented by the Dollar Commitments and the Multicurrency Commitments, respectively.</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2.03.</w:t>
            </w:r>
          </w:p>
        </w:tc>
        <w:tc>
          <w:tcPr>
            <w:tcW w:w="1440" w:type="dxa"/>
            <w:vAlign w:val="bottom"/>
          </w:tcPr>
          <w:p>
            <w:pPr>
              <w:spacing w:after="0"/>
              <w:rPr>
                <w:sz w:val="14"/>
                <w:szCs w:val="14"/>
                <w:color w:val="auto"/>
              </w:rPr>
            </w:pPr>
          </w:p>
        </w:tc>
        <w:tc>
          <w:tcPr>
            <w:tcW w:w="6600" w:type="dxa"/>
            <w:vAlign w:val="bottom"/>
            <w:gridSpan w:val="3"/>
          </w:tcPr>
          <w:p>
            <w:pPr>
              <w:ind w:left="160"/>
              <w:spacing w:after="0"/>
              <w:rPr>
                <w:sz w:val="20"/>
                <w:szCs w:val="20"/>
                <w:color w:val="auto"/>
              </w:rPr>
            </w:pPr>
            <w:r>
              <w:rPr>
                <w:rFonts w:ascii="Arial" w:cs="Arial" w:eastAsia="Arial" w:hAnsi="Arial"/>
                <w:sz w:val="15"/>
                <w:szCs w:val="15"/>
                <w:color w:val="auto"/>
              </w:rPr>
              <w:t>Requests for Syndicated Borrowings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422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4"/>
          </w:tcPr>
          <w:p>
            <w:pPr>
              <w:spacing w:after="0"/>
              <w:rPr>
                <w:sz w:val="20"/>
                <w:szCs w:val="20"/>
                <w:color w:val="auto"/>
              </w:rPr>
            </w:pPr>
            <w:r>
              <w:rPr>
                <w:rFonts w:ascii="Arial" w:cs="Arial" w:eastAsia="Arial" w:hAnsi="Arial"/>
                <w:sz w:val="15"/>
                <w:szCs w:val="15"/>
                <w:color w:val="auto"/>
                <w:w w:val="93"/>
              </w:rPr>
              <w:t>Notice by the Borrower. To request a Syndicated Borrowing, the Borrower shall notify the Administrative Agent of such request by</w:t>
            </w:r>
          </w:p>
        </w:tc>
      </w:tr>
      <w:tr>
        <w:trPr>
          <w:trHeight w:val="20"/>
        </w:trPr>
        <w:tc>
          <w:tcPr>
            <w:tcW w:w="3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telephone (i) in the case of a Term SOFR Borrowing, not later than 11:00 a.m., New York City time, three Business Days before the date of the proposed Borrowing, (ii) in the case of a Eurocurrency Borrowing denominated in a Foreign Currency, not later than 11:00 a.m., New York City time, four Business Days before the date of the proposed Borrowing, (iii) in the case of a RFR Borrowing denominated in Sterling or Swiss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2" w:name="page163"/>
    <w:bookmarkEnd w:id="162"/>
    <w:p>
      <w:pPr>
        <w:jc w:val="both"/>
        <w:ind w:right="20"/>
        <w:spacing w:after="0" w:line="275" w:lineRule="auto"/>
        <w:rPr>
          <w:sz w:val="20"/>
          <w:szCs w:val="20"/>
          <w:color w:val="auto"/>
        </w:rPr>
      </w:pPr>
      <w:r>
        <w:rPr>
          <w:rFonts w:ascii="Arial" w:cs="Arial" w:eastAsia="Arial" w:hAnsi="Arial"/>
          <w:sz w:val="14"/>
          <w:szCs w:val="14"/>
          <w:color w:val="auto"/>
        </w:rPr>
        <w:t>Francs, not later than 11:00 a.m., New York City time, four Business Days before the date of the proposed Borrowing or (iv) in the case of a Syndicated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Borrower.</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1620" w:type="dxa"/>
            <w:vAlign w:val="bottom"/>
            <w:gridSpan w:val="2"/>
          </w:tcPr>
          <w:p>
            <w:pPr>
              <w:ind w:left="700"/>
              <w:spacing w:after="0"/>
              <w:rPr>
                <w:sz w:val="20"/>
                <w:szCs w:val="20"/>
                <w:color w:val="auto"/>
              </w:rPr>
            </w:pPr>
            <w:r>
              <w:rPr>
                <w:rFonts w:ascii="Arial" w:cs="Arial" w:eastAsia="Arial" w:hAnsi="Arial"/>
                <w:sz w:val="15"/>
                <w:szCs w:val="15"/>
                <w:color w:val="auto"/>
              </w:rPr>
              <w:t>(b)</w:t>
            </w:r>
          </w:p>
        </w:tc>
        <w:tc>
          <w:tcPr>
            <w:tcW w:w="620" w:type="dxa"/>
            <w:vAlign w:val="bottom"/>
          </w:tcPr>
          <w:p>
            <w:pPr>
              <w:spacing w:after="0"/>
              <w:rPr>
                <w:sz w:val="14"/>
                <w:szCs w:val="14"/>
                <w:color w:val="auto"/>
              </w:rPr>
            </w:pPr>
          </w:p>
        </w:tc>
        <w:tc>
          <w:tcPr>
            <w:tcW w:w="8020" w:type="dxa"/>
            <w:vAlign w:val="bottom"/>
            <w:gridSpan w:val="5"/>
          </w:tcPr>
          <w:p>
            <w:pPr>
              <w:spacing w:after="0"/>
              <w:rPr>
                <w:sz w:val="20"/>
                <w:szCs w:val="20"/>
                <w:color w:val="auto"/>
              </w:rPr>
            </w:pPr>
            <w:r>
              <w:rPr>
                <w:rFonts w:ascii="Arial" w:cs="Arial" w:eastAsia="Arial" w:hAnsi="Arial"/>
                <w:sz w:val="15"/>
                <w:szCs w:val="15"/>
                <w:color w:val="auto"/>
                <w:w w:val="99"/>
              </w:rPr>
              <w:t>Content of Borrowing Requests.  Each telephonic and written Borrowing Request shall specify the following information in</w:t>
            </w:r>
          </w:p>
        </w:tc>
      </w:tr>
      <w:tr>
        <w:trPr>
          <w:trHeight w:val="150"/>
        </w:trPr>
        <w:tc>
          <w:tcPr>
            <w:tcW w:w="2660" w:type="dxa"/>
            <w:vAlign w:val="bottom"/>
            <w:gridSpan w:val="3"/>
          </w:tcPr>
          <w:p>
            <w:pPr>
              <w:spacing w:after="0" w:line="150" w:lineRule="exact"/>
              <w:rPr>
                <w:sz w:val="20"/>
                <w:szCs w:val="20"/>
                <w:color w:val="auto"/>
              </w:rPr>
            </w:pPr>
            <w:r>
              <w:rPr>
                <w:rFonts w:ascii="Arial" w:cs="Arial" w:eastAsia="Arial" w:hAnsi="Arial"/>
                <w:sz w:val="15"/>
                <w:szCs w:val="15"/>
                <w:color w:val="auto"/>
              </w:rPr>
              <w:t>compliance with Section 2.02:</w:t>
            </w:r>
          </w:p>
        </w:tc>
        <w:tc>
          <w:tcPr>
            <w:tcW w:w="62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6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36"/>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(i)</w:t>
            </w:r>
          </w:p>
        </w:tc>
        <w:tc>
          <w:tcPr>
            <w:tcW w:w="8640" w:type="dxa"/>
            <w:vAlign w:val="bottom"/>
            <w:gridSpan w:val="6"/>
          </w:tcPr>
          <w:p>
            <w:pPr>
              <w:ind w:left="520"/>
              <w:spacing w:after="0"/>
              <w:rPr>
                <w:sz w:val="20"/>
                <w:szCs w:val="20"/>
                <w:color w:val="auto"/>
              </w:rPr>
            </w:pPr>
            <w:r>
              <w:rPr>
                <w:rFonts w:ascii="Arial" w:cs="Arial" w:eastAsia="Arial" w:hAnsi="Arial"/>
                <w:sz w:val="15"/>
                <w:szCs w:val="15"/>
                <w:color w:val="auto"/>
              </w:rPr>
              <w:t>whether such Borrowing is to be made under the Dollar Commitments or the Multicurrency Commitments;</w:t>
            </w:r>
          </w:p>
        </w:tc>
      </w:tr>
      <w:tr>
        <w:trPr>
          <w:trHeight w:val="321"/>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(ii)</w:t>
            </w:r>
          </w:p>
        </w:tc>
        <w:tc>
          <w:tcPr>
            <w:tcW w:w="8640" w:type="dxa"/>
            <w:vAlign w:val="bottom"/>
            <w:gridSpan w:val="6"/>
          </w:tcPr>
          <w:p>
            <w:pPr>
              <w:ind w:left="560"/>
              <w:spacing w:after="0"/>
              <w:rPr>
                <w:sz w:val="20"/>
                <w:szCs w:val="20"/>
                <w:color w:val="auto"/>
              </w:rPr>
            </w:pPr>
            <w:r>
              <w:rPr>
                <w:rFonts w:ascii="Arial" w:cs="Arial" w:eastAsia="Arial" w:hAnsi="Arial"/>
                <w:sz w:val="15"/>
                <w:szCs w:val="15"/>
                <w:color w:val="auto"/>
              </w:rPr>
              <w:t>the aggregate amount and Currency of the requested Borrowing;</w:t>
            </w:r>
          </w:p>
        </w:tc>
      </w:tr>
      <w:tr>
        <w:trPr>
          <w:trHeight w:val="321"/>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(iii)</w:t>
            </w:r>
          </w:p>
        </w:tc>
        <w:tc>
          <w:tcPr>
            <w:tcW w:w="8640" w:type="dxa"/>
            <w:vAlign w:val="bottom"/>
            <w:gridSpan w:val="6"/>
          </w:tcPr>
          <w:p>
            <w:pPr>
              <w:ind w:left="600"/>
              <w:spacing w:after="0"/>
              <w:rPr>
                <w:sz w:val="20"/>
                <w:szCs w:val="20"/>
                <w:color w:val="auto"/>
              </w:rPr>
            </w:pPr>
            <w:r>
              <w:rPr>
                <w:rFonts w:ascii="Arial" w:cs="Arial" w:eastAsia="Arial" w:hAnsi="Arial"/>
                <w:sz w:val="15"/>
                <w:szCs w:val="15"/>
                <w:color w:val="auto"/>
              </w:rPr>
              <w:t>the date of such Borrowing, which shall be a Business Day;</w:t>
            </w:r>
          </w:p>
        </w:tc>
      </w:tr>
      <w:tr>
        <w:trPr>
          <w:trHeight w:val="301"/>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(iv)</w:t>
            </w:r>
          </w:p>
        </w:tc>
        <w:tc>
          <w:tcPr>
            <w:tcW w:w="8640" w:type="dxa"/>
            <w:vAlign w:val="bottom"/>
            <w:gridSpan w:val="6"/>
          </w:tcPr>
          <w:p>
            <w:pPr>
              <w:ind w:left="580"/>
              <w:spacing w:after="0"/>
              <w:rPr>
                <w:sz w:val="20"/>
                <w:szCs w:val="20"/>
                <w:color w:val="auto"/>
              </w:rPr>
            </w:pPr>
            <w:r>
              <w:rPr>
                <w:rFonts w:ascii="Arial" w:cs="Arial" w:eastAsia="Arial" w:hAnsi="Arial"/>
                <w:sz w:val="15"/>
                <w:szCs w:val="15"/>
                <w:color w:val="auto"/>
                <w:w w:val="97"/>
              </w:rPr>
              <w:t>in the case of a Syndicated Borrowing denominated in Dollars, whether such Borrowing is to be an ABR Borrowing or a Term</w:t>
            </w:r>
          </w:p>
        </w:tc>
      </w:tr>
      <w:tr>
        <w:trPr>
          <w:trHeight w:val="191"/>
        </w:trPr>
        <w:tc>
          <w:tcPr>
            <w:tcW w:w="2660" w:type="dxa"/>
            <w:vAlign w:val="bottom"/>
            <w:gridSpan w:val="3"/>
          </w:tcPr>
          <w:p>
            <w:pPr>
              <w:ind w:left="860"/>
              <w:spacing w:after="0"/>
              <w:rPr>
                <w:sz w:val="20"/>
                <w:szCs w:val="20"/>
                <w:color w:val="auto"/>
              </w:rPr>
            </w:pPr>
            <w:r>
              <w:rPr>
                <w:rFonts w:ascii="Arial" w:cs="Arial" w:eastAsia="Arial" w:hAnsi="Arial"/>
                <w:sz w:val="15"/>
                <w:szCs w:val="15"/>
                <w:color w:val="auto"/>
              </w:rPr>
              <w:t>SOFR Borrowing;</w:t>
            </w: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301"/>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(v)</w:t>
            </w:r>
          </w:p>
        </w:tc>
        <w:tc>
          <w:tcPr>
            <w:tcW w:w="8640" w:type="dxa"/>
            <w:vAlign w:val="bottom"/>
            <w:gridSpan w:val="6"/>
          </w:tcPr>
          <w:p>
            <w:pPr>
              <w:ind w:left="540"/>
              <w:spacing w:after="0"/>
              <w:rPr>
                <w:sz w:val="20"/>
                <w:szCs w:val="20"/>
                <w:color w:val="auto"/>
              </w:rPr>
            </w:pPr>
            <w:r>
              <w:rPr>
                <w:rFonts w:ascii="Arial" w:cs="Arial" w:eastAsia="Arial" w:hAnsi="Arial"/>
                <w:sz w:val="15"/>
                <w:szCs w:val="15"/>
                <w:color w:val="auto"/>
                <w:w w:val="92"/>
              </w:rPr>
              <w:t>in the case of a Borrowing denominated in an Agreed Foreign Currency, whether such Borrowing is to be a Eurocurrency Borrowing</w:t>
            </w:r>
          </w:p>
        </w:tc>
      </w:tr>
      <w:tr>
        <w:trPr>
          <w:trHeight w:val="191"/>
        </w:trPr>
        <w:tc>
          <w:tcPr>
            <w:tcW w:w="2660" w:type="dxa"/>
            <w:vAlign w:val="bottom"/>
            <w:gridSpan w:val="3"/>
          </w:tcPr>
          <w:p>
            <w:pPr>
              <w:ind w:left="860"/>
              <w:spacing w:after="0"/>
              <w:rPr>
                <w:sz w:val="20"/>
                <w:szCs w:val="20"/>
                <w:color w:val="auto"/>
              </w:rPr>
            </w:pPr>
            <w:r>
              <w:rPr>
                <w:rFonts w:ascii="Arial" w:cs="Arial" w:eastAsia="Arial" w:hAnsi="Arial"/>
                <w:sz w:val="15"/>
                <w:szCs w:val="15"/>
                <w:color w:val="auto"/>
              </w:rPr>
              <w:t>or a RFR Borrowing;</w:t>
            </w: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301"/>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(vi)</w:t>
            </w:r>
          </w:p>
        </w:tc>
        <w:tc>
          <w:tcPr>
            <w:tcW w:w="8640" w:type="dxa"/>
            <w:vAlign w:val="bottom"/>
            <w:gridSpan w:val="6"/>
          </w:tcPr>
          <w:p>
            <w:pPr>
              <w:ind w:left="580"/>
              <w:spacing w:after="0"/>
              <w:rPr>
                <w:sz w:val="20"/>
                <w:szCs w:val="20"/>
                <w:color w:val="auto"/>
              </w:rPr>
            </w:pPr>
            <w:r>
              <w:rPr>
                <w:rFonts w:ascii="Arial" w:cs="Arial" w:eastAsia="Arial" w:hAnsi="Arial"/>
                <w:sz w:val="15"/>
                <w:szCs w:val="15"/>
                <w:color w:val="auto"/>
                <w:w w:val="94"/>
              </w:rPr>
              <w:t>in the case of a Eurocurrency Borrowing or RFR Borrowing, the Interest Period therefor, which shall be a period contemplated by</w:t>
            </w:r>
          </w:p>
        </w:tc>
      </w:tr>
      <w:tr>
        <w:trPr>
          <w:trHeight w:val="156"/>
        </w:trPr>
        <w:tc>
          <w:tcPr>
            <w:tcW w:w="11300" w:type="dxa"/>
            <w:vAlign w:val="bottom"/>
            <w:gridSpan w:val="9"/>
          </w:tcPr>
          <w:p>
            <w:pPr>
              <w:ind w:left="860"/>
              <w:spacing w:after="0" w:line="156" w:lineRule="exact"/>
              <w:rPr>
                <w:sz w:val="20"/>
                <w:szCs w:val="20"/>
                <w:color w:val="auto"/>
              </w:rPr>
            </w:pPr>
            <w:r>
              <w:rPr>
                <w:rFonts w:ascii="Arial" w:cs="Arial" w:eastAsia="Arial" w:hAnsi="Arial"/>
                <w:sz w:val="15"/>
                <w:szCs w:val="15"/>
                <w:color w:val="auto"/>
              </w:rPr>
              <w:t>the definition of the term “Interest Period” and permitted under Section 2.02(d); and</w:t>
            </w:r>
          </w:p>
        </w:tc>
      </w:tr>
      <w:tr>
        <w:trPr>
          <w:trHeight w:val="20"/>
        </w:trPr>
        <w:tc>
          <w:tcPr>
            <w:tcW w:w="10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336"/>
        </w:trPr>
        <w:tc>
          <w:tcPr>
            <w:tcW w:w="1040" w:type="dxa"/>
            <w:vAlign w:val="bottom"/>
          </w:tcPr>
          <w:p>
            <w:pPr>
              <w:spacing w:after="0"/>
              <w:rPr>
                <w:sz w:val="24"/>
                <w:szCs w:val="24"/>
                <w:color w:val="auto"/>
              </w:rPr>
            </w:pPr>
          </w:p>
        </w:tc>
        <w:tc>
          <w:tcPr>
            <w:tcW w:w="1620" w:type="dxa"/>
            <w:vAlign w:val="bottom"/>
            <w:gridSpan w:val="2"/>
          </w:tcPr>
          <w:p>
            <w:pPr>
              <w:ind w:left="620"/>
              <w:spacing w:after="0"/>
              <w:rPr>
                <w:sz w:val="20"/>
                <w:szCs w:val="20"/>
                <w:color w:val="auto"/>
              </w:rPr>
            </w:pPr>
            <w:r>
              <w:rPr>
                <w:rFonts w:ascii="Arial" w:cs="Arial" w:eastAsia="Arial" w:hAnsi="Arial"/>
                <w:sz w:val="15"/>
                <w:szCs w:val="15"/>
                <w:color w:val="auto"/>
              </w:rPr>
              <w:t>(vii)</w:t>
            </w:r>
          </w:p>
        </w:tc>
        <w:tc>
          <w:tcPr>
            <w:tcW w:w="62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Arial" w:cs="Arial" w:eastAsia="Arial" w:hAnsi="Arial"/>
                <w:sz w:val="15"/>
                <w:szCs w:val="15"/>
                <w:color w:val="auto"/>
              </w:rPr>
              <w:t>the location and number of the Borrower’s account to which funds are to be disbursed.</w:t>
            </w:r>
          </w:p>
        </w:tc>
      </w:tr>
      <w:tr>
        <w:trPr>
          <w:trHeight w:val="287"/>
        </w:trPr>
        <w:tc>
          <w:tcPr>
            <w:tcW w:w="1040" w:type="dxa"/>
            <w:vAlign w:val="bottom"/>
          </w:tcPr>
          <w:p>
            <w:pPr>
              <w:spacing w:after="0"/>
              <w:rPr>
                <w:sz w:val="24"/>
                <w:szCs w:val="24"/>
                <w:color w:val="auto"/>
              </w:rPr>
            </w:pPr>
          </w:p>
        </w:tc>
        <w:tc>
          <w:tcPr>
            <w:tcW w:w="1620" w:type="dxa"/>
            <w:vAlign w:val="bottom"/>
            <w:gridSpan w:val="2"/>
          </w:tcPr>
          <w:p>
            <w:pPr>
              <w:ind w:left="700"/>
              <w:spacing w:after="0"/>
              <w:rPr>
                <w:sz w:val="20"/>
                <w:szCs w:val="20"/>
                <w:color w:val="auto"/>
              </w:rPr>
            </w:pPr>
            <w:r>
              <w:rPr>
                <w:rFonts w:ascii="Arial" w:cs="Arial" w:eastAsia="Arial" w:hAnsi="Arial"/>
                <w:sz w:val="15"/>
                <w:szCs w:val="15"/>
                <w:color w:val="auto"/>
              </w:rPr>
              <w:t>(c)</w:t>
            </w:r>
          </w:p>
        </w:tc>
        <w:tc>
          <w:tcPr>
            <w:tcW w:w="62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Arial" w:cs="Arial" w:eastAsia="Arial" w:hAnsi="Arial"/>
                <w:sz w:val="15"/>
                <w:szCs w:val="15"/>
                <w:color w:val="auto"/>
                <w:w w:val="96"/>
              </w:rPr>
              <w:t>Notice by the Administrative Agent to the Lenders.  Promptly following receipt of a Borrowing Request in accordance with this</w:t>
            </w:r>
          </w:p>
        </w:tc>
      </w:tr>
      <w:tr>
        <w:trPr>
          <w:trHeight w:val="20"/>
        </w:trPr>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Section, the Administrative Agent shall advise each applicable Lender of the details thereof and of the amounts of such Lender’s Loan to be made as part of the requested Borrowing.</w:t>
      </w:r>
    </w:p>
    <w:p>
      <w:pPr>
        <w:spacing w:after="0" w:line="160" w:lineRule="exact"/>
        <w:rPr>
          <w:sz w:val="20"/>
          <w:szCs w:val="20"/>
          <w:color w:val="auto"/>
        </w:rPr>
      </w:pPr>
    </w:p>
    <w:p>
      <w:pPr>
        <w:jc w:val="both"/>
        <w:ind w:right="20" w:firstLine="1737"/>
        <w:spacing w:after="0" w:line="241"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Failure to Elect</w:t>
      </w:r>
      <w:r>
        <w:rPr>
          <w:rFonts w:ascii="Arial" w:cs="Arial" w:eastAsia="Arial" w:hAnsi="Arial"/>
          <w:sz w:val="15"/>
          <w:szCs w:val="15"/>
          <w:color w:val="auto"/>
        </w:rPr>
        <w:t>. If no election as to the Class of a Syndicated Borrowing is specified, then the requested Syndicated Borrowing shall be deemed to be under the Multicurrency Commitments. If no election as to the Currency of a Syndicated Borrowing is specified, then the requested Syndicated Borrowing shall be denominated in Dollars. If no election as to the Type of a Syndicated Borrowing is specified, then the requested Borrowing shall be a Term SOFR Borrowing having an Interest Period of one month and, if an Agreed Foreign Currency has been specified, the requested Syndicated Borrowing shall be a Eurocurrency Borrowing or RFR Borrowing, as applicable, denominated in such Agreed Foreign Currency and having an Interest Period of one month. If a Eurocurrency Borrowing or RFR Borrowing is requested but no Interest Period is specified, (i) if the Currency specified for such Borrowing is Dollars (or if no Currency has been specified), the requested Borrowing shall be a Term SOFR Borrowing denominated in Dollars having an Interest Period of one month’s duration, and (ii) if the Currency specified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3" w:name="page164"/>
    <w:bookmarkEnd w:id="163"/>
    <w:p>
      <w:pPr>
        <w:ind w:left="4"/>
        <w:spacing w:after="0"/>
        <w:rPr>
          <w:sz w:val="20"/>
          <w:szCs w:val="20"/>
          <w:color w:val="auto"/>
        </w:rPr>
      </w:pPr>
      <w:r>
        <w:rPr>
          <w:rFonts w:ascii="Arial" w:cs="Arial" w:eastAsia="Arial" w:hAnsi="Arial"/>
          <w:sz w:val="15"/>
          <w:szCs w:val="15"/>
          <w:color w:val="auto"/>
        </w:rPr>
        <w:t>such Borrowing is an Agreed Foreign Currency, the Borrower shall be deemed to have selected an Interest Period of one month’s duration.</w:t>
      </w:r>
    </w:p>
    <w:p>
      <w:pPr>
        <w:spacing w:after="0" w:line="133"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2.04.</w:t>
            </w:r>
          </w:p>
        </w:tc>
        <w:tc>
          <w:tcPr>
            <w:tcW w:w="8020" w:type="dxa"/>
            <w:vAlign w:val="bottom"/>
            <w:gridSpan w:val="4"/>
          </w:tcPr>
          <w:p>
            <w:pPr>
              <w:ind w:left="1600"/>
              <w:spacing w:after="0"/>
              <w:rPr>
                <w:sz w:val="20"/>
                <w:szCs w:val="20"/>
                <w:color w:val="auto"/>
              </w:rPr>
            </w:pPr>
            <w:r>
              <w:rPr>
                <w:rFonts w:ascii="Arial" w:cs="Arial" w:eastAsia="Arial" w:hAnsi="Arial"/>
                <w:sz w:val="15"/>
                <w:szCs w:val="15"/>
                <w:color w:val="auto"/>
              </w:rPr>
              <w:t>Swingline Loans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4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2"/>
              </w:rPr>
              <w:t>Agreement to Make Swingline Loans. Subject to the terms and conditions set forth herein, each Swingline Lender severally agrees</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77" w:lineRule="auto"/>
        <w:rPr>
          <w:sz w:val="20"/>
          <w:szCs w:val="20"/>
          <w:color w:val="auto"/>
        </w:rPr>
      </w:pPr>
      <w:r>
        <w:rPr>
          <w:rFonts w:ascii="Arial" w:cs="Arial" w:eastAsia="Arial" w:hAnsi="Arial"/>
          <w:sz w:val="13"/>
          <w:szCs w:val="13"/>
          <w:color w:val="auto"/>
        </w:rPr>
        <w:t>to make Swingline Loans under each Commitment to the Borrower from time to time during the Extended Availability Period in Dollars, in an aggregate principal amount at any time outstanding that will not result in (i) the aggregate principal amount of outstanding Swingline Loans of both Classes of Commitments exceeding $100,000,000 or the aggregate principal amount of outstanding Swingline Loans of any Swingline Lender exceeding $50,000,000, (ii) the sum of any Swingline Lender’s outstanding Multicurrency Loans, its LC Exposure, its outstanding Swingline Loans and (without duplication) its other Swingline Exposure exceeding its Multicurrency Commitment; (iii) the total Revolving Dollar Credit Exposures exceeding the aggregate Dollar Commitments at such time, (iv) the total Revolving Multicurrency Credit Exposures exceeding the aggregate Multicurrency Commitments at such time or</w:t>
      </w:r>
    </w:p>
    <w:p>
      <w:pPr>
        <w:ind w:left="4" w:right="20" w:hanging="4"/>
        <w:spacing w:after="0" w:line="280" w:lineRule="auto"/>
        <w:tabs>
          <w:tab w:leader="none" w:pos="241" w:val="left"/>
        </w:tabs>
        <w:numPr>
          <w:ilvl w:val="0"/>
          <w:numId w:val="91"/>
        </w:numPr>
        <w:rPr>
          <w:rFonts w:ascii="Arial" w:cs="Arial" w:eastAsia="Arial" w:hAnsi="Arial"/>
          <w:sz w:val="14"/>
          <w:szCs w:val="14"/>
          <w:color w:val="auto"/>
        </w:rPr>
      </w:pPr>
      <w:r>
        <w:rPr>
          <w:rFonts w:ascii="Arial" w:cs="Arial" w:eastAsia="Arial" w:hAnsi="Arial"/>
          <w:sz w:val="14"/>
          <w:szCs w:val="14"/>
          <w:color w:val="auto"/>
        </w:rPr>
        <w:t xml:space="preserve">the total Covered Debt Amount exceeding the Borrowing Base then in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04" w:lineRule="exact"/>
        <w:rPr>
          <w:sz w:val="20"/>
          <w:szCs w:val="20"/>
          <w:color w:val="auto"/>
        </w:rPr>
      </w:pPr>
    </w:p>
    <w:p>
      <w:pPr>
        <w:jc w:val="both"/>
        <w:ind w:left="4" w:firstLine="1737"/>
        <w:spacing w:after="0" w:line="241"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Notice of Swingline Loans by the Borrower</w:t>
      </w:r>
      <w:r>
        <w:rPr>
          <w:rFonts w:ascii="Arial" w:cs="Arial" w:eastAsia="Arial" w:hAnsi="Arial"/>
          <w:sz w:val="15"/>
          <w:szCs w:val="15"/>
          <w:color w:val="auto"/>
        </w:rPr>
        <w:t xml:space="preserve">. To request a Swingline Loan, the Borrower shall notify the Administrative Agent of such request by telephone (confirmed by telecopy) not later than 2:00 p.m., New York City time, on the day of such proposed Swingline Loan. Each such notice shall be irrevocable and shall specify the Swingline Lender from which such Swingline Loan shall be made, the requested date (which shall be a Business Day) and the amount of the requested Swingline Loan. The Administrative Agent will promptly advise the applicable Swingline Lender of any such notice received from the Borrower. Each Swingline Lender shall make each applicable Swingline Loan available to the Borrower by means of a credit to the general deposit account of the Borrower with such Swingline Lender (or, in the case of a Swingline Loan made to finance the reimbursement of an LC Disbursement as provided in </w:t>
      </w:r>
      <w:r>
        <w:rPr>
          <w:rFonts w:ascii="Arial" w:cs="Arial" w:eastAsia="Arial" w:hAnsi="Arial"/>
          <w:sz w:val="15"/>
          <w:szCs w:val="15"/>
          <w:u w:val="single" w:color="auto"/>
          <w:color w:val="auto"/>
        </w:rPr>
        <w:t>Section 2.05(f)</w:t>
      </w:r>
      <w:r>
        <w:rPr>
          <w:rFonts w:ascii="Arial" w:cs="Arial" w:eastAsia="Arial" w:hAnsi="Arial"/>
          <w:sz w:val="15"/>
          <w:szCs w:val="15"/>
          <w:color w:val="auto"/>
        </w:rPr>
        <w:t>, by remittance to the applicable Issuing Bank) by 3:00 p.m., New York City time, on the requested date of such Swingline Loan.</w:t>
      </w:r>
    </w:p>
    <w:p>
      <w:pPr>
        <w:spacing w:after="0" w:line="130" w:lineRule="exact"/>
        <w:rPr>
          <w:sz w:val="20"/>
          <w:szCs w:val="20"/>
          <w:color w:val="auto"/>
        </w:rPr>
      </w:pPr>
    </w:p>
    <w:p>
      <w:pPr>
        <w:jc w:val="both"/>
        <w:ind w:left="4" w:firstLine="1737"/>
        <w:spacing w:after="0" w:line="261"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Participations by Lenders in Swingline Loans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any Swingline Lender may by written notice given to the Administrative Agent not later than 10:00 a.m., New York City time on any Business Day, require the Lenders of the applicable Class of Commitments to acquire participations on such Business Day in all or a portion of the outstanding Swingline Loans of such Class made by such Swingline Lender. Such notice to the Administrative Agent shall specify the aggregate amount of Swingline Loans in which the applicable Lenders will participate. Promptly upon receipt of such notice, the Administrative Agent will give notice thereof to each applicable Lender, specifying in such notice such Lender’s Applicable Percentage of such Swingline Loan or Loans. Each Lender hereby absolutely and unconditionally agrees, upon receipt of notice as provided above in this paragraph, to pay to the Administrative Agent, for account of the applicable Swingline Lender, such Lender’s Applicable Percentage of such Swingline Loan or Loans;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Lender shall be required to purchase a participation in a Swingline Loan pursuant to this </w:t>
      </w:r>
      <w:r>
        <w:rPr>
          <w:rFonts w:ascii="Arial" w:cs="Arial" w:eastAsia="Arial" w:hAnsi="Arial"/>
          <w:sz w:val="14"/>
          <w:szCs w:val="14"/>
          <w:u w:val="single" w:color="auto"/>
          <w:color w:val="auto"/>
        </w:rPr>
        <w:t>Section 2.04(c)</w:t>
      </w:r>
      <w:r>
        <w:rPr>
          <w:rFonts w:ascii="Arial" w:cs="Arial" w:eastAsia="Arial" w:hAnsi="Arial"/>
          <w:sz w:val="14"/>
          <w:szCs w:val="14"/>
          <w:color w:val="auto"/>
        </w:rPr>
        <w:t xml:space="preserve"> if (x) the conditions set forth in </w:t>
      </w:r>
      <w:r>
        <w:rPr>
          <w:rFonts w:ascii="Arial" w:cs="Arial" w:eastAsia="Arial" w:hAnsi="Arial"/>
          <w:sz w:val="14"/>
          <w:szCs w:val="14"/>
          <w:u w:val="single" w:color="auto"/>
          <w:color w:val="auto"/>
        </w:rPr>
        <w:t>Section 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214630</wp:posOffset>
            </wp:positionV>
            <wp:extent cx="721106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64" w:name="page165"/>
    <w:bookmarkEnd w:id="164"/>
    <w:p>
      <w:pPr>
        <w:jc w:val="both"/>
        <w:spacing w:after="0" w:line="245" w:lineRule="auto"/>
        <w:rPr>
          <w:sz w:val="20"/>
          <w:szCs w:val="20"/>
          <w:color w:val="auto"/>
        </w:rPr>
      </w:pPr>
      <w:r>
        <w:rPr>
          <w:rFonts w:ascii="Arial" w:cs="Arial" w:eastAsia="Arial" w:hAnsi="Arial"/>
          <w:sz w:val="15"/>
          <w:szCs w:val="15"/>
          <w:color w:val="auto"/>
        </w:rPr>
        <w:t>would not be satisfied in respect of a Borrowing at the time such Swingline Loan was made and (y) the Required Lenders of the respective Class shall have so notified the applicable Swingline Lender in writing and shall not have subsequently determined that the circumstances giving rise to such conditions not being satisfied no longer exist. Unless a Swingline Lender has received the written notice referred to in the previous sentence prior to the time such Swingline Loan was made, then, subject to the terms and conditions hereof, such Swingline Lender shall be entitled to assume all such conditions are satisfied.</w:t>
      </w:r>
    </w:p>
    <w:p>
      <w:pPr>
        <w:spacing w:after="0" w:line="128" w:lineRule="exact"/>
        <w:rPr>
          <w:sz w:val="20"/>
          <w:szCs w:val="20"/>
          <w:color w:val="auto"/>
        </w:rPr>
      </w:pPr>
    </w:p>
    <w:p>
      <w:pPr>
        <w:jc w:val="both"/>
        <w:ind w:firstLine="1737"/>
        <w:spacing w:after="0" w:line="258" w:lineRule="auto"/>
        <w:rPr>
          <w:sz w:val="20"/>
          <w:szCs w:val="20"/>
          <w:color w:val="auto"/>
        </w:rPr>
      </w:pPr>
      <w:r>
        <w:rPr>
          <w:rFonts w:ascii="Arial" w:cs="Arial" w:eastAsia="Arial" w:hAnsi="Arial"/>
          <w:sz w:val="14"/>
          <w:szCs w:val="14"/>
          <w:color w:val="auto"/>
        </w:rPr>
        <w:t xml:space="preserve">Subject to the foregoing and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each Lender acknowledges and agrees that its obligation to acquire participations in Swingline Loans pursuant to this </w:t>
      </w:r>
      <w:r>
        <w:rPr>
          <w:rFonts w:ascii="Arial" w:cs="Arial" w:eastAsia="Arial" w:hAnsi="Arial"/>
          <w:sz w:val="14"/>
          <w:szCs w:val="14"/>
          <w:u w:val="single" w:color="auto"/>
          <w:color w:val="auto"/>
        </w:rPr>
        <w:t>paragraph (c)</w:t>
      </w:r>
      <w:r>
        <w:rPr>
          <w:rFonts w:ascii="Arial" w:cs="Arial" w:eastAsia="Arial" w:hAnsi="Arial"/>
          <w:sz w:val="14"/>
          <w:szCs w:val="14"/>
          <w:color w:val="auto"/>
        </w:rPr>
        <w:t xml:space="preserve"> is absolute and unconditional and shall not be affected by any circumstance whatsoever, including the occurrence and continuance of a Default or reduction or termination of the Commitments of the respective Class,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with respect to Loans made by such Lender (and </w:t>
      </w:r>
      <w:r>
        <w:rPr>
          <w:rFonts w:ascii="Arial" w:cs="Arial" w:eastAsia="Arial" w:hAnsi="Arial"/>
          <w:sz w:val="14"/>
          <w:szCs w:val="14"/>
          <w:u w:val="single" w:color="auto"/>
          <w:color w:val="auto"/>
        </w:rPr>
        <w:t>Section 2.06</w:t>
      </w:r>
      <w:r>
        <w:rPr>
          <w:rFonts w:ascii="Arial" w:cs="Arial" w:eastAsia="Arial" w:hAnsi="Arial"/>
          <w:sz w:val="14"/>
          <w:szCs w:val="14"/>
          <w:color w:val="auto"/>
        </w:rPr>
        <w:t xml:space="preserve"> shall apply, </w:t>
      </w:r>
      <w:r>
        <w:rPr>
          <w:rFonts w:ascii="Arial" w:cs="Arial" w:eastAsia="Arial" w:hAnsi="Arial"/>
          <w:sz w:val="14"/>
          <w:szCs w:val="14"/>
          <w:u w:val="single" w:color="auto"/>
          <w:color w:val="auto"/>
        </w:rPr>
        <w:t>mutatis mutandis</w:t>
      </w:r>
      <w:r>
        <w:rPr>
          <w:rFonts w:ascii="Arial" w:cs="Arial" w:eastAsia="Arial" w:hAnsi="Arial"/>
          <w:sz w:val="14"/>
          <w:szCs w:val="14"/>
          <w:color w:val="auto"/>
        </w:rPr>
        <w:t>,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relevant Swingline Lender. Any amounts received by a Swingline Lender from the Borrower (or other party on behalf of the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applicable Swingline Lender, as their interests may appear. The purchase of participations in a Swingline Loan pursuant to this paragraph shall not relieve the Borrower of any default in the payment thereof.</w:t>
      </w:r>
    </w:p>
    <w:p>
      <w:pPr>
        <w:spacing w:after="0" w:line="119" w:lineRule="exact"/>
        <w:rPr>
          <w:sz w:val="20"/>
          <w:szCs w:val="20"/>
          <w:color w:val="auto"/>
        </w:rPr>
      </w:pPr>
    </w:p>
    <w:p>
      <w:pPr>
        <w:jc w:val="both"/>
        <w:ind w:firstLine="1737"/>
        <w:spacing w:after="0" w:line="239"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Resignation and Replacement of Swingline Lender</w:t>
      </w:r>
      <w:r>
        <w:rPr>
          <w:rFonts w:ascii="Arial" w:cs="Arial" w:eastAsia="Arial" w:hAnsi="Arial"/>
          <w:sz w:val="15"/>
          <w:szCs w:val="15"/>
          <w:color w:val="auto"/>
        </w:rPr>
        <w:t xml:space="preserve">. Any Swingline Lender may resign and be replaced at any time by written agreement among the Borrower, the Administrative Agent, the resigning Swingline Lender and a successor Swingline Lender. The Administrative Agent shall notify the Lenders of any such resignation and replacement of any Swingline Lender. In addition to the foregoing, if a Lender becomes, and during the period it remains, a Defaulting Lender, and if any Default has arisen from a failure of the Borrower to comply with </w:t>
      </w:r>
      <w:r>
        <w:rPr>
          <w:rFonts w:ascii="Arial" w:cs="Arial" w:eastAsia="Arial" w:hAnsi="Arial"/>
          <w:sz w:val="15"/>
          <w:szCs w:val="15"/>
          <w:u w:val="single" w:color="auto"/>
          <w:color w:val="auto"/>
        </w:rPr>
        <w:t>Section 2.19(a)</w:t>
      </w:r>
      <w:r>
        <w:rPr>
          <w:rFonts w:ascii="Arial" w:cs="Arial" w:eastAsia="Arial" w:hAnsi="Arial"/>
          <w:sz w:val="15"/>
          <w:szCs w:val="15"/>
          <w:color w:val="auto"/>
        </w:rPr>
        <w:t>, then each Swingline Lender may, upon prior written notice to the Borrower and the Administrative Agent, resign as a Swingline Lender, effective at the close of business New York City time on a date specified in such notice (which date may not be less than five (5) Business Days after the date of such notice). On or after the effective date of any such resignation, the Borrower and the Administrative Agent may, by written agreement, appoint one or more successor Swingline Lenders. The Administrative Agent shall notify the Lenders of any such appointment of a successor Swingline Lender. Upon the effectiveness of any resignation of any Swingline Lender, the Borrower shall repay in full all outstanding Swingline Loans made by such Swingline Lender together with all accrued interest thereon. From and after the effective date of the appointment of a successor Swingline Lender, (i) such successor Swingline Lender shall have all the rights and obligations of the replaced Swingline Lender under this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226695</wp:posOffset>
            </wp:positionV>
            <wp:extent cx="721106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5" w:name="page166"/>
    <w:bookmarkEnd w:id="165"/>
    <w:p>
      <w:pPr>
        <w:jc w:val="both"/>
        <w:spacing w:after="0" w:line="245" w:lineRule="auto"/>
        <w:rPr>
          <w:sz w:val="20"/>
          <w:szCs w:val="20"/>
          <w:color w:val="auto"/>
        </w:rPr>
      </w:pPr>
      <w:r>
        <w:rPr>
          <w:rFonts w:ascii="Arial" w:cs="Arial" w:eastAsia="Arial" w:hAnsi="Arial"/>
          <w:sz w:val="15"/>
          <w:szCs w:val="15"/>
          <w:color w:val="auto"/>
        </w:rPr>
        <w:t>respect to Swingline Loans to be made by such successor Swingline Lender thereafter and (ii) references herein to the term “Swingline Lender” and/or “Swingline Lenders” shall be deemed to refer to such successor or successors (and the other current Swingline Lenders, if applicable) or to any previous Swingline Lender, or to such successor or successors (and all current Swingline Lenders) and all previous Swingline Lenders, as the context shall require. After the replacement of the Swingline Lender hereunder, the replaced Swingline Lender shall have no obligation to make additional Swingline Loans.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2.05.</w:t>
            </w:r>
          </w:p>
        </w:tc>
        <w:tc>
          <w:tcPr>
            <w:tcW w:w="480" w:type="dxa"/>
            <w:vAlign w:val="bottom"/>
          </w:tcPr>
          <w:p>
            <w:pPr>
              <w:spacing w:after="0"/>
              <w:rPr>
                <w:sz w:val="14"/>
                <w:szCs w:val="14"/>
                <w:color w:val="auto"/>
              </w:rPr>
            </w:pPr>
          </w:p>
        </w:tc>
        <w:tc>
          <w:tcPr>
            <w:tcW w:w="7540" w:type="dxa"/>
            <w:vAlign w:val="bottom"/>
            <w:gridSpan w:val="5"/>
          </w:tcPr>
          <w:p>
            <w:pPr>
              <w:ind w:left="1120"/>
              <w:spacing w:after="0"/>
              <w:rPr>
                <w:sz w:val="20"/>
                <w:szCs w:val="20"/>
                <w:color w:val="auto"/>
              </w:rPr>
            </w:pPr>
            <w:r>
              <w:rPr>
                <w:rFonts w:ascii="Arial" w:cs="Arial" w:eastAsia="Arial" w:hAnsi="Arial"/>
                <w:sz w:val="15"/>
                <w:szCs w:val="15"/>
                <w:color w:val="auto"/>
              </w:rPr>
              <w:t>Letters of Credit</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6"/>
          </w:tcPr>
          <w:p>
            <w:pPr>
              <w:spacing w:after="0"/>
              <w:rPr>
                <w:sz w:val="20"/>
                <w:szCs w:val="20"/>
                <w:color w:val="auto"/>
              </w:rPr>
            </w:pPr>
            <w:r>
              <w:rPr>
                <w:rFonts w:ascii="Arial" w:cs="Arial" w:eastAsia="Arial" w:hAnsi="Arial"/>
                <w:sz w:val="15"/>
                <w:szCs w:val="15"/>
                <w:color w:val="auto"/>
                <w:w w:val="94"/>
              </w:rPr>
              <w:t>General. Subject to the terms and conditions set forth herein, in addition to the Loans provided for in Section 2.01, the Borrower</w:t>
            </w:r>
          </w:p>
        </w:tc>
      </w:tr>
      <w:tr>
        <w:trPr>
          <w:trHeight w:val="20"/>
        </w:trPr>
        <w:tc>
          <w:tcPr>
            <w:tcW w:w="3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may request each Issuing Bank to issue, at any time and from time to time during the Extended Availability Period and under either the Dollar Commitments or Multicurrency Commitments, Letters of Credit denominated in Dollars or (in the case of Letters of Credit under the Multicurrency Commitments) in any Agreed Foreign Currency for its own account or the account of its designee (provided that the Obligors shall remain primarily liable to the Lenders hereunder for payment and reimbursement of all amounts payable in respect of the Letters of Credit hereunder) in such form as is acceptable to such Issuing Bank in its reasonable determination. Letters of Credit issued hereunder shall constitute utilization of the Commitments up to the aggregate amount available to be drawn thereunder. Without limiting any rights of an Issuing Bank under this </w:t>
      </w:r>
      <w:r>
        <w:rPr>
          <w:rFonts w:ascii="Arial" w:cs="Arial" w:eastAsia="Arial" w:hAnsi="Arial"/>
          <w:sz w:val="15"/>
          <w:szCs w:val="15"/>
          <w:u w:val="single" w:color="auto"/>
          <w:color w:val="auto"/>
        </w:rPr>
        <w:t>Section 2.05</w:t>
      </w:r>
      <w:r>
        <w:rPr>
          <w:rFonts w:ascii="Arial" w:cs="Arial" w:eastAsia="Arial" w:hAnsi="Arial"/>
          <w:sz w:val="15"/>
          <w:szCs w:val="15"/>
          <w:color w:val="auto"/>
        </w:rPr>
        <w:t>, no Issuing Bank shall be obligated to issue, amend, renew or extend any Letter of Credit denominated in any Foreign Currency if at the time of such issuance, such Issuing Bank, in its capacity as a Lender, would not be required to make Loans in such Foreign Currency hereunder.</w:t>
      </w:r>
    </w:p>
    <w:p>
      <w:pPr>
        <w:spacing w:after="0" w:line="130" w:lineRule="exact"/>
        <w:rPr>
          <w:sz w:val="20"/>
          <w:szCs w:val="20"/>
          <w:color w:val="auto"/>
        </w:rPr>
      </w:pPr>
    </w:p>
    <w:p>
      <w:pPr>
        <w:jc w:val="both"/>
        <w:ind w:firstLine="1737"/>
        <w:spacing w:after="0" w:line="258"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Notice of Issuance, Amendment, Renewal or Extension</w:t>
      </w:r>
      <w:r>
        <w:rPr>
          <w:rFonts w:ascii="Arial" w:cs="Arial" w:eastAsia="Arial" w:hAnsi="Arial"/>
          <w:sz w:val="14"/>
          <w:szCs w:val="14"/>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such Issuing Bank) to any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Arial" w:cs="Arial" w:eastAsia="Arial" w:hAnsi="Arial"/>
          <w:sz w:val="14"/>
          <w:szCs w:val="14"/>
          <w:u w:val="single" w:color="auto"/>
          <w:color w:val="auto"/>
        </w:rPr>
        <w:t>paragraph (d)</w:t>
      </w:r>
      <w:r>
        <w:rPr>
          <w:rFonts w:ascii="Arial" w:cs="Arial" w:eastAsia="Arial" w:hAnsi="Arial"/>
          <w:sz w:val="14"/>
          <w:szCs w:val="14"/>
          <w:color w:val="auto"/>
        </w:rPr>
        <w:t xml:space="preserve"> of this Section), the amount and Currency of such Letter of Credit, whether such Letter of Credit is to be issued under the Dollar Commitments or the Multicurrency Commitments,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w:t>
      </w:r>
    </w:p>
    <w:p>
      <w:pPr>
        <w:spacing w:after="0" w:line="122"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Limitations on Amounts</w:t>
      </w:r>
      <w:r>
        <w:rPr>
          <w:rFonts w:ascii="Arial" w:cs="Arial" w:eastAsia="Arial" w:hAnsi="Arial"/>
          <w:sz w:val="15"/>
          <w:szCs w:val="15"/>
          <w:color w:val="auto"/>
        </w:rPr>
        <w:t>. A Letter of Credit shall be issued, amended, renewed or extended only if (and upon issuance, amendment, renewal or extension of each Letter of Credit the Borrower shall be deemed to represent and warrant that), after giving effect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6" w:name="page167"/>
    <w:bookmarkEnd w:id="166"/>
    <w:p>
      <w:pPr>
        <w:jc w:val="both"/>
        <w:spacing w:after="0" w:line="261" w:lineRule="auto"/>
        <w:rPr>
          <w:sz w:val="20"/>
          <w:szCs w:val="20"/>
          <w:color w:val="auto"/>
        </w:rPr>
      </w:pPr>
      <w:r>
        <w:rPr>
          <w:rFonts w:ascii="Arial" w:cs="Arial" w:eastAsia="Arial" w:hAnsi="Arial"/>
          <w:sz w:val="14"/>
          <w:szCs w:val="14"/>
          <w:color w:val="auto"/>
        </w:rPr>
        <w:t xml:space="preserve">issuance, amendment, renewal or extension (i) the aggregate LC Exposure of the applicable Issuing Bank requested to issue such Letter of Credit (determined for these purposes without giving effect to the participations therein of the Lenders pursuant to </w:t>
      </w:r>
      <w:r>
        <w:rPr>
          <w:rFonts w:ascii="Arial" w:cs="Arial" w:eastAsia="Arial" w:hAnsi="Arial"/>
          <w:sz w:val="14"/>
          <w:szCs w:val="14"/>
          <w:u w:val="single" w:color="auto"/>
          <w:color w:val="auto"/>
        </w:rPr>
        <w:t>paragraph (e)</w:t>
      </w:r>
      <w:r>
        <w:rPr>
          <w:rFonts w:ascii="Arial" w:cs="Arial" w:eastAsia="Arial" w:hAnsi="Arial"/>
          <w:sz w:val="14"/>
          <w:szCs w:val="14"/>
          <w:color w:val="auto"/>
        </w:rPr>
        <w:t xml:space="preserve"> of this Section) shall not exceed the amount set forth opposite the name of such Issuing Bank on </w:t>
      </w:r>
      <w:r>
        <w:rPr>
          <w:rFonts w:ascii="Arial" w:cs="Arial" w:eastAsia="Arial" w:hAnsi="Arial"/>
          <w:sz w:val="14"/>
          <w:szCs w:val="14"/>
          <w:u w:val="single" w:color="auto"/>
          <w:color w:val="auto"/>
        </w:rPr>
        <w:t>Schedule 2.05</w:t>
      </w:r>
      <w:r>
        <w:rPr>
          <w:rFonts w:ascii="Arial" w:cs="Arial" w:eastAsia="Arial" w:hAnsi="Arial"/>
          <w:sz w:val="14"/>
          <w:szCs w:val="14"/>
          <w:color w:val="auto"/>
        </w:rPr>
        <w:t xml:space="preserve"> (or such greater amount as such Issuing Bank may agree in its sole discretion); (ii) the total Revolving Dollar Credit Exposures of Dollar Lenders with Dollar Commitments then in effect shall not exceed the aggregate Dollar Commitments at such time; (iii) the total Revolving Multicurrency Credit Exposures of Multicurrency Lenders with Multicurrency Commitments then in effect shall not exceed the aggregate Multicurrency Commitments at such time; (iv) with respect to each Issuing Bank that is a Swingline Lender, the sum of such Swingline Lender’s outstanding Multicurrency Loans, its LC Exposure, its outstanding Swingline Loans and (without duplication) its other Swingline Exposure shall not exceed its Multicurrency Commitment then in effect; and (v) the total Covered Debt Amount shall not exceed the Borrowing Base then in effect.</w:t>
      </w:r>
    </w:p>
    <w:p>
      <w:pPr>
        <w:spacing w:after="0" w:line="117"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Expiration Date</w:t>
      </w:r>
      <w:r>
        <w:rPr>
          <w:rFonts w:ascii="Arial" w:cs="Arial" w:eastAsia="Arial" w:hAnsi="Arial"/>
          <w:sz w:val="14"/>
          <w:szCs w:val="14"/>
          <w:color w:val="auto"/>
        </w:rPr>
        <w:t xml:space="preserve">. Each Letter of Credit shall expire at or prior to the close of business on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Letter of Credit with a one-year term may provide for the renewal thereof for additional one-year periods. No Letter of Credit may be renewed following the earlier to occur of the Extended Commitment Termination Date and the Termination Date, except to the extent that the relevant Letter of Credit is Cash Collateralized no later than five (5) Business Days prior to the Extended Commitment Termination Date or Termination Date, as applicable, or supported by another letter of credit, in each case pursuant to arrangements reasonably satisfactory to the applicable Issuing Bank and the Administrative Agent.</w:t>
      </w:r>
    </w:p>
    <w:p>
      <w:pPr>
        <w:spacing w:after="0" w:line="118" w:lineRule="exact"/>
        <w:rPr>
          <w:sz w:val="20"/>
          <w:szCs w:val="20"/>
          <w:color w:val="auto"/>
        </w:rPr>
      </w:pPr>
    </w:p>
    <w:p>
      <w:pPr>
        <w:jc w:val="both"/>
        <w:ind w:firstLine="1737"/>
        <w:spacing w:after="0" w:line="258"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Participations</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by the issuance of a Letter of Credit of a Class of Commitment (or an amendment to a Letter of Credit increasing the amount thereof) by an Issuing Bank, and without any further action on the part of such Issuing Bank or the Lenders, the Issuing Bank hereby grants to each Lender of such Class, and each Lender of such Class hereby acquires from such Issuing Bank, a participation in such Letter of Credit equal to such Lender’s Applicable Dollar Percentage or Applicable Multicurrency Percentage, as the case may be,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applicable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Lender shall be required to purchase a participation in a Letter of Credit pursuant to this </w:t>
      </w:r>
      <w:r>
        <w:rPr>
          <w:rFonts w:ascii="Arial" w:cs="Arial" w:eastAsia="Arial" w:hAnsi="Arial"/>
          <w:sz w:val="14"/>
          <w:szCs w:val="14"/>
          <w:u w:val="single" w:color="auto"/>
          <w:color w:val="auto"/>
        </w:rPr>
        <w:t>Section 2.05(e)</w:t>
      </w:r>
      <w:r>
        <w:rPr>
          <w:rFonts w:ascii="Arial" w:cs="Arial" w:eastAsia="Arial" w:hAnsi="Arial"/>
          <w:sz w:val="14"/>
          <w:szCs w:val="14"/>
          <w:color w:val="auto"/>
        </w:rPr>
        <w:t xml:space="preserve"> if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would not be satisfied in respect of a Borrowing at the time such Letter of Credit was issued and (y) the Administrative Agent or any Lender shall have so notified such Issuing Bank in writing at least two Business Days prior to the requested date of issuance of such Letter of Credit and shall not have subsequently determined that the circumstances giving rise to such conditions not being satisfied no longer exist. Unless an Issuing Bank has received written notice from any Lender, the Administrative Agent or the Borrower, at least two Business Days prior to the requested date of issuance of the applicable Letter of Credit, that one or more applicable conditions contained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216535</wp:posOffset>
            </wp:positionV>
            <wp:extent cx="721106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7" w:name="page168"/>
    <w:bookmarkEnd w:id="167"/>
    <w:p>
      <w:pPr>
        <w:spacing w:after="0"/>
        <w:rPr>
          <w:sz w:val="20"/>
          <w:szCs w:val="20"/>
          <w:color w:val="auto"/>
        </w:rPr>
      </w:pPr>
      <w:r>
        <w:rPr>
          <w:rFonts w:ascii="Arial" w:cs="Arial" w:eastAsia="Arial" w:hAnsi="Arial"/>
          <w:sz w:val="15"/>
          <w:szCs w:val="15"/>
          <w:u w:val="single" w:color="auto"/>
          <w:color w:val="auto"/>
        </w:rPr>
        <w:t>Section 4.02</w:t>
      </w:r>
      <w:r>
        <w:rPr>
          <w:rFonts w:ascii="Arial" w:cs="Arial" w:eastAsia="Arial" w:hAnsi="Arial"/>
          <w:sz w:val="15"/>
          <w:szCs w:val="15"/>
          <w:color w:val="auto"/>
        </w:rPr>
        <w:t xml:space="preserve"> shall not then be satisfied, then, subject to the terms and conditions hereof, such Issuing Bank shall be entitled to assume all such conditions are satisfied.</w:t>
      </w:r>
    </w:p>
    <w:p>
      <w:pPr>
        <w:spacing w:after="0" w:line="149" w:lineRule="exact"/>
        <w:rPr>
          <w:sz w:val="20"/>
          <w:szCs w:val="20"/>
          <w:color w:val="auto"/>
        </w:rPr>
      </w:pPr>
    </w:p>
    <w:p>
      <w:pPr>
        <w:jc w:val="both"/>
        <w:ind w:right="20" w:firstLine="1737"/>
        <w:spacing w:after="0" w:line="280" w:lineRule="auto"/>
        <w:rPr>
          <w:sz w:val="20"/>
          <w:szCs w:val="20"/>
          <w:color w:val="auto"/>
        </w:rPr>
      </w:pPr>
      <w:r>
        <w:rPr>
          <w:rFonts w:ascii="Arial" w:cs="Arial" w:eastAsia="Arial" w:hAnsi="Arial"/>
          <w:sz w:val="13"/>
          <w:szCs w:val="13"/>
          <w:color w:val="auto"/>
        </w:rPr>
        <w:t xml:space="preserve">Subject to </w:t>
      </w:r>
      <w:r>
        <w:rPr>
          <w:rFonts w:ascii="Arial" w:cs="Arial" w:eastAsia="Arial" w:hAnsi="Arial"/>
          <w:sz w:val="13"/>
          <w:szCs w:val="13"/>
          <w:u w:val="single" w:color="auto"/>
          <w:color w:val="auto"/>
        </w:rPr>
        <w:t>Section 2.20</w:t>
      </w:r>
      <w:r>
        <w:rPr>
          <w:rFonts w:ascii="Arial" w:cs="Arial" w:eastAsia="Arial" w:hAnsi="Arial"/>
          <w:sz w:val="13"/>
          <w:szCs w:val="13"/>
          <w:color w:val="auto"/>
        </w:rPr>
        <w:t xml:space="preserve">, in consideration and in furtherance of the foregoing, each Lender of a Class of Commitment hereby absolutely and unconditionally agrees to pay to the Administrative Agent, for account of each Issuing Bank, such Lender’s Applicable Dollar Percentage or Applicable Multicurrency Percentage, as the case may be, of each LC Disbursement made by such Issuing Bank in respect of Letters of Credit of such Class promptly upon the request of such Issuing Bank at any time from the time of such LC Disbursement until such LC Disbursement is reimbursed by the Borrower or at any time after any reimbursement payment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with respect to Loans made by such Lender (and </w:t>
      </w:r>
      <w:r>
        <w:rPr>
          <w:rFonts w:ascii="Arial" w:cs="Arial" w:eastAsia="Arial" w:hAnsi="Arial"/>
          <w:sz w:val="13"/>
          <w:szCs w:val="13"/>
          <w:u w:val="single" w:color="auto"/>
          <w:color w:val="auto"/>
        </w:rPr>
        <w:t>Section 2.06</w:t>
      </w:r>
      <w:r>
        <w:rPr>
          <w:rFonts w:ascii="Arial" w:cs="Arial" w:eastAsia="Arial" w:hAnsi="Arial"/>
          <w:sz w:val="13"/>
          <w:szCs w:val="13"/>
          <w:color w:val="auto"/>
        </w:rPr>
        <w:t xml:space="preserve"> shall apply, </w:t>
      </w:r>
      <w:r>
        <w:rPr>
          <w:rFonts w:ascii="Arial" w:cs="Arial" w:eastAsia="Arial" w:hAnsi="Arial"/>
          <w:sz w:val="13"/>
          <w:szCs w:val="13"/>
          <w:u w:val="single" w:color="auto"/>
          <w:color w:val="auto"/>
        </w:rPr>
        <w:t>mutatis mutandis</w:t>
      </w:r>
      <w:r>
        <w:rPr>
          <w:rFonts w:ascii="Arial" w:cs="Arial" w:eastAsia="Arial" w:hAnsi="Arial"/>
          <w:sz w:val="13"/>
          <w:szCs w:val="13"/>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the next following paragraph, the Administrative Agent shall distribute such payment to the applicable Issuing Bank or, to the extent that the Lenders have made payments pursuant to this paragraph to reimburse such Issuing Bank, then to such Lenders and such Issuing Bank as their interests may appear. Any payment made by a Lender pursuant to this paragraph to reimburse an Issuing Bank for any LC Disbursement shall not constitute a Loan and shall not relieve the Borrower of its obligation to reimburse such LC Disbursement.</w:t>
      </w:r>
    </w:p>
    <w:p>
      <w:pPr>
        <w:spacing w:after="0" w:line="109"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Reimbursement</w:t>
      </w:r>
      <w:r>
        <w:rPr>
          <w:rFonts w:ascii="Arial" w:cs="Arial" w:eastAsia="Arial" w:hAnsi="Arial"/>
          <w:sz w:val="15"/>
          <w:szCs w:val="15"/>
          <w:color w:val="auto"/>
        </w:rPr>
        <w:t xml:space="preserve">. If an Issuing Bank shall make any LC Disbursement in respect of a Letter of Credit, the Borrower shall reimburse such Issuing Bank in respect of such LC Disbursement by paying to the Administrative Agent an amount equal to such LC Disbursement not later than 11:00 a.m., New York City time, on (i) the Business Day that the Borrower receives notice of such LC Disbursement, if such notice is received prior to 10:00 a.m., New York City time, or (ii) the Business Day immediately following the day that the Borrower receives such notice, if such notice is not received prior to such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such LC Disbursement is not less than $1,000,000 and is denominated in Dollars, the Borrower may, subject to the conditions to borrowing set forth herein, request in accordance with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2.04</w:t>
      </w:r>
      <w:r>
        <w:rPr>
          <w:rFonts w:ascii="Arial" w:cs="Arial" w:eastAsia="Arial" w:hAnsi="Arial"/>
          <w:sz w:val="15"/>
          <w:szCs w:val="15"/>
          <w:color w:val="auto"/>
        </w:rPr>
        <w:t xml:space="preserve"> that such payment be financed with a Syndicated ABR Borrowing or a Swingline Loan of the respective Class in an equivalent amount and, to the extent so financed, the Borrower’s obligation to make such payment shall be discharged and replaced by the resulting Syndicated ABR Borrowing or Swingline Loan.</w:t>
      </w:r>
    </w:p>
    <w:p>
      <w:pPr>
        <w:spacing w:after="0" w:line="130"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If the Borrower fails to make such payment when due, the Administrative Agent shall notify each applicable Lender with a Commitment then in effect of the applicable LC Disbursement, the payment then due from the Borrower in respect thereof and such Lender’s Applicable Dollar Percentage or Applicable Multicurrency Percentage, as the case may be, thereof.</w:t>
      </w:r>
    </w:p>
    <w:p>
      <w:pPr>
        <w:spacing w:after="0" w:line="125"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(g) </w:t>
      </w:r>
      <w:r>
        <w:rPr>
          <w:rFonts w:ascii="Arial" w:cs="Arial" w:eastAsia="Arial" w:hAnsi="Arial"/>
          <w:sz w:val="15"/>
          <w:szCs w:val="15"/>
          <w:u w:val="single" w:color="auto"/>
          <w:color w:val="auto"/>
        </w:rPr>
        <w:t>Obligations Absolute</w:t>
      </w:r>
      <w:r>
        <w:rPr>
          <w:rFonts w:ascii="Arial" w:cs="Arial" w:eastAsia="Arial" w:hAnsi="Arial"/>
          <w:sz w:val="15"/>
          <w:szCs w:val="15"/>
          <w:color w:val="auto"/>
        </w:rPr>
        <w:t xml:space="preserve">. The Borrower’s obligation to reimburse LC Disbursements as provided in </w:t>
      </w:r>
      <w:r>
        <w:rPr>
          <w:rFonts w:ascii="Arial" w:cs="Arial" w:eastAsia="Arial" w:hAnsi="Arial"/>
          <w:sz w:val="15"/>
          <w:szCs w:val="15"/>
          <w:u w:val="single" w:color="auto"/>
          <w:color w:val="auto"/>
        </w:rPr>
        <w:t>paragraph (f)</w:t>
      </w:r>
      <w:r>
        <w:rPr>
          <w:rFonts w:ascii="Arial" w:cs="Arial" w:eastAsia="Arial" w:hAnsi="Arial"/>
          <w:sz w:val="15"/>
          <w:szCs w:val="15"/>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8" w:name="page169"/>
    <w:bookmarkEnd w:id="168"/>
    <w:p>
      <w:pPr>
        <w:jc w:val="both"/>
        <w:spacing w:after="0" w:line="245" w:lineRule="auto"/>
        <w:rPr>
          <w:sz w:val="20"/>
          <w:szCs w:val="20"/>
          <w:color w:val="auto"/>
        </w:rPr>
      </w:pPr>
      <w:r>
        <w:rPr>
          <w:rFonts w:ascii="Arial" w:cs="Arial" w:eastAsia="Arial" w:hAnsi="Arial"/>
          <w:sz w:val="15"/>
          <w:szCs w:val="15"/>
          <w:color w:val="auto"/>
        </w:rPr>
        <w:t>under a Letter of Credit proving to be forged, fraudulent or invalid in any respect or any statement therein being untrue or inaccurate in any respect, (iii) payment by an Issuing Bank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w:t>
      </w:r>
    </w:p>
    <w:p>
      <w:pPr>
        <w:spacing w:after="0" w:line="128" w:lineRule="exact"/>
        <w:rPr>
          <w:sz w:val="20"/>
          <w:szCs w:val="20"/>
          <w:color w:val="auto"/>
        </w:rPr>
      </w:pPr>
    </w:p>
    <w:p>
      <w:pPr>
        <w:jc w:val="both"/>
        <w:ind w:firstLine="1737"/>
        <w:spacing w:after="0" w:line="260" w:lineRule="auto"/>
        <w:rPr>
          <w:sz w:val="20"/>
          <w:szCs w:val="20"/>
          <w:color w:val="auto"/>
        </w:rPr>
      </w:pPr>
      <w:r>
        <w:rPr>
          <w:rFonts w:ascii="Arial" w:cs="Arial" w:eastAsia="Arial" w:hAnsi="Arial"/>
          <w:sz w:val="14"/>
          <w:szCs w:val="14"/>
          <w:color w:val="auto"/>
        </w:rPr>
        <w:t xml:space="preserve">Neither the Administrative Agent, the Lenders nor any Issuing Bank, nor any of their Related Parties, shall have any liability or responsibility by reason of or in connection with the issuance or transfer of any Letter of Credit by such Issuing Bank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be construed to excuse any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fraud, gross negligence or willful misconduct when determining whether drafts and other documents presented under a Letter of Credit comply with the terms thereof. The parties hereto expressly agree that:</w:t>
      </w:r>
    </w:p>
    <w:p>
      <w:pPr>
        <w:spacing w:after="0" w:line="117" w:lineRule="exact"/>
        <w:rPr>
          <w:sz w:val="20"/>
          <w:szCs w:val="20"/>
          <w:color w:val="auto"/>
        </w:rPr>
      </w:pPr>
    </w:p>
    <w:p>
      <w:pPr>
        <w:jc w:val="both"/>
        <w:ind w:left="860" w:right="20" w:firstLine="802"/>
        <w:spacing w:after="0" w:line="249" w:lineRule="auto"/>
        <w:rPr>
          <w:sz w:val="20"/>
          <w:szCs w:val="20"/>
          <w:color w:val="auto"/>
        </w:rPr>
      </w:pPr>
      <w:r>
        <w:rPr>
          <w:rFonts w:ascii="Arial" w:cs="Arial" w:eastAsia="Arial" w:hAnsi="Arial"/>
          <w:sz w:val="15"/>
          <w:szCs w:val="15"/>
          <w:color w:val="auto"/>
        </w:rPr>
        <w:t>(i) the Issuing Banks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125" w:lineRule="exact"/>
        <w:rPr>
          <w:sz w:val="20"/>
          <w:szCs w:val="20"/>
          <w:color w:val="auto"/>
        </w:rPr>
      </w:pPr>
    </w:p>
    <w:p>
      <w:pPr>
        <w:ind w:left="860" w:right="20" w:firstLine="802"/>
        <w:spacing w:after="0" w:line="262" w:lineRule="auto"/>
        <w:rPr>
          <w:sz w:val="20"/>
          <w:szCs w:val="20"/>
          <w:color w:val="auto"/>
        </w:rPr>
      </w:pPr>
      <w:r>
        <w:rPr>
          <w:rFonts w:ascii="Arial" w:cs="Arial" w:eastAsia="Arial" w:hAnsi="Arial"/>
          <w:sz w:val="15"/>
          <w:szCs w:val="15"/>
          <w:color w:val="auto"/>
        </w:rPr>
        <w:t>(ii) the Issuing Banks shall have the right, in their sole discretion, to decline to accept such documents and to make such payment if such documents are not in strict compliance with the terms of such Letter of Credit; and</w:t>
      </w:r>
    </w:p>
    <w:p>
      <w:pPr>
        <w:spacing w:after="0" w:line="115" w:lineRule="exact"/>
        <w:rPr>
          <w:sz w:val="20"/>
          <w:szCs w:val="20"/>
          <w:color w:val="auto"/>
        </w:rPr>
      </w:pPr>
    </w:p>
    <w:p>
      <w:pPr>
        <w:ind w:left="1660"/>
        <w:spacing w:after="0"/>
        <w:tabs>
          <w:tab w:leader="none" w:pos="3240" w:val="left"/>
        </w:tabs>
        <w:rPr>
          <w:sz w:val="20"/>
          <w:szCs w:val="20"/>
          <w:color w:val="auto"/>
        </w:rPr>
      </w:pPr>
      <w:r>
        <w:rPr>
          <w:rFonts w:ascii="Arial" w:cs="Arial" w:eastAsia="Arial" w:hAnsi="Arial"/>
          <w:sz w:val="13"/>
          <w:szCs w:val="13"/>
          <w:color w:val="auto"/>
        </w:rPr>
        <w:t>(iii)</w:t>
      </w:r>
      <w:r>
        <w:rPr>
          <w:sz w:val="20"/>
          <w:szCs w:val="20"/>
          <w:color w:val="auto"/>
        </w:rPr>
        <w:tab/>
      </w:r>
      <w:r>
        <w:rPr>
          <w:rFonts w:ascii="Arial" w:cs="Arial" w:eastAsia="Arial" w:hAnsi="Arial"/>
          <w:sz w:val="13"/>
          <w:szCs w:val="13"/>
          <w:color w:val="auto"/>
        </w:rPr>
        <w:t>this sentence shall establish the standard of care to be exercised by the Issuing Banks when determining whether drafts and other</w:t>
      </w:r>
    </w:p>
    <w:p>
      <w:pPr>
        <w:spacing w:after="0" w:line="33" w:lineRule="exact"/>
        <w:rPr>
          <w:sz w:val="20"/>
          <w:szCs w:val="20"/>
          <w:color w:val="auto"/>
        </w:rPr>
      </w:pPr>
    </w:p>
    <w:p>
      <w:pPr>
        <w:ind w:left="860" w:right="20"/>
        <w:spacing w:after="0" w:line="245" w:lineRule="auto"/>
        <w:rPr>
          <w:sz w:val="20"/>
          <w:szCs w:val="20"/>
          <w:color w:val="auto"/>
        </w:rPr>
      </w:pPr>
      <w:r>
        <w:rPr>
          <w:rFonts w:ascii="Arial" w:cs="Arial" w:eastAsia="Arial" w:hAnsi="Arial"/>
          <w:sz w:val="15"/>
          <w:szCs w:val="15"/>
          <w:color w:val="auto"/>
        </w:rPr>
        <w:t>documents presented under a Letter of Credit comply with the terms thereof (and the parties hereto hereby waive, to the extent permitted by applicable law, any standard of care inconsistent with the foregoing).</w:t>
      </w:r>
    </w:p>
    <w:p>
      <w:pPr>
        <w:spacing w:after="0" w:line="127"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 xml:space="preserve">(h) </w:t>
      </w:r>
      <w:r>
        <w:rPr>
          <w:rFonts w:ascii="Arial" w:cs="Arial" w:eastAsia="Arial" w:hAnsi="Arial"/>
          <w:sz w:val="15"/>
          <w:szCs w:val="15"/>
          <w:u w:val="single" w:color="auto"/>
          <w:color w:val="auto"/>
        </w:rPr>
        <w:t>Disbursement Procedures</w:t>
      </w:r>
      <w:r>
        <w:rPr>
          <w:rFonts w:ascii="Arial" w:cs="Arial" w:eastAsia="Arial" w:hAnsi="Arial"/>
          <w:sz w:val="15"/>
          <w:szCs w:val="15"/>
          <w:color w:val="auto"/>
        </w:rPr>
        <w:t xml:space="preserve">. Each Issuing Bank shall, within a reasonable time following its receipt thereof, examine all documents purporting to represent a demand for payment under a Letter of Credit issued by such Issuing Bank. The applicable Issuing Bank shall promptly after such examination notify the Administrative Agent and the Borrower by telephone (confirmed by telecopy) of such demand for payment and whether such Issuing Bank has made or will make an LC Disbursement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failure to give or delay in giving such notice shall not relieve the Borrower of its obligation to reimburse such Issuing Bank and the applicable Lenders with respect to any such LC Disbursement.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222250</wp:posOffset>
            </wp:positionV>
            <wp:extent cx="721106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69" w:name="page170"/>
    <w:bookmarkEnd w:id="169"/>
    <w:p>
      <w:pPr>
        <w:jc w:val="both"/>
        <w:ind w:right="20" w:firstLine="1737"/>
        <w:spacing w:after="0" w:line="262" w:lineRule="auto"/>
        <w:rPr>
          <w:sz w:val="20"/>
          <w:szCs w:val="20"/>
          <w:color w:val="auto"/>
        </w:rPr>
      </w:pPr>
      <w:r>
        <w:rPr>
          <w:rFonts w:ascii="Arial" w:cs="Arial" w:eastAsia="Arial" w:hAnsi="Arial"/>
          <w:sz w:val="14"/>
          <w:szCs w:val="14"/>
          <w:color w:val="auto"/>
        </w:rPr>
        <w:t xml:space="preserve">(i) </w:t>
      </w:r>
      <w:r>
        <w:rPr>
          <w:rFonts w:ascii="Arial" w:cs="Arial" w:eastAsia="Arial" w:hAnsi="Arial"/>
          <w:sz w:val="14"/>
          <w:szCs w:val="14"/>
          <w:u w:val="single" w:color="auto"/>
          <w:color w:val="auto"/>
        </w:rPr>
        <w:t>Interim Interest</w:t>
      </w:r>
      <w:r>
        <w:rPr>
          <w:rFonts w:ascii="Arial" w:cs="Arial" w:eastAsia="Arial" w:hAnsi="Arial"/>
          <w:sz w:val="14"/>
          <w:szCs w:val="14"/>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Syndicated ABR Loans;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Borrower fails to reimburse such LC Disbursement within two Business Days following the date when due pursuant to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of this Section, then the provisions of </w:t>
      </w:r>
      <w:r>
        <w:rPr>
          <w:rFonts w:ascii="Arial" w:cs="Arial" w:eastAsia="Arial" w:hAnsi="Arial"/>
          <w:sz w:val="14"/>
          <w:szCs w:val="14"/>
          <w:u w:val="single" w:color="auto"/>
          <w:color w:val="auto"/>
        </w:rPr>
        <w:t>Section 2.12(e)</w:t>
      </w:r>
      <w:r>
        <w:rPr>
          <w:rFonts w:ascii="Arial" w:cs="Arial" w:eastAsia="Arial" w:hAnsi="Arial"/>
          <w:sz w:val="14"/>
          <w:szCs w:val="14"/>
          <w:color w:val="auto"/>
        </w:rPr>
        <w:t xml:space="preserve"> shall apply. Interest accrued pursuant to this paragraph shall be for account of the applicable Issuing Bank, except that interest accrued on and after the date of payment by any Lender pursuant to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of this Section to reimburse such Issuing Bank shall be for account of such Lender to the extent of such payment.</w:t>
      </w:r>
    </w:p>
    <w:p>
      <w:pPr>
        <w:spacing w:after="0" w:line="118" w:lineRule="exact"/>
        <w:rPr>
          <w:sz w:val="20"/>
          <w:szCs w:val="20"/>
          <w:color w:val="auto"/>
        </w:rPr>
      </w:pPr>
    </w:p>
    <w:p>
      <w:pPr>
        <w:jc w:val="both"/>
        <w:ind w:firstLine="1737"/>
        <w:spacing w:after="0" w:line="257" w:lineRule="auto"/>
        <w:rPr>
          <w:sz w:val="20"/>
          <w:szCs w:val="20"/>
          <w:color w:val="auto"/>
        </w:rPr>
      </w:pPr>
      <w:r>
        <w:rPr>
          <w:rFonts w:ascii="Arial" w:cs="Arial" w:eastAsia="Arial" w:hAnsi="Arial"/>
          <w:sz w:val="14"/>
          <w:szCs w:val="14"/>
          <w:color w:val="auto"/>
        </w:rPr>
        <w:t xml:space="preserve">(j) </w:t>
      </w:r>
      <w:r>
        <w:rPr>
          <w:rFonts w:ascii="Arial" w:cs="Arial" w:eastAsia="Arial" w:hAnsi="Arial"/>
          <w:sz w:val="14"/>
          <w:szCs w:val="14"/>
          <w:u w:val="single" w:color="auto"/>
          <w:color w:val="auto"/>
        </w:rPr>
        <w:t>Resignation and/or Replacement of an Issuing Bank</w:t>
      </w:r>
      <w:r>
        <w:rPr>
          <w:rFonts w:ascii="Arial" w:cs="Arial" w:eastAsia="Arial" w:hAnsi="Arial"/>
          <w:sz w:val="14"/>
          <w:szCs w:val="14"/>
          <w:color w:val="auto"/>
        </w:rPr>
        <w:t xml:space="preserve">. An Issuing Bank may resign and be replaced at any time by written agreement among the Borrower, the Administrative Agent, the resigning Issuing Bank and the successor Issuing Bank. In addition, if any Issuing Bank, in its capacity as a Lender, assigns all of its Loans and Commitments in accordance with the terms of this Agreement, such Issuing Bank may, with the prior written consent of the Borrower (such consent not to be unreasonably withheld or delayed;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consent of the Borrower shall be required if an Event of Default has occurred and is continuing), resign as an Issuing Bank hereunder upon not less than three Business Days prior written notice to the Administrative Agent and the Borrower;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in determining whether to give any such consent, the Borrower may consider, among other factors, the sufficiency of availability of Letters of Credit hereunder. The Administrative Agent shall notify the Lenders of any such resignation and replacement of an Issuing Bank. Upon the effectiveness of any resignation or replacement of an Issuing Bank, the Borrower shall pay all unpaid fees accrued for account of the resigning or replaced Issuing Bank pursuant to </w:t>
      </w:r>
      <w:r>
        <w:rPr>
          <w:rFonts w:ascii="Arial" w:cs="Arial" w:eastAsia="Arial" w:hAnsi="Arial"/>
          <w:sz w:val="14"/>
          <w:szCs w:val="14"/>
          <w:u w:val="single" w:color="auto"/>
          <w:color w:val="auto"/>
        </w:rPr>
        <w:t>Section 2.11(b)</w:t>
      </w:r>
      <w:r>
        <w:rPr>
          <w:rFonts w:ascii="Arial" w:cs="Arial" w:eastAsia="Arial" w:hAnsi="Arial"/>
          <w:sz w:val="14"/>
          <w:szCs w:val="14"/>
          <w:color w:val="auto"/>
        </w:rPr>
        <w:t>. From and after the effective date of the appointment of a successor Issuing Bank, (i) the successor Issuing Bank shall have all the rights and obligations of the replaced Issuing Bank under this Agreement with respect to Letters of Credit to be issued thereafter and (ii) references herein to the term “Issuing Bank” and/or “Issuing Banks” shall be deemed to refer to such successor or successors (and other current Issuing Banks, if applicable) or to any previous Issuing Bank, or to such successor or successors (and all other current Issuing Banks) and all previous Issuing Banks, as the context shall require. After the effective replacement or resignation of the Issuing Bank hereunder, the replaced or resigning Issuing Bank, as the case may be, shall remain a party hereto and shall continue to have all the rights and obligations of an Issuing Bank under this Agreement with respect to Letters of Credit issued by it prior to such resignation or replacement, but shall not be required to issue additional Letters of Credit.</w:t>
      </w:r>
    </w:p>
    <w:p>
      <w:pPr>
        <w:spacing w:after="0" w:line="122" w:lineRule="exact"/>
        <w:rPr>
          <w:sz w:val="20"/>
          <w:szCs w:val="20"/>
          <w:color w:val="auto"/>
        </w:rPr>
      </w:pPr>
    </w:p>
    <w:p>
      <w:pPr>
        <w:jc w:val="both"/>
        <w:ind w:firstLine="1737"/>
        <w:spacing w:after="0" w:line="264" w:lineRule="auto"/>
        <w:rPr>
          <w:sz w:val="20"/>
          <w:szCs w:val="20"/>
          <w:color w:val="auto"/>
        </w:rPr>
      </w:pPr>
      <w:r>
        <w:rPr>
          <w:rFonts w:ascii="Arial" w:cs="Arial" w:eastAsia="Arial" w:hAnsi="Arial"/>
          <w:sz w:val="14"/>
          <w:szCs w:val="14"/>
          <w:color w:val="auto"/>
        </w:rPr>
        <w:t xml:space="preserve">(k) </w:t>
      </w:r>
      <w:r>
        <w:rPr>
          <w:rFonts w:ascii="Arial" w:cs="Arial" w:eastAsia="Arial" w:hAnsi="Arial"/>
          <w:sz w:val="14"/>
          <w:szCs w:val="14"/>
          <w:u w:val="single" w:color="auto"/>
          <w:color w:val="auto"/>
        </w:rPr>
        <w:t>Cash Collateralization</w:t>
      </w:r>
      <w:r>
        <w:rPr>
          <w:rFonts w:ascii="Arial" w:cs="Arial" w:eastAsia="Arial" w:hAnsi="Arial"/>
          <w:sz w:val="14"/>
          <w:szCs w:val="14"/>
          <w:color w:val="auto"/>
        </w:rPr>
        <w:t xml:space="preserve">. If the Borrower shall be required to provide Cash Collateral for LC Exposure pursuant to </w:t>
      </w:r>
      <w:r>
        <w:rPr>
          <w:rFonts w:ascii="Arial" w:cs="Arial" w:eastAsia="Arial" w:hAnsi="Arial"/>
          <w:sz w:val="14"/>
          <w:szCs w:val="14"/>
          <w:u w:val="single" w:color="auto"/>
          <w:color w:val="auto"/>
        </w:rPr>
        <w:t>Section 2.05(d)</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2.10(b)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or the last paragraph of </w:t>
      </w:r>
      <w:r>
        <w:rPr>
          <w:rFonts w:ascii="Arial" w:cs="Arial" w:eastAsia="Arial" w:hAnsi="Arial"/>
          <w:sz w:val="14"/>
          <w:szCs w:val="14"/>
          <w:u w:val="single" w:color="auto"/>
          <w:color w:val="auto"/>
        </w:rPr>
        <w:t>Article VII</w:t>
      </w:r>
      <w:r>
        <w:rPr>
          <w:rFonts w:ascii="Arial" w:cs="Arial" w:eastAsia="Arial" w:hAnsi="Arial"/>
          <w:sz w:val="14"/>
          <w:szCs w:val="14"/>
          <w:color w:val="auto"/>
        </w:rPr>
        <w:t>, the Borrower shall immediately deposit into a segregated collateral account or accounts (herein, collectively, the “</w:t>
      </w:r>
      <w:r>
        <w:rPr>
          <w:rFonts w:ascii="Arial" w:cs="Arial" w:eastAsia="Arial" w:hAnsi="Arial"/>
          <w:sz w:val="14"/>
          <w:szCs w:val="14"/>
          <w:u w:val="single" w:color="auto"/>
          <w:color w:val="auto"/>
        </w:rPr>
        <w:t>Letter of Credit Collateral Account</w:t>
      </w:r>
      <w:r>
        <w:rPr>
          <w:rFonts w:ascii="Arial" w:cs="Arial" w:eastAsia="Arial" w:hAnsi="Arial"/>
          <w:sz w:val="14"/>
          <w:szCs w:val="14"/>
          <w:color w:val="auto"/>
        </w:rPr>
        <w:t xml:space="preserve">”) in the name and under the dominion and control of the Administrative Agent Cash denominated in the Currency of the Letter of Credit under which such LC Exposure arises in an amount equal to the amount required under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2.10(b)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or the last paragraph of </w:t>
      </w:r>
      <w:r>
        <w:rPr>
          <w:rFonts w:ascii="Arial" w:cs="Arial" w:eastAsia="Arial" w:hAnsi="Arial"/>
          <w:sz w:val="14"/>
          <w:szCs w:val="14"/>
          <w:u w:val="single" w:color="auto"/>
          <w:color w:val="auto"/>
        </w:rPr>
        <w:t>Article VII</w:t>
      </w:r>
      <w:r>
        <w:rPr>
          <w:rFonts w:ascii="Arial" w:cs="Arial" w:eastAsia="Arial" w:hAnsi="Arial"/>
          <w:sz w:val="14"/>
          <w:szCs w:val="14"/>
          <w:color w:val="auto"/>
        </w:rPr>
        <w:t>, as applicable. Such deposit shall be held by the Administrative Agent as collateral in the first instance for the LC Exposure under this Agreement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214630</wp:posOffset>
            </wp:positionV>
            <wp:extent cx="7211060"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70" w:name="page171"/>
    <w:bookmarkEnd w:id="170"/>
    <w:p>
      <w:pPr>
        <w:jc w:val="both"/>
        <w:ind w:right="20"/>
        <w:spacing w:after="0" w:line="249" w:lineRule="auto"/>
        <w:rPr>
          <w:sz w:val="20"/>
          <w:szCs w:val="20"/>
          <w:color w:val="auto"/>
        </w:rPr>
      </w:pPr>
      <w:r>
        <w:rPr>
          <w:rFonts w:ascii="Arial" w:cs="Arial" w:eastAsia="Arial" w:hAnsi="Arial"/>
          <w:sz w:val="15"/>
          <w:szCs w:val="15"/>
          <w:color w:val="auto"/>
        </w:rPr>
        <w:t>for the payment of the “Secured Obligations” under and as defined in the Guarantee and Security Agreement, and for these purposes the Borrower hereby grants a security interest to the Administrative Agent for the benefit of the Lenders in the Letter of Credit Collateral Account and in any financial assets (as defined in the Uniform Commercial Code) or other property held therein.</w:t>
      </w:r>
    </w:p>
    <w:p>
      <w:pPr>
        <w:spacing w:after="0" w:line="125" w:lineRule="exact"/>
        <w:rPr>
          <w:sz w:val="20"/>
          <w:szCs w:val="20"/>
          <w:color w:val="auto"/>
        </w:rPr>
      </w:pPr>
    </w:p>
    <w:p>
      <w:pPr>
        <w:jc w:val="both"/>
        <w:ind w:right="20" w:firstLine="1737"/>
        <w:spacing w:after="0" w:line="243" w:lineRule="auto"/>
        <w:rPr>
          <w:sz w:val="20"/>
          <w:szCs w:val="20"/>
          <w:color w:val="auto"/>
        </w:rPr>
      </w:pPr>
      <w:r>
        <w:rPr>
          <w:rFonts w:ascii="Arial" w:cs="Arial" w:eastAsia="Arial" w:hAnsi="Arial"/>
          <w:sz w:val="15"/>
          <w:szCs w:val="15"/>
          <w:color w:val="auto"/>
        </w:rPr>
        <w:t xml:space="preserve">(l) </w:t>
      </w:r>
      <w:r>
        <w:rPr>
          <w:rFonts w:ascii="Arial" w:cs="Arial" w:eastAsia="Arial" w:hAnsi="Arial"/>
          <w:sz w:val="15"/>
          <w:szCs w:val="15"/>
          <w:u w:val="single" w:color="auto"/>
          <w:color w:val="auto"/>
        </w:rPr>
        <w:t>Additional Issuing Banks</w:t>
      </w:r>
      <w:r>
        <w:rPr>
          <w:rFonts w:ascii="Arial" w:cs="Arial" w:eastAsia="Arial" w:hAnsi="Arial"/>
          <w:sz w:val="15"/>
          <w:szCs w:val="15"/>
          <w:color w:val="auto"/>
        </w:rPr>
        <w:t xml:space="preserve">. From time to time, the Borrower may, by notice to the Administrative Agent, designate additional Extending Lenders as an Issuing Bank, each of which agrees (in its sole discretion) to act in such capacity and is reasonably satisfactory to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such notice shall include an updated Schedule 2.05;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Borrower shall not update Schedule 2.05 to increase any Issuing Bank’s maximum LC Exposure without such Issuing Bank’s consent. Each such additional Issuing Bank shall execute a counterpart of this Agreement upon the approval of the Administrative Agent (which approval shall not be unreasonably withheld) and shall thereafter be an Issuing Bank hereunder for all purposes.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2.06.</w:t>
            </w:r>
          </w:p>
        </w:tc>
        <w:tc>
          <w:tcPr>
            <w:tcW w:w="1220" w:type="dxa"/>
            <w:vAlign w:val="bottom"/>
          </w:tcPr>
          <w:p>
            <w:pPr>
              <w:spacing w:after="0"/>
              <w:rPr>
                <w:sz w:val="14"/>
                <w:szCs w:val="14"/>
                <w:color w:val="auto"/>
              </w:rPr>
            </w:pPr>
          </w:p>
        </w:tc>
        <w:tc>
          <w:tcPr>
            <w:tcW w:w="6800" w:type="dxa"/>
            <w:vAlign w:val="bottom"/>
            <w:gridSpan w:val="3"/>
          </w:tcPr>
          <w:p>
            <w:pPr>
              <w:ind w:left="380"/>
              <w:spacing w:after="0"/>
              <w:rPr>
                <w:sz w:val="20"/>
                <w:szCs w:val="20"/>
                <w:color w:val="auto"/>
              </w:rPr>
            </w:pPr>
            <w:r>
              <w:rPr>
                <w:rFonts w:ascii="Arial" w:cs="Arial" w:eastAsia="Arial" w:hAnsi="Arial"/>
                <w:sz w:val="15"/>
                <w:szCs w:val="15"/>
                <w:color w:val="auto"/>
              </w:rPr>
              <w:t>Funding of Borrowings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0"/>
              </w:rPr>
              <w:t>Funding by Lenders. Each Lender shall make each Loan to be made by it hereunder on the proposed date thereof by wire transfer of</w:t>
            </w:r>
          </w:p>
        </w:tc>
      </w:tr>
      <w:tr>
        <w:trPr>
          <w:trHeight w:val="20"/>
        </w:trPr>
        <w:tc>
          <w:tcPr>
            <w:tcW w:w="3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immediately available funds by (i) in the case of any Loan (other than a Syndicated ABR Borrowing), 11:00 a.m. New York City time, and (ii) in the case of any Loan that is a Syndicated ABR Borrowing, 1:00 p.m. New York City time, in each case, to the account of the Administrative Agent most recently designated by it for such purpose by notice to the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Swingline Loans shall be made as provided in </w:t>
      </w:r>
      <w:r>
        <w:rPr>
          <w:rFonts w:ascii="Arial" w:cs="Arial" w:eastAsia="Arial" w:hAnsi="Arial"/>
          <w:sz w:val="14"/>
          <w:szCs w:val="14"/>
          <w:u w:val="single" w:color="auto"/>
          <w:color w:val="auto"/>
        </w:rPr>
        <w:t>Section 2.04</w:t>
      </w:r>
      <w:r>
        <w:rPr>
          <w:rFonts w:ascii="Arial" w:cs="Arial" w:eastAsia="Arial" w:hAnsi="Arial"/>
          <w:sz w:val="14"/>
          <w:szCs w:val="14"/>
          <w:color w:val="auto"/>
        </w:rPr>
        <w:t xml:space="preserve">. The Administrative Agent will make such Loans available to the Borrower by promptly crediting the amounts so received, in like funds, to an account of the Borrower designated by the Borrower in the applicable Borrowing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Syndicated ABR Borrowings made to finance the reimbursement of an LC Disbursement as provided in </w:t>
      </w:r>
      <w:r>
        <w:rPr>
          <w:rFonts w:ascii="Arial" w:cs="Arial" w:eastAsia="Arial" w:hAnsi="Arial"/>
          <w:sz w:val="14"/>
          <w:szCs w:val="14"/>
          <w:u w:val="single" w:color="auto"/>
          <w:color w:val="auto"/>
        </w:rPr>
        <w:t>Section 2.05(f)</w:t>
      </w:r>
      <w:r>
        <w:rPr>
          <w:rFonts w:ascii="Arial" w:cs="Arial" w:eastAsia="Arial" w:hAnsi="Arial"/>
          <w:sz w:val="14"/>
          <w:szCs w:val="14"/>
          <w:color w:val="auto"/>
        </w:rPr>
        <w:t xml:space="preserve"> shall be remitted by the Administrative Agent to the applicable Issuing Bank.</w:t>
      </w:r>
    </w:p>
    <w:p>
      <w:pPr>
        <w:spacing w:after="0" w:line="117" w:lineRule="exact"/>
        <w:rPr>
          <w:sz w:val="20"/>
          <w:szCs w:val="20"/>
          <w:color w:val="auto"/>
        </w:rPr>
      </w:pPr>
    </w:p>
    <w:p>
      <w:pPr>
        <w:jc w:val="both"/>
        <w:ind w:right="20" w:firstLine="1737"/>
        <w:spacing w:after="0" w:line="259"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Presumption by the Administrative Agent</w:t>
      </w:r>
      <w:r>
        <w:rPr>
          <w:rFonts w:ascii="Arial" w:cs="Arial" w:eastAsia="Arial" w:hAnsi="Arial"/>
          <w:sz w:val="14"/>
          <w:szCs w:val="14"/>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4"/>
          <w:szCs w:val="14"/>
          <w:u w:val="single" w:color="auto"/>
          <w:color w:val="auto"/>
        </w:rPr>
        <w:t>paragraph (a)</w:t>
      </w:r>
      <w:r>
        <w:rPr>
          <w:rFonts w:ascii="Arial" w:cs="Arial" w:eastAsia="Arial" w:hAnsi="Arial"/>
          <w:sz w:val="14"/>
          <w:szCs w:val="14"/>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or (ii) in the case of the Borrower, the interest rate applicable to ABR Loans. If such Lender pays such amount to the Administrative Agent, then such amount shall constitute such Lender’s Loan included in such Borrowing. Nothing in this paragraph shall relieve any Lender of its obligation to fulfill its commitments hereunder, and this paragraph shall be without prejudice to any claim the Borrower may have against a Lender that shall have failed to make such payment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215900</wp:posOffset>
            </wp:positionV>
            <wp:extent cx="721106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2.07.</w:t>
            </w:r>
          </w:p>
        </w:tc>
        <w:tc>
          <w:tcPr>
            <w:tcW w:w="8040" w:type="dxa"/>
            <w:vAlign w:val="bottom"/>
            <w:gridSpan w:val="6"/>
          </w:tcPr>
          <w:p>
            <w:pPr>
              <w:ind w:left="1600"/>
              <w:spacing w:after="0"/>
              <w:rPr>
                <w:sz w:val="20"/>
                <w:szCs w:val="20"/>
                <w:color w:val="auto"/>
              </w:rPr>
            </w:pPr>
            <w:r>
              <w:rPr>
                <w:rFonts w:ascii="Arial" w:cs="Arial" w:eastAsia="Arial" w:hAnsi="Arial"/>
                <w:sz w:val="15"/>
                <w:szCs w:val="15"/>
                <w:color w:val="auto"/>
              </w:rPr>
              <w:t>Interest Elections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6"/>
          </w:tcPr>
          <w:p>
            <w:pPr>
              <w:spacing w:after="0"/>
              <w:rPr>
                <w:sz w:val="20"/>
                <w:szCs w:val="20"/>
                <w:color w:val="auto"/>
              </w:rPr>
            </w:pPr>
            <w:r>
              <w:rPr>
                <w:rFonts w:ascii="Arial" w:cs="Arial" w:eastAsia="Arial" w:hAnsi="Arial"/>
                <w:sz w:val="15"/>
                <w:szCs w:val="15"/>
                <w:color w:val="auto"/>
                <w:w w:val="99"/>
              </w:rPr>
              <w:t>Elections by the Borrower for Syndicated Borrowings.  Subject to Section 2.03(d), the Loans constituting each Syndicated</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 xml:space="preserve">Borrowing initially shall be of the Type specified in the applicable Borrowing Request and, in the case of a Eurocurrency Borrowing or RFR Borrowing, shall have the Interest Period specified in such Borrowing Request. Thereafter, the Borrower may elect to convert such Borrowing to a Borrowing of a different Type or to continue such Borrowing as a Borrowing of the same Type and, in the case of a Eurocurrency Borrowing or RFR Borrowing, may elect the Interest Period therefor, all as provided in this Section;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 a Syndicated Borrowing of a Class may only be continued or converted into a Syndicated Borrowing of the same Class, (ii) a Syndicated Borrowing denominated in one Currency may not be continued as, or converted to, a Syndicated Borrowing in a different Currency, (iii) no Eurocurrency Borrowing denominated in a Foreign Currency or RFR Borrowing denominated in Sterling or Swiss Francs may be continued if, after giving effect thereto, the aggregate Revolving Multicurrency Credit Exposures would exceed the aggregate Multicurrency Commitments, and (iv) a Eurocurrency Borrowing denominated in a Foreign Currency or RFR Borrowing denominated in Sterling or Swiss Francs may not be converted to a Borrowing of a different Type. The Borrower may elect different options with respect to different portions of the affected Borrowing, in which case each such portion shall be allocated ratably among the Lenders of the respective Class holding the Loans constituting such Borrowing, and the Loans constituting each such portion shall be considered a separate Borrowing. This Section shall not apply to Swingline Borrowings, which may not be converted or continued.</w:t>
      </w:r>
    </w:p>
    <w:p>
      <w:pPr>
        <w:spacing w:after="0" w:line="122" w:lineRule="exact"/>
        <w:rPr>
          <w:sz w:val="20"/>
          <w:szCs w:val="20"/>
          <w:color w:val="auto"/>
        </w:rPr>
      </w:pPr>
    </w:p>
    <w:p>
      <w:pPr>
        <w:jc w:val="both"/>
        <w:ind w:right="20" w:firstLine="1737"/>
        <w:spacing w:after="0" w:line="243"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Notice of Elections</w:t>
      </w:r>
      <w:r>
        <w:rPr>
          <w:rFonts w:ascii="Arial" w:cs="Arial" w:eastAsia="Arial" w:hAnsi="Arial"/>
          <w:sz w:val="15"/>
          <w:szCs w:val="15"/>
          <w:color w:val="auto"/>
        </w:rPr>
        <w:t xml:space="preserve">. To make an election pursuant to this Section, the Borrower shall notify the Administrative Agent of such election by telephone by the time that a Borrowing Request would be required under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if the Borrower were requesting a Syndicated Borrowing of the Type resulting from such election to be made on the effective date of such election. Each such telephonic Interest Election Request shall be irrevocable and shall be confirmed promptly (but no later than the close of business on the date of such request) by hand delivery or telecopy to the Administrative Agent of a written Interest Election Request in a form approved by the Administrative Agent and signed by the Borrower.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5"/>
                <w:szCs w:val="15"/>
                <w:color w:val="auto"/>
              </w:rPr>
              <w:t>(c)</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520" w:type="dxa"/>
            <w:vAlign w:val="bottom"/>
            <w:gridSpan w:val="3"/>
          </w:tcPr>
          <w:p>
            <w:pPr>
              <w:jc w:val="right"/>
              <w:ind w:right="40"/>
              <w:spacing w:after="0"/>
              <w:rPr>
                <w:sz w:val="20"/>
                <w:szCs w:val="20"/>
                <w:color w:val="auto"/>
              </w:rPr>
            </w:pPr>
            <w:r>
              <w:rPr>
                <w:rFonts w:ascii="Arial" w:cs="Arial" w:eastAsia="Arial" w:hAnsi="Arial"/>
                <w:sz w:val="15"/>
                <w:szCs w:val="15"/>
                <w:color w:val="auto"/>
                <w:w w:val="97"/>
              </w:rPr>
              <w:t>Content of Interest Election Requests. Each telephonic and written Interest Election Request shall specify the following information</w:t>
            </w:r>
          </w:p>
        </w:tc>
      </w:tr>
      <w:tr>
        <w:trPr>
          <w:trHeight w:val="150"/>
        </w:trPr>
        <w:tc>
          <w:tcPr>
            <w:tcW w:w="2280" w:type="dxa"/>
            <w:vAlign w:val="bottom"/>
            <w:gridSpan w:val="4"/>
          </w:tcPr>
          <w:p>
            <w:pPr>
              <w:spacing w:after="0" w:line="150" w:lineRule="exact"/>
              <w:rPr>
                <w:sz w:val="20"/>
                <w:szCs w:val="20"/>
                <w:color w:val="auto"/>
              </w:rPr>
            </w:pPr>
            <w:r>
              <w:rPr>
                <w:rFonts w:ascii="Arial" w:cs="Arial" w:eastAsia="Arial" w:hAnsi="Arial"/>
                <w:sz w:val="15"/>
                <w:szCs w:val="15"/>
                <w:color w:val="auto"/>
              </w:rPr>
              <w:t>in compliance with Section 2.02:</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60" w:type="dxa"/>
            <w:vAlign w:val="bottom"/>
            <w:tcBorders>
              <w:top w:val="single" w:sz="8" w:color="auto"/>
            </w:tcBorders>
          </w:tcPr>
          <w:p>
            <w:pPr>
              <w:spacing w:after="0"/>
              <w:rPr>
                <w:sz w:val="13"/>
                <w:szCs w:val="13"/>
                <w:color w:val="auto"/>
              </w:rPr>
            </w:pPr>
          </w:p>
        </w:tc>
        <w:tc>
          <w:tcPr>
            <w:tcW w:w="5800" w:type="dxa"/>
            <w:vAlign w:val="bottom"/>
          </w:tcPr>
          <w:p>
            <w:pPr>
              <w:spacing w:after="0"/>
              <w:rPr>
                <w:sz w:val="13"/>
                <w:szCs w:val="13"/>
                <w:color w:val="auto"/>
              </w:rPr>
            </w:pPr>
          </w:p>
        </w:tc>
      </w:tr>
      <w:tr>
        <w:trPr>
          <w:trHeight w:val="315"/>
        </w:trPr>
        <w:tc>
          <w:tcPr>
            <w:tcW w:w="1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5"/>
                <w:szCs w:val="15"/>
                <w:color w:val="auto"/>
              </w:rPr>
              <w:t>(i)</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20" w:type="dxa"/>
            <w:vAlign w:val="bottom"/>
            <w:gridSpan w:val="3"/>
          </w:tcPr>
          <w:p>
            <w:pPr>
              <w:jc w:val="right"/>
              <w:ind w:right="40"/>
              <w:spacing w:after="0"/>
              <w:rPr>
                <w:sz w:val="20"/>
                <w:szCs w:val="20"/>
                <w:color w:val="auto"/>
              </w:rPr>
            </w:pPr>
            <w:r>
              <w:rPr>
                <w:rFonts w:ascii="Arial" w:cs="Arial" w:eastAsia="Arial" w:hAnsi="Arial"/>
                <w:sz w:val="15"/>
                <w:szCs w:val="15"/>
                <w:color w:val="auto"/>
              </w:rPr>
              <w:t>the Borrowing (including the Class of Commitment) to which such Interest Election Request applies and, if different options are</w:t>
            </w:r>
          </w:p>
        </w:tc>
      </w:tr>
      <w:tr>
        <w:trPr>
          <w:trHeight w:val="170"/>
        </w:trPr>
        <w:tc>
          <w:tcPr>
            <w:tcW w:w="11320" w:type="dxa"/>
            <w:vAlign w:val="bottom"/>
            <w:gridSpan w:val="9"/>
          </w:tcPr>
          <w:p>
            <w:pPr>
              <w:ind w:left="860"/>
              <w:spacing w:after="0" w:line="170" w:lineRule="exact"/>
              <w:rPr>
                <w:sz w:val="20"/>
                <w:szCs w:val="20"/>
                <w:color w:val="auto"/>
              </w:rPr>
            </w:pPr>
            <w:r>
              <w:rPr>
                <w:rFonts w:ascii="Arial" w:cs="Arial" w:eastAsia="Arial" w:hAnsi="Arial"/>
                <w:sz w:val="15"/>
                <w:szCs w:val="15"/>
                <w:color w:val="auto"/>
                <w:w w:val="96"/>
              </w:rPr>
              <w:t>being elected with respect to different portions thereof, the portions thereof to be allocated to each resulting Borrowing (in which case the information to be specified</w:t>
            </w:r>
          </w:p>
        </w:tc>
      </w:tr>
      <w:tr>
        <w:trPr>
          <w:trHeight w:val="156"/>
        </w:trPr>
        <w:tc>
          <w:tcPr>
            <w:tcW w:w="11320" w:type="dxa"/>
            <w:vAlign w:val="bottom"/>
            <w:gridSpan w:val="9"/>
          </w:tcPr>
          <w:p>
            <w:pPr>
              <w:ind w:left="860"/>
              <w:spacing w:after="0" w:line="156" w:lineRule="exact"/>
              <w:rPr>
                <w:sz w:val="20"/>
                <w:szCs w:val="20"/>
                <w:color w:val="auto"/>
              </w:rPr>
            </w:pPr>
            <w:r>
              <w:rPr>
                <w:rFonts w:ascii="Arial" w:cs="Arial" w:eastAsia="Arial" w:hAnsi="Arial"/>
                <w:sz w:val="15"/>
                <w:szCs w:val="15"/>
                <w:color w:val="auto"/>
              </w:rPr>
              <w:t>pursuant to clauses (iii) and (iv) of this paragraph shall be specified for each resulting Borrowing);</w:t>
            </w:r>
          </w:p>
        </w:tc>
      </w:tr>
      <w:tr>
        <w:trPr>
          <w:trHeight w:val="336"/>
        </w:trPr>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top w:val="single" w:sz="8" w:color="auto"/>
            </w:tcBorders>
            <w:gridSpan w:val="2"/>
          </w:tcPr>
          <w:p>
            <w:pPr>
              <w:ind w:left="80"/>
              <w:spacing w:after="0"/>
              <w:rPr>
                <w:sz w:val="20"/>
                <w:szCs w:val="20"/>
                <w:color w:val="auto"/>
              </w:rPr>
            </w:pPr>
            <w:r>
              <w:rPr>
                <w:rFonts w:ascii="Arial" w:cs="Arial" w:eastAsia="Arial" w:hAnsi="Arial"/>
                <w:sz w:val="15"/>
                <w:szCs w:val="15"/>
                <w:color w:val="auto"/>
              </w:rPr>
              <w:t>(ii)</w:t>
            </w: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520" w:type="dxa"/>
            <w:vAlign w:val="bottom"/>
            <w:gridSpan w:val="3"/>
          </w:tcPr>
          <w:p>
            <w:pPr>
              <w:jc w:val="right"/>
              <w:ind w:right="1260"/>
              <w:spacing w:after="0"/>
              <w:rPr>
                <w:sz w:val="20"/>
                <w:szCs w:val="20"/>
                <w:color w:val="auto"/>
              </w:rPr>
            </w:pPr>
            <w:r>
              <w:rPr>
                <w:rFonts w:ascii="Arial" w:cs="Arial" w:eastAsia="Arial" w:hAnsi="Arial"/>
                <w:sz w:val="15"/>
                <w:szCs w:val="15"/>
                <w:color w:val="auto"/>
                <w:w w:val="95"/>
              </w:rPr>
              <w:t>the effective date of the election made pursuant to such Interest Election Request, which shall be a Business Day;</w:t>
            </w:r>
          </w:p>
        </w:tc>
      </w:tr>
      <w:tr>
        <w:trPr>
          <w:trHeight w:val="301"/>
        </w:trPr>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5"/>
                <w:szCs w:val="15"/>
                <w:color w:val="auto"/>
              </w:rPr>
              <w:t>(iii)</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520" w:type="dxa"/>
            <w:vAlign w:val="bottom"/>
            <w:gridSpan w:val="3"/>
          </w:tcPr>
          <w:p>
            <w:pPr>
              <w:jc w:val="right"/>
              <w:ind w:right="40"/>
              <w:spacing w:after="0"/>
              <w:rPr>
                <w:sz w:val="20"/>
                <w:szCs w:val="20"/>
                <w:color w:val="auto"/>
              </w:rPr>
            </w:pPr>
            <w:r>
              <w:rPr>
                <w:rFonts w:ascii="Arial" w:cs="Arial" w:eastAsia="Arial" w:hAnsi="Arial"/>
                <w:sz w:val="15"/>
                <w:szCs w:val="15"/>
                <w:color w:val="auto"/>
                <w:w w:val="99"/>
              </w:rPr>
              <w:t>whether, in the case of a Borrowing denominated in Dollars, the resulting Borrowing is to be an ABR Borrowing or a Term SOFR</w:t>
            </w:r>
          </w:p>
        </w:tc>
      </w:tr>
      <w:tr>
        <w:trPr>
          <w:trHeight w:val="191"/>
        </w:trPr>
        <w:tc>
          <w:tcPr>
            <w:tcW w:w="2280" w:type="dxa"/>
            <w:vAlign w:val="bottom"/>
            <w:gridSpan w:val="4"/>
          </w:tcPr>
          <w:p>
            <w:pPr>
              <w:ind w:left="860"/>
              <w:spacing w:after="0"/>
              <w:rPr>
                <w:sz w:val="20"/>
                <w:szCs w:val="20"/>
                <w:color w:val="auto"/>
              </w:rPr>
            </w:pPr>
            <w:r>
              <w:rPr>
                <w:rFonts w:ascii="Arial" w:cs="Arial" w:eastAsia="Arial" w:hAnsi="Arial"/>
                <w:sz w:val="15"/>
                <w:szCs w:val="15"/>
                <w:color w:val="auto"/>
              </w:rPr>
              <w:t>Borrowing; and</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800" w:type="dxa"/>
            <w:vAlign w:val="bottom"/>
          </w:tcPr>
          <w:p>
            <w:pPr>
              <w:spacing w:after="0"/>
              <w:rPr>
                <w:sz w:val="16"/>
                <w:szCs w:val="16"/>
                <w:color w:val="auto"/>
              </w:rPr>
            </w:pPr>
          </w:p>
        </w:tc>
      </w:tr>
      <w:tr>
        <w:trPr>
          <w:trHeight w:val="372"/>
        </w:trPr>
        <w:tc>
          <w:tcPr>
            <w:tcW w:w="1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79" w:right="27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72"/>
        </w:trPr>
        <w:tc>
          <w:tcPr>
            <w:tcW w:w="2580" w:type="dxa"/>
            <w:vAlign w:val="bottom"/>
          </w:tcPr>
          <w:p>
            <w:pPr>
              <w:ind w:left="1660"/>
              <w:spacing w:after="0"/>
              <w:rPr>
                <w:sz w:val="20"/>
                <w:szCs w:val="20"/>
                <w:color w:val="auto"/>
              </w:rPr>
            </w:pPr>
            <w:r>
              <w:rPr>
                <w:rFonts w:ascii="Arial" w:cs="Arial" w:eastAsia="Arial" w:hAnsi="Arial"/>
                <w:sz w:val="15"/>
                <w:szCs w:val="15"/>
                <w:color w:val="auto"/>
              </w:rPr>
              <w:t>(iv)</w:t>
            </w:r>
          </w:p>
        </w:tc>
        <w:tc>
          <w:tcPr>
            <w:tcW w:w="8700" w:type="dxa"/>
            <w:vAlign w:val="bottom"/>
            <w:gridSpan w:val="6"/>
          </w:tcPr>
          <w:p>
            <w:pPr>
              <w:jc w:val="right"/>
              <w:spacing w:after="0"/>
              <w:rPr>
                <w:sz w:val="20"/>
                <w:szCs w:val="20"/>
                <w:color w:val="auto"/>
              </w:rPr>
            </w:pPr>
            <w:r>
              <w:rPr>
                <w:rFonts w:ascii="Arial" w:cs="Arial" w:eastAsia="Arial" w:hAnsi="Arial"/>
                <w:sz w:val="15"/>
                <w:szCs w:val="15"/>
                <w:color w:val="auto"/>
              </w:rPr>
              <w:t>if the resulting Borrowing is a Eurocurrency Borrowing or RFR Borrowing, the Interest Period therefor after giving effect to such</w:t>
            </w:r>
          </w:p>
        </w:tc>
      </w:tr>
      <w:tr>
        <w:trPr>
          <w:trHeight w:val="156"/>
        </w:trPr>
        <w:tc>
          <w:tcPr>
            <w:tcW w:w="11280" w:type="dxa"/>
            <w:vAlign w:val="bottom"/>
            <w:gridSpan w:val="7"/>
          </w:tcPr>
          <w:p>
            <w:pPr>
              <w:jc w:val="right"/>
              <w:ind w:right="2540"/>
              <w:spacing w:after="0" w:line="156" w:lineRule="exact"/>
              <w:rPr>
                <w:sz w:val="20"/>
                <w:szCs w:val="20"/>
                <w:color w:val="auto"/>
              </w:rPr>
            </w:pPr>
            <w:r>
              <w:rPr>
                <w:rFonts w:ascii="Arial" w:cs="Arial" w:eastAsia="Arial" w:hAnsi="Arial"/>
                <w:sz w:val="15"/>
                <w:szCs w:val="15"/>
                <w:color w:val="auto"/>
              </w:rPr>
              <w:t>election, which shall be a period contemplated by the definition of the term “Interest Period” and permitted under Section 2.02(d).</w:t>
            </w:r>
          </w:p>
        </w:tc>
      </w:tr>
      <w:tr>
        <w:trPr>
          <w:trHeight w:val="20"/>
        </w:trPr>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301"/>
        </w:trPr>
        <w:tc>
          <w:tcPr>
            <w:tcW w:w="2580" w:type="dxa"/>
            <w:vAlign w:val="bottom"/>
          </w:tcPr>
          <w:p>
            <w:pPr>
              <w:ind w:left="1740"/>
              <w:spacing w:after="0"/>
              <w:rPr>
                <w:sz w:val="20"/>
                <w:szCs w:val="20"/>
                <w:color w:val="auto"/>
              </w:rPr>
            </w:pPr>
            <w:r>
              <w:rPr>
                <w:rFonts w:ascii="Arial" w:cs="Arial" w:eastAsia="Arial" w:hAnsi="Arial"/>
                <w:sz w:val="15"/>
                <w:szCs w:val="15"/>
                <w:color w:val="auto"/>
              </w:rPr>
              <w:t>(d)</w:t>
            </w:r>
          </w:p>
        </w:tc>
        <w:tc>
          <w:tcPr>
            <w:tcW w:w="700" w:type="dxa"/>
            <w:vAlign w:val="bottom"/>
          </w:tcPr>
          <w:p>
            <w:pPr>
              <w:spacing w:after="0"/>
              <w:rPr>
                <w:sz w:val="24"/>
                <w:szCs w:val="24"/>
                <w:color w:val="auto"/>
              </w:rPr>
            </w:pPr>
          </w:p>
        </w:tc>
        <w:tc>
          <w:tcPr>
            <w:tcW w:w="8000" w:type="dxa"/>
            <w:vAlign w:val="bottom"/>
            <w:gridSpan w:val="5"/>
          </w:tcPr>
          <w:p>
            <w:pPr>
              <w:jc w:val="right"/>
              <w:spacing w:after="0"/>
              <w:rPr>
                <w:sz w:val="20"/>
                <w:szCs w:val="20"/>
                <w:color w:val="auto"/>
              </w:rPr>
            </w:pPr>
            <w:r>
              <w:rPr>
                <w:rFonts w:ascii="Arial" w:cs="Arial" w:eastAsia="Arial" w:hAnsi="Arial"/>
                <w:sz w:val="15"/>
                <w:szCs w:val="15"/>
                <w:color w:val="auto"/>
                <w:w w:val="94"/>
              </w:rPr>
              <w:t>Notice by the Administrative Agent to the Lenders. Promptly following receipt of an Interest Election Request, the Administrative</w:t>
            </w:r>
          </w:p>
        </w:tc>
      </w:tr>
      <w:tr>
        <w:trPr>
          <w:trHeight w:val="20"/>
        </w:trPr>
        <w:tc>
          <w:tcPr>
            <w:tcW w:w="3280" w:type="dxa"/>
            <w:vAlign w:val="bottom"/>
            <w:gridSpan w:val="2"/>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r>
      <w:tr>
        <w:trPr>
          <w:trHeight w:val="185"/>
        </w:trPr>
        <w:tc>
          <w:tcPr>
            <w:tcW w:w="11280" w:type="dxa"/>
            <w:vAlign w:val="bottom"/>
            <w:gridSpan w:val="7"/>
          </w:tcPr>
          <w:p>
            <w:pPr>
              <w:jc w:val="right"/>
              <w:ind w:right="3880"/>
              <w:spacing w:after="0"/>
              <w:rPr>
                <w:sz w:val="20"/>
                <w:szCs w:val="20"/>
                <w:color w:val="auto"/>
              </w:rPr>
            </w:pPr>
            <w:r>
              <w:rPr>
                <w:rFonts w:ascii="Arial" w:cs="Arial" w:eastAsia="Arial" w:hAnsi="Arial"/>
                <w:sz w:val="15"/>
                <w:szCs w:val="15"/>
                <w:color w:val="auto"/>
                <w:w w:val="91"/>
              </w:rPr>
              <w:t>Agent shall advise each applicable Lender of the details thereof and of such Lender’s portion of each resulting Borrowing.</w:t>
            </w:r>
          </w:p>
        </w:tc>
      </w:tr>
      <w:tr>
        <w:trPr>
          <w:trHeight w:val="287"/>
        </w:trPr>
        <w:tc>
          <w:tcPr>
            <w:tcW w:w="2580" w:type="dxa"/>
            <w:vAlign w:val="bottom"/>
          </w:tcPr>
          <w:p>
            <w:pPr>
              <w:ind w:left="1740"/>
              <w:spacing w:after="0"/>
              <w:rPr>
                <w:sz w:val="20"/>
                <w:szCs w:val="20"/>
                <w:color w:val="auto"/>
              </w:rPr>
            </w:pPr>
            <w:r>
              <w:rPr>
                <w:rFonts w:ascii="Arial" w:cs="Arial" w:eastAsia="Arial" w:hAnsi="Arial"/>
                <w:sz w:val="15"/>
                <w:szCs w:val="15"/>
                <w:color w:val="auto"/>
              </w:rPr>
              <w:t>(e)</w:t>
            </w:r>
          </w:p>
        </w:tc>
        <w:tc>
          <w:tcPr>
            <w:tcW w:w="700" w:type="dxa"/>
            <w:vAlign w:val="bottom"/>
          </w:tcPr>
          <w:p>
            <w:pPr>
              <w:spacing w:after="0"/>
              <w:rPr>
                <w:sz w:val="24"/>
                <w:szCs w:val="24"/>
                <w:color w:val="auto"/>
              </w:rPr>
            </w:pPr>
          </w:p>
        </w:tc>
        <w:tc>
          <w:tcPr>
            <w:tcW w:w="8000" w:type="dxa"/>
            <w:vAlign w:val="bottom"/>
            <w:gridSpan w:val="5"/>
          </w:tcPr>
          <w:p>
            <w:pPr>
              <w:jc w:val="right"/>
              <w:spacing w:after="0"/>
              <w:rPr>
                <w:sz w:val="20"/>
                <w:szCs w:val="20"/>
                <w:color w:val="auto"/>
              </w:rPr>
            </w:pPr>
            <w:r>
              <w:rPr>
                <w:rFonts w:ascii="Arial" w:cs="Arial" w:eastAsia="Arial" w:hAnsi="Arial"/>
                <w:sz w:val="15"/>
                <w:szCs w:val="15"/>
                <w:color w:val="auto"/>
                <w:w w:val="92"/>
              </w:rPr>
              <w:t>Failure to Elect; Events of Default. If the Borrower fails to deliver a timely and complete Interest Election Request with respect to a</w:t>
            </w:r>
          </w:p>
        </w:tc>
      </w:tr>
      <w:tr>
        <w:trPr>
          <w:trHeight w:val="20"/>
        </w:trPr>
        <w:tc>
          <w:tcPr>
            <w:tcW w:w="258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Eurocurrency Borrowing or RFR Borrowing prior to the end of the Interest Period therefor, then, unless such Borrowing is repaid as provided herein, (i) if such Borrowing is denominated in Dollars, at the end of such Interest Period such Borrowing shall be converted to a Syndicated RFR Borrowing consistent with the existing Loan of the same Class having an Interest Period of one month, and (ii) if such Borrowing is denominated in a Foreign Currency, the Borrower shall be deemed to have selected an Interest Period of one month’s duration. Notwithstanding any contrary provision hereof (other than the last paragraph of Article VII), if an Event of Default has occurred and is continuing and the Administrative Agent, at the request of the Required Lenders, so notifies the Borrower, (i) any RFR Borrowing denominated in Dollars shall, at the end of the applicable Interest Period for such RFR Borrowing, be automatically converted to an ABR Borrowing and (ii) any Eurocurrency Borrowing or RFR Borrowing denominated in a Foreign Currency shall not have an Interest Period of more than one month’s duration.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2.08.</w:t>
            </w:r>
          </w:p>
        </w:tc>
        <w:tc>
          <w:tcPr>
            <w:tcW w:w="1400" w:type="dxa"/>
            <w:vAlign w:val="bottom"/>
          </w:tcPr>
          <w:p>
            <w:pPr>
              <w:spacing w:after="0"/>
              <w:rPr>
                <w:sz w:val="14"/>
                <w:szCs w:val="14"/>
                <w:color w:val="auto"/>
              </w:rPr>
            </w:pPr>
          </w:p>
        </w:tc>
        <w:tc>
          <w:tcPr>
            <w:tcW w:w="6640" w:type="dxa"/>
            <w:vAlign w:val="bottom"/>
            <w:gridSpan w:val="3"/>
          </w:tcPr>
          <w:p>
            <w:pPr>
              <w:ind w:left="200"/>
              <w:spacing w:after="0"/>
              <w:rPr>
                <w:sz w:val="20"/>
                <w:szCs w:val="20"/>
                <w:color w:val="auto"/>
              </w:rPr>
            </w:pPr>
            <w:r>
              <w:rPr>
                <w:rFonts w:ascii="Arial" w:cs="Arial" w:eastAsia="Arial" w:hAnsi="Arial"/>
                <w:sz w:val="15"/>
                <w:szCs w:val="15"/>
                <w:color w:val="auto"/>
              </w:rPr>
              <w:t>Termination, Reduction or Increase of the Commitments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4"/>
          </w:tcPr>
          <w:p>
            <w:pPr>
              <w:spacing w:after="0"/>
              <w:rPr>
                <w:sz w:val="20"/>
                <w:szCs w:val="20"/>
                <w:color w:val="auto"/>
              </w:rPr>
            </w:pPr>
            <w:r>
              <w:rPr>
                <w:rFonts w:ascii="Arial" w:cs="Arial" w:eastAsia="Arial" w:hAnsi="Arial"/>
                <w:sz w:val="15"/>
                <w:szCs w:val="15"/>
                <w:color w:val="auto"/>
                <w:w w:val="92"/>
              </w:rPr>
              <w:t>Scheduled Termination. Unless previously terminated, the Commitments of each Extending Lender with respect to such Extending</w:t>
            </w:r>
          </w:p>
        </w:tc>
      </w:tr>
      <w:tr>
        <w:trPr>
          <w:trHeight w:val="20"/>
        </w:trPr>
        <w:tc>
          <w:tcPr>
            <w:tcW w:w="32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Lender’s Extended Loans shall terminate on the Extended Commitment Termination Date and the Commitments of each Non-Extending Lender with respect to such Non-Extending Lender’s Non-Extended Loans shall terminate on the Non-Extended Commitment Termination Date for such Non-Extending Lender.</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Voluntary Termination or Reduction</w:t>
      </w:r>
      <w:r>
        <w:rPr>
          <w:rFonts w:ascii="Arial" w:cs="Arial" w:eastAsia="Arial" w:hAnsi="Arial"/>
          <w:sz w:val="14"/>
          <w:szCs w:val="14"/>
          <w:color w:val="auto"/>
        </w:rPr>
        <w:t xml:space="preserve">. The Borrower may at any time terminate, or from time to time reduce, the Commitments of either Class of Commitment;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each reduction of the Commitments of a Class shall be in an amount that is $10,000,000 (or, if less, the entire amount of the Commitments of such Class) or a larger multiple of $5,000,000 in excess thereof (or, if less, the entire amount of the Commitments of such Class) and (ii) the Borrower shall not terminate or reduce the Commitments of either Class of Commitment if, after giving effect to any concurrent prepayment of the Syndicated Loans of such Class in accordance with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the total Revolving Credit Exposures of such Class would exceed the total Commitments of such Class. Any such reduction of the Commitments below the principal amount of the Swingline Loans permitted under </w:t>
      </w:r>
      <w:r>
        <w:rPr>
          <w:rFonts w:ascii="Arial" w:cs="Arial" w:eastAsia="Arial" w:hAnsi="Arial"/>
          <w:sz w:val="14"/>
          <w:szCs w:val="14"/>
          <w:u w:val="single" w:color="auto"/>
          <w:color w:val="auto"/>
        </w:rPr>
        <w:t>Section 2.04(a)(i)</w:t>
      </w:r>
      <w:r>
        <w:rPr>
          <w:rFonts w:ascii="Arial" w:cs="Arial" w:eastAsia="Arial" w:hAnsi="Arial"/>
          <w:sz w:val="14"/>
          <w:szCs w:val="14"/>
          <w:color w:val="auto"/>
        </w:rPr>
        <w:t xml:space="preserve"> and the Letters of Credit permitted under </w:t>
      </w:r>
      <w:r>
        <w:rPr>
          <w:rFonts w:ascii="Arial" w:cs="Arial" w:eastAsia="Arial" w:hAnsi="Arial"/>
          <w:sz w:val="14"/>
          <w:szCs w:val="14"/>
          <w:u w:val="single" w:color="auto"/>
          <w:color w:val="auto"/>
        </w:rPr>
        <w:t>Section 2.05(c)(i)</w:t>
      </w:r>
      <w:r>
        <w:rPr>
          <w:rFonts w:ascii="Arial" w:cs="Arial" w:eastAsia="Arial" w:hAnsi="Arial"/>
          <w:sz w:val="14"/>
          <w:szCs w:val="14"/>
          <w:color w:val="auto"/>
        </w:rPr>
        <w:t xml:space="preserve"> shall result in a dollar-for-dollar reduction of such amounts as applicable.</w:t>
      </w:r>
    </w:p>
    <w:p>
      <w:pPr>
        <w:spacing w:after="0" w:line="118"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Notice of Voluntary Termination or Reduction</w:t>
      </w:r>
      <w:r>
        <w:rPr>
          <w:rFonts w:ascii="Arial" w:cs="Arial" w:eastAsia="Arial" w:hAnsi="Arial"/>
          <w:sz w:val="15"/>
          <w:szCs w:val="15"/>
          <w:color w:val="auto"/>
        </w:rPr>
        <w:t xml:space="preserve">. The Borrower shall notify the Administrative Agent of any election to terminate or reduce the Commitments under </w:t>
      </w:r>
      <w:r>
        <w:rPr>
          <w:rFonts w:ascii="Arial" w:cs="Arial" w:eastAsia="Arial" w:hAnsi="Arial"/>
          <w:sz w:val="15"/>
          <w:szCs w:val="15"/>
          <w:u w:val="single" w:color="auto"/>
          <w:color w:val="auto"/>
        </w:rPr>
        <w:t>paragraph (b)</w:t>
      </w:r>
      <w:r>
        <w:rPr>
          <w:rFonts w:ascii="Arial" w:cs="Arial" w:eastAsia="Arial" w:hAnsi="Arial"/>
          <w:sz w:val="15"/>
          <w:szCs w:val="15"/>
          <w:color w:val="auto"/>
        </w:rPr>
        <w:t xml:space="preserve"> of this Section at least three Business Days prior to the effective date of such termination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3" w:right="299" w:bottom="1440" w:gutter="0" w:footer="0" w:header="0"/>
        </w:sectPr>
      </w:pPr>
    </w:p>
    <w:bookmarkStart w:id="173" w:name="page174"/>
    <w:bookmarkEnd w:id="173"/>
    <w:p>
      <w:pPr>
        <w:jc w:val="both"/>
        <w:ind w:right="20"/>
        <w:spacing w:after="0" w:line="245" w:lineRule="auto"/>
        <w:rPr>
          <w:sz w:val="20"/>
          <w:szCs w:val="20"/>
          <w:color w:val="auto"/>
        </w:rPr>
      </w:pPr>
      <w:r>
        <w:rPr>
          <w:rFonts w:ascii="Arial" w:cs="Arial" w:eastAsia="Arial" w:hAnsi="Arial"/>
          <w:sz w:val="15"/>
          <w:szCs w:val="15"/>
          <w:color w:val="auto"/>
        </w:rPr>
        <w:t xml:space="preserve">reduction, specifying such election and the effective date thereof. Promptly following receipt of any notice, the Administrative Agent shall advise the applicable Lenders of the contents thereof. Each notice delivered by the Borrower pursuant to this Section shall be irrevocable;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notice of termination of the Commitments of a Class delivered by the Borrower may state that such notice is conditioned upon the effectiveness of other credit facilities, in which case such notice may be revoked by the Borrower (by notice to the Administrative Agent on or prior to the specified effective date) if such condition is not satisfied.</w:t>
      </w:r>
    </w:p>
    <w:p>
      <w:pPr>
        <w:spacing w:after="0" w:line="128"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Effect of Termination or Reduction</w:t>
      </w:r>
      <w:r>
        <w:rPr>
          <w:rFonts w:ascii="Arial" w:cs="Arial" w:eastAsia="Arial" w:hAnsi="Arial"/>
          <w:sz w:val="15"/>
          <w:szCs w:val="15"/>
          <w:color w:val="auto"/>
        </w:rPr>
        <w:t xml:space="preserve">. Any termination or reduction of the Commitments of a Class of Commitments pursuant to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shall be permanent. Each reduction of the Commitments of a Class of Commitments pursuant to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shall be made ratably among the Lenders of such Class in accordance with their respective Commitments.</w:t>
      </w:r>
    </w:p>
    <w:p>
      <w:pPr>
        <w:spacing w:after="0" w:line="109"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1520" w:type="dxa"/>
            <w:vAlign w:val="bottom"/>
          </w:tcPr>
          <w:p>
            <w:pPr>
              <w:ind w:left="80"/>
              <w:spacing w:after="0"/>
              <w:rPr>
                <w:sz w:val="20"/>
                <w:szCs w:val="20"/>
                <w:color w:val="auto"/>
              </w:rPr>
            </w:pPr>
            <w:r>
              <w:rPr>
                <w:rFonts w:ascii="Arial" w:cs="Arial" w:eastAsia="Arial" w:hAnsi="Arial"/>
                <w:sz w:val="15"/>
                <w:szCs w:val="15"/>
                <w:color w:val="auto"/>
              </w:rPr>
              <w:t>(e)</w:t>
            </w:r>
          </w:p>
        </w:tc>
        <w:tc>
          <w:tcPr>
            <w:tcW w:w="80" w:type="dxa"/>
            <w:vAlign w:val="bottom"/>
          </w:tcPr>
          <w:p>
            <w:pPr>
              <w:spacing w:after="0"/>
              <w:rPr>
                <w:sz w:val="14"/>
                <w:szCs w:val="14"/>
                <w:color w:val="auto"/>
              </w:rPr>
            </w:pPr>
          </w:p>
        </w:tc>
        <w:tc>
          <w:tcPr>
            <w:tcW w:w="8020" w:type="dxa"/>
            <w:vAlign w:val="bottom"/>
            <w:gridSpan w:val="3"/>
          </w:tcPr>
          <w:p>
            <w:pPr>
              <w:spacing w:after="0"/>
              <w:rPr>
                <w:sz w:val="20"/>
                <w:szCs w:val="20"/>
                <w:color w:val="auto"/>
              </w:rPr>
            </w:pPr>
            <w:r>
              <w:rPr>
                <w:rFonts w:ascii="Arial" w:cs="Arial" w:eastAsia="Arial" w:hAnsi="Arial"/>
                <w:sz w:val="15"/>
                <w:szCs w:val="15"/>
                <w:color w:val="auto"/>
              </w:rPr>
              <w:t>Increase of the Commitments.</w:t>
            </w: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r>
        <w:trPr>
          <w:trHeight w:val="301"/>
        </w:trPr>
        <w:tc>
          <w:tcPr>
            <w:tcW w:w="1520" w:type="dxa"/>
            <w:vAlign w:val="bottom"/>
          </w:tcPr>
          <w:p>
            <w:pPr>
              <w:spacing w:after="0"/>
              <w:rPr>
                <w:sz w:val="20"/>
                <w:szCs w:val="20"/>
                <w:color w:val="auto"/>
              </w:rPr>
            </w:pPr>
            <w:r>
              <w:rPr>
                <w:rFonts w:ascii="Arial" w:cs="Arial" w:eastAsia="Arial" w:hAnsi="Arial"/>
                <w:sz w:val="15"/>
                <w:szCs w:val="15"/>
                <w:color w:val="auto"/>
              </w:rPr>
              <w:t>(i)</w:t>
            </w:r>
          </w:p>
        </w:tc>
        <w:tc>
          <w:tcPr>
            <w:tcW w:w="8100" w:type="dxa"/>
            <w:vAlign w:val="bottom"/>
            <w:gridSpan w:val="4"/>
          </w:tcPr>
          <w:p>
            <w:pPr>
              <w:spacing w:after="0"/>
              <w:rPr>
                <w:sz w:val="20"/>
                <w:szCs w:val="20"/>
                <w:color w:val="auto"/>
              </w:rPr>
            </w:pPr>
            <w:r>
              <w:rPr>
                <w:rFonts w:ascii="Arial" w:cs="Arial" w:eastAsia="Arial" w:hAnsi="Arial"/>
                <w:sz w:val="15"/>
                <w:szCs w:val="15"/>
                <w:color w:val="auto"/>
                <w:w w:val="98"/>
              </w:rPr>
              <w:t>Requests for Increase by Borrower.  The Borrower may, at any time, request that the Commitments hereunder of a Class of</w:t>
            </w:r>
          </w:p>
        </w:tc>
      </w:tr>
      <w:tr>
        <w:trPr>
          <w:trHeight w:val="20"/>
        </w:trPr>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right="40"/>
        <w:spacing w:after="0" w:line="264" w:lineRule="auto"/>
        <w:rPr>
          <w:sz w:val="20"/>
          <w:szCs w:val="20"/>
          <w:color w:val="auto"/>
        </w:rPr>
      </w:pPr>
      <w:r>
        <w:rPr>
          <w:rFonts w:ascii="Arial" w:cs="Arial" w:eastAsia="Arial" w:hAnsi="Arial"/>
          <w:sz w:val="14"/>
          <w:szCs w:val="14"/>
          <w:color w:val="auto"/>
        </w:rPr>
        <w:t>Commitments be increased (each such proposed increase being a “</w:t>
      </w:r>
      <w:r>
        <w:rPr>
          <w:rFonts w:ascii="Arial" w:cs="Arial" w:eastAsia="Arial" w:hAnsi="Arial"/>
          <w:sz w:val="14"/>
          <w:szCs w:val="14"/>
          <w:u w:val="single" w:color="auto"/>
          <w:color w:val="auto"/>
        </w:rPr>
        <w:t>Commitment Increase</w:t>
      </w:r>
      <w:r>
        <w:rPr>
          <w:rFonts w:ascii="Arial" w:cs="Arial" w:eastAsia="Arial" w:hAnsi="Arial"/>
          <w:sz w:val="14"/>
          <w:szCs w:val="14"/>
          <w:color w:val="auto"/>
        </w:rPr>
        <w: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a Class of Non-Extended Loans be increased hereunder), upon notice to the Administrative Agent (who shall promptly notify the Lenders), which notice shall specify each existing Lender (each an “</w:t>
      </w:r>
      <w:r>
        <w:rPr>
          <w:rFonts w:ascii="Arial" w:cs="Arial" w:eastAsia="Arial" w:hAnsi="Arial"/>
          <w:sz w:val="14"/>
          <w:szCs w:val="14"/>
          <w:u w:val="single" w:color="auto"/>
          <w:color w:val="auto"/>
        </w:rPr>
        <w:t>Increasing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Lender</w:t>
      </w:r>
      <w:r>
        <w:rPr>
          <w:rFonts w:ascii="Arial" w:cs="Arial" w:eastAsia="Arial" w:hAnsi="Arial"/>
          <w:sz w:val="14"/>
          <w:szCs w:val="14"/>
          <w:color w:val="auto"/>
        </w:rPr>
        <w:t>”) and/or each additional lender (each an “</w:t>
      </w:r>
      <w:r>
        <w:rPr>
          <w:rFonts w:ascii="Arial" w:cs="Arial" w:eastAsia="Arial" w:hAnsi="Arial"/>
          <w:sz w:val="14"/>
          <w:szCs w:val="14"/>
          <w:u w:val="single" w:color="auto"/>
          <w:color w:val="auto"/>
        </w:rPr>
        <w:t>Assuming Lender</w:t>
      </w:r>
      <w:r>
        <w:rPr>
          <w:rFonts w:ascii="Arial" w:cs="Arial" w:eastAsia="Arial" w:hAnsi="Arial"/>
          <w:sz w:val="14"/>
          <w:szCs w:val="14"/>
          <w:color w:val="auto"/>
        </w:rPr>
        <w:t>”) that shall have agreed to an additional Commitment and the date on which such increase is to be effective (the “</w:t>
      </w:r>
      <w:r>
        <w:rPr>
          <w:rFonts w:ascii="Arial" w:cs="Arial" w:eastAsia="Arial" w:hAnsi="Arial"/>
          <w:sz w:val="14"/>
          <w:szCs w:val="14"/>
          <w:u w:val="single" w:color="auto"/>
          <w:color w:val="auto"/>
        </w:rPr>
        <w:t>Commitment Increase Date</w:t>
      </w:r>
      <w:r>
        <w:rPr>
          <w:rFonts w:ascii="Arial" w:cs="Arial" w:eastAsia="Arial" w:hAnsi="Arial"/>
          <w:sz w:val="14"/>
          <w:szCs w:val="14"/>
          <w:color w:val="auto"/>
        </w:rPr>
        <w:t xml:space="preserve">”), which shall be a Business Day at least three Business Days (or such lesser period as the Administrative Agent may reasonably agree) after delivery of such notice and 30 days prior to the Extended Commitment Termination Date;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w:t>
      </w:r>
    </w:p>
    <w:p>
      <w:pPr>
        <w:spacing w:after="0" w:line="117" w:lineRule="exact"/>
        <w:rPr>
          <w:sz w:val="20"/>
          <w:szCs w:val="20"/>
          <w:color w:val="auto"/>
        </w:rPr>
      </w:pPr>
    </w:p>
    <w:p>
      <w:pPr>
        <w:jc w:val="both"/>
        <w:ind w:left="1740" w:right="40" w:firstLine="735"/>
        <w:spacing w:after="0" w:line="249" w:lineRule="auto"/>
        <w:rPr>
          <w:sz w:val="20"/>
          <w:szCs w:val="20"/>
          <w:color w:val="auto"/>
        </w:rPr>
      </w:pPr>
      <w:r>
        <w:rPr>
          <w:rFonts w:ascii="Arial" w:cs="Arial" w:eastAsia="Arial" w:hAnsi="Arial"/>
          <w:sz w:val="15"/>
          <w:szCs w:val="15"/>
          <w:color w:val="auto"/>
        </w:rPr>
        <w:t>(A) the minimum amount of the Commitment of any Assuming Lender, and the minimum amount of the increase of the Commitment of any Increasing Lender, as part of such Commitment Increase shall be $10,000,000 or a larger multiple of $5,000,000 in excess thereof (or such lesser amount as the Administrative Agent may reasonably agree);</w:t>
      </w:r>
    </w:p>
    <w:p>
      <w:pPr>
        <w:spacing w:after="0" w:line="125" w:lineRule="exact"/>
        <w:rPr>
          <w:sz w:val="20"/>
          <w:szCs w:val="20"/>
          <w:color w:val="auto"/>
        </w:rPr>
      </w:pPr>
    </w:p>
    <w:p>
      <w:pPr>
        <w:jc w:val="both"/>
        <w:ind w:left="1740" w:right="40" w:firstLine="735"/>
        <w:spacing w:after="0" w:line="249" w:lineRule="auto"/>
        <w:rPr>
          <w:sz w:val="20"/>
          <w:szCs w:val="20"/>
          <w:color w:val="auto"/>
        </w:rPr>
      </w:pPr>
      <w:r>
        <w:rPr>
          <w:rFonts w:ascii="Arial" w:cs="Arial" w:eastAsia="Arial" w:hAnsi="Arial"/>
          <w:sz w:val="15"/>
          <w:szCs w:val="15"/>
          <w:color w:val="auto"/>
        </w:rPr>
        <w:t xml:space="preserve">(B) immediately after giving effect to such Commitment Increase (including, if applicable, the substantially concurrent reduction of the Commitments of a Non-Extending Lender in accordance with </w:t>
      </w:r>
      <w:r>
        <w:rPr>
          <w:rFonts w:ascii="Arial" w:cs="Arial" w:eastAsia="Arial" w:hAnsi="Arial"/>
          <w:sz w:val="15"/>
          <w:szCs w:val="15"/>
          <w:u w:val="single" w:color="auto"/>
          <w:color w:val="auto"/>
        </w:rPr>
        <w:t>Section 2.08(f)</w:t>
      </w:r>
      <w:r>
        <w:rPr>
          <w:rFonts w:ascii="Arial" w:cs="Arial" w:eastAsia="Arial" w:hAnsi="Arial"/>
          <w:sz w:val="15"/>
          <w:szCs w:val="15"/>
          <w:color w:val="auto"/>
        </w:rPr>
        <w:t>), the total Commitments of all of the Lenders hereunder shall not exceed $2,000,000,000;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tcPr>
          <w:p>
            <w:pPr>
              <w:ind w:left="2460"/>
              <w:spacing w:after="0"/>
              <w:rPr>
                <w:sz w:val="20"/>
                <w:szCs w:val="20"/>
                <w:color w:val="auto"/>
              </w:rPr>
            </w:pPr>
            <w:r>
              <w:rPr>
                <w:rFonts w:ascii="Arial" w:cs="Arial" w:eastAsia="Arial" w:hAnsi="Arial"/>
                <w:sz w:val="15"/>
                <w:szCs w:val="15"/>
                <w:color w:val="auto"/>
              </w:rPr>
              <w:t>(C)</w:t>
            </w:r>
          </w:p>
        </w:tc>
        <w:tc>
          <w:tcPr>
            <w:tcW w:w="6860" w:type="dxa"/>
            <w:vAlign w:val="bottom"/>
          </w:tcPr>
          <w:p>
            <w:pPr>
              <w:jc w:val="right"/>
              <w:spacing w:after="0"/>
              <w:rPr>
                <w:sz w:val="20"/>
                <w:szCs w:val="20"/>
                <w:color w:val="auto"/>
              </w:rPr>
            </w:pPr>
            <w:r>
              <w:rPr>
                <w:rFonts w:ascii="Arial" w:cs="Arial" w:eastAsia="Arial" w:hAnsi="Arial"/>
                <w:sz w:val="15"/>
                <w:szCs w:val="15"/>
                <w:color w:val="auto"/>
                <w:w w:val="91"/>
              </w:rPr>
              <w:t>each Assuming Lender shall be consented to by the Administrative Agent and each Issuing Bank (such consent</w:t>
            </w:r>
          </w:p>
        </w:tc>
      </w:tr>
      <w:tr>
        <w:trPr>
          <w:trHeight w:val="191"/>
        </w:trPr>
        <w:tc>
          <w:tcPr>
            <w:tcW w:w="4460" w:type="dxa"/>
            <w:vAlign w:val="bottom"/>
          </w:tcPr>
          <w:p>
            <w:pPr>
              <w:ind w:left="1740"/>
              <w:spacing w:after="0"/>
              <w:rPr>
                <w:sz w:val="20"/>
                <w:szCs w:val="20"/>
                <w:color w:val="auto"/>
              </w:rPr>
            </w:pPr>
            <w:r>
              <w:rPr>
                <w:rFonts w:ascii="Arial" w:cs="Arial" w:eastAsia="Arial" w:hAnsi="Arial"/>
                <w:sz w:val="15"/>
                <w:szCs w:val="15"/>
                <w:color w:val="auto"/>
                <w:w w:val="91"/>
              </w:rPr>
              <w:t>not to be unreasonably withheld or delayed);</w:t>
            </w:r>
          </w:p>
        </w:tc>
        <w:tc>
          <w:tcPr>
            <w:tcW w:w="6860" w:type="dxa"/>
            <w:vAlign w:val="bottom"/>
          </w:tcPr>
          <w:p>
            <w:pPr>
              <w:spacing w:after="0"/>
              <w:rPr>
                <w:sz w:val="16"/>
                <w:szCs w:val="16"/>
                <w:color w:val="auto"/>
              </w:rPr>
            </w:pPr>
          </w:p>
        </w:tc>
      </w:tr>
      <w:tr>
        <w:trPr>
          <w:trHeight w:val="301"/>
        </w:trPr>
        <w:tc>
          <w:tcPr>
            <w:tcW w:w="4460" w:type="dxa"/>
            <w:vAlign w:val="bottom"/>
          </w:tcPr>
          <w:p>
            <w:pPr>
              <w:ind w:left="2460"/>
              <w:spacing w:after="0"/>
              <w:rPr>
                <w:sz w:val="20"/>
                <w:szCs w:val="20"/>
                <w:color w:val="auto"/>
              </w:rPr>
            </w:pPr>
            <w:r>
              <w:rPr>
                <w:rFonts w:ascii="Arial" w:cs="Arial" w:eastAsia="Arial" w:hAnsi="Arial"/>
                <w:sz w:val="15"/>
                <w:szCs w:val="15"/>
                <w:color w:val="auto"/>
              </w:rPr>
              <w:t>(D)</w:t>
            </w:r>
          </w:p>
        </w:tc>
        <w:tc>
          <w:tcPr>
            <w:tcW w:w="6860" w:type="dxa"/>
            <w:vAlign w:val="bottom"/>
          </w:tcPr>
          <w:p>
            <w:pPr>
              <w:jc w:val="right"/>
              <w:spacing w:after="0"/>
              <w:rPr>
                <w:sz w:val="20"/>
                <w:szCs w:val="20"/>
                <w:color w:val="auto"/>
              </w:rPr>
            </w:pPr>
            <w:r>
              <w:rPr>
                <w:rFonts w:ascii="Arial" w:cs="Arial" w:eastAsia="Arial" w:hAnsi="Arial"/>
                <w:sz w:val="15"/>
                <w:szCs w:val="15"/>
                <w:color w:val="auto"/>
                <w:w w:val="94"/>
              </w:rPr>
              <w:t>no Default shall have occurred and be continuing on such Commitment Increase Date or shall result from the</w:t>
            </w:r>
          </w:p>
        </w:tc>
      </w:tr>
      <w:tr>
        <w:trPr>
          <w:trHeight w:val="191"/>
        </w:trPr>
        <w:tc>
          <w:tcPr>
            <w:tcW w:w="4460" w:type="dxa"/>
            <w:vAlign w:val="bottom"/>
          </w:tcPr>
          <w:p>
            <w:pPr>
              <w:ind w:left="1740"/>
              <w:spacing w:after="0"/>
              <w:rPr>
                <w:sz w:val="20"/>
                <w:szCs w:val="20"/>
                <w:color w:val="auto"/>
              </w:rPr>
            </w:pPr>
            <w:r>
              <w:rPr>
                <w:rFonts w:ascii="Arial" w:cs="Arial" w:eastAsia="Arial" w:hAnsi="Arial"/>
                <w:sz w:val="15"/>
                <w:szCs w:val="15"/>
                <w:color w:val="auto"/>
              </w:rPr>
              <w:t>proposed Commitment Increase; and</w:t>
            </w:r>
          </w:p>
        </w:tc>
        <w:tc>
          <w:tcPr>
            <w:tcW w:w="6860" w:type="dxa"/>
            <w:vAlign w:val="bottom"/>
          </w:tcPr>
          <w:p>
            <w:pPr>
              <w:spacing w:after="0"/>
              <w:rPr>
                <w:sz w:val="16"/>
                <w:szCs w:val="16"/>
                <w:color w:val="auto"/>
              </w:rPr>
            </w:pPr>
          </w:p>
        </w:tc>
      </w:tr>
      <w:tr>
        <w:trPr>
          <w:trHeight w:val="372"/>
        </w:trPr>
        <w:tc>
          <w:tcPr>
            <w:tcW w:w="446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95" w:right="279" w:bottom="1440" w:gutter="0" w:footer="0" w:header="0"/>
        </w:sectPr>
      </w:pPr>
    </w:p>
    <w:bookmarkStart w:id="174" w:name="page175"/>
    <w:bookmarkEnd w:id="174"/>
    <w:p>
      <w:pPr>
        <w:jc w:val="both"/>
        <w:ind w:left="880" w:firstLine="735"/>
        <w:spacing w:after="0" w:line="245" w:lineRule="auto"/>
        <w:rPr>
          <w:sz w:val="20"/>
          <w:szCs w:val="20"/>
          <w:color w:val="auto"/>
        </w:rPr>
      </w:pPr>
      <w:r>
        <w:rPr>
          <w:rFonts w:ascii="Arial" w:cs="Arial" w:eastAsia="Arial" w:hAnsi="Arial"/>
          <w:sz w:val="15"/>
          <w:szCs w:val="15"/>
          <w:color w:val="auto"/>
        </w:rPr>
        <w:t>(E) the representations and warranties contained in this Agreement shall be true and correct in all material respects (or, in the case of any portion of the representations and warranties already subject to a materiality qualifier, true and correct in all respects) on and as of the Commitment Increase Date as if made on and as of such date (or, if any such representation or warranty is expressly stated to have been made as of a specific date, as of such specific date).</w:t>
      </w:r>
    </w:p>
    <w:p>
      <w:pPr>
        <w:spacing w:after="0" w:line="128"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Effectiveness of Commitment Increase by Borrower</w:t>
      </w:r>
      <w:r>
        <w:rPr>
          <w:rFonts w:ascii="Arial" w:cs="Arial" w:eastAsia="Arial" w:hAnsi="Arial"/>
          <w:sz w:val="15"/>
          <w:szCs w:val="15"/>
          <w:color w:val="auto"/>
        </w:rPr>
        <w:t xml:space="preserve">. An Assuming Lender, if any, shall become a Lender hereunder as of such Commitment Increase Date and the Commitment of the respective Class of any Increasing Lender and such Assuming Lender shall be increased as of such Commitment Increase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25" w:lineRule="exact"/>
        <w:rPr>
          <w:sz w:val="20"/>
          <w:szCs w:val="20"/>
          <w:color w:val="auto"/>
        </w:rPr>
      </w:pPr>
    </w:p>
    <w:p>
      <w:pPr>
        <w:jc w:val="both"/>
        <w:ind w:left="880" w:right="20" w:firstLine="728"/>
        <w:spacing w:after="0" w:line="249" w:lineRule="auto"/>
        <w:tabs>
          <w:tab w:leader="none" w:pos="2245" w:val="left"/>
        </w:tabs>
        <w:numPr>
          <w:ilvl w:val="0"/>
          <w:numId w:val="92"/>
        </w:numPr>
        <w:rPr>
          <w:rFonts w:ascii="Arial" w:cs="Arial" w:eastAsia="Arial" w:hAnsi="Arial"/>
          <w:sz w:val="15"/>
          <w:szCs w:val="15"/>
          <w:color w:val="auto"/>
        </w:rPr>
      </w:pPr>
      <w:r>
        <w:rPr>
          <w:rFonts w:ascii="Arial" w:cs="Arial" w:eastAsia="Arial" w:hAnsi="Arial"/>
          <w:sz w:val="15"/>
          <w:szCs w:val="15"/>
          <w:color w:val="auto"/>
        </w:rPr>
        <w:t xml:space="preserve">the Administrative Agent shall have received on or prior to 11:00 a.m., New York City time, on such Commitment Increase Date (or on or prior to a time on an earlier date specified by the Administrative Agent) a certificate of a duly authorized officer of the Borrower stating that each of the applicable conditions to such Commitment Increase set forth in the foregoing </w:t>
      </w:r>
      <w:r>
        <w:rPr>
          <w:rFonts w:ascii="Arial" w:cs="Arial" w:eastAsia="Arial" w:hAnsi="Arial"/>
          <w:sz w:val="15"/>
          <w:szCs w:val="15"/>
          <w:u w:val="single" w:color="auto"/>
          <w:color w:val="auto"/>
        </w:rPr>
        <w:t>paragraph (i)</w:t>
      </w:r>
      <w:r>
        <w:rPr>
          <w:rFonts w:ascii="Arial" w:cs="Arial" w:eastAsia="Arial" w:hAnsi="Arial"/>
          <w:sz w:val="15"/>
          <w:szCs w:val="15"/>
          <w:color w:val="auto"/>
        </w:rPr>
        <w:t xml:space="preserve"> has been satisfied; and</w:t>
      </w:r>
    </w:p>
    <w:p>
      <w:pPr>
        <w:spacing w:after="0" w:line="124" w:lineRule="exact"/>
        <w:rPr>
          <w:rFonts w:ascii="Arial" w:cs="Arial" w:eastAsia="Arial" w:hAnsi="Arial"/>
          <w:sz w:val="15"/>
          <w:szCs w:val="15"/>
          <w:color w:val="auto"/>
        </w:rPr>
      </w:pPr>
    </w:p>
    <w:p>
      <w:pPr>
        <w:jc w:val="both"/>
        <w:ind w:left="880" w:firstLine="728"/>
        <w:spacing w:after="0" w:line="243" w:lineRule="auto"/>
        <w:tabs>
          <w:tab w:leader="none" w:pos="2245" w:val="left"/>
        </w:tabs>
        <w:numPr>
          <w:ilvl w:val="0"/>
          <w:numId w:val="92"/>
        </w:numPr>
        <w:rPr>
          <w:rFonts w:ascii="Arial" w:cs="Arial" w:eastAsia="Arial" w:hAnsi="Arial"/>
          <w:sz w:val="15"/>
          <w:szCs w:val="15"/>
          <w:color w:val="auto"/>
        </w:rPr>
      </w:pPr>
      <w:r>
        <w:rPr>
          <w:rFonts w:ascii="Arial" w:cs="Arial" w:eastAsia="Arial" w:hAnsi="Arial"/>
          <w:sz w:val="15"/>
          <w:szCs w:val="15"/>
          <w:color w:val="auto"/>
        </w:rPr>
        <w:t>each Assuming Lender or Increasing Lender shall have delivered to the Administrative Agent, on or prior to 11:00 a.m., New York City time on such Commitment Increase Date (or on or prior to a time on an earlier date specified by the Administrative Agent), an agreement, in form and substance satisfactory to the Borrower and the Administrative Agent, pursuant to which such Lender shall, effective as of such Commitment Increase Date, undertake a Commitment or an increase of Commitment in each case of the respective Class, duly executed by such Assuming Lender or Increasing Lender, as applicable, and the Borrower and acknowledged by the Administrative Agent.</w:t>
      </w:r>
    </w:p>
    <w:p>
      <w:pPr>
        <w:spacing w:after="0" w:line="129"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Promptly following satisfaction of such conditions, the Administrative Agent shall notify the Lenders of such Class (including any Assuming Lenders) thereof and of the occurrence of the Commitment Increase Date by facsimile transmission or electronic messaging system.</w:t>
      </w:r>
    </w:p>
    <w:p>
      <w:pPr>
        <w:spacing w:after="0" w:line="115" w:lineRule="exact"/>
        <w:rPr>
          <w:sz w:val="20"/>
          <w:szCs w:val="20"/>
          <w:color w:val="auto"/>
        </w:rPr>
      </w:pPr>
    </w:p>
    <w:p>
      <w:pPr>
        <w:jc w:val="both"/>
        <w:ind w:firstLine="802"/>
        <w:spacing w:after="0" w:line="249" w:lineRule="auto"/>
        <w:rPr>
          <w:sz w:val="20"/>
          <w:szCs w:val="20"/>
          <w:color w:val="auto"/>
        </w:rPr>
      </w:pPr>
      <w:r>
        <w:rPr>
          <w:rFonts w:ascii="Arial" w:cs="Arial" w:eastAsia="Arial" w:hAnsi="Arial"/>
          <w:sz w:val="15"/>
          <w:szCs w:val="15"/>
          <w:color w:val="auto"/>
        </w:rPr>
        <w:t xml:space="preserve">(iii) </w:t>
      </w:r>
      <w:r>
        <w:rPr>
          <w:rFonts w:ascii="Arial" w:cs="Arial" w:eastAsia="Arial" w:hAnsi="Arial"/>
          <w:sz w:val="15"/>
          <w:szCs w:val="15"/>
          <w:u w:val="single" w:color="auto"/>
          <w:color w:val="auto"/>
        </w:rPr>
        <w:t>Recordation into Register</w:t>
      </w:r>
      <w:r>
        <w:rPr>
          <w:rFonts w:ascii="Arial" w:cs="Arial" w:eastAsia="Arial" w:hAnsi="Arial"/>
          <w:sz w:val="15"/>
          <w:szCs w:val="15"/>
          <w:color w:val="auto"/>
        </w:rPr>
        <w:t xml:space="preserve">. Upon its receipt of an agreement referred to in </w:t>
      </w:r>
      <w:r>
        <w:rPr>
          <w:rFonts w:ascii="Arial" w:cs="Arial" w:eastAsia="Arial" w:hAnsi="Arial"/>
          <w:sz w:val="15"/>
          <w:szCs w:val="15"/>
          <w:u w:val="single" w:color="auto"/>
          <w:color w:val="auto"/>
        </w:rPr>
        <w:t>clause (ii)(y)</w:t>
      </w:r>
      <w:r>
        <w:rPr>
          <w:rFonts w:ascii="Arial" w:cs="Arial" w:eastAsia="Arial" w:hAnsi="Arial"/>
          <w:sz w:val="15"/>
          <w:szCs w:val="15"/>
          <w:color w:val="auto"/>
        </w:rPr>
        <w:t xml:space="preserve"> above executed by an Assuming Lender or any Increasing Lender, together with the certificate referred to in </w:t>
      </w:r>
      <w:r>
        <w:rPr>
          <w:rFonts w:ascii="Arial" w:cs="Arial" w:eastAsia="Arial" w:hAnsi="Arial"/>
          <w:sz w:val="15"/>
          <w:szCs w:val="15"/>
          <w:u w:val="single" w:color="auto"/>
          <w:color w:val="auto"/>
        </w:rPr>
        <w:t>clause (ii)(x)</w:t>
      </w:r>
      <w:r>
        <w:rPr>
          <w:rFonts w:ascii="Arial" w:cs="Arial" w:eastAsia="Arial" w:hAnsi="Arial"/>
          <w:sz w:val="15"/>
          <w:szCs w:val="15"/>
          <w:color w:val="auto"/>
        </w:rPr>
        <w:t xml:space="preserve"> above, the Administrative Agent shall, if such agreement has been completed, (x) accept such agreement, (y) record the information contained therein in the Register and (z) give prompt notice thereof to the Borrower.</w:t>
      </w:r>
    </w:p>
    <w:p>
      <w:pPr>
        <w:spacing w:after="0" w:line="125" w:lineRule="exact"/>
        <w:rPr>
          <w:sz w:val="20"/>
          <w:szCs w:val="20"/>
          <w:color w:val="auto"/>
        </w:rPr>
      </w:pPr>
    </w:p>
    <w:p>
      <w:pPr>
        <w:jc w:val="both"/>
        <w:ind w:right="20" w:firstLine="802"/>
        <w:spacing w:after="0" w:line="268" w:lineRule="auto"/>
        <w:rPr>
          <w:sz w:val="20"/>
          <w:szCs w:val="20"/>
          <w:color w:val="auto"/>
        </w:rPr>
      </w:pPr>
      <w:r>
        <w:rPr>
          <w:rFonts w:ascii="Arial" w:cs="Arial" w:eastAsia="Arial" w:hAnsi="Arial"/>
          <w:sz w:val="14"/>
          <w:szCs w:val="14"/>
          <w:color w:val="auto"/>
        </w:rPr>
        <w:t xml:space="preserve">(iv) </w:t>
      </w:r>
      <w:r>
        <w:rPr>
          <w:rFonts w:ascii="Arial" w:cs="Arial" w:eastAsia="Arial" w:hAnsi="Arial"/>
          <w:sz w:val="14"/>
          <w:szCs w:val="14"/>
          <w:u w:val="single" w:color="auto"/>
          <w:color w:val="auto"/>
        </w:rPr>
        <w:t>Adjustments of Borrowings upon Effectiveness of Increase</w:t>
      </w:r>
      <w:r>
        <w:rPr>
          <w:rFonts w:ascii="Arial" w:cs="Arial" w:eastAsia="Arial" w:hAnsi="Arial"/>
          <w:sz w:val="14"/>
          <w:szCs w:val="14"/>
          <w:color w:val="auto"/>
        </w:rPr>
        <w:t xml:space="preserve">. On the Commitment Increase Date, the Borrower shall (A) prepay the outstanding Loans (if any) of the affected Class of Commitments in full, (B) simultaneously borrow new Loans of such Class hereunder in an amount equal to such prepayment;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w:t>
      </w:r>
      <w:r>
        <w:rPr>
          <w:rFonts w:ascii="Arial" w:cs="Arial" w:eastAsia="Arial" w:hAnsi="Arial"/>
          <w:sz w:val="14"/>
          <w:szCs w:val="14"/>
          <w:u w:val="single" w:color="auto"/>
          <w:color w:val="auto"/>
        </w:rPr>
        <w:t>subclauses (A)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 the prepayment to, and borrowing from, any existing Lender shall be effected by book entry to the extent that any portion of the amount prepaid to such Lender will be subsequently borrowed from such Lender and (y) the existing Lenders,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21106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440"/>
          </w:cols>
          <w:pgMar w:left="1160" w:top="295" w:right="299" w:bottom="1440" w:gutter="0" w:footer="0" w:header="0"/>
        </w:sectPr>
      </w:pPr>
    </w:p>
    <w:bookmarkStart w:id="175" w:name="page176"/>
    <w:bookmarkEnd w:id="175"/>
    <w:p>
      <w:pPr>
        <w:jc w:val="both"/>
        <w:ind w:left="860"/>
        <w:spacing w:after="0" w:line="264" w:lineRule="auto"/>
        <w:rPr>
          <w:sz w:val="20"/>
          <w:szCs w:val="20"/>
          <w:color w:val="auto"/>
        </w:rPr>
      </w:pPr>
      <w:r>
        <w:rPr>
          <w:rFonts w:ascii="Arial" w:cs="Arial" w:eastAsia="Arial" w:hAnsi="Arial"/>
          <w:sz w:val="14"/>
          <w:szCs w:val="14"/>
          <w:color w:val="auto"/>
        </w:rPr>
        <w:t xml:space="preserve">Increasing Lenders and the Assuming Lenders shall make and receive payments among themselves, in a manner acceptable to the Administrative Agent, so that, after giving effect thereto, the Loans of such Class are held ratably by the Lenders of such Class in accordance with the respective Commitments of such Class of such Lenders (after giving effect to such Commitment Increase) and (C) pay to the Lenders of such Class the amounts, if any, payable under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as a result of any such prepayment. Concurrently therewith, the Lenders of such Class shall be deemed to have adjusted their participation interests in any outstanding Letters of Credit of such Class so that such interests are held ratably in accordance with their commitments of such Class as so increased.</w:t>
      </w:r>
    </w:p>
    <w:p>
      <w:pPr>
        <w:spacing w:after="0" w:line="100"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860" w:type="dxa"/>
            <w:vAlign w:val="bottom"/>
          </w:tcPr>
          <w:p>
            <w:pPr>
              <w:ind w:left="80"/>
              <w:spacing w:after="0"/>
              <w:rPr>
                <w:sz w:val="20"/>
                <w:szCs w:val="20"/>
                <w:color w:val="auto"/>
              </w:rPr>
            </w:pPr>
            <w:r>
              <w:rPr>
                <w:rFonts w:ascii="Arial" w:cs="Arial" w:eastAsia="Arial" w:hAnsi="Arial"/>
                <w:sz w:val="15"/>
                <w:szCs w:val="15"/>
                <w:color w:val="auto"/>
              </w:rPr>
              <w:t>(f)</w:t>
            </w:r>
          </w:p>
        </w:tc>
        <w:tc>
          <w:tcPr>
            <w:tcW w:w="720" w:type="dxa"/>
            <w:vAlign w:val="bottom"/>
          </w:tcPr>
          <w:p>
            <w:pPr>
              <w:spacing w:after="0"/>
              <w:rPr>
                <w:sz w:val="14"/>
                <w:szCs w:val="14"/>
                <w:color w:val="auto"/>
              </w:rPr>
            </w:pPr>
          </w:p>
        </w:tc>
        <w:tc>
          <w:tcPr>
            <w:tcW w:w="8040" w:type="dxa"/>
            <w:vAlign w:val="bottom"/>
            <w:gridSpan w:val="4"/>
          </w:tcPr>
          <w:p>
            <w:pPr>
              <w:spacing w:after="0"/>
              <w:rPr>
                <w:sz w:val="20"/>
                <w:szCs w:val="20"/>
                <w:color w:val="auto"/>
              </w:rPr>
            </w:pPr>
            <w:r>
              <w:rPr>
                <w:rFonts w:ascii="Arial" w:cs="Arial" w:eastAsia="Arial" w:hAnsi="Arial"/>
                <w:sz w:val="15"/>
                <w:szCs w:val="15"/>
                <w:color w:val="auto"/>
                <w:w w:val="95"/>
              </w:rPr>
              <w:t>Reduction of Non-Extending Lenders’ Commitment. Notwithstanding anything to the contrary herein (including Section 2.08(d)):</w:t>
            </w: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27"/>
        </w:trPr>
        <w:tc>
          <w:tcPr>
            <w:tcW w:w="860" w:type="dxa"/>
            <w:vAlign w:val="bottom"/>
          </w:tcPr>
          <w:p>
            <w:pPr>
              <w:spacing w:after="0"/>
              <w:rPr>
                <w:sz w:val="20"/>
                <w:szCs w:val="20"/>
                <w:color w:val="auto"/>
              </w:rPr>
            </w:pPr>
            <w:r>
              <w:rPr>
                <w:rFonts w:ascii="Arial" w:cs="Arial" w:eastAsia="Arial" w:hAnsi="Arial"/>
                <w:sz w:val="15"/>
                <w:szCs w:val="15"/>
                <w:color w:val="auto"/>
              </w:rPr>
              <w:t>(i)</w:t>
            </w:r>
          </w:p>
        </w:tc>
        <w:tc>
          <w:tcPr>
            <w:tcW w:w="8760" w:type="dxa"/>
            <w:vAlign w:val="bottom"/>
            <w:gridSpan w:val="5"/>
          </w:tcPr>
          <w:p>
            <w:pPr>
              <w:ind w:left="660"/>
              <w:spacing w:after="0"/>
              <w:rPr>
                <w:sz w:val="20"/>
                <w:szCs w:val="20"/>
                <w:color w:val="auto"/>
              </w:rPr>
            </w:pPr>
            <w:r>
              <w:rPr>
                <w:rFonts w:ascii="Arial" w:cs="Arial" w:eastAsia="Arial" w:hAnsi="Arial"/>
                <w:sz w:val="15"/>
                <w:szCs w:val="15"/>
                <w:color w:val="auto"/>
                <w:w w:val="97"/>
              </w:rPr>
              <w:t>The Borrower may at any time terminate, or from time to time reduce, the Commitment of any Non-Extending Lender without</w:t>
            </w:r>
          </w:p>
        </w:tc>
      </w:tr>
    </w:tbl>
    <w:p>
      <w:pPr>
        <w:jc w:val="both"/>
        <w:ind w:left="860"/>
        <w:spacing w:after="0" w:line="241" w:lineRule="auto"/>
        <w:rPr>
          <w:sz w:val="20"/>
          <w:szCs w:val="20"/>
          <w:color w:val="auto"/>
        </w:rPr>
      </w:pPr>
      <w:r>
        <w:rPr>
          <w:rFonts w:ascii="Arial" w:cs="Arial" w:eastAsia="Arial" w:hAnsi="Arial"/>
          <w:sz w:val="15"/>
          <w:szCs w:val="15"/>
          <w:color w:val="auto"/>
        </w:rPr>
        <w:t xml:space="preserve">reducing the Commitments of any other Lender of the same Class of Commitments as such Non-Extending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each reduction of the Commitment of a Non-Extending Lender hereunder shall be in an amount that is $10,000,000 or a larger multiple of $5,000,000 in excess thereof (or, in each case, the entire Commitment of such Non-Extending Lender).</w:t>
      </w:r>
    </w:p>
    <w:p>
      <w:pPr>
        <w:spacing w:after="0" w:line="130" w:lineRule="exact"/>
        <w:rPr>
          <w:sz w:val="20"/>
          <w:szCs w:val="20"/>
          <w:color w:val="auto"/>
        </w:rPr>
      </w:pPr>
    </w:p>
    <w:p>
      <w:pPr>
        <w:jc w:val="both"/>
        <w:ind w:left="860" w:right="20" w:firstLine="802"/>
        <w:spacing w:after="0" w:line="245" w:lineRule="auto"/>
        <w:rPr>
          <w:sz w:val="20"/>
          <w:szCs w:val="20"/>
          <w:color w:val="auto"/>
        </w:rPr>
      </w:pPr>
      <w:r>
        <w:rPr>
          <w:rFonts w:ascii="Arial" w:cs="Arial" w:eastAsia="Arial" w:hAnsi="Arial"/>
          <w:sz w:val="15"/>
          <w:szCs w:val="15"/>
          <w:color w:val="auto"/>
        </w:rPr>
        <w:t xml:space="preserve">(ii) The Borrower shall notify the Administrative Agent of any election to terminate or reduce the Commitment of any Non-Extending Lender under this </w:t>
      </w:r>
      <w:r>
        <w:rPr>
          <w:rFonts w:ascii="Arial" w:cs="Arial" w:eastAsia="Arial" w:hAnsi="Arial"/>
          <w:sz w:val="15"/>
          <w:szCs w:val="15"/>
          <w:u w:val="single" w:color="auto"/>
          <w:color w:val="auto"/>
        </w:rPr>
        <w:t>clause (f)</w:t>
      </w:r>
      <w:r>
        <w:rPr>
          <w:rFonts w:ascii="Arial" w:cs="Arial" w:eastAsia="Arial" w:hAnsi="Arial"/>
          <w:sz w:val="15"/>
          <w:szCs w:val="15"/>
          <w:color w:val="auto"/>
        </w:rPr>
        <w:t xml:space="preserve"> at least three Business Days prior to the effective date of such termination or reduction, specifying such election and the effective date thereof. Promptly following receipt of any notice, the Administrative Agent shall advise each Lender of the contents thereof. Each notice delivered by the Borrower pursuant to this </w:t>
      </w:r>
      <w:r>
        <w:rPr>
          <w:rFonts w:ascii="Arial" w:cs="Arial" w:eastAsia="Arial" w:hAnsi="Arial"/>
          <w:sz w:val="15"/>
          <w:szCs w:val="15"/>
          <w:u w:val="single" w:color="auto"/>
          <w:color w:val="auto"/>
        </w:rPr>
        <w:t>clause (f)</w:t>
      </w:r>
      <w:r>
        <w:rPr>
          <w:rFonts w:ascii="Arial" w:cs="Arial" w:eastAsia="Arial" w:hAnsi="Arial"/>
          <w:sz w:val="15"/>
          <w:szCs w:val="15"/>
          <w:color w:val="auto"/>
        </w:rPr>
        <w:t xml:space="preserve"> shall be irrevocable.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ind w:left="1660"/>
              <w:spacing w:after="0"/>
              <w:rPr>
                <w:sz w:val="20"/>
                <w:szCs w:val="20"/>
                <w:color w:val="auto"/>
              </w:rPr>
            </w:pPr>
            <w:r>
              <w:rPr>
                <w:rFonts w:ascii="Arial" w:cs="Arial" w:eastAsia="Arial" w:hAnsi="Arial"/>
                <w:sz w:val="15"/>
                <w:szCs w:val="15"/>
                <w:color w:val="auto"/>
              </w:rPr>
              <w:t>(iii)</w:t>
            </w:r>
          </w:p>
        </w:tc>
        <w:tc>
          <w:tcPr>
            <w:tcW w:w="8340" w:type="dxa"/>
            <w:vAlign w:val="bottom"/>
            <w:gridSpan w:val="9"/>
          </w:tcPr>
          <w:p>
            <w:pPr>
              <w:jc w:val="right"/>
              <w:spacing w:after="0"/>
              <w:rPr>
                <w:sz w:val="20"/>
                <w:szCs w:val="20"/>
                <w:color w:val="auto"/>
              </w:rPr>
            </w:pPr>
            <w:r>
              <w:rPr>
                <w:rFonts w:ascii="Arial" w:cs="Arial" w:eastAsia="Arial" w:hAnsi="Arial"/>
                <w:sz w:val="15"/>
                <w:szCs w:val="15"/>
                <w:color w:val="auto"/>
                <w:w w:val="97"/>
              </w:rPr>
              <w:t>Any termination or reduction of the Commitment of any Non-Extending Lender pursuant to this clause (f) shall be permanent and</w:t>
            </w:r>
          </w:p>
        </w:tc>
      </w:tr>
      <w:tr>
        <w:trPr>
          <w:trHeight w:val="150"/>
        </w:trPr>
        <w:tc>
          <w:tcPr>
            <w:tcW w:w="9240" w:type="dxa"/>
            <w:vAlign w:val="bottom"/>
            <w:gridSpan w:val="8"/>
          </w:tcPr>
          <w:p>
            <w:pPr>
              <w:ind w:left="860"/>
              <w:spacing w:after="0" w:line="150" w:lineRule="exact"/>
              <w:rPr>
                <w:sz w:val="20"/>
                <w:szCs w:val="20"/>
                <w:color w:val="auto"/>
              </w:rPr>
            </w:pPr>
            <w:r>
              <w:rPr>
                <w:rFonts w:ascii="Arial" w:cs="Arial" w:eastAsia="Arial" w:hAnsi="Arial"/>
                <w:sz w:val="15"/>
                <w:szCs w:val="15"/>
                <w:color w:val="auto"/>
              </w:rPr>
              <w:t>shall be made concurrently with all required reallocation prepayments and cash collateralizations required under Section 2.20.</w:t>
            </w:r>
          </w:p>
        </w:tc>
        <w:tc>
          <w:tcPr>
            <w:tcW w:w="560" w:type="dxa"/>
            <w:vAlign w:val="bottom"/>
            <w:tcBorders>
              <w:top w:val="single" w:sz="8" w:color="auto"/>
            </w:tcBorders>
          </w:tcPr>
          <w:p>
            <w:pPr>
              <w:spacing w:after="0"/>
              <w:rPr>
                <w:sz w:val="13"/>
                <w:szCs w:val="13"/>
                <w:color w:val="auto"/>
              </w:rPr>
            </w:pPr>
          </w:p>
        </w:tc>
        <w:tc>
          <w:tcPr>
            <w:tcW w:w="1480" w:type="dxa"/>
            <w:vAlign w:val="bottom"/>
          </w:tcPr>
          <w:p>
            <w:pPr>
              <w:spacing w:after="0"/>
              <w:rPr>
                <w:sz w:val="13"/>
                <w:szCs w:val="13"/>
                <w:color w:val="auto"/>
              </w:rPr>
            </w:pPr>
          </w:p>
        </w:tc>
      </w:tr>
      <w:tr>
        <w:trPr>
          <w:trHeight w:val="301"/>
        </w:trPr>
        <w:tc>
          <w:tcPr>
            <w:tcW w:w="2940" w:type="dxa"/>
            <w:vAlign w:val="bottom"/>
          </w:tcPr>
          <w:p>
            <w:pPr>
              <w:ind w:left="1740"/>
              <w:spacing w:after="0"/>
              <w:rPr>
                <w:sz w:val="20"/>
                <w:szCs w:val="20"/>
                <w:color w:val="auto"/>
              </w:rPr>
            </w:pPr>
            <w:r>
              <w:rPr>
                <w:rFonts w:ascii="Arial" w:cs="Arial" w:eastAsia="Arial" w:hAnsi="Arial"/>
                <w:sz w:val="15"/>
                <w:szCs w:val="15"/>
                <w:color w:val="auto"/>
              </w:rPr>
              <w:t>SECTION 2.09.</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gridSpan w:val="3"/>
          </w:tcPr>
          <w:p>
            <w:pPr>
              <w:ind w:left="900"/>
              <w:spacing w:after="0"/>
              <w:rPr>
                <w:sz w:val="20"/>
                <w:szCs w:val="20"/>
                <w:color w:val="auto"/>
              </w:rPr>
            </w:pPr>
            <w:r>
              <w:rPr>
                <w:rFonts w:ascii="Arial" w:cs="Arial" w:eastAsia="Arial" w:hAnsi="Arial"/>
                <w:sz w:val="15"/>
                <w:szCs w:val="15"/>
                <w:color w:val="auto"/>
              </w:rPr>
              <w:t>Repayment of Loans; Evidence of Debt</w:t>
            </w:r>
          </w:p>
        </w:tc>
        <w:tc>
          <w:tcPr>
            <w:tcW w:w="740" w:type="dxa"/>
            <w:vAlign w:val="bottom"/>
            <w:tcBorders>
              <w:top w:val="single" w:sz="8" w:color="auto"/>
            </w:tcBorders>
          </w:tcPr>
          <w:p>
            <w:pPr>
              <w:spacing w:after="0"/>
              <w:rPr>
                <w:sz w:val="24"/>
                <w:szCs w:val="24"/>
                <w:color w:val="auto"/>
              </w:rPr>
            </w:pPr>
          </w:p>
        </w:tc>
        <w:tc>
          <w:tcPr>
            <w:tcW w:w="2840" w:type="dxa"/>
            <w:vAlign w:val="bottom"/>
            <w:gridSpan w:val="3"/>
          </w:tcPr>
          <w:p>
            <w:pPr>
              <w:spacing w:after="0"/>
              <w:rPr>
                <w:sz w:val="24"/>
                <w:szCs w:val="24"/>
                <w:color w:val="auto"/>
              </w:rPr>
            </w:pPr>
          </w:p>
        </w:tc>
      </w:tr>
      <w:tr>
        <w:trPr>
          <w:trHeight w:val="336"/>
        </w:trPr>
        <w:tc>
          <w:tcPr>
            <w:tcW w:w="2940" w:type="dxa"/>
            <w:vAlign w:val="bottom"/>
          </w:tcPr>
          <w:p>
            <w:pPr>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87"/>
        </w:trPr>
        <w:tc>
          <w:tcPr>
            <w:tcW w:w="2940" w:type="dxa"/>
            <w:vAlign w:val="bottom"/>
          </w:tcPr>
          <w:p>
            <w:pPr>
              <w:ind w:left="1740"/>
              <w:spacing w:after="0"/>
              <w:rPr>
                <w:sz w:val="20"/>
                <w:szCs w:val="20"/>
                <w:color w:val="auto"/>
              </w:rPr>
            </w:pPr>
            <w:r>
              <w:rPr>
                <w:rFonts w:ascii="Arial" w:cs="Arial" w:eastAsia="Arial" w:hAnsi="Arial"/>
                <w:sz w:val="15"/>
                <w:szCs w:val="15"/>
                <w:color w:val="auto"/>
              </w:rPr>
              <w:t>(a)</w:t>
            </w:r>
          </w:p>
        </w:tc>
        <w:tc>
          <w:tcPr>
            <w:tcW w:w="8340" w:type="dxa"/>
            <w:vAlign w:val="bottom"/>
            <w:gridSpan w:val="9"/>
          </w:tcPr>
          <w:p>
            <w:pPr>
              <w:jc w:val="right"/>
              <w:spacing w:after="0"/>
              <w:rPr>
                <w:sz w:val="20"/>
                <w:szCs w:val="20"/>
                <w:color w:val="auto"/>
              </w:rPr>
            </w:pPr>
            <w:r>
              <w:rPr>
                <w:rFonts w:ascii="Arial" w:cs="Arial" w:eastAsia="Arial" w:hAnsi="Arial"/>
                <w:sz w:val="15"/>
                <w:szCs w:val="15"/>
                <w:color w:val="auto"/>
              </w:rPr>
              <w:t>Repayment.  The Borrower hereby unconditionally promises to pay the Loans of each Class of Final Maturity Date or</w:t>
            </w:r>
          </w:p>
        </w:tc>
      </w:tr>
      <w:tr>
        <w:trPr>
          <w:trHeight w:val="185"/>
        </w:trPr>
        <w:tc>
          <w:tcPr>
            <w:tcW w:w="2940" w:type="dxa"/>
            <w:vAlign w:val="bottom"/>
          </w:tcPr>
          <w:p>
            <w:pPr>
              <w:spacing w:after="0"/>
              <w:rPr>
                <w:sz w:val="20"/>
                <w:szCs w:val="20"/>
                <w:color w:val="auto"/>
              </w:rPr>
            </w:pPr>
            <w:r>
              <w:rPr>
                <w:rFonts w:ascii="Arial" w:cs="Arial" w:eastAsia="Arial" w:hAnsi="Arial"/>
                <w:sz w:val="15"/>
                <w:szCs w:val="15"/>
                <w:color w:val="auto"/>
              </w:rPr>
              <w:t>Commitments, as applicable, as follows:</w:t>
            </w:r>
          </w:p>
        </w:tc>
        <w:tc>
          <w:tcPr>
            <w:tcW w:w="3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1"/>
        </w:trPr>
        <w:tc>
          <w:tcPr>
            <w:tcW w:w="2940" w:type="dxa"/>
            <w:vAlign w:val="bottom"/>
          </w:tcPr>
          <w:p>
            <w:pPr>
              <w:ind w:left="1660"/>
              <w:spacing w:after="0"/>
              <w:rPr>
                <w:sz w:val="20"/>
                <w:szCs w:val="20"/>
                <w:color w:val="auto"/>
              </w:rPr>
            </w:pPr>
            <w:r>
              <w:rPr>
                <w:rFonts w:ascii="Arial" w:cs="Arial" w:eastAsia="Arial" w:hAnsi="Arial"/>
                <w:sz w:val="15"/>
                <w:szCs w:val="15"/>
                <w:color w:val="auto"/>
              </w:rPr>
              <w:t>(i)</w:t>
            </w:r>
          </w:p>
        </w:tc>
        <w:tc>
          <w:tcPr>
            <w:tcW w:w="8340" w:type="dxa"/>
            <w:vAlign w:val="bottom"/>
            <w:gridSpan w:val="9"/>
          </w:tcPr>
          <w:p>
            <w:pPr>
              <w:jc w:val="right"/>
              <w:spacing w:after="0"/>
              <w:rPr>
                <w:sz w:val="20"/>
                <w:szCs w:val="20"/>
                <w:color w:val="auto"/>
              </w:rPr>
            </w:pPr>
            <w:r>
              <w:rPr>
                <w:rFonts w:ascii="Arial" w:cs="Arial" w:eastAsia="Arial" w:hAnsi="Arial"/>
                <w:sz w:val="15"/>
                <w:szCs w:val="15"/>
                <w:color w:val="auto"/>
                <w:w w:val="96"/>
              </w:rPr>
              <w:t>to the Administrative Agent for account of the Lenders of such Class of Final Maturity Date the outstanding principal amount of the</w:t>
            </w:r>
          </w:p>
        </w:tc>
      </w:tr>
      <w:tr>
        <w:trPr>
          <w:trHeight w:val="191"/>
        </w:trPr>
        <w:tc>
          <w:tcPr>
            <w:tcW w:w="11280" w:type="dxa"/>
            <w:vAlign w:val="bottom"/>
            <w:gridSpan w:val="10"/>
          </w:tcPr>
          <w:p>
            <w:pPr>
              <w:ind w:left="860"/>
              <w:spacing w:after="0"/>
              <w:rPr>
                <w:sz w:val="20"/>
                <w:szCs w:val="20"/>
                <w:color w:val="auto"/>
              </w:rPr>
            </w:pPr>
            <w:r>
              <w:rPr>
                <w:rFonts w:ascii="Arial" w:cs="Arial" w:eastAsia="Arial" w:hAnsi="Arial"/>
                <w:sz w:val="15"/>
                <w:szCs w:val="15"/>
                <w:color w:val="auto"/>
              </w:rPr>
              <w:t>Syndicated Loans of the Lenders of such Class of Final Maturity Date on the applicable Final Maturity Date; and</w:t>
            </w:r>
          </w:p>
        </w:tc>
      </w:tr>
      <w:tr>
        <w:trPr>
          <w:trHeight w:val="313"/>
        </w:trPr>
        <w:tc>
          <w:tcPr>
            <w:tcW w:w="2940" w:type="dxa"/>
            <w:vAlign w:val="bottom"/>
          </w:tcPr>
          <w:p>
            <w:pPr>
              <w:ind w:left="1660"/>
              <w:spacing w:after="0"/>
              <w:rPr>
                <w:sz w:val="20"/>
                <w:szCs w:val="20"/>
                <w:color w:val="auto"/>
              </w:rPr>
            </w:pPr>
            <w:r>
              <w:rPr>
                <w:rFonts w:ascii="Arial" w:cs="Arial" w:eastAsia="Arial" w:hAnsi="Arial"/>
                <w:sz w:val="15"/>
                <w:szCs w:val="15"/>
                <w:color w:val="auto"/>
              </w:rPr>
              <w:t>(ii)</w:t>
            </w:r>
          </w:p>
        </w:tc>
        <w:tc>
          <w:tcPr>
            <w:tcW w:w="8340" w:type="dxa"/>
            <w:vAlign w:val="bottom"/>
            <w:gridSpan w:val="9"/>
          </w:tcPr>
          <w:p>
            <w:pPr>
              <w:jc w:val="right"/>
              <w:spacing w:after="0"/>
              <w:rPr>
                <w:sz w:val="20"/>
                <w:szCs w:val="20"/>
                <w:color w:val="auto"/>
              </w:rPr>
            </w:pPr>
            <w:r>
              <w:rPr>
                <w:rFonts w:ascii="Arial" w:cs="Arial" w:eastAsia="Arial" w:hAnsi="Arial"/>
                <w:sz w:val="15"/>
                <w:szCs w:val="15"/>
                <w:color w:val="auto"/>
              </w:rPr>
              <w:t>to the applicable Swingline Lender the then unpaid principal amount of each Swingline Loan of each Class of Commitment</w:t>
            </w:r>
          </w:p>
        </w:tc>
      </w:tr>
    </w:tbl>
    <w:p>
      <w:pPr>
        <w:jc w:val="both"/>
        <w:ind w:left="860" w:right="20"/>
        <w:spacing w:after="0" w:line="266" w:lineRule="auto"/>
        <w:rPr>
          <w:sz w:val="20"/>
          <w:szCs w:val="20"/>
          <w:color w:val="auto"/>
        </w:rPr>
      </w:pPr>
      <w:r>
        <w:rPr>
          <w:rFonts w:ascii="Arial" w:cs="Arial" w:eastAsia="Arial" w:hAnsi="Arial"/>
          <w:sz w:val="14"/>
          <w:szCs w:val="14"/>
          <w:color w:val="auto"/>
        </w:rPr>
        <w:t xml:space="preserve">denominated in Dollars made by such Swingline Lender, on the earlier of the Extended Commitment Termination Date and the first date after such Swingline Loan is made that is the 15th or last day of a calendar month and is at least ten Business Days after such Swingline Loan is made;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on each date that a Syndicated Borrowing of such Class of Commitment is made, the Borrower shall repay all Swingline Loans of such Class of Commitment then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76" w:name="page177"/>
    <w:bookmarkEnd w:id="176"/>
    <w:p>
      <w:pPr>
        <w:jc w:val="both"/>
        <w:ind w:left="4" w:firstLine="1737"/>
        <w:spacing w:after="0" w:line="245" w:lineRule="auto"/>
        <w:rPr>
          <w:sz w:val="20"/>
          <w:szCs w:val="20"/>
          <w:color w:val="auto"/>
        </w:rPr>
      </w:pPr>
      <w:r>
        <w:rPr>
          <w:rFonts w:ascii="Arial" w:cs="Arial" w:eastAsia="Arial" w:hAnsi="Arial"/>
          <w:sz w:val="15"/>
          <w:szCs w:val="15"/>
          <w:color w:val="auto"/>
        </w:rPr>
        <w:t>In addition, on the Extended Commitment Termination Date, the Borrower shall deposit Cash into the Letter of Credit Collateral Account (denominated in the Currency of the Letter of Credit under which such LC Exposure arises) in an amount equal to 100% of the undrawn face amount of all Letters of Credit outstanding on the close of business on the Extended Commitment Termination Date, such deposit to be held by the Administrative Agent as collateral security for the LC Exposure under this Agreement in respect of the undrawn portion of such Letters of Credit.</w:t>
      </w:r>
    </w:p>
    <w:p>
      <w:pPr>
        <w:spacing w:after="0" w:line="128" w:lineRule="exact"/>
        <w:rPr>
          <w:sz w:val="20"/>
          <w:szCs w:val="20"/>
          <w:color w:val="auto"/>
        </w:rPr>
      </w:pPr>
    </w:p>
    <w:p>
      <w:pPr>
        <w:jc w:val="both"/>
        <w:ind w:left="4" w:firstLine="1737"/>
        <w:spacing w:after="0" w:line="260"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Manner of Payment</w:t>
      </w:r>
      <w:r>
        <w:rPr>
          <w:rFonts w:ascii="Arial" w:cs="Arial" w:eastAsia="Arial" w:hAnsi="Arial"/>
          <w:sz w:val="14"/>
          <w:szCs w:val="14"/>
          <w:color w:val="auto"/>
        </w:rPr>
        <w:t xml:space="preserve">. Prior to any repayment or prepayment of any Borrowings to any Lenders of any Class of Commitment hereunder, the Borrower shall select the Borrowing or Borrowings of such Class to be paid and shall notify the Administrative Agent by telephone (confirmed by telecopy) of such selection not later than the time set forth in </w:t>
      </w:r>
      <w:r>
        <w:rPr>
          <w:rFonts w:ascii="Arial" w:cs="Arial" w:eastAsia="Arial" w:hAnsi="Arial"/>
          <w:sz w:val="14"/>
          <w:szCs w:val="14"/>
          <w:u w:val="single" w:color="auto"/>
          <w:color w:val="auto"/>
        </w:rPr>
        <w:t>Section 2.10(e)</w:t>
      </w:r>
      <w:r>
        <w:rPr>
          <w:rFonts w:ascii="Arial" w:cs="Arial" w:eastAsia="Arial" w:hAnsi="Arial"/>
          <w:sz w:val="14"/>
          <w:szCs w:val="14"/>
          <w:color w:val="auto"/>
        </w:rPr>
        <w:t xml:space="preserve"> prior to the scheduled date of such repayment;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each repayment of Borrowings to any Lenders of a Class shall be applied to repay any outstanding ABR Borrowings of such Class before any other Borrowings of such Class. If the Borrower fails to make a timely selection of the Borrowing or Borrowings to be repaid or prepaid, such payment shall be applied, first, to pay any outstanding ABR Borrowings of the applicable Class and, second, to other Borrowings of such Class in the order of the remaining duration of their respective Interest Periods (the Borrowing with the shortest remaining Interest Period to be repaid first). Each payment of a Syndicated Borrowing to Lenders of a Class of Commitments shall be applied ratably to the Loans included in such Borrowing and each payment of a Syndicated Borrowing to Lenders of a Class of Final Maturity Date shall be applied ratably to Non-Extending Lenders or Extending Lenders, as applicable, with Loans included in such Borrowing.</w:t>
      </w:r>
    </w:p>
    <w:p>
      <w:pPr>
        <w:spacing w:after="0" w:line="117" w:lineRule="exact"/>
        <w:rPr>
          <w:sz w:val="20"/>
          <w:szCs w:val="20"/>
          <w:color w:val="auto"/>
        </w:rPr>
      </w:pPr>
    </w:p>
    <w:p>
      <w:pPr>
        <w:jc w:val="both"/>
        <w:ind w:left="4" w:right="20" w:firstLine="1737"/>
        <w:spacing w:after="0" w:line="249"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Maintenance of Records by Lenders</w:t>
      </w:r>
      <w:r>
        <w:rPr>
          <w:rFonts w:ascii="Arial" w:cs="Arial" w:eastAsia="Arial" w:hAnsi="Arial"/>
          <w:sz w:val="15"/>
          <w:szCs w:val="15"/>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w:t>
      </w:r>
    </w:p>
    <w:p>
      <w:pPr>
        <w:spacing w:after="0" w:line="125" w:lineRule="exact"/>
        <w:rPr>
          <w:sz w:val="20"/>
          <w:szCs w:val="20"/>
          <w:color w:val="auto"/>
        </w:rPr>
      </w:pPr>
    </w:p>
    <w:p>
      <w:pPr>
        <w:ind w:left="1744"/>
        <w:spacing w:after="0"/>
        <w:tabs>
          <w:tab w:leader="none" w:pos="3264"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4"/>
          <w:szCs w:val="14"/>
          <w:u w:val="single" w:color="auto"/>
          <w:color w:val="auto"/>
        </w:rPr>
        <w:t>Maintenance of Records by the Administrative Agent</w:t>
      </w:r>
      <w:r>
        <w:rPr>
          <w:rFonts w:ascii="Arial" w:cs="Arial" w:eastAsia="Arial" w:hAnsi="Arial"/>
          <w:sz w:val="14"/>
          <w:szCs w:val="14"/>
          <w:color w:val="auto"/>
        </w:rPr>
        <w:t>.  The Administrative Agent shall maintain records in which it shall record</w:t>
      </w:r>
    </w:p>
    <w:p>
      <w:pPr>
        <w:spacing w:after="0" w:line="21" w:lineRule="exact"/>
        <w:rPr>
          <w:sz w:val="20"/>
          <w:szCs w:val="20"/>
          <w:color w:val="auto"/>
        </w:rPr>
      </w:pPr>
    </w:p>
    <w:p>
      <w:pPr>
        <w:jc w:val="both"/>
        <w:ind w:left="4" w:hanging="4"/>
        <w:spacing w:after="0" w:line="241" w:lineRule="auto"/>
        <w:tabs>
          <w:tab w:leader="none" w:pos="187"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amount and Currency of each Loan made hereunder, the Class and Type thereof and each Interest Period therefor, (ii) the amount and Currency of any principal or interest due and payable or to become due and payable from the Borrower to each Lender of such Class of Commitment or Final Maturity Date hereunder and (iii) the amount and Currency of any sum received by the Administrative Agent hereunder for account of the Lenders and each Lender’s share thereof.</w:t>
      </w:r>
    </w:p>
    <w:p>
      <w:pPr>
        <w:spacing w:after="0" w:line="130" w:lineRule="exact"/>
        <w:rPr>
          <w:sz w:val="20"/>
          <w:szCs w:val="20"/>
          <w:color w:val="auto"/>
        </w:rPr>
      </w:pPr>
    </w:p>
    <w:p>
      <w:pPr>
        <w:jc w:val="both"/>
        <w:ind w:left="4" w:firstLine="1737"/>
        <w:spacing w:after="0" w:line="249"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Effect of Entries</w:t>
      </w:r>
      <w:r>
        <w:rPr>
          <w:rFonts w:ascii="Arial" w:cs="Arial" w:eastAsia="Arial" w:hAnsi="Arial"/>
          <w:sz w:val="15"/>
          <w:szCs w:val="15"/>
          <w:color w:val="auto"/>
        </w:rPr>
        <w:t xml:space="preserve">. The entries made in the records maintained pursuant to </w:t>
      </w:r>
      <w:r>
        <w:rPr>
          <w:rFonts w:ascii="Arial" w:cs="Arial" w:eastAsia="Arial" w:hAnsi="Arial"/>
          <w:sz w:val="15"/>
          <w:szCs w:val="15"/>
          <w:u w:val="single" w:color="auto"/>
          <w:color w:val="auto"/>
        </w:rPr>
        <w:t>paragraph (c)</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this Section shall be </w:t>
      </w:r>
      <w:r>
        <w:rPr>
          <w:rFonts w:ascii="Arial" w:cs="Arial" w:eastAsia="Arial" w:hAnsi="Arial"/>
          <w:sz w:val="15"/>
          <w:szCs w:val="15"/>
          <w:u w:val="single" w:color="auto"/>
          <w:color w:val="auto"/>
        </w:rPr>
        <w:t>prima facie</w:t>
      </w:r>
      <w:r>
        <w:rPr>
          <w:rFonts w:ascii="Arial" w:cs="Arial" w:eastAsia="Arial" w:hAnsi="Arial"/>
          <w:sz w:val="15"/>
          <w:szCs w:val="15"/>
          <w:color w:val="auto"/>
        </w:rPr>
        <w:t xml:space="preserve"> evidence, absent obvious error, of the existence and amounts of the obligations recorded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failure of any Lender or the Administrative Agent to maintain such records or any error therein shall not in any manner affect the obligation of the Borrower to repay the Loans in accordance with the terms of this Agreement.</w:t>
      </w:r>
    </w:p>
    <w:p>
      <w:pPr>
        <w:spacing w:after="0" w:line="125"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Promissory Notes</w:t>
      </w:r>
      <w:r>
        <w:rPr>
          <w:rFonts w:ascii="Arial" w:cs="Arial" w:eastAsia="Arial" w:hAnsi="Arial"/>
          <w:sz w:val="15"/>
          <w:szCs w:val="15"/>
          <w:color w:val="auto"/>
        </w:rPr>
        <w:t>. Any Lender may request that Loans of any Class made by it be evidenced by a promissory note; in such event, the Borrower shall prepare, execute and deliver to such Lender a promissory note payable to such Lender (or, if requested by such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77" w:name="page178"/>
    <w:bookmarkEnd w:id="177"/>
    <w:p>
      <w:pPr>
        <w:jc w:val="both"/>
        <w:spacing w:after="0" w:line="249" w:lineRule="auto"/>
        <w:rPr>
          <w:sz w:val="20"/>
          <w:szCs w:val="20"/>
          <w:color w:val="auto"/>
        </w:rPr>
      </w:pPr>
      <w:r>
        <w:rPr>
          <w:rFonts w:ascii="Arial" w:cs="Arial" w:eastAsia="Arial" w:hAnsi="Arial"/>
          <w:sz w:val="15"/>
          <w:szCs w:val="15"/>
          <w:color w:val="auto"/>
        </w:rPr>
        <w:t xml:space="preserve">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15"/>
          <w:szCs w:val="15"/>
          <w:u w:val="single" w:color="auto"/>
          <w:color w:val="auto"/>
        </w:rPr>
        <w:t>Section 9.04</w:t>
      </w:r>
      <w:r>
        <w:rPr>
          <w:rFonts w:ascii="Arial" w:cs="Arial" w:eastAsia="Arial" w:hAnsi="Arial"/>
          <w:sz w:val="15"/>
          <w:szCs w:val="15"/>
          <w:color w:val="auto"/>
        </w:rPr>
        <w:t>) be represented by one or more promissory notes in such form payable to the payee named therein (or, if such promissory note is a registered note, to such payee and its registered assigns).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2.10.</w:t>
            </w:r>
          </w:p>
        </w:tc>
        <w:tc>
          <w:tcPr>
            <w:tcW w:w="1360" w:type="dxa"/>
            <w:vAlign w:val="bottom"/>
          </w:tcPr>
          <w:p>
            <w:pPr>
              <w:spacing w:after="0"/>
              <w:rPr>
                <w:sz w:val="14"/>
                <w:szCs w:val="14"/>
                <w:color w:val="auto"/>
              </w:rPr>
            </w:pPr>
          </w:p>
        </w:tc>
        <w:tc>
          <w:tcPr>
            <w:tcW w:w="6660" w:type="dxa"/>
            <w:vAlign w:val="bottom"/>
            <w:gridSpan w:val="3"/>
          </w:tcPr>
          <w:p>
            <w:pPr>
              <w:ind w:left="240"/>
              <w:spacing w:after="0"/>
              <w:rPr>
                <w:sz w:val="20"/>
                <w:szCs w:val="20"/>
                <w:color w:val="auto"/>
              </w:rPr>
            </w:pPr>
            <w:r>
              <w:rPr>
                <w:rFonts w:ascii="Arial" w:cs="Arial" w:eastAsia="Arial" w:hAnsi="Arial"/>
                <w:sz w:val="15"/>
                <w:szCs w:val="15"/>
                <w:color w:val="auto"/>
              </w:rPr>
              <w:t>Prepayment of Loans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512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3"/>
              </w:rPr>
              <w:t>Optional Prepayments. The Borrower shall have the right at any time and from time to time to prepay any Borrowing in whole or in</w:t>
            </w:r>
          </w:p>
        </w:tc>
      </w:tr>
      <w:tr>
        <w:trPr>
          <w:trHeight w:val="20"/>
        </w:trPr>
        <w:tc>
          <w:tcPr>
            <w:tcW w:w="3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part, without premium or penalty except for payments under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subject to the requirements of this Section. Any prepayment of a Borrowing made in accordance with 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shall be applied ratably among the Lenders of a Class of Commitment unless such prepayment is made in connection with the reduction of Commitments in accordance with </w:t>
      </w:r>
      <w:r>
        <w:rPr>
          <w:rFonts w:ascii="Arial" w:cs="Arial" w:eastAsia="Arial" w:hAnsi="Arial"/>
          <w:sz w:val="15"/>
          <w:szCs w:val="15"/>
          <w:u w:val="single" w:color="auto"/>
          <w:color w:val="auto"/>
        </w:rPr>
        <w:t>Section 2.08(b)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 xml:space="preserve"> in which case such prepayment shall be applied in accordance with </w:t>
      </w:r>
      <w:r>
        <w:rPr>
          <w:rFonts w:ascii="Arial" w:cs="Arial" w:eastAsia="Arial" w:hAnsi="Arial"/>
          <w:sz w:val="15"/>
          <w:szCs w:val="15"/>
          <w:u w:val="single" w:color="auto"/>
          <w:color w:val="auto"/>
        </w:rPr>
        <w:t>Section 2.08(d)</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 as applicable.</w:t>
      </w:r>
    </w:p>
    <w:p>
      <w:pPr>
        <w:spacing w:after="0" w:line="125" w:lineRule="exact"/>
        <w:rPr>
          <w:sz w:val="20"/>
          <w:szCs w:val="20"/>
          <w:color w:val="auto"/>
        </w:rPr>
      </w:pPr>
    </w:p>
    <w:tbl>
      <w:tblPr>
        <w:tblLayout w:type="fixed"/>
        <w:tblInd w:w="1660" w:type="dxa"/>
        <w:tblCellMar>
          <w:top w:w="0" w:type="dxa"/>
          <w:left w:w="0" w:type="dxa"/>
          <w:bottom w:w="0" w:type="dxa"/>
          <w:right w:w="0" w:type="dxa"/>
        </w:tblCellMar>
      </w:tblPr>
      <w:tr>
        <w:trPr>
          <w:trHeight w:val="191"/>
        </w:trPr>
        <w:tc>
          <w:tcPr>
            <w:tcW w:w="1520" w:type="dxa"/>
            <w:vAlign w:val="bottom"/>
          </w:tcPr>
          <w:p>
            <w:pPr>
              <w:ind w:left="80"/>
              <w:spacing w:after="0"/>
              <w:rPr>
                <w:sz w:val="20"/>
                <w:szCs w:val="20"/>
                <w:color w:val="auto"/>
              </w:rPr>
            </w:pPr>
            <w:r>
              <w:rPr>
                <w:rFonts w:ascii="Arial" w:cs="Arial" w:eastAsia="Arial" w:hAnsi="Arial"/>
                <w:sz w:val="15"/>
                <w:szCs w:val="15"/>
                <w:color w:val="auto"/>
              </w:rPr>
              <w:t>(b)</w:t>
            </w:r>
          </w:p>
        </w:tc>
        <w:tc>
          <w:tcPr>
            <w:tcW w:w="8120" w:type="dxa"/>
            <w:vAlign w:val="bottom"/>
            <w:gridSpan w:val="2"/>
          </w:tcPr>
          <w:p>
            <w:pPr>
              <w:ind w:left="100"/>
              <w:spacing w:after="0"/>
              <w:rPr>
                <w:sz w:val="20"/>
                <w:szCs w:val="20"/>
                <w:color w:val="auto"/>
              </w:rPr>
            </w:pPr>
            <w:r>
              <w:rPr>
                <w:rFonts w:ascii="Arial" w:cs="Arial" w:eastAsia="Arial" w:hAnsi="Arial"/>
                <w:sz w:val="15"/>
                <w:szCs w:val="15"/>
                <w:color w:val="auto"/>
              </w:rPr>
              <w:t>Mandatory Prepayments due to Changes in Exchange Rates.</w:t>
            </w:r>
          </w:p>
        </w:tc>
      </w:tr>
      <w:tr>
        <w:trPr>
          <w:trHeight w:val="287"/>
        </w:trPr>
        <w:tc>
          <w:tcPr>
            <w:tcW w:w="1520" w:type="dxa"/>
            <w:vAlign w:val="bottom"/>
          </w:tcPr>
          <w:p>
            <w:pPr>
              <w:spacing w:after="0"/>
              <w:rPr>
                <w:sz w:val="20"/>
                <w:szCs w:val="20"/>
                <w:color w:val="auto"/>
              </w:rPr>
            </w:pPr>
            <w:r>
              <w:rPr>
                <w:rFonts w:ascii="Arial" w:cs="Arial" w:eastAsia="Arial" w:hAnsi="Arial"/>
                <w:sz w:val="15"/>
                <w:szCs w:val="15"/>
                <w:color w:val="auto"/>
              </w:rPr>
              <w:t>(i)</w:t>
            </w:r>
          </w:p>
        </w:tc>
        <w:tc>
          <w:tcPr>
            <w:tcW w:w="8120" w:type="dxa"/>
            <w:vAlign w:val="bottom"/>
            <w:gridSpan w:val="2"/>
          </w:tcPr>
          <w:p>
            <w:pPr>
              <w:spacing w:after="0"/>
              <w:rPr>
                <w:sz w:val="20"/>
                <w:szCs w:val="20"/>
                <w:color w:val="auto"/>
              </w:rPr>
            </w:pPr>
            <w:r>
              <w:rPr>
                <w:rFonts w:ascii="Arial" w:cs="Arial" w:eastAsia="Arial" w:hAnsi="Arial"/>
                <w:sz w:val="15"/>
                <w:szCs w:val="15"/>
                <w:color w:val="auto"/>
                <w:w w:val="95"/>
              </w:rPr>
              <w:t>Determination of Amount Outstanding.  On each Quarterly Date and, in addition, promptly upon the receipt by the Administrative</w:t>
            </w:r>
          </w:p>
        </w:tc>
      </w:tr>
      <w:tr>
        <w:trPr>
          <w:trHeight w:val="20"/>
        </w:trPr>
        <w:tc>
          <w:tcPr>
            <w:tcW w:w="15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spacing w:after="0" w:line="241" w:lineRule="auto"/>
        <w:rPr>
          <w:sz w:val="20"/>
          <w:szCs w:val="20"/>
          <w:color w:val="auto"/>
        </w:rPr>
      </w:pPr>
      <w:r>
        <w:rPr>
          <w:rFonts w:ascii="Arial" w:cs="Arial" w:eastAsia="Arial" w:hAnsi="Arial"/>
          <w:sz w:val="15"/>
          <w:szCs w:val="15"/>
          <w:color w:val="auto"/>
        </w:rPr>
        <w:t>Agent of a Currency Valuation Notice (as defined below), the Administrative Agent shall determine the aggregate Revolving Multicurrency Credit Exposure. For the purpose of this determination, the outstanding principal amount of any Loan that is denominated in any Foreign Currency shall be deemed to be the Dollar Equivalent of the amount in the Foreign Currency of such Loan, determined as of such Quarterly Date or, in the case of a Currency Valuation Notice received by the Administrative Agent prior to 11:00 a.m., New York City time, on a Business Day, on such Business Day or, in the case of a Currency Valuation Notice otherwise received, on the first Business Day after such Currency Valuation Notice is received. Upon making such determination, the Administrative Agent shall promptly notify the Multicurrency Lenders and the Borrower thereof.</w:t>
      </w:r>
    </w:p>
    <w:p>
      <w:pPr>
        <w:spacing w:after="0" w:line="133" w:lineRule="exact"/>
        <w:rPr>
          <w:sz w:val="20"/>
          <w:szCs w:val="20"/>
          <w:color w:val="auto"/>
        </w:rPr>
      </w:pPr>
    </w:p>
    <w:p>
      <w:pPr>
        <w:jc w:val="both"/>
        <w:ind w:left="860" w:firstLine="802"/>
        <w:spacing w:after="0" w:line="241" w:lineRule="auto"/>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Prepayment</w:t>
      </w:r>
      <w:r>
        <w:rPr>
          <w:rFonts w:ascii="Arial" w:cs="Arial" w:eastAsia="Arial" w:hAnsi="Arial"/>
          <w:sz w:val="15"/>
          <w:szCs w:val="15"/>
          <w:color w:val="auto"/>
        </w:rPr>
        <w:t xml:space="preserve">. If on the date of such determination the aggregate Revolving Multicurrency Credit Exposure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the Multicurrency LC Exposure fully Cash Collateralized on such date exceeds 105% of the aggregate amount of the Multicurrency Commitments as then in effect, the Borrower shall, if requested by the Required Multicurrency Lenders (through the Administrative Agent), prepay the Syndicated Multicurrency Loans and Swingline Multicurrency Loans (and/or provide Cash Collateral for Multicurrency LC Exposure as specified in </w:t>
      </w:r>
      <w:r>
        <w:rPr>
          <w:rFonts w:ascii="Arial" w:cs="Arial" w:eastAsia="Arial" w:hAnsi="Arial"/>
          <w:sz w:val="15"/>
          <w:szCs w:val="15"/>
          <w:u w:val="single" w:color="auto"/>
          <w:color w:val="auto"/>
        </w:rPr>
        <w:t>Section 2.05(k)</w:t>
      </w:r>
      <w:r>
        <w:rPr>
          <w:rFonts w:ascii="Arial" w:cs="Arial" w:eastAsia="Arial" w:hAnsi="Arial"/>
          <w:sz w:val="15"/>
          <w:szCs w:val="15"/>
          <w:color w:val="auto"/>
        </w:rPr>
        <w:t>) within 15 Business Days following the Borrower’s receipt of such request in such amounts as shall be necessary so that after giving effect thereto the aggregate Revolving Multicurrency Credit Exposure does not exceed the Multicurrency Commitments.</w:t>
      </w:r>
    </w:p>
    <w:p>
      <w:pPr>
        <w:spacing w:after="0" w:line="133"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For purposes hereof “</w:t>
      </w:r>
      <w:r>
        <w:rPr>
          <w:rFonts w:ascii="Arial" w:cs="Arial" w:eastAsia="Arial" w:hAnsi="Arial"/>
          <w:sz w:val="14"/>
          <w:szCs w:val="14"/>
          <w:u w:val="single" w:color="auto"/>
          <w:color w:val="auto"/>
        </w:rPr>
        <w:t>Currency Valuation Notice</w:t>
      </w:r>
      <w:r>
        <w:rPr>
          <w:rFonts w:ascii="Arial" w:cs="Arial" w:eastAsia="Arial" w:hAnsi="Arial"/>
          <w:sz w:val="14"/>
          <w:szCs w:val="14"/>
          <w:color w:val="auto"/>
        </w:rPr>
        <w:t>” means a notice given by the Required Multicurrency Lenders to the Administrative Agent stating that such notice is a “Currency Valuation Notice” and requesting that the Administrative Agent determine the aggregate Revolving Multicurrency Credit Exposure. The Administrative Agent shall not be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198755</wp:posOffset>
            </wp:positionV>
            <wp:extent cx="7211060"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78" w:name="page179"/>
    <w:bookmarkEnd w:id="178"/>
    <w:p>
      <w:pPr>
        <w:spacing w:after="0"/>
        <w:rPr>
          <w:sz w:val="20"/>
          <w:szCs w:val="20"/>
          <w:color w:val="auto"/>
        </w:rPr>
      </w:pPr>
      <w:r>
        <w:rPr>
          <w:rFonts w:ascii="Arial" w:cs="Arial" w:eastAsia="Arial" w:hAnsi="Arial"/>
          <w:sz w:val="15"/>
          <w:szCs w:val="15"/>
          <w:color w:val="auto"/>
        </w:rPr>
        <w:t>make more than one valuation determination pursuant to Currency Valuation Notices within any rolling three month period.</w:t>
      </w:r>
    </w:p>
    <w:p>
      <w:pPr>
        <w:spacing w:after="0" w:line="14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 xml:space="preserve">Any prepayment pursuant to this paragraph shall be applied,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Swingline Multicurrency Loans outstanding,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Syndicated Multicurrency Loans outstanding and </w:t>
      </w:r>
      <w:r>
        <w:rPr>
          <w:rFonts w:ascii="Arial" w:cs="Arial" w:eastAsia="Arial" w:hAnsi="Arial"/>
          <w:sz w:val="15"/>
          <w:szCs w:val="15"/>
          <w:u w:val="single" w:color="auto"/>
          <w:color w:val="auto"/>
        </w:rPr>
        <w:t>third</w:t>
      </w:r>
      <w:r>
        <w:rPr>
          <w:rFonts w:ascii="Arial" w:cs="Arial" w:eastAsia="Arial" w:hAnsi="Arial"/>
          <w:sz w:val="15"/>
          <w:szCs w:val="15"/>
          <w:color w:val="auto"/>
        </w:rPr>
        <w:t>, as cover for Multicurrency LC Exposure.</w:t>
      </w:r>
    </w:p>
    <w:p>
      <w:pPr>
        <w:spacing w:after="0" w:line="115" w:lineRule="exact"/>
        <w:rPr>
          <w:sz w:val="20"/>
          <w:szCs w:val="20"/>
          <w:color w:val="auto"/>
        </w:rPr>
      </w:pPr>
    </w:p>
    <w:p>
      <w:pPr>
        <w:jc w:val="both"/>
        <w:ind w:firstLine="1737"/>
        <w:spacing w:after="0" w:line="259"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Mandatory Prepayments due to Borrowing Base Deficiency</w:t>
      </w:r>
      <w:r>
        <w:rPr>
          <w:rFonts w:ascii="Arial" w:cs="Arial" w:eastAsia="Arial" w:hAnsi="Arial"/>
          <w:sz w:val="14"/>
          <w:szCs w:val="14"/>
          <w:color w:val="auto"/>
        </w:rPr>
        <w:t xml:space="preserve">. In the event that at any time any Borrowing Base Deficiency shall exist, the Borrower shall, within five Business Days after delivery of the applicable Borrowing Base Certificate, prepay the Loans (or provide Cash Collateral for Letters of Credit as contemplated by </w:t>
      </w:r>
      <w:r>
        <w:rPr>
          <w:rFonts w:ascii="Arial" w:cs="Arial" w:eastAsia="Arial" w:hAnsi="Arial"/>
          <w:sz w:val="14"/>
          <w:szCs w:val="14"/>
          <w:u w:val="single" w:color="auto"/>
          <w:color w:val="auto"/>
        </w:rPr>
        <w:t>Section 2.05(k)</w:t>
      </w:r>
      <w:r>
        <w:rPr>
          <w:rFonts w:ascii="Arial" w:cs="Arial" w:eastAsia="Arial" w:hAnsi="Arial"/>
          <w:sz w:val="14"/>
          <w:szCs w:val="14"/>
          <w:color w:val="auto"/>
        </w:rPr>
        <w:t xml:space="preserve">) or reduce Other Covered Indebtedness or any other Indebtedness that is included in the Covered Debt Amount at such time in such amounts as shall be necessary so that such Borrowing Base Deficiency is cured;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aggregate amount of such prepayment of Loans (and Cash Collateral for Letters of Credit) shall be at least equal to the Revolving Percentage times the aggregate prepayment of the Covered Debt Amount, and (ii) if, within five Business Days after delivery of a Borrowing Base Certificate demonstrating such Borrowing Base Deficiency, the Borrower shall present the Lenders with a reasonably feasible plan acceptable to the Required Lenders in their sole discretion to enable such Borrowing Base Deficiency to be cured within 30 Business Days (which 30-Business Day period shall include the five Business Days permitted for delivery of such plan), then such prepayment or reduction shall not be required to be effected immediately but may be effected in accordance with such plan (with such modifications as the Borrower may reasonably determine), so long as such Borrowing Base Deficiency is cured within such 30-Business Day period.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ind w:left="1740"/>
              <w:spacing w:after="0"/>
              <w:rPr>
                <w:sz w:val="20"/>
                <w:szCs w:val="20"/>
                <w:color w:val="auto"/>
              </w:rPr>
            </w:pPr>
            <w:r>
              <w:rPr>
                <w:rFonts w:ascii="Arial" w:cs="Arial" w:eastAsia="Arial" w:hAnsi="Arial"/>
                <w:sz w:val="15"/>
                <w:szCs w:val="15"/>
                <w:color w:val="auto"/>
              </w:rPr>
              <w:t>(d)</w:t>
            </w:r>
          </w:p>
        </w:tc>
        <w:tc>
          <w:tcPr>
            <w:tcW w:w="8020" w:type="dxa"/>
            <w:vAlign w:val="bottom"/>
            <w:gridSpan w:val="6"/>
          </w:tcPr>
          <w:p>
            <w:pPr>
              <w:jc w:val="right"/>
              <w:ind w:right="20"/>
              <w:spacing w:after="0"/>
              <w:rPr>
                <w:sz w:val="20"/>
                <w:szCs w:val="20"/>
                <w:color w:val="auto"/>
              </w:rPr>
            </w:pPr>
            <w:r>
              <w:rPr>
                <w:rFonts w:ascii="Arial" w:cs="Arial" w:eastAsia="Arial" w:hAnsi="Arial"/>
                <w:sz w:val="15"/>
                <w:szCs w:val="15"/>
                <w:color w:val="auto"/>
                <w:w w:val="97"/>
              </w:rPr>
              <w:t>Mandatory Prepayments During Amortization Period.  During the period commencing on the date immediately following the</w:t>
            </w:r>
          </w:p>
        </w:tc>
      </w:tr>
      <w:tr>
        <w:trPr>
          <w:trHeight w:val="20"/>
        </w:trPr>
        <w:tc>
          <w:tcPr>
            <w:tcW w:w="3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85"/>
        </w:trPr>
        <w:tc>
          <w:tcPr>
            <w:tcW w:w="11300" w:type="dxa"/>
            <w:vAlign w:val="bottom"/>
            <w:gridSpan w:val="7"/>
          </w:tcPr>
          <w:p>
            <w:pPr>
              <w:jc w:val="right"/>
              <w:ind w:right="640"/>
              <w:spacing w:after="0"/>
              <w:rPr>
                <w:sz w:val="20"/>
                <w:szCs w:val="20"/>
                <w:color w:val="auto"/>
              </w:rPr>
            </w:pPr>
            <w:r>
              <w:rPr>
                <w:rFonts w:ascii="Arial" w:cs="Arial" w:eastAsia="Arial" w:hAnsi="Arial"/>
                <w:sz w:val="15"/>
                <w:szCs w:val="15"/>
                <w:color w:val="auto"/>
                <w:w w:val="91"/>
              </w:rPr>
              <w:t>Commitment Termination Date with respect to any Loans of any Lender or Lenders and ending on the Final Maturity Date with respect to the Loans of such Lender or Lenders:</w:t>
            </w:r>
          </w:p>
        </w:tc>
      </w:tr>
      <w:tr>
        <w:trPr>
          <w:trHeight w:val="287"/>
        </w:trPr>
        <w:tc>
          <w:tcPr>
            <w:tcW w:w="3280" w:type="dxa"/>
            <w:vAlign w:val="bottom"/>
          </w:tcPr>
          <w:p>
            <w:pPr>
              <w:ind w:left="1660"/>
              <w:spacing w:after="0"/>
              <w:rPr>
                <w:sz w:val="20"/>
                <w:szCs w:val="20"/>
                <w:color w:val="auto"/>
              </w:rPr>
            </w:pPr>
            <w:r>
              <w:rPr>
                <w:rFonts w:ascii="Arial" w:cs="Arial" w:eastAsia="Arial" w:hAnsi="Arial"/>
                <w:sz w:val="15"/>
                <w:szCs w:val="15"/>
                <w:color w:val="auto"/>
              </w:rPr>
              <w:t>(i)</w:t>
            </w:r>
          </w:p>
        </w:tc>
        <w:tc>
          <w:tcPr>
            <w:tcW w:w="8020" w:type="dxa"/>
            <w:vAlign w:val="bottom"/>
            <w:gridSpan w:val="6"/>
          </w:tcPr>
          <w:p>
            <w:pPr>
              <w:jc w:val="right"/>
              <w:spacing w:after="0"/>
              <w:rPr>
                <w:sz w:val="20"/>
                <w:szCs w:val="20"/>
                <w:color w:val="auto"/>
              </w:rPr>
            </w:pPr>
            <w:r>
              <w:rPr>
                <w:rFonts w:ascii="Arial" w:cs="Arial" w:eastAsia="Arial" w:hAnsi="Arial"/>
                <w:sz w:val="15"/>
                <w:szCs w:val="15"/>
                <w:color w:val="auto"/>
                <w:w w:val="94"/>
              </w:rPr>
              <w:t>Asset Disposition.  If the Borrower or any of its Subsidiaries (other than a Financing Subsidiary) Disposes of any property which</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64"/>
        </w:trPr>
        <w:tc>
          <w:tcPr>
            <w:tcW w:w="11300" w:type="dxa"/>
            <w:vAlign w:val="bottom"/>
            <w:gridSpan w:val="7"/>
          </w:tcPr>
          <w:p>
            <w:pPr>
              <w:jc w:val="right"/>
              <w:spacing w:after="0" w:line="164" w:lineRule="exact"/>
              <w:rPr>
                <w:sz w:val="20"/>
                <w:szCs w:val="20"/>
                <w:color w:val="auto"/>
              </w:rPr>
            </w:pPr>
            <w:r>
              <w:rPr>
                <w:rFonts w:ascii="Arial" w:cs="Arial" w:eastAsia="Arial" w:hAnsi="Arial"/>
                <w:sz w:val="15"/>
                <w:szCs w:val="15"/>
                <w:color w:val="auto"/>
                <w:w w:val="98"/>
              </w:rPr>
              <w:t>results in the receipt by such Person of Net Cash Proceeds in excess of $2,000,000 in the aggregate since the applicable Commitment Termination Date, the Borrower shall</w:t>
            </w:r>
          </w:p>
        </w:tc>
      </w:tr>
      <w:tr>
        <w:trPr>
          <w:trHeight w:val="170"/>
        </w:trPr>
        <w:tc>
          <w:tcPr>
            <w:tcW w:w="11300" w:type="dxa"/>
            <w:vAlign w:val="bottom"/>
            <w:gridSpan w:val="7"/>
          </w:tcPr>
          <w:p>
            <w:pPr>
              <w:jc w:val="right"/>
              <w:ind w:right="20"/>
              <w:spacing w:after="0" w:line="170" w:lineRule="exact"/>
              <w:rPr>
                <w:sz w:val="20"/>
                <w:szCs w:val="20"/>
                <w:color w:val="auto"/>
              </w:rPr>
            </w:pPr>
            <w:r>
              <w:rPr>
                <w:rFonts w:ascii="Arial" w:cs="Arial" w:eastAsia="Arial" w:hAnsi="Arial"/>
                <w:sz w:val="15"/>
                <w:szCs w:val="15"/>
                <w:color w:val="auto"/>
              </w:rPr>
              <w:t>prepay an aggregate principal amount of such Loans owed to such Lender or Lenders equal to 100% of such Net Cash Proceeds no later than the fifth Business Day</w:t>
            </w:r>
          </w:p>
        </w:tc>
      </w:tr>
      <w:tr>
        <w:trPr>
          <w:trHeight w:val="156"/>
        </w:trPr>
        <w:tc>
          <w:tcPr>
            <w:tcW w:w="11300" w:type="dxa"/>
            <w:vAlign w:val="bottom"/>
            <w:gridSpan w:val="7"/>
          </w:tcPr>
          <w:p>
            <w:pPr>
              <w:jc w:val="right"/>
              <w:ind w:right="3600"/>
              <w:spacing w:after="0" w:line="156" w:lineRule="exact"/>
              <w:rPr>
                <w:sz w:val="20"/>
                <w:szCs w:val="20"/>
                <w:color w:val="auto"/>
              </w:rPr>
            </w:pPr>
            <w:r>
              <w:rPr>
                <w:rFonts w:ascii="Arial" w:cs="Arial" w:eastAsia="Arial" w:hAnsi="Arial"/>
                <w:sz w:val="15"/>
                <w:szCs w:val="15"/>
                <w:color w:val="auto"/>
              </w:rPr>
              <w:t>following the receipt of such Net Cash Proceeds (such prepayments to be applied as set forth in Section 2.09(b)).</w:t>
            </w:r>
          </w:p>
        </w:tc>
      </w:tr>
      <w:tr>
        <w:trPr>
          <w:trHeight w:val="20"/>
        </w:trPr>
        <w:tc>
          <w:tcPr>
            <w:tcW w:w="3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301"/>
        </w:trPr>
        <w:tc>
          <w:tcPr>
            <w:tcW w:w="3280" w:type="dxa"/>
            <w:vAlign w:val="bottom"/>
          </w:tcPr>
          <w:p>
            <w:pPr>
              <w:ind w:left="1660"/>
              <w:spacing w:after="0"/>
              <w:rPr>
                <w:sz w:val="20"/>
                <w:szCs w:val="20"/>
                <w:color w:val="auto"/>
              </w:rPr>
            </w:pPr>
            <w:r>
              <w:rPr>
                <w:rFonts w:ascii="Arial" w:cs="Arial" w:eastAsia="Arial" w:hAnsi="Arial"/>
                <w:sz w:val="15"/>
                <w:szCs w:val="15"/>
                <w:color w:val="auto"/>
              </w:rPr>
              <w:t>(ii)</w:t>
            </w:r>
          </w:p>
        </w:tc>
        <w:tc>
          <w:tcPr>
            <w:tcW w:w="8020" w:type="dxa"/>
            <w:vAlign w:val="bottom"/>
            <w:gridSpan w:val="6"/>
          </w:tcPr>
          <w:p>
            <w:pPr>
              <w:jc w:val="right"/>
              <w:spacing w:after="0"/>
              <w:rPr>
                <w:sz w:val="20"/>
                <w:szCs w:val="20"/>
                <w:color w:val="auto"/>
              </w:rPr>
            </w:pPr>
            <w:r>
              <w:rPr>
                <w:rFonts w:ascii="Arial" w:cs="Arial" w:eastAsia="Arial" w:hAnsi="Arial"/>
                <w:sz w:val="15"/>
                <w:szCs w:val="15"/>
                <w:color w:val="auto"/>
                <w:w w:val="92"/>
              </w:rPr>
              <w:t>Equity Issuance. Upon the sale or issuance by the Borrower or any of its Subsidiaries (other than a Financing Subsidiary) of any of</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spacing w:after="0" w:line="249" w:lineRule="auto"/>
        <w:rPr>
          <w:sz w:val="20"/>
          <w:szCs w:val="20"/>
          <w:color w:val="auto"/>
        </w:rPr>
      </w:pPr>
      <w:r>
        <w:rPr>
          <w:rFonts w:ascii="Arial" w:cs="Arial" w:eastAsia="Arial" w:hAnsi="Arial"/>
          <w:sz w:val="15"/>
          <w:szCs w:val="15"/>
          <w:color w:val="auto"/>
        </w:rPr>
        <w:t xml:space="preserve">its Equity Interests (other than any sales or issuances of Equity Interests to the Borrower or any Subsidiary Guarantor), the Borrower shall prepay an aggregate principal amount of such Loans owed to such Lender or Lenders equal to 75% of all Net Cash Proceeds received therefrom no later than the fifth Business Day following the receipt of such Net Cash Proceeds (such prepayments to be applied as set forth in </w:t>
      </w:r>
      <w:r>
        <w:rPr>
          <w:rFonts w:ascii="Arial" w:cs="Arial" w:eastAsia="Arial" w:hAnsi="Arial"/>
          <w:sz w:val="15"/>
          <w:szCs w:val="15"/>
          <w:u w:val="single" w:color="auto"/>
          <w:color w:val="auto"/>
        </w:rPr>
        <w:t>Section 2.09(b)</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79" w:name="page180"/>
    <w:bookmarkEnd w:id="179"/>
    <w:p>
      <w:pPr>
        <w:jc w:val="both"/>
        <w:ind w:left="864" w:firstLine="802"/>
        <w:spacing w:after="0" w:line="245" w:lineRule="auto"/>
        <w:rPr>
          <w:sz w:val="20"/>
          <w:szCs w:val="20"/>
          <w:color w:val="auto"/>
        </w:rPr>
      </w:pPr>
      <w:r>
        <w:rPr>
          <w:rFonts w:ascii="Arial" w:cs="Arial" w:eastAsia="Arial" w:hAnsi="Arial"/>
          <w:sz w:val="15"/>
          <w:szCs w:val="15"/>
          <w:color w:val="auto"/>
        </w:rPr>
        <w:t xml:space="preserve">(iii) </w:t>
      </w:r>
      <w:r>
        <w:rPr>
          <w:rFonts w:ascii="Arial" w:cs="Arial" w:eastAsia="Arial" w:hAnsi="Arial"/>
          <w:sz w:val="15"/>
          <w:szCs w:val="15"/>
          <w:u w:val="single" w:color="auto"/>
          <w:color w:val="auto"/>
        </w:rPr>
        <w:t>Indebtedness</w:t>
      </w:r>
      <w:r>
        <w:rPr>
          <w:rFonts w:ascii="Arial" w:cs="Arial" w:eastAsia="Arial" w:hAnsi="Arial"/>
          <w:sz w:val="15"/>
          <w:szCs w:val="15"/>
          <w:color w:val="auto"/>
        </w:rPr>
        <w:t xml:space="preserve">. Upon the incurrence or issuance by the Borrower or any of its Subsidiaries (other than a Financing Subsidiary) of any Indebtedness (other than the making of any Loans or issuance of any Letters of Credit hereunder),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5"/>
          <w:szCs w:val="15"/>
          <w:u w:val="single" w:color="auto"/>
          <w:color w:val="auto"/>
        </w:rPr>
        <w:t>Section 2.09(b)</w:t>
      </w:r>
      <w:r>
        <w:rPr>
          <w:rFonts w:ascii="Arial" w:cs="Arial" w:eastAsia="Arial" w:hAnsi="Arial"/>
          <w:sz w:val="15"/>
          <w:szCs w:val="15"/>
          <w:color w:val="auto"/>
        </w:rPr>
        <w:t>).</w:t>
      </w:r>
    </w:p>
    <w:p>
      <w:pPr>
        <w:spacing w:after="0" w:line="128" w:lineRule="exact"/>
        <w:rPr>
          <w:sz w:val="20"/>
          <w:szCs w:val="20"/>
          <w:color w:val="auto"/>
        </w:rPr>
      </w:pPr>
    </w:p>
    <w:p>
      <w:pPr>
        <w:jc w:val="both"/>
        <w:ind w:left="864" w:firstLine="802"/>
        <w:spacing w:after="0" w:line="243" w:lineRule="auto"/>
        <w:rPr>
          <w:sz w:val="20"/>
          <w:szCs w:val="20"/>
          <w:color w:val="auto"/>
        </w:rPr>
      </w:pPr>
      <w:r>
        <w:rPr>
          <w:rFonts w:ascii="Arial" w:cs="Arial" w:eastAsia="Arial" w:hAnsi="Arial"/>
          <w:sz w:val="15"/>
          <w:szCs w:val="15"/>
          <w:color w:val="auto"/>
        </w:rPr>
        <w:t xml:space="preserve">(iv) </w:t>
      </w:r>
      <w:r>
        <w:rPr>
          <w:rFonts w:ascii="Arial" w:cs="Arial" w:eastAsia="Arial" w:hAnsi="Arial"/>
          <w:sz w:val="15"/>
          <w:szCs w:val="15"/>
          <w:u w:val="single" w:color="auto"/>
          <w:color w:val="auto"/>
        </w:rPr>
        <w:t>Extraordinary Receipt</w:t>
      </w:r>
      <w:r>
        <w:rPr>
          <w:rFonts w:ascii="Arial" w:cs="Arial" w:eastAsia="Arial" w:hAnsi="Arial"/>
          <w:sz w:val="15"/>
          <w:szCs w:val="15"/>
          <w:color w:val="auto"/>
        </w:rPr>
        <w:t xml:space="preserve">. Upon any Extraordinary Receipt (which, when taken with all other Extraordinary Receipts received after the applicable Commitment Termination Date, exceeds $5,000,000 in the aggregate) received by or paid to or for the account of the Borrower or any of its Subsidiaries (other than a Financing Subsidiary), and not otherwise included in </w:t>
      </w:r>
      <w:r>
        <w:rPr>
          <w:rFonts w:ascii="Arial" w:cs="Arial" w:eastAsia="Arial" w:hAnsi="Arial"/>
          <w:sz w:val="15"/>
          <w:szCs w:val="15"/>
          <w:u w:val="single" w:color="auto"/>
          <w:color w:val="auto"/>
        </w:rPr>
        <w:t>clauses (i)</w:t>
      </w:r>
      <w:r>
        <w:rPr>
          <w:rFonts w:ascii="Arial" w:cs="Arial" w:eastAsia="Arial" w:hAnsi="Arial"/>
          <w:sz w:val="15"/>
          <w:szCs w:val="15"/>
          <w:color w:val="auto"/>
        </w:rPr>
        <w:t xml:space="preserve">,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2.10(d)</w:t>
      </w:r>
      <w:r>
        <w:rPr>
          <w:rFonts w:ascii="Arial" w:cs="Arial" w:eastAsia="Arial" w:hAnsi="Arial"/>
          <w:sz w:val="15"/>
          <w:szCs w:val="15"/>
          <w:color w:val="auto"/>
        </w:rPr>
        <w:t xml:space="preserve">, the Borrower shall prepay an aggregate principal amount of such Loans owed to such Lender or Lenders equal to 100% of all Net Cash Proceeds received therefrom no later than the fifth Business Day following the receipt of such Net Cash Proceeds (such prepayments to be applied as set forth in </w:t>
      </w:r>
      <w:r>
        <w:rPr>
          <w:rFonts w:ascii="Arial" w:cs="Arial" w:eastAsia="Arial" w:hAnsi="Arial"/>
          <w:sz w:val="15"/>
          <w:szCs w:val="15"/>
          <w:u w:val="single" w:color="auto"/>
          <w:color w:val="auto"/>
        </w:rPr>
        <w:t>Section 2.09(b)</w:t>
      </w:r>
      <w:r>
        <w:rPr>
          <w:rFonts w:ascii="Arial" w:cs="Arial" w:eastAsia="Arial" w:hAnsi="Arial"/>
          <w:sz w:val="15"/>
          <w:szCs w:val="15"/>
          <w:color w:val="auto"/>
        </w:rPr>
        <w:t>).</w:t>
      </w:r>
    </w:p>
    <w:p>
      <w:pPr>
        <w:spacing w:after="0" w:line="129" w:lineRule="exact"/>
        <w:rPr>
          <w:sz w:val="20"/>
          <w:szCs w:val="20"/>
          <w:color w:val="auto"/>
        </w:rPr>
      </w:pPr>
    </w:p>
    <w:p>
      <w:pPr>
        <w:jc w:val="both"/>
        <w:ind w:left="864" w:right="20" w:firstLine="802"/>
        <w:spacing w:after="0" w:line="245" w:lineRule="auto"/>
        <w:rPr>
          <w:sz w:val="20"/>
          <w:szCs w:val="20"/>
          <w:color w:val="auto"/>
        </w:rPr>
      </w:pPr>
      <w:r>
        <w:rPr>
          <w:rFonts w:ascii="Arial" w:cs="Arial" w:eastAsia="Arial" w:hAnsi="Arial"/>
          <w:sz w:val="15"/>
          <w:szCs w:val="15"/>
          <w:color w:val="auto"/>
        </w:rPr>
        <w:t xml:space="preserve">(v) </w:t>
      </w:r>
      <w:r>
        <w:rPr>
          <w:rFonts w:ascii="Arial" w:cs="Arial" w:eastAsia="Arial" w:hAnsi="Arial"/>
          <w:sz w:val="15"/>
          <w:szCs w:val="15"/>
          <w:u w:val="single" w:color="auto"/>
          <w:color w:val="auto"/>
        </w:rPr>
        <w:t>Return of Capital</w:t>
      </w:r>
      <w:r>
        <w:rPr>
          <w:rFonts w:ascii="Arial" w:cs="Arial" w:eastAsia="Arial" w:hAnsi="Arial"/>
          <w:sz w:val="15"/>
          <w:szCs w:val="15"/>
          <w:color w:val="auto"/>
        </w:rPr>
        <w:t xml:space="preserve">. If any Obligor shall receive any Return of Capital (other than from any Financing Subsidiary), the Borrower shall prepay an aggregate principal amount of such Loans owed to such Lender or Lenders equal to 90% of such Return of Capital (excluding amounts payable by the Borrower pursuant to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no later than the fifth Business Day following the receipt of such Return of Capital (such prepayments to be applied as set forth in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2.09(b)</w:t>
      </w:r>
      <w:r>
        <w:rPr>
          <w:rFonts w:ascii="Arial" w:cs="Arial" w:eastAsia="Arial" w:hAnsi="Arial"/>
          <w:sz w:val="15"/>
          <w:szCs w:val="15"/>
          <w:color w:val="auto"/>
        </w:rPr>
        <w:t>).</w:t>
      </w:r>
    </w:p>
    <w:p>
      <w:pPr>
        <w:spacing w:after="0" w:line="128" w:lineRule="exact"/>
        <w:rPr>
          <w:sz w:val="20"/>
          <w:szCs w:val="20"/>
          <w:color w:val="auto"/>
        </w:rPr>
      </w:pPr>
    </w:p>
    <w:p>
      <w:pPr>
        <w:ind w:left="864"/>
        <w:spacing w:after="0"/>
        <w:rPr>
          <w:sz w:val="20"/>
          <w:szCs w:val="20"/>
          <w:color w:val="auto"/>
        </w:rPr>
      </w:pPr>
      <w:r>
        <w:rPr>
          <w:rFonts w:ascii="Arial" w:cs="Arial" w:eastAsia="Arial" w:hAnsi="Arial"/>
          <w:sz w:val="13"/>
          <w:szCs w:val="13"/>
          <w:color w:val="auto"/>
        </w:rPr>
        <w:t xml:space="preserve">Notwithstanding the foregoing, (I) Net Cash Proceeds and Return of Capital required to be applied to the prepayment of the Loans pursuant to this </w:t>
      </w:r>
      <w:r>
        <w:rPr>
          <w:rFonts w:ascii="Arial" w:cs="Arial" w:eastAsia="Arial" w:hAnsi="Arial"/>
          <w:sz w:val="13"/>
          <w:szCs w:val="13"/>
          <w:u w:val="single" w:color="auto"/>
          <w:color w:val="auto"/>
        </w:rPr>
        <w:t>Section 2.10(d)</w:t>
      </w:r>
      <w:r>
        <w:rPr>
          <w:rFonts w:ascii="Arial" w:cs="Arial" w:eastAsia="Arial" w:hAnsi="Arial"/>
          <w:sz w:val="13"/>
          <w:szCs w:val="13"/>
          <w:color w:val="auto"/>
        </w:rPr>
        <w:t xml:space="preserve"> shall (A)</w:t>
      </w:r>
    </w:p>
    <w:p>
      <w:pPr>
        <w:spacing w:after="0" w:line="33" w:lineRule="exact"/>
        <w:rPr>
          <w:sz w:val="20"/>
          <w:szCs w:val="20"/>
          <w:color w:val="auto"/>
        </w:rPr>
      </w:pPr>
    </w:p>
    <w:p>
      <w:pPr>
        <w:jc w:val="both"/>
        <w:ind w:left="4" w:hanging="4"/>
        <w:spacing w:after="0" w:line="256" w:lineRule="auto"/>
        <w:tabs>
          <w:tab w:leader="none" w:pos="202" w:val="left"/>
        </w:tabs>
        <w:numPr>
          <w:ilvl w:val="0"/>
          <w:numId w:val="94"/>
        </w:numPr>
        <w:rPr>
          <w:rFonts w:ascii="Arial" w:cs="Arial" w:eastAsia="Arial" w:hAnsi="Arial"/>
          <w:sz w:val="14"/>
          <w:szCs w:val="14"/>
          <w:color w:val="auto"/>
        </w:rPr>
      </w:pPr>
      <w:r>
        <w:rPr>
          <w:rFonts w:ascii="Arial" w:cs="Arial" w:eastAsia="Arial" w:hAnsi="Arial"/>
          <w:sz w:val="14"/>
          <w:szCs w:val="14"/>
          <w:color w:val="auto"/>
        </w:rPr>
        <w:t xml:space="preserve">from the period commencing on any Non-Extended Commitment Termination Date and ending on the Extended Commitment Termination Date, be applied ratably among the Non-Extending Lenders for which any Non-Extended Commitment Termination Date shall have occurred and (II) from the Extended Commitment Termination Date to the Extended Final Maturity Date, be applied in accordance with the Guarantee and Security Agreement and (B) exclude the amount necessary for the Borrower to make all required distributions (which shall be no less than the amount estimated in good faith by Borrower under </w:t>
      </w:r>
      <w:r>
        <w:rPr>
          <w:rFonts w:ascii="Arial" w:cs="Arial" w:eastAsia="Arial" w:hAnsi="Arial"/>
          <w:sz w:val="14"/>
          <w:szCs w:val="14"/>
          <w:u w:val="single" w:color="auto"/>
          <w:color w:val="auto"/>
        </w:rPr>
        <w:t>Section 6.05(b)</w:t>
      </w:r>
      <w:r>
        <w:rPr>
          <w:rFonts w:ascii="Arial" w:cs="Arial" w:eastAsia="Arial" w:hAnsi="Arial"/>
          <w:sz w:val="14"/>
          <w:szCs w:val="14"/>
          <w:color w:val="auto"/>
        </w:rPr>
        <w:t xml:space="preserve"> herein) to maintain the status of a RIC under the Code and a “business development company” under the Investment Company Act for so long as the Borrower retains such status and (II) if the Loans to be prepaid pursuant to this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are Eurocurrency Loans or Term SOFR Loans, the Borrower may defer such prepayment until the last day of the Interest Period applicable to such Loans owed to such Lender or Lenders, so long as the Borrower deposits an amount equal to such Net Cash Proceeds, no later than the fifth Business Day following the receipt of such Net Cash Proceeds, into a segregated collateral account in the name and under the dominion and control of the Administrative Agent, pending application of such amount to the prepayment of the Loans on the last day of such Interest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the Administrative Agent may direct the application of such deposits as set forth in </w:t>
      </w:r>
      <w:r>
        <w:rPr>
          <w:rFonts w:ascii="Arial" w:cs="Arial" w:eastAsia="Arial" w:hAnsi="Arial"/>
          <w:sz w:val="14"/>
          <w:szCs w:val="14"/>
          <w:u w:val="single" w:color="auto"/>
          <w:color w:val="auto"/>
        </w:rPr>
        <w:t>Section 2.09(b)</w:t>
      </w:r>
      <w:r>
        <w:rPr>
          <w:rFonts w:ascii="Arial" w:cs="Arial" w:eastAsia="Arial" w:hAnsi="Arial"/>
          <w:sz w:val="14"/>
          <w:szCs w:val="14"/>
          <w:color w:val="auto"/>
        </w:rPr>
        <w:t xml:space="preserve"> at any time and if the Administrative Agent does so, no amounts will be payable by the Borrower pursuant to </w:t>
      </w:r>
      <w:r>
        <w:rPr>
          <w:rFonts w:ascii="Arial" w:cs="Arial" w:eastAsia="Arial" w:hAnsi="Arial"/>
          <w:sz w:val="14"/>
          <w:szCs w:val="14"/>
          <w:u w:val="single" w:color="auto"/>
          <w:color w:val="auto"/>
        </w:rPr>
        <w:t>Section 2.15</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219075</wp:posOffset>
            </wp:positionV>
            <wp:extent cx="7211060"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80" w:name="page181"/>
    <w:bookmarkEnd w:id="180"/>
    <w:p>
      <w:pPr>
        <w:jc w:val="both"/>
        <w:ind w:firstLine="1737"/>
        <w:spacing w:after="0" w:line="256"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Notices, Etc</w:t>
      </w:r>
      <w:r>
        <w:rPr>
          <w:rFonts w:ascii="Arial" w:cs="Arial" w:eastAsia="Arial" w:hAnsi="Arial"/>
          <w:sz w:val="14"/>
          <w:szCs w:val="14"/>
          <w:color w:val="auto"/>
        </w:rPr>
        <w:t xml:space="preserve">. The Borrower shall notify the Administrative Agent (and, in the case of prepayment of a Swingline Loan made by a Swingline Lender, such Swingline Lender) by telephone (confirmed by telecopy) of any prepayment hereunder (i) in the case of prepayment of a Term SOFR Borrowing (other than in the case of a prepayment pursuant to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not later than 11:00 a.m., New York City time, three Business Days before the date of prepayment, (ii) in the case of prepayment of a Eurocurrency Borrowing denominated in a Foreign Currency (other than in the case of a prepayment pursuant to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not later than 11:00 a.m., London time, four Business Days before the date of prepayment, (iii) in the case of prepayment of a RFR Borrowing denominated in Sterling or Swiss Francs (other than in the case of a prepayment pursuant to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not later than 11:00 a.m., London time, four Business Days before the date of prepayment, (iv) in the case of prepayment of a Syndicated ABR Borrowing (other than in the case of a prepayment pursuant to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not later than 11:00 a.m., New York City time on the date of prepayment, (v) in the case of prepayment of a Swingline Loan, not later than 11:00 a.m., New York City time, on the date of prepayment, and (vi) in the case of any prepayment pursuant to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not later than 1:00 p.m., New York City time, on the date of prepayment. Each such notice shall be irrevocable and shall specify the prepayment date, the principal amount of each Borrowing or portion thereof to be prepaid and, in the case of a mandatory prepayment, a reasonably detailed calculation of the amount of such prepayment;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(i) a notice of prepayment is given in connection with a conditional notice of termination of the Commitments of a Class as contemplated by </w:t>
      </w:r>
      <w:r>
        <w:rPr>
          <w:rFonts w:ascii="Arial" w:cs="Arial" w:eastAsia="Arial" w:hAnsi="Arial"/>
          <w:sz w:val="14"/>
          <w:szCs w:val="14"/>
          <w:u w:val="single" w:color="auto"/>
          <w:color w:val="auto"/>
        </w:rPr>
        <w:t>Section 2.08</w:t>
      </w:r>
      <w:r>
        <w:rPr>
          <w:rFonts w:ascii="Arial" w:cs="Arial" w:eastAsia="Arial" w:hAnsi="Arial"/>
          <w:sz w:val="14"/>
          <w:szCs w:val="14"/>
          <w:color w:val="auto"/>
        </w:rPr>
        <w:t xml:space="preserve">, then such notice of prepayment may be revoked if such notice of termination is revoked in accordance with </w:t>
      </w:r>
      <w:r>
        <w:rPr>
          <w:rFonts w:ascii="Arial" w:cs="Arial" w:eastAsia="Arial" w:hAnsi="Arial"/>
          <w:sz w:val="14"/>
          <w:szCs w:val="14"/>
          <w:u w:val="single" w:color="auto"/>
          <w:color w:val="auto"/>
        </w:rPr>
        <w:t>Section 2.08</w:t>
      </w:r>
      <w:r>
        <w:rPr>
          <w:rFonts w:ascii="Arial" w:cs="Arial" w:eastAsia="Arial" w:hAnsi="Arial"/>
          <w:sz w:val="14"/>
          <w:szCs w:val="14"/>
          <w:color w:val="auto"/>
        </w:rPr>
        <w:t xml:space="preserve"> and (ii) any notice given in connection with </w:t>
      </w:r>
      <w:r>
        <w:rPr>
          <w:rFonts w:ascii="Arial" w:cs="Arial" w:eastAsia="Arial" w:hAnsi="Arial"/>
          <w:sz w:val="14"/>
          <w:szCs w:val="14"/>
          <w:u w:val="single" w:color="auto"/>
          <w:color w:val="auto"/>
        </w:rPr>
        <w:t>Section 2.10(d)</w:t>
      </w:r>
      <w:r>
        <w:rPr>
          <w:rFonts w:ascii="Arial" w:cs="Arial" w:eastAsia="Arial" w:hAnsi="Arial"/>
          <w:sz w:val="14"/>
          <w:szCs w:val="14"/>
          <w:color w:val="auto"/>
        </w:rPr>
        <w:t xml:space="preserve"> may be conditioned on the consummation of the applicable transaction contemplated by such Section and the receipt by the Borrower or any such Subsidiary (other than a Financing Subsidiary) of Net Cash Proceeds. Promptly following receipt of any such notice relating to a Syndicated Borrowing, the Administrative Agent shall advise the affected Lenders of the contents thereof. Each partial prepayment of any Borrowing shall be in an amount that would be permitted in the case of a Borrowing of the same Type as provided in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or in the case of a Swingline Loan, as provided in </w:t>
      </w:r>
      <w:r>
        <w:rPr>
          <w:rFonts w:ascii="Arial" w:cs="Arial" w:eastAsia="Arial" w:hAnsi="Arial"/>
          <w:sz w:val="14"/>
          <w:szCs w:val="14"/>
          <w:u w:val="single" w:color="auto"/>
          <w:color w:val="auto"/>
        </w:rPr>
        <w:t>Section 2.04</w:t>
      </w:r>
      <w:r>
        <w:rPr>
          <w:rFonts w:ascii="Arial" w:cs="Arial" w:eastAsia="Arial" w:hAnsi="Arial"/>
          <w:sz w:val="14"/>
          <w:szCs w:val="14"/>
          <w:color w:val="auto"/>
        </w:rPr>
        <w:t xml:space="preserve">, except as necessary to apply fully the required amount of a mandatory prepayment. Each prepayment of a Syndicated Borrowing of a Class of Commitments or Final Maturity Date shall be applied ratably to the Loans held by the Lenders of such Class included in the prepaid Borrowing. Prepayments shall be accompanied by accrued interest to the extent required by </w:t>
      </w:r>
      <w:r>
        <w:rPr>
          <w:rFonts w:ascii="Arial" w:cs="Arial" w:eastAsia="Arial" w:hAnsi="Arial"/>
          <w:sz w:val="14"/>
          <w:szCs w:val="14"/>
          <w:u w:val="single" w:color="auto"/>
          <w:color w:val="auto"/>
        </w:rPr>
        <w:t>Section 2.12</w:t>
      </w:r>
      <w:r>
        <w:rPr>
          <w:rFonts w:ascii="Arial" w:cs="Arial" w:eastAsia="Arial" w:hAnsi="Arial"/>
          <w:sz w:val="14"/>
          <w:szCs w:val="14"/>
          <w:color w:val="auto"/>
        </w:rPr>
        <w:t xml:space="preserve"> and shall be made in the manner specified in </w:t>
      </w:r>
      <w:r>
        <w:rPr>
          <w:rFonts w:ascii="Arial" w:cs="Arial" w:eastAsia="Arial" w:hAnsi="Arial"/>
          <w:sz w:val="14"/>
          <w:szCs w:val="14"/>
          <w:u w:val="single" w:color="auto"/>
          <w:color w:val="auto"/>
        </w:rPr>
        <w:t>Section 2.09(b)</w:t>
      </w:r>
      <w:r>
        <w:rPr>
          <w:rFonts w:ascii="Arial" w:cs="Arial" w:eastAsia="Arial" w:hAnsi="Arial"/>
          <w:sz w:val="14"/>
          <w:szCs w:val="14"/>
          <w:color w:val="auto"/>
        </w:rPr>
        <w:t xml:space="preserve"> unless such prepayment is made in connection with the reduction of Commitments in accordance with </w:t>
      </w:r>
      <w:r>
        <w:rPr>
          <w:rFonts w:ascii="Arial" w:cs="Arial" w:eastAsia="Arial" w:hAnsi="Arial"/>
          <w:sz w:val="14"/>
          <w:szCs w:val="14"/>
          <w:u w:val="single" w:color="auto"/>
          <w:color w:val="auto"/>
        </w:rPr>
        <w:t>Section 2.08(b)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(f)</w:t>
      </w:r>
      <w:r>
        <w:rPr>
          <w:rFonts w:ascii="Arial" w:cs="Arial" w:eastAsia="Arial" w:hAnsi="Arial"/>
          <w:sz w:val="14"/>
          <w:szCs w:val="14"/>
          <w:color w:val="auto"/>
        </w:rPr>
        <w:t xml:space="preserve"> in which case such prepayment shall be applied in accordance with </w:t>
      </w:r>
      <w:r>
        <w:rPr>
          <w:rFonts w:ascii="Arial" w:cs="Arial" w:eastAsia="Arial" w:hAnsi="Arial"/>
          <w:sz w:val="14"/>
          <w:szCs w:val="14"/>
          <w:u w:val="single" w:color="auto"/>
          <w:color w:val="auto"/>
        </w:rPr>
        <w:t>Section 2.08(d)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(f)</w:t>
      </w:r>
      <w:r>
        <w:rPr>
          <w:rFonts w:ascii="Arial" w:cs="Arial" w:eastAsia="Arial" w:hAnsi="Arial"/>
          <w:sz w:val="14"/>
          <w:szCs w:val="14"/>
          <w:color w:val="auto"/>
        </w:rPr>
        <w:t>, as applicable.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2.11.</w:t>
            </w: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5"/>
                <w:szCs w:val="15"/>
                <w:color w:val="auto"/>
              </w:rPr>
              <w:t>Fees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14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4"/>
              </w:rPr>
              <w:t>Commitment Fee. The Borrower agrees to pay to the Administrative Agent for account of each Lender a commitment fee, which</w:t>
            </w:r>
          </w:p>
        </w:tc>
      </w:tr>
      <w:tr>
        <w:trPr>
          <w:trHeight w:val="20"/>
        </w:trPr>
        <w:tc>
          <w:tcPr>
            <w:tcW w:w="3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shall accrue at a rate per annum equal to 0.375% on the average daily unused amount of the Dollar Commitment and Multicurrency Commitment, as applicable, of such Lender during the period from and including the date hereof to but excluding the earlier of the date such commitment terminates and such Lender’s Commitment Termination Date. Accrued commitment fees shall be payable within one Business Day after each Quarterly Date and on the earlier of the date the Commitments of the respective Class terminate and the Commitment Termination Date of such Class, commencing on the first such date to occur after the date hereof. All commitment fees shall be computed on the basis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212090</wp:posOffset>
            </wp:positionV>
            <wp:extent cx="721106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81" w:name="page182"/>
    <w:bookmarkEnd w:id="181"/>
    <w:p>
      <w:pPr>
        <w:jc w:val="both"/>
        <w:ind w:left="4" w:right="20"/>
        <w:spacing w:after="0" w:line="306" w:lineRule="auto"/>
        <w:rPr>
          <w:sz w:val="20"/>
          <w:szCs w:val="20"/>
          <w:color w:val="auto"/>
        </w:rPr>
      </w:pPr>
      <w:r>
        <w:rPr>
          <w:rFonts w:ascii="Arial" w:cs="Arial" w:eastAsia="Arial" w:hAnsi="Arial"/>
          <w:sz w:val="13"/>
          <w:szCs w:val="13"/>
          <w:color w:val="auto"/>
        </w:rPr>
        <w:t>year of 360 days and shall be payable for the actual number of days elapsed (including the first day but excluding the last day). For purposes of computing commitment fees, (i) the daily unused amount of the applicable Commitment shall be determined as of the end of each day and (ii) the Commitment of any Class of a Lender shall be deemed to be used to the extent of the outstanding Syndicated Loans and LC Exposure of such Class of such Lender (and the Swingline Exposure of such Class of such Lender shall be disregarded for such purpose).</w:t>
      </w:r>
    </w:p>
    <w:p>
      <w:pPr>
        <w:spacing w:after="0" w:line="90" w:lineRule="exact"/>
        <w:rPr>
          <w:sz w:val="20"/>
          <w:szCs w:val="20"/>
          <w:color w:val="auto"/>
        </w:rPr>
      </w:pPr>
    </w:p>
    <w:p>
      <w:pPr>
        <w:jc w:val="both"/>
        <w:ind w:left="4" w:firstLine="1737"/>
        <w:spacing w:after="0" w:line="275" w:lineRule="auto"/>
        <w:rPr>
          <w:sz w:val="20"/>
          <w:szCs w:val="20"/>
          <w:color w:val="auto"/>
        </w:rPr>
      </w:pPr>
      <w:r>
        <w:rPr>
          <w:rFonts w:ascii="Arial" w:cs="Arial" w:eastAsia="Arial" w:hAnsi="Arial"/>
          <w:sz w:val="13"/>
          <w:szCs w:val="13"/>
          <w:color w:val="auto"/>
        </w:rPr>
        <w:t xml:space="preserve">(b) </w:t>
      </w:r>
      <w:r>
        <w:rPr>
          <w:rFonts w:ascii="Arial" w:cs="Arial" w:eastAsia="Arial" w:hAnsi="Arial"/>
          <w:sz w:val="13"/>
          <w:szCs w:val="13"/>
          <w:u w:val="single" w:color="auto"/>
          <w:color w:val="auto"/>
        </w:rPr>
        <w:t>Letter of Credit Fees</w:t>
      </w:r>
      <w:r>
        <w:rPr>
          <w:rFonts w:ascii="Arial" w:cs="Arial" w:eastAsia="Arial" w:hAnsi="Arial"/>
          <w:sz w:val="13"/>
          <w:szCs w:val="13"/>
          <w:color w:val="auto"/>
        </w:rPr>
        <w:t xml:space="preserve">. The Borrower agrees to pay (i) to the Administrative Agent for account of each Lender a participation fee with respect to its participations in Letters of Credit of each Class of Commitments, which shall accrue at a rate per annum equal to, in the case of any Extending Lender, the Extended Applicable Margin and, in the case of any Non-Extending Lender, the Non-Extended Applicable Margin, in each case, applicable to interest on Eurocurrency Loans on the average daily amount of such Lender’s LC Exposure of such Class (excluding any portion thereof attributable to unreimbursed LC Disbursements) during the period from and including the Effective Date to but excluding the later of the date on which such Lender’s Commitment of such Class terminates and the date on which such Lender ceases to have any LC Exposure of such Class, and (ii) to each Issuing Bank a fronting fee, which shall accrue at the rate of 0.25% per annum on the average daily amount of such Issuing Bank’s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each Issuing Bank’s standard fees with respect to the issuance, amendment, renewal or extension of any Letter of Credit or processing of drawings thereunder. Participation fees and fronting fees accrued through and including each Quarterly Date shall be payable on the third Business Day following such Quarterly Date, commencing on the first such date to occur after the Effective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all such fees with respect to the Letters of Credit shall be payable</w:t>
      </w:r>
    </w:p>
    <w:p>
      <w:pPr>
        <w:spacing w:after="0" w:line="1" w:lineRule="exact"/>
        <w:rPr>
          <w:sz w:val="20"/>
          <w:szCs w:val="20"/>
          <w:color w:val="auto"/>
        </w:rPr>
      </w:pPr>
    </w:p>
    <w:p>
      <w:pPr>
        <w:jc w:val="both"/>
        <w:ind w:left="4" w:hanging="4"/>
        <w:spacing w:after="0" w:line="279" w:lineRule="auto"/>
        <w:tabs>
          <w:tab w:leader="none" w:pos="192" w:val="left"/>
        </w:tabs>
        <w:numPr>
          <w:ilvl w:val="0"/>
          <w:numId w:val="95"/>
        </w:numPr>
        <w:rPr>
          <w:rFonts w:ascii="Arial" w:cs="Arial" w:eastAsia="Arial" w:hAnsi="Arial"/>
          <w:sz w:val="13"/>
          <w:szCs w:val="13"/>
          <w:color w:val="auto"/>
        </w:rPr>
      </w:pPr>
      <w:r>
        <w:rPr>
          <w:rFonts w:ascii="Arial" w:cs="Arial" w:eastAsia="Arial" w:hAnsi="Arial"/>
          <w:sz w:val="13"/>
          <w:szCs w:val="13"/>
          <w:color w:val="auto"/>
        </w:rPr>
        <w:t>with respect to the Issuing Bank, on the Termination Date and (ii) with respect to any Lender, on the earlier to occur of such Lender’s Final Maturity Date and the Termination Date and the Borrower shall pay any such fees that have accrued and that are unpaid on such date and, in the event any Letters of Credit shall be outstanding that have expiration dates after the Termination Date, the Borrower shall prepay on the Termination Date the full amount of the participation and fronting fees that will accrue on such Letters of Credit subsequent to the Termination Date through but not including the date such outstanding Letters of Credit are scheduled to expire (and, in that connection, the Lenders agree not later than the date two Business Days after the date upon which the last such Letter of Credit shall expire or be terminated to rebate to the Borrower the excess, if any, of the aggregate participation and fronting fees that have been prepaid by the Borrower over the sum of the amount of such fees that ultimately accrue through the date of such expiration or termination and the aggregate amount of all other unpaid obligations hereunder at such time).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10" w:lineRule="exact"/>
        <w:rPr>
          <w:sz w:val="20"/>
          <w:szCs w:val="20"/>
          <w:color w:val="auto"/>
        </w:rPr>
      </w:pPr>
    </w:p>
    <w:p>
      <w:pPr>
        <w:ind w:left="4" w:firstLine="1737"/>
        <w:spacing w:after="0" w:line="262"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Administrative Agent Fees</w:t>
      </w:r>
      <w:r>
        <w:rPr>
          <w:rFonts w:ascii="Arial" w:cs="Arial" w:eastAsia="Arial" w:hAnsi="Arial"/>
          <w:sz w:val="15"/>
          <w:szCs w:val="15"/>
          <w:color w:val="auto"/>
        </w:rPr>
        <w:t>. The Borrower agrees to pay to the Administrative Agent, for its own account, fees payable in the amounts and at the times separately agreed upon between the Borrower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82" w:name="page183"/>
    <w:bookmarkEnd w:id="182"/>
    <w:p>
      <w:pPr>
        <w:jc w:val="both"/>
        <w:ind w:right="20" w:firstLine="1737"/>
        <w:spacing w:after="0" w:line="245"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Payment of Fees</w:t>
      </w:r>
      <w:r>
        <w:rPr>
          <w:rFonts w:ascii="Arial" w:cs="Arial" w:eastAsia="Arial" w:hAnsi="Arial"/>
          <w:sz w:val="15"/>
          <w:szCs w:val="15"/>
          <w:color w:val="auto"/>
        </w:rPr>
        <w:t>. All fees payable hereunder shall be paid on the dates due, in Dollars (or, at the election of the Borrower with respect to any fees payable to an Issuing Bank on account of Letters of Credit issued by such Issuing Bank in any Foreign Currency, in such Foreign Currency) and immediately available funds, to the Administrative Agent (or to the applicable Issuing Bank, in the case of fees payable to it) for distribution, in the case of commitment fees and participation fees, to the Lenders entitled thereto. Fees paid shall not be refundable under any circumstances absent obvious error.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2.12.</w:t>
            </w:r>
          </w:p>
        </w:tc>
        <w:tc>
          <w:tcPr>
            <w:tcW w:w="740" w:type="dxa"/>
            <w:vAlign w:val="bottom"/>
          </w:tcPr>
          <w:p>
            <w:pPr>
              <w:spacing w:after="0"/>
              <w:rPr>
                <w:sz w:val="14"/>
                <w:szCs w:val="14"/>
                <w:color w:val="auto"/>
              </w:rPr>
            </w:pPr>
          </w:p>
        </w:tc>
        <w:tc>
          <w:tcPr>
            <w:tcW w:w="7300" w:type="dxa"/>
            <w:vAlign w:val="bottom"/>
            <w:gridSpan w:val="3"/>
          </w:tcPr>
          <w:p>
            <w:pPr>
              <w:ind w:left="860"/>
              <w:spacing w:after="0"/>
              <w:rPr>
                <w:sz w:val="20"/>
                <w:szCs w:val="20"/>
                <w:color w:val="auto"/>
              </w:rPr>
            </w:pPr>
            <w:r>
              <w:rPr>
                <w:rFonts w:ascii="Arial" w:cs="Arial" w:eastAsia="Arial" w:hAnsi="Arial"/>
                <w:sz w:val="15"/>
                <w:szCs w:val="15"/>
                <w:color w:val="auto"/>
              </w:rPr>
              <w:t>Interest</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4"/>
          </w:tcPr>
          <w:p>
            <w:pPr>
              <w:spacing w:after="0"/>
              <w:rPr>
                <w:sz w:val="20"/>
                <w:szCs w:val="20"/>
                <w:color w:val="auto"/>
              </w:rPr>
            </w:pPr>
            <w:r>
              <w:rPr>
                <w:rFonts w:ascii="Arial" w:cs="Arial" w:eastAsia="Arial" w:hAnsi="Arial"/>
                <w:sz w:val="15"/>
                <w:szCs w:val="15"/>
                <w:color w:val="auto"/>
                <w:w w:val="98"/>
              </w:rPr>
              <w:t>ABR Loans.  The Loans constituting each ABR Borrowing (including each Swingline Loan) that are made by the Extending</w:t>
            </w:r>
          </w:p>
        </w:tc>
      </w:tr>
      <w:tr>
        <w:trPr>
          <w:trHeight w:val="20"/>
        </w:trPr>
        <w:tc>
          <w:tcPr>
            <w:tcW w:w="3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Lenders shall bear interest on each day at a rate per annum equal to the Alternate Base Rate for such day plus the Extended Applicable Margin.  The Loans constituting each ABR</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144"/>
        </w:trPr>
        <w:tc>
          <w:tcPr>
            <w:tcW w:w="2760" w:type="dxa"/>
            <w:vAlign w:val="bottom"/>
            <w:gridSpan w:val="3"/>
          </w:tcPr>
          <w:p>
            <w:pPr>
              <w:spacing w:after="0" w:line="144" w:lineRule="exact"/>
              <w:rPr>
                <w:sz w:val="20"/>
                <w:szCs w:val="20"/>
                <w:color w:val="auto"/>
              </w:rPr>
            </w:pPr>
            <w:r>
              <w:rPr>
                <w:rFonts w:ascii="Arial" w:cs="Arial" w:eastAsia="Arial" w:hAnsi="Arial"/>
                <w:sz w:val="15"/>
                <w:szCs w:val="15"/>
                <w:color w:val="auto"/>
                <w:w w:val="96"/>
              </w:rPr>
              <w:t>Borrowing (including each Swingline Loan)</w:t>
            </w:r>
          </w:p>
        </w:tc>
        <w:tc>
          <w:tcPr>
            <w:tcW w:w="8540" w:type="dxa"/>
            <w:vAlign w:val="bottom"/>
            <w:gridSpan w:val="5"/>
          </w:tcPr>
          <w:p>
            <w:pPr>
              <w:jc w:val="right"/>
              <w:spacing w:after="0" w:line="144" w:lineRule="exact"/>
              <w:rPr>
                <w:sz w:val="20"/>
                <w:szCs w:val="20"/>
                <w:color w:val="auto"/>
              </w:rPr>
            </w:pPr>
            <w:r>
              <w:rPr>
                <w:rFonts w:ascii="Arial" w:cs="Arial" w:eastAsia="Arial" w:hAnsi="Arial"/>
                <w:sz w:val="15"/>
                <w:szCs w:val="15"/>
                <w:color w:val="auto"/>
                <w:w w:val="92"/>
              </w:rPr>
              <w:t>that are made by the Non-Extending Lenders shall bear interest on each day at a rate per annum equal to the Alternate Base Rate for such</w:t>
            </w:r>
          </w:p>
        </w:tc>
      </w:tr>
      <w:tr>
        <w:trPr>
          <w:trHeight w:val="156"/>
        </w:trPr>
        <w:tc>
          <w:tcPr>
            <w:tcW w:w="11300" w:type="dxa"/>
            <w:vAlign w:val="bottom"/>
            <w:gridSpan w:val="8"/>
          </w:tcPr>
          <w:p>
            <w:pPr>
              <w:spacing w:after="0" w:line="156" w:lineRule="exact"/>
              <w:rPr>
                <w:sz w:val="20"/>
                <w:szCs w:val="20"/>
                <w:color w:val="auto"/>
              </w:rPr>
            </w:pPr>
            <w:r>
              <w:rPr>
                <w:rFonts w:ascii="Arial" w:cs="Arial" w:eastAsia="Arial" w:hAnsi="Arial"/>
                <w:sz w:val="15"/>
                <w:szCs w:val="15"/>
                <w:color w:val="auto"/>
              </w:rPr>
              <w:t>day plus the Non-Extended Applicable Margin.</w:t>
            </w:r>
          </w:p>
        </w:tc>
      </w:tr>
      <w:tr>
        <w:trPr>
          <w:trHeight w:val="301"/>
        </w:trPr>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60" w:type="dxa"/>
            <w:vAlign w:val="bottom"/>
          </w:tcPr>
          <w:p>
            <w:pPr>
              <w:ind w:left="1240"/>
              <w:spacing w:after="0"/>
              <w:rPr>
                <w:sz w:val="20"/>
                <w:szCs w:val="20"/>
                <w:color w:val="auto"/>
              </w:rPr>
            </w:pPr>
            <w:r>
              <w:rPr>
                <w:rFonts w:ascii="Arial" w:cs="Arial" w:eastAsia="Arial" w:hAnsi="Arial"/>
                <w:sz w:val="15"/>
                <w:szCs w:val="15"/>
                <w:color w:val="auto"/>
              </w:rPr>
              <w:t>(b)</w:t>
            </w:r>
          </w:p>
        </w:tc>
        <w:tc>
          <w:tcPr>
            <w:tcW w:w="520" w:type="dxa"/>
            <w:vAlign w:val="bottom"/>
          </w:tcPr>
          <w:p>
            <w:pPr>
              <w:spacing w:after="0"/>
              <w:rPr>
                <w:sz w:val="24"/>
                <w:szCs w:val="24"/>
                <w:color w:val="auto"/>
              </w:rPr>
            </w:pPr>
          </w:p>
        </w:tc>
        <w:tc>
          <w:tcPr>
            <w:tcW w:w="8020" w:type="dxa"/>
            <w:vAlign w:val="bottom"/>
            <w:gridSpan w:val="4"/>
          </w:tcPr>
          <w:p>
            <w:pPr>
              <w:jc w:val="right"/>
              <w:ind w:right="20"/>
              <w:spacing w:after="0"/>
              <w:rPr>
                <w:sz w:val="20"/>
                <w:szCs w:val="20"/>
                <w:color w:val="auto"/>
              </w:rPr>
            </w:pPr>
            <w:r>
              <w:rPr>
                <w:rFonts w:ascii="Arial" w:cs="Arial" w:eastAsia="Arial" w:hAnsi="Arial"/>
                <w:sz w:val="15"/>
                <w:szCs w:val="15"/>
                <w:color w:val="auto"/>
                <w:w w:val="95"/>
              </w:rPr>
              <w:t>Eurocurrency Loans.  The Loans constituting each Eurocurrency Borrowing that are made by the Extending Lenders shall bear</w:t>
            </w:r>
          </w:p>
        </w:tc>
      </w:tr>
      <w:tr>
        <w:trPr>
          <w:trHeight w:val="20"/>
        </w:trPr>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49" w:lineRule="auto"/>
        <w:rPr>
          <w:sz w:val="20"/>
          <w:szCs w:val="20"/>
          <w:color w:val="auto"/>
        </w:rPr>
      </w:pPr>
      <w:r>
        <w:rPr>
          <w:rFonts w:ascii="Arial" w:cs="Arial" w:eastAsia="Arial" w:hAnsi="Arial"/>
          <w:sz w:val="15"/>
          <w:szCs w:val="15"/>
          <w:color w:val="auto"/>
        </w:rPr>
        <w:t xml:space="preserve">interest on each day at a rate per annum equal to the Eurocurrency Rate for the related Interest Period for such Borrowing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Extended Applicable Margin. The Loans constituting each Eurocurrency Borrowing that are made by the Non-Extending Lenders shall bear interest on each day at a rate per annum equal to the Eurocurrency Rate for the related Interest Period for such Borrowing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Non-Extended Applicable Margin.</w:t>
      </w:r>
    </w:p>
    <w:p>
      <w:pPr>
        <w:spacing w:after="0" w:line="125"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Daily Simple RFR Loans</w:t>
      </w:r>
      <w:r>
        <w:rPr>
          <w:rFonts w:ascii="Arial" w:cs="Arial" w:eastAsia="Arial" w:hAnsi="Arial"/>
          <w:sz w:val="14"/>
          <w:szCs w:val="14"/>
          <w:color w:val="auto"/>
        </w:rPr>
        <w:t xml:space="preserve">. The Loans constituting each Daily Simple RFR Borrowing that are made by the Extending Lenders shall bear interest on each day at a rate per annum equal to the Daily Simple RFR for such day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Extended Lender Applicable Margin. The Loans constituting each RFR Borrowing that are made by the Non-Extending Lenders shall bear interest at a rate per annum equal to the Daily Simple RFR for such day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the Non-Extended Lender Applicable Margin.</w:t>
      </w:r>
    </w:p>
    <w:p>
      <w:pPr>
        <w:spacing w:after="0" w:line="108"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Term SOFR Loans</w:t>
      </w:r>
      <w:r>
        <w:rPr>
          <w:rFonts w:ascii="Arial" w:cs="Arial" w:eastAsia="Arial" w:hAnsi="Arial"/>
          <w:sz w:val="15"/>
          <w:szCs w:val="15"/>
          <w:color w:val="auto"/>
        </w:rPr>
        <w:t xml:space="preserve">. The Loans constituting each Borrowing of Term SOFR Loans that are made by the Extending Lenders shall bear interest on each day at a rate per annum equal to Term SOFR for the related Interest Period for such Borrowing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Extended Lender Applicable Margin. The Loans constituting each Borrowing of Term SOFR Loans that are made by the Non-Extending Lenders shall bear interest on each day at a rate per annum equal to Term SOFR for the related Interest Period for such Borrowing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Non-Extended Lender Applicable Margin.</w:t>
      </w:r>
    </w:p>
    <w:p>
      <w:pPr>
        <w:spacing w:after="0" w:line="128"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Default Interest</w:t>
      </w:r>
      <w:r>
        <w:rPr>
          <w:rFonts w:ascii="Arial" w:cs="Arial" w:eastAsia="Arial" w:hAnsi="Arial"/>
          <w:sz w:val="15"/>
          <w:szCs w:val="15"/>
          <w:color w:val="auto"/>
        </w:rPr>
        <w:t xml:space="preserve">. Notwithstanding the foregoing, if any Event of Default has occurred and is continuing and the Required Lenders have elected to increase pricing, the interest rates applicable to Loans and any fee or other amount payable by the Borrower hereunder shall bear interest, after as well as before judgment, at a rate per annum equal to (i) in the case of principal of any Loan, 2%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rate otherwise applicable to such Loan as provided above, (ii) in the case of any Letter of Credit, 2%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fee otherwise applicable to such Letter of Credit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221615</wp:posOffset>
            </wp:positionV>
            <wp:extent cx="721106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83" w:name="page184"/>
    <w:bookmarkEnd w:id="183"/>
    <w:p>
      <w:pPr>
        <w:spacing w:after="0"/>
        <w:rPr>
          <w:sz w:val="20"/>
          <w:szCs w:val="20"/>
          <w:color w:val="auto"/>
        </w:rPr>
      </w:pPr>
      <w:r>
        <w:rPr>
          <w:rFonts w:ascii="Arial" w:cs="Arial" w:eastAsia="Arial" w:hAnsi="Arial"/>
          <w:sz w:val="15"/>
          <w:szCs w:val="15"/>
          <w:color w:val="auto"/>
        </w:rPr>
        <w:t xml:space="preserve">provided in </w:t>
      </w:r>
      <w:r>
        <w:rPr>
          <w:rFonts w:ascii="Arial" w:cs="Arial" w:eastAsia="Arial" w:hAnsi="Arial"/>
          <w:sz w:val="15"/>
          <w:szCs w:val="15"/>
          <w:u w:val="single" w:color="auto"/>
          <w:color w:val="auto"/>
        </w:rPr>
        <w:t>Section 2.11(b)(i)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in the case of any fee or other amount, 2%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rate applicable to ABR Loans as provided in </w:t>
      </w:r>
      <w:r>
        <w:rPr>
          <w:rFonts w:ascii="Arial" w:cs="Arial" w:eastAsia="Arial" w:hAnsi="Arial"/>
          <w:sz w:val="15"/>
          <w:szCs w:val="15"/>
          <w:u w:val="single" w:color="auto"/>
          <w:color w:val="auto"/>
        </w:rPr>
        <w:t>paragraph (a)</w:t>
      </w:r>
      <w:r>
        <w:rPr>
          <w:rFonts w:ascii="Arial" w:cs="Arial" w:eastAsia="Arial" w:hAnsi="Arial"/>
          <w:sz w:val="15"/>
          <w:szCs w:val="15"/>
          <w:color w:val="auto"/>
        </w:rPr>
        <w:t xml:space="preserve"> of this Section.</w:t>
      </w:r>
    </w:p>
    <w:p>
      <w:pPr>
        <w:spacing w:after="0" w:line="149"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Payment of Interest</w:t>
      </w:r>
      <w:r>
        <w:rPr>
          <w:rFonts w:ascii="Arial" w:cs="Arial" w:eastAsia="Arial" w:hAnsi="Arial"/>
          <w:sz w:val="15"/>
          <w:szCs w:val="15"/>
          <w:color w:val="auto"/>
        </w:rPr>
        <w:t xml:space="preserve">. Accrued interest on each Loan shall be payable in arrears on each Interest Payment Date for such Loan in the Currency in which such Loan is denominated and, in the case of Syndicated Loans, with respect to any Lender, upon the earlier of such Lender’s Final Maturity Date and the Termination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interest accrued pursuant to </w:t>
      </w:r>
      <w:r>
        <w:rPr>
          <w:rFonts w:ascii="Arial" w:cs="Arial" w:eastAsia="Arial" w:hAnsi="Arial"/>
          <w:sz w:val="15"/>
          <w:szCs w:val="15"/>
          <w:u w:val="single" w:color="auto"/>
          <w:color w:val="auto"/>
        </w:rPr>
        <w:t>paragraph (e)</w:t>
      </w:r>
      <w:r>
        <w:rPr>
          <w:rFonts w:ascii="Arial" w:cs="Arial" w:eastAsia="Arial" w:hAnsi="Arial"/>
          <w:sz w:val="15"/>
          <w:szCs w:val="15"/>
          <w:color w:val="auto"/>
        </w:rPr>
        <w:t xml:space="preserve"> of this Section shall be payable on demand, (ii) in the event of any repayment or prepayment of any Loan (other than a prepayment of a Syndicated ABR Loan prior to such Lender’s Final Maturity Date), accrued interest on the principal amount repaid or prepaid shall be payable on the date of such repayment or prepayment and (iii) in the event of any conversion of any RFR Borrowing denominated in Dollars prior to the end of the Interest Period therefor, accrued interest on such Borrowing shall be payable on the effective date of such conversion.</w:t>
      </w:r>
    </w:p>
    <w:p>
      <w:pPr>
        <w:spacing w:after="0" w:line="133" w:lineRule="exact"/>
        <w:rPr>
          <w:sz w:val="20"/>
          <w:szCs w:val="20"/>
          <w:color w:val="auto"/>
        </w:rPr>
      </w:pPr>
    </w:p>
    <w:p>
      <w:pPr>
        <w:jc w:val="both"/>
        <w:ind w:right="20" w:firstLine="1737"/>
        <w:spacing w:after="0" w:line="243" w:lineRule="auto"/>
        <w:rPr>
          <w:sz w:val="20"/>
          <w:szCs w:val="20"/>
          <w:color w:val="auto"/>
        </w:rPr>
      </w:pPr>
      <w:r>
        <w:rPr>
          <w:rFonts w:ascii="Arial" w:cs="Arial" w:eastAsia="Arial" w:hAnsi="Arial"/>
          <w:sz w:val="15"/>
          <w:szCs w:val="15"/>
          <w:color w:val="auto"/>
        </w:rPr>
        <w:t xml:space="preserve">(g) </w:t>
      </w:r>
      <w:r>
        <w:rPr>
          <w:rFonts w:ascii="Arial" w:cs="Arial" w:eastAsia="Arial" w:hAnsi="Arial"/>
          <w:sz w:val="15"/>
          <w:szCs w:val="15"/>
          <w:u w:val="single" w:color="auto"/>
          <w:color w:val="auto"/>
        </w:rPr>
        <w:t>Computation</w:t>
      </w:r>
      <w:r>
        <w:rPr>
          <w:rFonts w:ascii="Arial" w:cs="Arial" w:eastAsia="Arial" w:hAnsi="Arial"/>
          <w:sz w:val="15"/>
          <w:szCs w:val="15"/>
          <w:color w:val="auto"/>
        </w:rPr>
        <w:t>. All interest hereunder shall be computed on the basis of a year of 360 days, except that interest computed (i) by reference to the Alternate Base Rate at times when the Alternate Base Rate is based on the Prime Rate and (ii) on Multicurrency Loans denominated in Sterling or Canadian Dollars shall be computed on the basis of a year of 365 days (or 366 days in a leap year), and in each case shall be payable for the actual number of days elapsed (including the first day but excluding the last day). The applicable Alternate Base Rate, Daily Simple RFR, Term SOFR or Eurocurrency Rate shall be determined by the Administrative Agent and such determination shall be conclusive absent manifest error.</w:t>
      </w:r>
    </w:p>
    <w:p>
      <w:pPr>
        <w:spacing w:after="0" w:line="129"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 xml:space="preserve">(h) </w:t>
      </w:r>
      <w:r>
        <w:rPr>
          <w:rFonts w:ascii="Arial" w:cs="Arial" w:eastAsia="Arial" w:hAnsi="Arial"/>
          <w:sz w:val="15"/>
          <w:szCs w:val="15"/>
          <w:u w:val="single" w:color="auto"/>
          <w:color w:val="auto"/>
        </w:rPr>
        <w:t>Conforming Changes</w:t>
      </w:r>
      <w:r>
        <w:rPr>
          <w:rFonts w:ascii="Arial" w:cs="Arial" w:eastAsia="Arial" w:hAnsi="Arial"/>
          <w:sz w:val="15"/>
          <w:szCs w:val="15"/>
          <w:color w:val="auto"/>
        </w:rPr>
        <w:t>. In connection with the use of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ind w:left="1740"/>
              <w:spacing w:after="0"/>
              <w:rPr>
                <w:sz w:val="20"/>
                <w:szCs w:val="20"/>
                <w:color w:val="auto"/>
              </w:rPr>
            </w:pPr>
            <w:r>
              <w:rPr>
                <w:rFonts w:ascii="Arial" w:cs="Arial" w:eastAsia="Arial" w:hAnsi="Arial"/>
                <w:sz w:val="15"/>
                <w:szCs w:val="15"/>
                <w:color w:val="auto"/>
              </w:rPr>
              <w:t>SECTION 2.13.</w:t>
            </w:r>
          </w:p>
        </w:tc>
        <w:tc>
          <w:tcPr>
            <w:tcW w:w="320" w:type="dxa"/>
            <w:vAlign w:val="bottom"/>
          </w:tcPr>
          <w:p>
            <w:pPr>
              <w:spacing w:after="0"/>
              <w:rPr>
                <w:sz w:val="14"/>
                <w:szCs w:val="14"/>
                <w:color w:val="auto"/>
              </w:rPr>
            </w:pPr>
          </w:p>
        </w:tc>
        <w:tc>
          <w:tcPr>
            <w:tcW w:w="8020" w:type="dxa"/>
            <w:vAlign w:val="bottom"/>
            <w:gridSpan w:val="6"/>
          </w:tcPr>
          <w:p>
            <w:pPr>
              <w:jc w:val="right"/>
              <w:ind w:right="2140"/>
              <w:spacing w:after="0"/>
              <w:rPr>
                <w:sz w:val="20"/>
                <w:szCs w:val="20"/>
                <w:color w:val="auto"/>
              </w:rPr>
            </w:pPr>
            <w:r>
              <w:rPr>
                <w:rFonts w:ascii="Arial" w:cs="Arial" w:eastAsia="Arial" w:hAnsi="Arial"/>
                <w:sz w:val="15"/>
                <w:szCs w:val="15"/>
                <w:color w:val="auto"/>
              </w:rPr>
              <w:t>Inability to Determine Interest Rates; Benchmark Replacement Setting</w:t>
            </w:r>
          </w:p>
        </w:tc>
      </w:tr>
      <w:tr>
        <w:trPr>
          <w:trHeight w:val="336"/>
        </w:trPr>
        <w:tc>
          <w:tcPr>
            <w:tcW w:w="2940" w:type="dxa"/>
            <w:vAlign w:val="bottom"/>
          </w:tcPr>
          <w:p>
            <w:pPr>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7"/>
        </w:trPr>
        <w:tc>
          <w:tcPr>
            <w:tcW w:w="2940" w:type="dxa"/>
            <w:vAlign w:val="bottom"/>
          </w:tcPr>
          <w:p>
            <w:pPr>
              <w:ind w:left="1740"/>
              <w:spacing w:after="0"/>
              <w:rPr>
                <w:sz w:val="20"/>
                <w:szCs w:val="20"/>
                <w:color w:val="auto"/>
              </w:rPr>
            </w:pPr>
            <w:r>
              <w:rPr>
                <w:rFonts w:ascii="Arial" w:cs="Arial" w:eastAsia="Arial" w:hAnsi="Arial"/>
                <w:sz w:val="15"/>
                <w:szCs w:val="15"/>
                <w:color w:val="auto"/>
              </w:rPr>
              <w:t>(a)</w:t>
            </w:r>
          </w:p>
        </w:tc>
        <w:tc>
          <w:tcPr>
            <w:tcW w:w="320" w:type="dxa"/>
            <w:vAlign w:val="bottom"/>
          </w:tcPr>
          <w:p>
            <w:pPr>
              <w:spacing w:after="0"/>
              <w:rPr>
                <w:sz w:val="24"/>
                <w:szCs w:val="24"/>
                <w:color w:val="auto"/>
              </w:rPr>
            </w:pPr>
          </w:p>
        </w:tc>
        <w:tc>
          <w:tcPr>
            <w:tcW w:w="8020" w:type="dxa"/>
            <w:vAlign w:val="bottom"/>
            <w:gridSpan w:val="6"/>
          </w:tcPr>
          <w:p>
            <w:pPr>
              <w:jc w:val="right"/>
              <w:spacing w:after="0"/>
              <w:rPr>
                <w:sz w:val="20"/>
                <w:szCs w:val="20"/>
                <w:color w:val="auto"/>
              </w:rPr>
            </w:pPr>
            <w:r>
              <w:rPr>
                <w:rFonts w:ascii="Arial" w:cs="Arial" w:eastAsia="Arial" w:hAnsi="Arial"/>
                <w:sz w:val="15"/>
                <w:szCs w:val="15"/>
                <w:color w:val="auto"/>
                <w:w w:val="95"/>
              </w:rPr>
              <w:t>Inability to Determine Interest Rates.  If, prior to the commencement of any Interest Period for any Eurocurrency Borrowing of a</w:t>
            </w:r>
          </w:p>
        </w:tc>
      </w:tr>
      <w:tr>
        <w:trPr>
          <w:trHeight w:val="20"/>
        </w:trPr>
        <w:tc>
          <w:tcPr>
            <w:tcW w:w="3260" w:type="dxa"/>
            <w:vAlign w:val="bottom"/>
            <w:gridSpan w:val="2"/>
          </w:tcPr>
          <w:p>
            <w:pPr>
              <w:spacing w:after="0" w:line="20" w:lineRule="exact"/>
              <w:rPr>
                <w:sz w:val="1"/>
                <w:szCs w:val="1"/>
                <w:color w:val="auto"/>
              </w:rPr>
            </w:pPr>
          </w:p>
        </w:tc>
        <w:tc>
          <w:tcPr>
            <w:tcW w:w="2240" w:type="dxa"/>
            <w:vAlign w:val="bottom"/>
            <w:gridSpan w:val="2"/>
            <w:shd w:val="clear" w:color="auto" w:fill="000000"/>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50"/>
        </w:trPr>
        <w:tc>
          <w:tcPr>
            <w:tcW w:w="11280" w:type="dxa"/>
            <w:vAlign w:val="bottom"/>
            <w:gridSpan w:val="8"/>
          </w:tcPr>
          <w:p>
            <w:pPr>
              <w:spacing w:after="0" w:line="150" w:lineRule="exact"/>
              <w:rPr>
                <w:sz w:val="20"/>
                <w:szCs w:val="20"/>
                <w:color w:val="auto"/>
              </w:rPr>
            </w:pPr>
            <w:r>
              <w:rPr>
                <w:rFonts w:ascii="Arial" w:cs="Arial" w:eastAsia="Arial" w:hAnsi="Arial"/>
                <w:sz w:val="15"/>
                <w:szCs w:val="15"/>
                <w:color w:val="auto"/>
                <w:w w:val="99"/>
              </w:rPr>
              <w:t>Class or any Term SOFR Borrowing of a Class or (ii) at any time for a Daily Simple RFR Borrowing (the Currency of such Borrowing herein called the “Affected Currency”):</w:t>
            </w:r>
          </w:p>
        </w:tc>
      </w:tr>
      <w:tr>
        <w:trPr>
          <w:trHeight w:val="20"/>
        </w:trPr>
        <w:tc>
          <w:tcPr>
            <w:tcW w:w="2940" w:type="dxa"/>
            <w:vAlign w:val="bottom"/>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27"/>
        </w:trPr>
        <w:tc>
          <w:tcPr>
            <w:tcW w:w="2940" w:type="dxa"/>
            <w:vAlign w:val="bottom"/>
          </w:tcPr>
          <w:p>
            <w:pPr>
              <w:ind w:left="1660"/>
              <w:spacing w:after="0"/>
              <w:rPr>
                <w:sz w:val="20"/>
                <w:szCs w:val="20"/>
                <w:color w:val="auto"/>
              </w:rPr>
            </w:pPr>
            <w:r>
              <w:rPr>
                <w:rFonts w:ascii="Arial" w:cs="Arial" w:eastAsia="Arial" w:hAnsi="Arial"/>
                <w:sz w:val="15"/>
                <w:szCs w:val="15"/>
                <w:color w:val="auto"/>
              </w:rPr>
              <w:t>(i)</w:t>
            </w:r>
          </w:p>
        </w:tc>
        <w:tc>
          <w:tcPr>
            <w:tcW w:w="8340" w:type="dxa"/>
            <w:vAlign w:val="bottom"/>
            <w:gridSpan w:val="7"/>
          </w:tcPr>
          <w:p>
            <w:pPr>
              <w:jc w:val="right"/>
              <w:spacing w:after="0"/>
              <w:rPr>
                <w:sz w:val="20"/>
                <w:szCs w:val="20"/>
                <w:color w:val="auto"/>
              </w:rPr>
            </w:pPr>
            <w:r>
              <w:rPr>
                <w:rFonts w:ascii="Arial" w:cs="Arial" w:eastAsia="Arial" w:hAnsi="Arial"/>
                <w:sz w:val="15"/>
                <w:szCs w:val="15"/>
                <w:color w:val="auto"/>
                <w:w w:val="99"/>
              </w:rPr>
              <w:t>(A) in the case of a Eurocurrency Borrowing or Term SOFR Borrowing, the Administrative Agent shall have determined (which</w:t>
            </w:r>
          </w:p>
        </w:tc>
      </w:tr>
    </w:tbl>
    <w:p>
      <w:pPr>
        <w:jc w:val="both"/>
        <w:ind w:left="860"/>
        <w:spacing w:after="0" w:line="266" w:lineRule="auto"/>
        <w:rPr>
          <w:sz w:val="20"/>
          <w:szCs w:val="20"/>
          <w:color w:val="auto"/>
        </w:rPr>
      </w:pPr>
      <w:r>
        <w:rPr>
          <w:rFonts w:ascii="Arial" w:cs="Arial" w:eastAsia="Arial" w:hAnsi="Arial"/>
          <w:sz w:val="14"/>
          <w:szCs w:val="14"/>
          <w:color w:val="auto"/>
        </w:rPr>
        <w:t>determination shall be conclusive absent manifest error) that adequate and reasonable means do not exist for ascertaining the Eurocurrency Rate or Term SOFR for the Affected Currency or (B) in the case of a Daily Simple RFR Borrowing, the Administrative Agent shall have determined (which determination shall be conclusive absent manifest error) that adequate and reasonable means do not exist for ascertaining the Daily Simple RFR for the Affected Currency;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84" w:name="page185"/>
    <w:bookmarkEnd w:id="184"/>
    <w:p>
      <w:pPr>
        <w:jc w:val="both"/>
        <w:ind w:left="860" w:right="40" w:firstLine="802"/>
        <w:spacing w:after="0" w:line="264" w:lineRule="auto"/>
        <w:rPr>
          <w:sz w:val="20"/>
          <w:szCs w:val="20"/>
          <w:color w:val="auto"/>
        </w:rPr>
      </w:pPr>
      <w:r>
        <w:rPr>
          <w:rFonts w:ascii="Arial" w:cs="Arial" w:eastAsia="Arial" w:hAnsi="Arial"/>
          <w:sz w:val="14"/>
          <w:szCs w:val="14"/>
          <w:color w:val="auto"/>
        </w:rPr>
        <w:t>(ii) (A) in the case of a Eurocurrency Borrowing or Term SOFR Borrowing, the Administrative Agent shall have received notice from the Required Lenders of such Class of Commitments that the Eurocurrency Rate or Term SOFR for the Affected Currency for such Interest Period will not adequately and fairly reflect the cost to such Lenders of making or maintaining their respective Loans included in such Borrowing for such Interest Period or (B) in the case of a Daily Simple RFR Borrowing, the Administrative Agent shall have received notice from the Required Multicurrency Lenders that the Daily Simple RFR for the Affected Currency will not adequately and fairly reflect the cost to such Lenders of making or maintaining the Loans included in such Daily Simple RFR Borrowing;</w:t>
      </w:r>
    </w:p>
    <w:p>
      <w:pPr>
        <w:spacing w:after="0" w:line="117"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 xml:space="preserve">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any Interest Election Request that requests the conversion of any Syndicated Borrowing to, or the continuation of any Syndicated Borrowing as, a Eurocurrency Borrowing or Term SOFR Borrowing denominated in the Affected Currency shall be ineffective and, if the Affected Currency is Dollars, such Syndicated Borrowing (unless prepaid) shall be continued as, or converted to, a Syndicated ABR Borrowing, (ii) if the Affected Currency is Dollars and any Borrowing Request requests a RFR Borrowing denominated in Dollars, such Borrowing shall be made as a Syndicated ABR Borrowing and (iii) if the Affected Currency is a Foreign Currency, (A) any Borrowing Request that requests a Eurocurrency Borrowing or RFR Borrowing denominated in the Affected Currency shall be ineffective, and (B) any outstanding Eurocurrency Borrowing or RFR Borrowing in the Affected Currency, at the Borrower’s election, shall either (1) be converted into a Syndicated ABR Borrowing denominated in Dollars (in an amount equal to the Dollar Equivalent of such Affected Currency) immediately in the case of a RFR Borrowing or, in the case of a Eurocurrency Borrowing, at the end of the applicable Interest Period, or (2) be prepaid in full immediately in the case of a RFR Borrowing or, in the case of a Eurocurrency Borrowing, at the end of the applicable Interest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no election is made by the Borrower by the date that is three Business Days after receipt by the Borrower of such notice or, in the case of a Eurocurrency Borrowing, the last day of the current Interest Period for the applicable Eurocurrency Loan, if earlier, the Borrower shall be deemed to have elected </w:t>
      </w:r>
      <w:r>
        <w:rPr>
          <w:rFonts w:ascii="Arial" w:cs="Arial" w:eastAsia="Arial" w:hAnsi="Arial"/>
          <w:sz w:val="14"/>
          <w:szCs w:val="14"/>
          <w:u w:val="single" w:color="auto"/>
          <w:color w:val="auto"/>
        </w:rPr>
        <w:t>clause (1)</w:t>
      </w:r>
      <w:r>
        <w:rPr>
          <w:rFonts w:ascii="Arial" w:cs="Arial" w:eastAsia="Arial" w:hAnsi="Arial"/>
          <w:sz w:val="14"/>
          <w:szCs w:val="14"/>
          <w:color w:val="auto"/>
        </w:rPr>
        <w:t xml:space="preserve"> above.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ind w:left="1740"/>
              <w:spacing w:after="0"/>
              <w:rPr>
                <w:sz w:val="20"/>
                <w:szCs w:val="20"/>
                <w:color w:val="auto"/>
              </w:rPr>
            </w:pPr>
            <w:r>
              <w:rPr>
                <w:rFonts w:ascii="Arial" w:cs="Arial" w:eastAsia="Arial" w:hAnsi="Arial"/>
                <w:sz w:val="15"/>
                <w:szCs w:val="15"/>
                <w:color w:val="auto"/>
              </w:rPr>
              <w:t>SECTION 2.14.</w:t>
            </w: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40" w:type="dxa"/>
            <w:vAlign w:val="bottom"/>
            <w:gridSpan w:val="3"/>
          </w:tcPr>
          <w:p>
            <w:pPr>
              <w:ind w:left="20"/>
              <w:spacing w:after="0"/>
              <w:rPr>
                <w:sz w:val="20"/>
                <w:szCs w:val="20"/>
                <w:color w:val="auto"/>
              </w:rPr>
            </w:pPr>
            <w:r>
              <w:rPr>
                <w:rFonts w:ascii="Arial" w:cs="Arial" w:eastAsia="Arial" w:hAnsi="Arial"/>
                <w:sz w:val="15"/>
                <w:szCs w:val="15"/>
                <w:color w:val="auto"/>
              </w:rPr>
              <w:t>Increased Costs</w:t>
            </w:r>
          </w:p>
        </w:tc>
      </w:tr>
      <w:tr>
        <w:trPr>
          <w:trHeight w:val="336"/>
        </w:trPr>
        <w:tc>
          <w:tcPr>
            <w:tcW w:w="2940" w:type="dxa"/>
            <w:vAlign w:val="bottom"/>
          </w:tcPr>
          <w:p>
            <w:pPr>
              <w:jc w:val="right"/>
              <w:ind w:right="2831"/>
              <w:spacing w:after="0"/>
              <w:rPr>
                <w:sz w:val="20"/>
                <w:szCs w:val="20"/>
                <w:color w:val="auto"/>
              </w:rPr>
            </w:pPr>
            <w:r>
              <w:rPr>
                <w:rFonts w:ascii="Arial" w:cs="Arial" w:eastAsia="Arial" w:hAnsi="Arial"/>
                <w:sz w:val="10"/>
                <w:szCs w:val="10"/>
                <w:color w:val="auto"/>
                <w:w w:val="70"/>
              </w:rPr>
              <w:t>.</w:t>
            </w: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460" w:type="dxa"/>
            <w:vAlign w:val="bottom"/>
          </w:tcPr>
          <w:p>
            <w:pPr>
              <w:spacing w:after="0"/>
              <w:rPr>
                <w:sz w:val="24"/>
                <w:szCs w:val="24"/>
                <w:color w:val="auto"/>
              </w:rPr>
            </w:pPr>
          </w:p>
        </w:tc>
      </w:tr>
      <w:tr>
        <w:trPr>
          <w:trHeight w:val="287"/>
        </w:trPr>
        <w:tc>
          <w:tcPr>
            <w:tcW w:w="2940" w:type="dxa"/>
            <w:vAlign w:val="bottom"/>
          </w:tcPr>
          <w:p>
            <w:pPr>
              <w:ind w:left="1740"/>
              <w:spacing w:after="0"/>
              <w:rPr>
                <w:sz w:val="20"/>
                <w:szCs w:val="20"/>
                <w:color w:val="auto"/>
              </w:rPr>
            </w:pPr>
            <w:r>
              <w:rPr>
                <w:rFonts w:ascii="Arial" w:cs="Arial" w:eastAsia="Arial" w:hAnsi="Arial"/>
                <w:sz w:val="15"/>
                <w:szCs w:val="15"/>
                <w:color w:val="auto"/>
              </w:rPr>
              <w:t>(a)</w:t>
            </w:r>
          </w:p>
        </w:tc>
        <w:tc>
          <w:tcPr>
            <w:tcW w:w="320" w:type="dxa"/>
            <w:vAlign w:val="bottom"/>
          </w:tcPr>
          <w:p>
            <w:pPr>
              <w:spacing w:after="0"/>
              <w:rPr>
                <w:sz w:val="24"/>
                <w:szCs w:val="24"/>
                <w:color w:val="auto"/>
              </w:rPr>
            </w:pPr>
          </w:p>
        </w:tc>
        <w:tc>
          <w:tcPr>
            <w:tcW w:w="8020" w:type="dxa"/>
            <w:vAlign w:val="bottom"/>
            <w:gridSpan w:val="4"/>
          </w:tcPr>
          <w:p>
            <w:pPr>
              <w:spacing w:after="0"/>
              <w:rPr>
                <w:sz w:val="20"/>
                <w:szCs w:val="20"/>
                <w:color w:val="auto"/>
              </w:rPr>
            </w:pPr>
            <w:r>
              <w:rPr>
                <w:rFonts w:ascii="Arial" w:cs="Arial" w:eastAsia="Arial" w:hAnsi="Arial"/>
                <w:sz w:val="15"/>
                <w:szCs w:val="15"/>
                <w:color w:val="auto"/>
              </w:rPr>
              <w:t>Increased Costs Generally. If any Change in Law shall:</w:t>
            </w:r>
          </w:p>
        </w:tc>
      </w:tr>
      <w:tr>
        <w:trPr>
          <w:trHeight w:val="20"/>
        </w:trPr>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r>
      <w:tr>
        <w:trPr>
          <w:trHeight w:val="327"/>
        </w:trPr>
        <w:tc>
          <w:tcPr>
            <w:tcW w:w="2940" w:type="dxa"/>
            <w:vAlign w:val="bottom"/>
          </w:tcPr>
          <w:p>
            <w:pPr>
              <w:ind w:left="1660"/>
              <w:spacing w:after="0"/>
              <w:rPr>
                <w:sz w:val="20"/>
                <w:szCs w:val="20"/>
                <w:color w:val="auto"/>
              </w:rPr>
            </w:pPr>
            <w:r>
              <w:rPr>
                <w:rFonts w:ascii="Arial" w:cs="Arial" w:eastAsia="Arial" w:hAnsi="Arial"/>
                <w:sz w:val="15"/>
                <w:szCs w:val="15"/>
                <w:color w:val="auto"/>
              </w:rPr>
              <w:t>(i)</w:t>
            </w:r>
          </w:p>
        </w:tc>
        <w:tc>
          <w:tcPr>
            <w:tcW w:w="8340" w:type="dxa"/>
            <w:vAlign w:val="bottom"/>
            <w:gridSpan w:val="5"/>
          </w:tcPr>
          <w:p>
            <w:pPr>
              <w:ind w:left="240"/>
              <w:spacing w:after="0"/>
              <w:rPr>
                <w:sz w:val="20"/>
                <w:szCs w:val="20"/>
                <w:color w:val="auto"/>
              </w:rPr>
            </w:pPr>
            <w:r>
              <w:rPr>
                <w:rFonts w:ascii="Arial" w:cs="Arial" w:eastAsia="Arial" w:hAnsi="Arial"/>
                <w:sz w:val="15"/>
                <w:szCs w:val="15"/>
                <w:color w:val="auto"/>
                <w:w w:val="93"/>
              </w:rPr>
              <w:t>impose, modify or deem applicable any reserve (including pursuant to regulations issued from time to time by the Federal Reserve</w:t>
            </w:r>
          </w:p>
        </w:tc>
      </w:tr>
    </w:tbl>
    <w:p>
      <w:pPr>
        <w:jc w:val="both"/>
        <w:ind w:left="860" w:right="40"/>
        <w:spacing w:after="0" w:line="241" w:lineRule="auto"/>
        <w:rPr>
          <w:sz w:val="20"/>
          <w:szCs w:val="20"/>
          <w:color w:val="auto"/>
        </w:rPr>
      </w:pPr>
      <w:r>
        <w:rPr>
          <w:rFonts w:ascii="Arial" w:cs="Arial" w:eastAsia="Arial" w:hAnsi="Arial"/>
          <w:sz w:val="15"/>
          <w:szCs w:val="15"/>
          <w:color w:val="auto"/>
        </w:rPr>
        <w:t>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account of, or credit extended by, any Lender or any Issuing Bank; or</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ind w:left="1660"/>
              <w:spacing w:after="0"/>
              <w:rPr>
                <w:sz w:val="20"/>
                <w:szCs w:val="20"/>
                <w:color w:val="auto"/>
              </w:rPr>
            </w:pPr>
            <w:r>
              <w:rPr>
                <w:rFonts w:ascii="Arial" w:cs="Arial" w:eastAsia="Arial" w:hAnsi="Arial"/>
                <w:sz w:val="15"/>
                <w:szCs w:val="15"/>
                <w:color w:val="auto"/>
              </w:rPr>
              <w:t>(ii)</w:t>
            </w:r>
          </w:p>
        </w:tc>
        <w:tc>
          <w:tcPr>
            <w:tcW w:w="8220" w:type="dxa"/>
            <w:vAlign w:val="bottom"/>
          </w:tcPr>
          <w:p>
            <w:pPr>
              <w:ind w:left="120"/>
              <w:spacing w:after="0"/>
              <w:rPr>
                <w:sz w:val="20"/>
                <w:szCs w:val="20"/>
                <w:color w:val="auto"/>
              </w:rPr>
            </w:pPr>
            <w:r>
              <w:rPr>
                <w:rFonts w:ascii="Arial" w:cs="Arial" w:eastAsia="Arial" w:hAnsi="Arial"/>
                <w:sz w:val="15"/>
                <w:szCs w:val="15"/>
                <w:color w:val="auto"/>
                <w:w w:val="96"/>
              </w:rPr>
              <w:t>impose on any Lender or any Issuing Bank any other condition, cost or expense (other than Taxes) affecting this Agreement or</w:t>
            </w:r>
          </w:p>
        </w:tc>
      </w:tr>
      <w:tr>
        <w:trPr>
          <w:trHeight w:val="191"/>
        </w:trPr>
        <w:tc>
          <w:tcPr>
            <w:tcW w:w="3100" w:type="dxa"/>
            <w:vAlign w:val="bottom"/>
          </w:tcPr>
          <w:p>
            <w:pPr>
              <w:ind w:left="860"/>
              <w:spacing w:after="0"/>
              <w:rPr>
                <w:sz w:val="20"/>
                <w:szCs w:val="20"/>
                <w:color w:val="auto"/>
              </w:rPr>
            </w:pPr>
            <w:r>
              <w:rPr>
                <w:rFonts w:ascii="Arial" w:cs="Arial" w:eastAsia="Arial" w:hAnsi="Arial"/>
                <w:sz w:val="15"/>
                <w:szCs w:val="15"/>
                <w:color w:val="auto"/>
                <w:w w:val="95"/>
              </w:rPr>
              <w:t>Eurocurrency Loans or RFR Loans</w:t>
            </w:r>
          </w:p>
        </w:tc>
        <w:tc>
          <w:tcPr>
            <w:tcW w:w="8220" w:type="dxa"/>
            <w:vAlign w:val="bottom"/>
          </w:tcPr>
          <w:p>
            <w:pPr>
              <w:spacing w:after="0"/>
              <w:rPr>
                <w:sz w:val="16"/>
                <w:szCs w:val="16"/>
                <w:color w:val="auto"/>
              </w:rPr>
            </w:pPr>
          </w:p>
        </w:tc>
      </w:tr>
      <w:tr>
        <w:trPr>
          <w:trHeight w:val="372"/>
        </w:trPr>
        <w:tc>
          <w:tcPr>
            <w:tcW w:w="310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96" w:right="279" w:bottom="1440" w:gutter="0" w:footer="0" w:header="0"/>
        </w:sectPr>
      </w:pPr>
    </w:p>
    <w:bookmarkStart w:id="185" w:name="page186"/>
    <w:bookmarkEnd w:id="185"/>
    <w:p>
      <w:pPr>
        <w:ind w:left="864"/>
        <w:spacing w:after="0"/>
        <w:rPr>
          <w:sz w:val="20"/>
          <w:szCs w:val="20"/>
          <w:color w:val="auto"/>
        </w:rPr>
      </w:pPr>
      <w:r>
        <w:rPr>
          <w:rFonts w:ascii="Arial" w:cs="Arial" w:eastAsia="Arial" w:hAnsi="Arial"/>
          <w:sz w:val="15"/>
          <w:szCs w:val="15"/>
          <w:color w:val="auto"/>
        </w:rPr>
        <w:t>made by such Lender or any Letter of Credit or participation in any such Loan or Letter of Credit;</w:t>
      </w:r>
    </w:p>
    <w:p>
      <w:pPr>
        <w:spacing w:after="0" w:line="149" w:lineRule="exact"/>
        <w:rPr>
          <w:sz w:val="20"/>
          <w:szCs w:val="20"/>
          <w:color w:val="auto"/>
        </w:rPr>
      </w:pPr>
    </w:p>
    <w:p>
      <w:pPr>
        <w:jc w:val="both"/>
        <w:ind w:left="4"/>
        <w:spacing w:after="0" w:line="243" w:lineRule="auto"/>
        <w:rPr>
          <w:sz w:val="20"/>
          <w:szCs w:val="20"/>
          <w:color w:val="auto"/>
        </w:rPr>
      </w:pPr>
      <w:r>
        <w:rPr>
          <w:rFonts w:ascii="Arial" w:cs="Arial" w:eastAsia="Arial" w:hAnsi="Arial"/>
          <w:sz w:val="15"/>
          <w:szCs w:val="15"/>
          <w:color w:val="auto"/>
        </w:rPr>
        <w:t>and the result of any of the foregoing shall be to increase the cost to such Lenders of making, converting to, continuing or maintaining any Eurocurrency Loan or RFR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then the Borrower will pay to such Lender or such Issuing Bank, as the case may be, in Dollars, such additional amount or amounts as will compensate such Lender or such Issuing Bank, as the case may be, for such additional costs incurred or reduction suffered.</w:t>
      </w:r>
    </w:p>
    <w:p>
      <w:pPr>
        <w:spacing w:after="0" w:line="129" w:lineRule="exact"/>
        <w:rPr>
          <w:sz w:val="20"/>
          <w:szCs w:val="20"/>
          <w:color w:val="auto"/>
        </w:rPr>
      </w:pPr>
    </w:p>
    <w:p>
      <w:pPr>
        <w:jc w:val="both"/>
        <w:ind w:left="4" w:firstLine="1737"/>
        <w:spacing w:after="0"/>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Capital and Liquidity Requirements</w:t>
      </w:r>
      <w:r>
        <w:rPr>
          <w:rFonts w:ascii="Arial" w:cs="Arial" w:eastAsia="Arial" w:hAnsi="Arial"/>
          <w:sz w:val="15"/>
          <w:szCs w:val="15"/>
          <w:color w:val="auto"/>
        </w:rPr>
        <w:t>. If any Lender or any Issuing Bank determines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Swingline Loans and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requirements), by an amount deemed to be material by such Lender or such Issuing Bank, then from time to time the Borrower will pay to such Lender or such Issuing Bank, as the case may be, in Dollars, such additional amount or amounts as will compensate such Lender or such Issuing Bank or such Lender’s or such Issuing Bank’s holding company for any such reduction suffered.</w:t>
      </w:r>
    </w:p>
    <w:p>
      <w:pPr>
        <w:spacing w:after="0" w:line="133" w:lineRule="exact"/>
        <w:rPr>
          <w:sz w:val="20"/>
          <w:szCs w:val="20"/>
          <w:color w:val="auto"/>
        </w:rPr>
      </w:pPr>
    </w:p>
    <w:p>
      <w:pPr>
        <w:jc w:val="both"/>
        <w:ind w:left="4" w:right="20" w:firstLine="1737"/>
        <w:spacing w:after="0" w:line="262"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Certificates from Lenders</w:t>
      </w:r>
      <w:r>
        <w:rPr>
          <w:rFonts w:ascii="Arial" w:cs="Arial" w:eastAsia="Arial" w:hAnsi="Arial"/>
          <w:sz w:val="14"/>
          <w:szCs w:val="14"/>
          <w:color w:val="auto"/>
        </w:rPr>
        <w:t xml:space="preserve">. A certificate of a Lender or an Issuing Bank setting forth in reasonable detail the basis for and the calculation of the amount or amounts, in Dollars, necessary to compensate such Lender or such Issuing Bank or its holding company, as the case may be, as specified in </w:t>
      </w:r>
      <w:r>
        <w:rPr>
          <w:rFonts w:ascii="Arial" w:cs="Arial" w:eastAsia="Arial" w:hAnsi="Arial"/>
          <w:sz w:val="14"/>
          <w:szCs w:val="14"/>
          <w:u w:val="single" w:color="auto"/>
          <w:color w:val="auto"/>
        </w:rPr>
        <w:t>paragraph (a)</w:t>
      </w:r>
      <w:r>
        <w:rPr>
          <w:rFonts w:ascii="Arial" w:cs="Arial" w:eastAsia="Arial" w:hAnsi="Arial"/>
          <w:sz w:val="14"/>
          <w:szCs w:val="14"/>
          <w:color w:val="auto"/>
        </w:rPr>
        <w:t xml:space="preserve"> or</w:t>
      </w:r>
    </w:p>
    <w:p>
      <w:pPr>
        <w:spacing w:after="0" w:line="1" w:lineRule="exact"/>
        <w:rPr>
          <w:sz w:val="20"/>
          <w:szCs w:val="20"/>
          <w:color w:val="auto"/>
        </w:rPr>
      </w:pPr>
    </w:p>
    <w:p>
      <w:pPr>
        <w:ind w:left="4" w:right="20" w:hanging="4"/>
        <w:spacing w:after="0" w:line="245" w:lineRule="auto"/>
        <w:tabs>
          <w:tab w:leader="none" w:pos="222" w:val="left"/>
        </w:tabs>
        <w:numPr>
          <w:ilvl w:val="0"/>
          <w:numId w:val="96"/>
        </w:numPr>
        <w:rPr>
          <w:rFonts w:ascii="Arial" w:cs="Arial" w:eastAsia="Arial" w:hAnsi="Arial"/>
          <w:sz w:val="15"/>
          <w:szCs w:val="15"/>
          <w:u w:val="single" w:color="auto"/>
          <w:color w:val="auto"/>
        </w:rPr>
      </w:pPr>
      <w:r>
        <w:rPr>
          <w:rFonts w:ascii="Arial" w:cs="Arial" w:eastAsia="Arial" w:hAnsi="Arial"/>
          <w:sz w:val="15"/>
          <w:szCs w:val="15"/>
          <w:color w:val="auto"/>
        </w:rPr>
        <w:t>of this Section shall be promptly delivered to the Borrower and shall be conclusive absent manifest error. The Borrower shall pay such Lender or such Issuing Bank, as the case may be, the amount shown as due on any such certificate within 10 days after receipt thereof.</w:t>
      </w:r>
    </w:p>
    <w:p>
      <w:pPr>
        <w:spacing w:after="0" w:line="127" w:lineRule="exact"/>
        <w:rPr>
          <w:sz w:val="20"/>
          <w:szCs w:val="20"/>
          <w:color w:val="auto"/>
        </w:rPr>
      </w:pPr>
    </w:p>
    <w:p>
      <w:pPr>
        <w:jc w:val="both"/>
        <w:ind w:left="4" w:firstLine="1737"/>
        <w:spacing w:after="0" w:line="241"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Delay in Requests</w:t>
      </w:r>
      <w:r>
        <w:rPr>
          <w:rFonts w:ascii="Arial" w:cs="Arial" w:eastAsia="Arial" w:hAnsi="Arial"/>
          <w:sz w:val="15"/>
          <w:szCs w:val="15"/>
          <w:color w:val="auto"/>
        </w:rPr>
        <w:t xml:space="preserve">. Failure or delay on the part of any Lender or any Issuing Bank to demand compensation pursuant to this Section shall not constitute a waiver of such Lender’s or such Issuing Bank’s right to demand such compensation;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shall not be required to compensate a Lender or an Issuing Bank pursuant to this Section for any increased costs or reductions incurred more than six months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if the Change in Law giving rise to such increased costs or reductions is retroactive, then the six-month period referred to above shall be extended to include the period of retroactive effect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211060"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86" w:name="page187"/>
    <w:bookmarkEnd w:id="186"/>
    <w:p>
      <w:pPr>
        <w:ind w:left="1744"/>
        <w:spacing w:after="0"/>
        <w:tabs>
          <w:tab w:leader="none" w:pos="4844" w:val="left"/>
        </w:tabs>
        <w:rPr>
          <w:sz w:val="20"/>
          <w:szCs w:val="20"/>
          <w:color w:val="auto"/>
        </w:rPr>
      </w:pPr>
      <w:r>
        <w:rPr>
          <w:rFonts w:ascii="Arial" w:cs="Arial" w:eastAsia="Arial" w:hAnsi="Arial"/>
          <w:sz w:val="15"/>
          <w:szCs w:val="15"/>
          <w:color w:val="auto"/>
        </w:rPr>
        <w:t>SECTION 2.15.</w:t>
      </w:r>
      <w:r>
        <w:rPr>
          <w:sz w:val="20"/>
          <w:szCs w:val="20"/>
          <w:color w:val="auto"/>
        </w:rPr>
        <w:tab/>
      </w:r>
      <w:r>
        <w:rPr>
          <w:rFonts w:ascii="Arial" w:cs="Arial" w:eastAsia="Arial" w:hAnsi="Arial"/>
          <w:sz w:val="13"/>
          <w:szCs w:val="13"/>
          <w:u w:val="single" w:color="auto"/>
          <w:color w:val="auto"/>
        </w:rPr>
        <w:t>Break Funding Payments</w:t>
      </w:r>
    </w:p>
    <w:p>
      <w:pPr>
        <w:spacing w:after="0" w:line="149" w:lineRule="exact"/>
        <w:rPr>
          <w:sz w:val="20"/>
          <w:szCs w:val="20"/>
          <w:color w:val="auto"/>
        </w:rPr>
      </w:pPr>
    </w:p>
    <w:p>
      <w:pPr>
        <w:jc w:val="both"/>
        <w:ind w:left="4" w:hanging="4"/>
        <w:spacing w:after="0"/>
        <w:tabs>
          <w:tab w:leader="none" w:pos="119" w:val="left"/>
        </w:tabs>
        <w:numPr>
          <w:ilvl w:val="0"/>
          <w:numId w:val="97"/>
        </w:numPr>
        <w:rPr>
          <w:rFonts w:ascii="Arial" w:cs="Arial" w:eastAsia="Arial" w:hAnsi="Arial"/>
          <w:sz w:val="15"/>
          <w:szCs w:val="15"/>
          <w:color w:val="auto"/>
        </w:rPr>
      </w:pPr>
      <w:r>
        <w:rPr>
          <w:rFonts w:ascii="Arial" w:cs="Arial" w:eastAsia="Arial" w:hAnsi="Arial"/>
          <w:sz w:val="15"/>
          <w:szCs w:val="15"/>
          <w:color w:val="auto"/>
        </w:rPr>
        <w:t xml:space="preserve">In the event of (a) the payment of any principal of any Eurocurrency Loan or any Term SOFR Loan, in each case, other than on the last day of an Interest Period therefor (including as a result of the occurrence of any Commitment Increase Date or an Event of Default), (b) the conversion of any Eurocurrency Loan or any Term SOFR Loan other than on the last day of an Interest Period therefor, (c) the failure to borrow, convert, continue or prepay any Syndicated Loan on the date specified in any notice delivered pursuant hereto (including, in connection with any Commitment Increase Date, and regardless of whether such notice is permitted to be revocable under </w:t>
      </w:r>
      <w:r>
        <w:rPr>
          <w:rFonts w:ascii="Arial" w:cs="Arial" w:eastAsia="Arial" w:hAnsi="Arial"/>
          <w:sz w:val="15"/>
          <w:szCs w:val="15"/>
          <w:u w:val="single" w:color="auto"/>
          <w:color w:val="auto"/>
        </w:rPr>
        <w:t>Section 2.10(e)</w:t>
      </w:r>
      <w:r>
        <w:rPr>
          <w:rFonts w:ascii="Arial" w:cs="Arial" w:eastAsia="Arial" w:hAnsi="Arial"/>
          <w:sz w:val="15"/>
          <w:szCs w:val="15"/>
          <w:color w:val="auto"/>
        </w:rPr>
        <w:t xml:space="preserve"> and is revoked in accordance herewith), or (d) the assignment as a result of a request by the Borrower pursuant to </w:t>
      </w:r>
      <w:r>
        <w:rPr>
          <w:rFonts w:ascii="Arial" w:cs="Arial" w:eastAsia="Arial" w:hAnsi="Arial"/>
          <w:sz w:val="15"/>
          <w:szCs w:val="15"/>
          <w:u w:val="single" w:color="auto"/>
          <w:color w:val="auto"/>
        </w:rPr>
        <w:t>Section 2.18(b)</w:t>
      </w:r>
      <w:r>
        <w:rPr>
          <w:rFonts w:ascii="Arial" w:cs="Arial" w:eastAsia="Arial" w:hAnsi="Arial"/>
          <w:sz w:val="15"/>
          <w:szCs w:val="15"/>
          <w:color w:val="auto"/>
        </w:rPr>
        <w:t xml:space="preserve"> of any Eurocurrency Loan or Term SOFR Loan other than on the last day of an Interest Period therefor, then, in any such event, the Borrower shall compensate each Lender for the loss, cost and reasonable expense attributable to such event (excluding loss of anticipated profits). In the case of a Eurocurrency Loan or of a Term SOFR Loan, the loss to any Lender attributable to any such event shall be deemed to include an amount determined by such Lender to be equal to the excess, if any, of:</w:t>
      </w:r>
    </w:p>
    <w:p>
      <w:pPr>
        <w:spacing w:after="0" w:line="133" w:lineRule="exact"/>
        <w:rPr>
          <w:sz w:val="20"/>
          <w:szCs w:val="20"/>
          <w:color w:val="auto"/>
        </w:rPr>
      </w:pPr>
    </w:p>
    <w:p>
      <w:pPr>
        <w:jc w:val="both"/>
        <w:ind w:left="864" w:right="20" w:firstLine="802"/>
        <w:spacing w:after="0" w:line="268" w:lineRule="auto"/>
        <w:rPr>
          <w:sz w:val="20"/>
          <w:szCs w:val="20"/>
          <w:color w:val="auto"/>
        </w:rPr>
      </w:pPr>
      <w:r>
        <w:rPr>
          <w:rFonts w:ascii="Arial" w:cs="Arial" w:eastAsia="Arial" w:hAnsi="Arial"/>
          <w:sz w:val="14"/>
          <w:szCs w:val="14"/>
          <w:color w:val="auto"/>
        </w:rPr>
        <w:t xml:space="preserve">(i) the amount of interest that such Lender would pay for a deposit equal to the principal amount of such Loan denominated in the Currency of such Loan for the period from the date of such payment, conversion, failure or assignment to the last day of the then current Interest Period for such Loan (or, in the case of a failure to borrow, convert or continue, the duration of the Interest Period that would have resulted from such borrowing, conversion or continuation) if the interest rate payable on such deposit were equal to the Eurocurrency Rate or Term SOFR Rate, as applicable, for such Currency for such Interest Period, </w:t>
      </w:r>
      <w:r>
        <w:rPr>
          <w:rFonts w:ascii="Arial" w:cs="Arial" w:eastAsia="Arial" w:hAnsi="Arial"/>
          <w:sz w:val="14"/>
          <w:szCs w:val="14"/>
          <w:u w:val="single" w:color="auto"/>
          <w:color w:val="auto"/>
        </w:rPr>
        <w:t>over</w:t>
      </w:r>
    </w:p>
    <w:p>
      <w:pPr>
        <w:spacing w:after="0" w:line="113" w:lineRule="exact"/>
        <w:rPr>
          <w:sz w:val="20"/>
          <w:szCs w:val="20"/>
          <w:color w:val="auto"/>
        </w:rPr>
      </w:pPr>
    </w:p>
    <w:p>
      <w:pPr>
        <w:jc w:val="both"/>
        <w:ind w:left="864" w:firstLine="802"/>
        <w:spacing w:after="0" w:line="249" w:lineRule="auto"/>
        <w:rPr>
          <w:sz w:val="20"/>
          <w:szCs w:val="20"/>
          <w:color w:val="auto"/>
        </w:rPr>
      </w:pPr>
      <w:r>
        <w:rPr>
          <w:rFonts w:ascii="Arial" w:cs="Arial" w:eastAsia="Arial" w:hAnsi="Arial"/>
          <w:sz w:val="15"/>
          <w:szCs w:val="15"/>
          <w:color w:val="auto"/>
        </w:rPr>
        <w:t>(ii) 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Eurocurrency or Term SOFR market at the commencement of such period.</w:t>
      </w:r>
    </w:p>
    <w:p>
      <w:pPr>
        <w:spacing w:after="0" w:line="125" w:lineRule="exact"/>
        <w:rPr>
          <w:sz w:val="20"/>
          <w:szCs w:val="20"/>
          <w:color w:val="auto"/>
        </w:rPr>
      </w:pPr>
    </w:p>
    <w:p>
      <w:pPr>
        <w:jc w:val="both"/>
        <w:ind w:left="4"/>
        <w:spacing w:after="0" w:line="245" w:lineRule="auto"/>
        <w:rPr>
          <w:sz w:val="20"/>
          <w:szCs w:val="20"/>
          <w:color w:val="auto"/>
        </w:rPr>
      </w:pPr>
      <w:r>
        <w:rPr>
          <w:rFonts w:ascii="Arial" w:cs="Arial" w:eastAsia="Arial" w:hAnsi="Arial"/>
          <w:sz w:val="15"/>
          <w:szCs w:val="15"/>
          <w:color w:val="auto"/>
        </w:rPr>
        <w:t>Payment under this Section shall be made upon request of a Lender delivered not later than five Business Days following the payment, conversion, or failure to borrow, convert, continue or prepay that gives rise to a claim under this Section accompanied by a certificate of such Lender setting forth in reasonable detail the basis for and the calculation of the amount or amounts that such Lender is entitled to receive pursuant to this Section, which certificate shall be conclusive absent manifest error. The Borrower shall pay such Lender the amount shown as due on any such certificate within 10 days after receipt thereof.</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2.16.</w:t>
            </w:r>
          </w:p>
        </w:tc>
        <w:tc>
          <w:tcPr>
            <w:tcW w:w="1480" w:type="dxa"/>
            <w:vAlign w:val="bottom"/>
          </w:tcPr>
          <w:p>
            <w:pPr>
              <w:spacing w:after="0"/>
              <w:rPr>
                <w:sz w:val="14"/>
                <w:szCs w:val="14"/>
                <w:color w:val="auto"/>
              </w:rPr>
            </w:pPr>
          </w:p>
        </w:tc>
        <w:tc>
          <w:tcPr>
            <w:tcW w:w="6560" w:type="dxa"/>
            <w:vAlign w:val="bottom"/>
            <w:gridSpan w:val="3"/>
          </w:tcPr>
          <w:p>
            <w:pPr>
              <w:ind w:left="120"/>
              <w:spacing w:after="0"/>
              <w:rPr>
                <w:sz w:val="20"/>
                <w:szCs w:val="20"/>
                <w:color w:val="auto"/>
              </w:rPr>
            </w:pPr>
            <w:r>
              <w:rPr>
                <w:rFonts w:ascii="Arial" w:cs="Arial" w:eastAsia="Arial" w:hAnsi="Arial"/>
                <w:sz w:val="15"/>
                <w:szCs w:val="15"/>
                <w:color w:val="auto"/>
              </w:rPr>
              <w:t>Taxes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4"/>
          </w:tcPr>
          <w:p>
            <w:pPr>
              <w:spacing w:after="0"/>
              <w:rPr>
                <w:sz w:val="20"/>
                <w:szCs w:val="20"/>
                <w:color w:val="auto"/>
              </w:rPr>
            </w:pPr>
            <w:r>
              <w:rPr>
                <w:rFonts w:ascii="Arial" w:cs="Arial" w:eastAsia="Arial" w:hAnsi="Arial"/>
                <w:sz w:val="15"/>
                <w:szCs w:val="15"/>
                <w:color w:val="auto"/>
                <w:w w:val="94"/>
              </w:rPr>
              <w:t>Payments Free of Taxes. Any and all payments by or on account of any obligation of the Borrower hereunder or under any other</w:t>
            </w:r>
          </w:p>
        </w:tc>
      </w:tr>
      <w:tr>
        <w:trPr>
          <w:trHeight w:val="20"/>
        </w:trPr>
        <w:tc>
          <w:tcPr>
            <w:tcW w:w="32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45" w:lineRule="auto"/>
        <w:rPr>
          <w:sz w:val="20"/>
          <w:szCs w:val="20"/>
          <w:color w:val="auto"/>
        </w:rPr>
      </w:pPr>
      <w:r>
        <w:rPr>
          <w:rFonts w:ascii="Arial" w:cs="Arial" w:eastAsia="Arial" w:hAnsi="Arial"/>
          <w:sz w:val="15"/>
          <w:szCs w:val="15"/>
          <w:color w:val="auto"/>
        </w:rPr>
        <w:t xml:space="preserve">Loan Document shall be made free and clear of and without deduction for any Taxes, except as required by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shall be required to deduct any Taxes from such payments, then (i) if such Taxes are Indemnified Taxes, the sum payable shall be increased as necessary so that after making all required deductions (including deductions applicable to additional sums payable under this Section) the Administrative Agent, applicable Lender or applicable Issuing Bank (as the case may be) receives an amount equal to the sum it would have received had no such deductions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221615</wp:posOffset>
            </wp:positionV>
            <wp:extent cx="721106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color w:val="auto"/>
        </w:rPr>
        <w:t>(ii) the Borrower shall make such deductions and (iii) the Borrower shall pay the full amount deducted to the relevant Governmental Authority in accordance with applicable law.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ind w:left="1740"/>
              <w:spacing w:after="0"/>
              <w:rPr>
                <w:sz w:val="20"/>
                <w:szCs w:val="20"/>
                <w:color w:val="auto"/>
              </w:rPr>
            </w:pPr>
            <w:r>
              <w:rPr>
                <w:rFonts w:ascii="Arial" w:cs="Arial" w:eastAsia="Arial" w:hAnsi="Arial"/>
                <w:sz w:val="15"/>
                <w:szCs w:val="15"/>
                <w:color w:val="auto"/>
              </w:rPr>
              <w:t>(b)</w:t>
            </w:r>
          </w:p>
        </w:tc>
        <w:tc>
          <w:tcPr>
            <w:tcW w:w="8020" w:type="dxa"/>
            <w:vAlign w:val="bottom"/>
            <w:gridSpan w:val="3"/>
          </w:tcPr>
          <w:p>
            <w:pPr>
              <w:jc w:val="right"/>
              <w:spacing w:after="0"/>
              <w:rPr>
                <w:sz w:val="20"/>
                <w:szCs w:val="20"/>
                <w:color w:val="auto"/>
              </w:rPr>
            </w:pPr>
            <w:r>
              <w:rPr>
                <w:rFonts w:ascii="Arial" w:cs="Arial" w:eastAsia="Arial" w:hAnsi="Arial"/>
                <w:sz w:val="15"/>
                <w:szCs w:val="15"/>
                <w:color w:val="auto"/>
                <w:w w:val="97"/>
              </w:rPr>
              <w:t>Payment of Other Taxes by the Borrower.  In addition, the Borrower shall pay any Other Taxes to the relevant Governmental</w:t>
            </w:r>
          </w:p>
        </w:tc>
      </w:tr>
      <w:tr>
        <w:trPr>
          <w:trHeight w:val="185"/>
        </w:trPr>
        <w:tc>
          <w:tcPr>
            <w:tcW w:w="3280" w:type="dxa"/>
            <w:vAlign w:val="bottom"/>
          </w:tcPr>
          <w:p>
            <w:pPr>
              <w:spacing w:after="0"/>
              <w:rPr>
                <w:sz w:val="20"/>
                <w:szCs w:val="20"/>
                <w:color w:val="auto"/>
              </w:rPr>
            </w:pPr>
            <w:r>
              <w:rPr>
                <w:rFonts w:ascii="Arial" w:cs="Arial" w:eastAsia="Arial" w:hAnsi="Arial"/>
                <w:sz w:val="15"/>
                <w:szCs w:val="15"/>
                <w:color w:val="auto"/>
              </w:rPr>
              <w:t>Authority in accordance with applicable law.</w:t>
            </w:r>
          </w:p>
        </w:tc>
        <w:tc>
          <w:tcPr>
            <w:tcW w:w="19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5400" w:type="dxa"/>
            <w:vAlign w:val="bottom"/>
          </w:tcPr>
          <w:p>
            <w:pPr>
              <w:spacing w:after="0"/>
              <w:rPr>
                <w:sz w:val="16"/>
                <w:szCs w:val="16"/>
                <w:color w:val="auto"/>
              </w:rPr>
            </w:pP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(c)</w:t>
            </w:r>
          </w:p>
        </w:tc>
        <w:tc>
          <w:tcPr>
            <w:tcW w:w="8020" w:type="dxa"/>
            <w:vAlign w:val="bottom"/>
            <w:gridSpan w:val="3"/>
          </w:tcPr>
          <w:p>
            <w:pPr>
              <w:jc w:val="right"/>
              <w:spacing w:after="0"/>
              <w:rPr>
                <w:sz w:val="20"/>
                <w:szCs w:val="20"/>
                <w:color w:val="auto"/>
              </w:rPr>
            </w:pPr>
            <w:r>
              <w:rPr>
                <w:rFonts w:ascii="Arial" w:cs="Arial" w:eastAsia="Arial" w:hAnsi="Arial"/>
                <w:sz w:val="15"/>
                <w:szCs w:val="15"/>
                <w:color w:val="auto"/>
                <w:w w:val="94"/>
              </w:rPr>
              <w:t>Indemnification by the Borrower. The Borrower shall indemnify the Administrative Agent, each Lender and each Issuing Bank for</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and, within 10 Business Days after written demand therefor, pay the full amount of any Indemnified Taxes or Other Taxes (including Indemnified Taxes or Other Taxes imposed or asserted on or attributable to amounts payable under this Section) paid by the Administrative Agent, such Lender or such Issuing Bank, as the case may be, and any penalties, interest and reasonable expenses arising therefrom or with respect thereto, whether or not such Indemnified Taxes or Other Taxes were correctly or legally imposed or asserted by the relevant Governmental Authority, except to the extent that any such Indemnified Taxes or Other Taxes arise as the result of the fraud, gross negligence or willful misconduct of the Administrative Agent, such Lender or such Issuing Bank. A certificate as to the amount of such payment or liability delivered to the Borrower by a Lender or an Issuing Bank, or by the Administrative Agent on its own behalf or on behalf of a Lender or an Issuing Bank, shall be conclusive absent manifest error.</w:t>
      </w:r>
    </w:p>
    <w:p>
      <w:pPr>
        <w:spacing w:after="0" w:line="118" w:lineRule="exact"/>
        <w:rPr>
          <w:sz w:val="20"/>
          <w:szCs w:val="20"/>
          <w:color w:val="auto"/>
        </w:rPr>
      </w:pPr>
    </w:p>
    <w:p>
      <w:pPr>
        <w:jc w:val="both"/>
        <w:ind w:firstLine="1737"/>
        <w:spacing w:after="0" w:line="260"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Indemnification by the Lenders</w:t>
      </w:r>
      <w:r>
        <w:rPr>
          <w:rFonts w:ascii="Arial" w:cs="Arial" w:eastAsia="Arial" w:hAnsi="Arial"/>
          <w:sz w:val="14"/>
          <w:szCs w:val="14"/>
          <w:color w:val="auto"/>
        </w:rPr>
        <w:t xml:space="preserve">. Each Lender shall severally indemnify the Administrative Agent, within 10 Business Days after written demand therefor, for (i) any Indemnified Taxes or Other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Arial" w:cs="Arial" w:eastAsia="Arial" w:hAnsi="Arial"/>
          <w:sz w:val="14"/>
          <w:szCs w:val="14"/>
          <w:u w:val="single" w:color="auto"/>
          <w:color w:val="auto"/>
        </w:rPr>
        <w:t>Section 9.04(f)</w:t>
      </w:r>
      <w:r>
        <w:rPr>
          <w:rFonts w:ascii="Arial" w:cs="Arial" w:eastAsia="Arial" w:hAnsi="Arial"/>
          <w:sz w:val="14"/>
          <w:szCs w:val="14"/>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4"/>
          <w:szCs w:val="14"/>
          <w:u w:val="single" w:color="auto"/>
          <w:color w:val="auto"/>
        </w:rPr>
        <w:t>paragraph (d)</w:t>
      </w:r>
      <w:r>
        <w:rPr>
          <w:rFonts w:ascii="Arial" w:cs="Arial" w:eastAsia="Arial" w:hAnsi="Arial"/>
          <w:sz w:val="14"/>
          <w:szCs w:val="14"/>
          <w:color w:val="auto"/>
        </w:rPr>
        <w:t>.</w:t>
      </w:r>
    </w:p>
    <w:p>
      <w:pPr>
        <w:spacing w:after="0" w:line="117"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 xml:space="preserve">(e) </w:t>
      </w:r>
      <w:r>
        <w:rPr>
          <w:rFonts w:ascii="Arial" w:cs="Arial" w:eastAsia="Arial" w:hAnsi="Arial"/>
          <w:sz w:val="15"/>
          <w:szCs w:val="15"/>
          <w:u w:val="single" w:color="auto"/>
          <w:color w:val="auto"/>
        </w:rPr>
        <w:t>Evidence of Payments</w:t>
      </w:r>
      <w:r>
        <w:rPr>
          <w:rFonts w:ascii="Arial" w:cs="Arial" w:eastAsia="Arial" w:hAnsi="Arial"/>
          <w:sz w:val="15"/>
          <w:szCs w:val="15"/>
          <w:color w:val="auto"/>
        </w:rPr>
        <w:t>.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25"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Tax Documentation</w:t>
      </w:r>
      <w:r>
        <w:rPr>
          <w:rFonts w:ascii="Arial" w:cs="Arial" w:eastAsia="Arial" w:hAnsi="Arial"/>
          <w:sz w:val="15"/>
          <w:szCs w:val="15"/>
          <w:color w:val="auto"/>
        </w:rPr>
        <w:t>. (i) 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or reasonably requested by the Borrower, such properly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88" w:name="page189"/>
    <w:bookmarkEnd w:id="188"/>
    <w:p>
      <w:pPr>
        <w:jc w:val="both"/>
        <w:ind w:right="20"/>
        <w:spacing w:after="0" w:line="262" w:lineRule="auto"/>
        <w:rPr>
          <w:sz w:val="20"/>
          <w:szCs w:val="20"/>
          <w:color w:val="auto"/>
        </w:rPr>
      </w:pPr>
      <w:r>
        <w:rPr>
          <w:rFonts w:ascii="Arial" w:cs="Arial" w:eastAsia="Arial" w:hAnsi="Arial"/>
          <w:sz w:val="14"/>
          <w:szCs w:val="14"/>
          <w:color w:val="auto"/>
        </w:rPr>
        <w:t xml:space="preserve">completed and executed documentation prescribed by applicable law as will permit such payments to be made without withholding or at a reduced rate. In addition, any Lender, if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4"/>
          <w:szCs w:val="14"/>
          <w:u w:val="single" w:color="auto"/>
          <w:color w:val="auto"/>
        </w:rPr>
        <w:t>Section 2.16(f)(ii)</w:t>
      </w:r>
      <w:r>
        <w:rPr>
          <w:rFonts w:ascii="Arial" w:cs="Arial" w:eastAsia="Arial" w:hAnsi="Arial"/>
          <w:sz w:val="14"/>
          <w:szCs w:val="14"/>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ectPr>
          <w:pgSz w:w="11900" w:h="16838" w:orient="portrait"/>
          <w:cols w:equalWidth="0" w:num="1">
            <w:col w:w="11300"/>
          </w:cols>
          <w:pgMar w:left="300" w:top="295" w:right="299" w:bottom="1440" w:gutter="0" w:footer="0" w:header="0"/>
        </w:sectPr>
      </w:pPr>
    </w:p>
    <w:p>
      <w:pPr>
        <w:spacing w:after="0" w:line="118"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Without limiting the generality of the foregoing:</w:t>
      </w:r>
    </w:p>
    <w:p>
      <w:pPr>
        <w:spacing w:after="0" w:line="160" w:lineRule="exact"/>
        <w:rPr>
          <w:sz w:val="20"/>
          <w:szCs w:val="20"/>
          <w:color w:val="auto"/>
        </w:rPr>
      </w:pPr>
    </w:p>
    <w:p>
      <w:pPr>
        <w:sectPr>
          <w:pgSz w:w="11900" w:h="16838" w:orient="portrait"/>
          <w:cols w:equalWidth="0" w:num="2">
            <w:col w:w="2500" w:space="720"/>
            <w:col w:w="8080"/>
          </w:cols>
          <w:pgMar w:left="300" w:top="295" w:right="299" w:bottom="1440" w:gutter="0" w:footer="0" w:header="0"/>
          <w:type w:val="continuous"/>
        </w:sectPr>
      </w:pPr>
    </w:p>
    <w:p>
      <w:pPr>
        <w:ind w:left="2460"/>
        <w:spacing w:after="0"/>
        <w:tabs>
          <w:tab w:leader="none" w:pos="448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any Lender that is a U.S. Person shall deliver to the Borrower and the Administrative Agent (and such</w:t>
      </w:r>
    </w:p>
    <w:p>
      <w:pPr>
        <w:sectPr>
          <w:pgSz w:w="11900" w:h="16838" w:orient="portrait"/>
          <w:cols w:equalWidth="0" w:num="1">
            <w:col w:w="11300"/>
          </w:cols>
          <w:pgMar w:left="300" w:top="295" w:right="299" w:bottom="1440" w:gutter="0" w:footer="0" w:header="0"/>
          <w:type w:val="continuous"/>
        </w:sectPr>
      </w:pPr>
    </w:p>
    <w:p>
      <w:pPr>
        <w:spacing w:after="0" w:line="18" w:lineRule="exact"/>
        <w:rPr>
          <w:sz w:val="20"/>
          <w:szCs w:val="20"/>
          <w:color w:val="auto"/>
        </w:rPr>
      </w:pPr>
    </w:p>
    <w:p>
      <w:pPr>
        <w:jc w:val="both"/>
        <w:ind w:left="1740"/>
        <w:spacing w:after="0" w:line="260" w:lineRule="auto"/>
        <w:rPr>
          <w:sz w:val="20"/>
          <w:szCs w:val="20"/>
          <w:color w:val="auto"/>
        </w:rPr>
      </w:pPr>
      <w:r>
        <w:rPr>
          <w:rFonts w:ascii="Arial" w:cs="Arial" w:eastAsia="Arial" w:hAnsi="Arial"/>
          <w:sz w:val="14"/>
          <w:szCs w:val="14"/>
          <w:color w:val="auto"/>
        </w:rPr>
        <w:t>additional copies as shall be reasonably requested by the recipient) on or prior to the date on which such Lender become a Lender under this Agreement (and from time to time thereafter upon the reasonable request of the Borrower or the Administrative Agent), duly completed and executed copies of Internal Revenue Service Form W-9 or any successor form certifying that such Lender is exempt from U.S. federal backup withholding tax; and</w:t>
      </w:r>
    </w:p>
    <w:p>
      <w:pPr>
        <w:spacing w:after="0" w:line="118" w:lineRule="exact"/>
        <w:rPr>
          <w:sz w:val="20"/>
          <w:szCs w:val="20"/>
          <w:color w:val="auto"/>
        </w:rPr>
      </w:pPr>
    </w:p>
    <w:p>
      <w:pPr>
        <w:jc w:val="both"/>
        <w:ind w:left="1740" w:right="20" w:firstLine="735"/>
        <w:spacing w:after="0" w:line="245" w:lineRule="auto"/>
        <w:rPr>
          <w:sz w:val="20"/>
          <w:szCs w:val="20"/>
          <w:color w:val="auto"/>
        </w:rPr>
      </w:pPr>
      <w:r>
        <w:rPr>
          <w:rFonts w:ascii="Arial" w:cs="Arial" w:eastAsia="Arial" w:hAnsi="Arial"/>
          <w:sz w:val="15"/>
          <w:szCs w:val="15"/>
          <w:color w:val="auto"/>
        </w:rPr>
        <w:t>(B) each Foreign Lender shall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but only if such Foreign Lender is legally entitled to do so), whichever of the following is applicable:</w:t>
      </w:r>
    </w:p>
    <w:p>
      <w:pPr>
        <w:spacing w:after="0" w:line="128" w:lineRule="exact"/>
        <w:rPr>
          <w:sz w:val="20"/>
          <w:szCs w:val="20"/>
          <w:color w:val="auto"/>
        </w:rPr>
      </w:pPr>
    </w:p>
    <w:p>
      <w:pPr>
        <w:ind w:left="2600" w:right="20" w:firstLine="671"/>
        <w:spacing w:after="0" w:line="262" w:lineRule="auto"/>
        <w:tabs>
          <w:tab w:leader="none" w:pos="3932" w:val="left"/>
        </w:tabs>
        <w:numPr>
          <w:ilvl w:val="0"/>
          <w:numId w:val="98"/>
        </w:numPr>
        <w:rPr>
          <w:rFonts w:ascii="Arial" w:cs="Arial" w:eastAsia="Arial" w:hAnsi="Arial"/>
          <w:sz w:val="15"/>
          <w:szCs w:val="15"/>
          <w:color w:val="auto"/>
        </w:rPr>
      </w:pPr>
      <w:r>
        <w:rPr>
          <w:rFonts w:ascii="Arial" w:cs="Arial" w:eastAsia="Arial" w:hAnsi="Arial"/>
          <w:sz w:val="15"/>
          <w:szCs w:val="15"/>
          <w:color w:val="auto"/>
        </w:rPr>
        <w:t>duly completed and executed copies of Internal Revenue Service Form W-8BEN or W-8BEN-E or any successor form claiming eligibility for benefits of an income tax treaty to which the United States is a party,</w:t>
      </w:r>
    </w:p>
    <w:p>
      <w:pPr>
        <w:spacing w:after="0" w:line="114" w:lineRule="exact"/>
        <w:rPr>
          <w:rFonts w:ascii="Arial" w:cs="Arial" w:eastAsia="Arial" w:hAnsi="Arial"/>
          <w:sz w:val="15"/>
          <w:szCs w:val="15"/>
          <w:color w:val="auto"/>
        </w:rPr>
      </w:pPr>
    </w:p>
    <w:p>
      <w:pPr>
        <w:ind w:left="2600" w:firstLine="671"/>
        <w:spacing w:after="0" w:line="262" w:lineRule="auto"/>
        <w:tabs>
          <w:tab w:leader="none" w:pos="3898" w:val="left"/>
        </w:tabs>
        <w:numPr>
          <w:ilvl w:val="0"/>
          <w:numId w:val="98"/>
        </w:numPr>
        <w:rPr>
          <w:rFonts w:ascii="Arial" w:cs="Arial" w:eastAsia="Arial" w:hAnsi="Arial"/>
          <w:sz w:val="15"/>
          <w:szCs w:val="15"/>
          <w:color w:val="auto"/>
        </w:rPr>
      </w:pPr>
      <w:r>
        <w:rPr>
          <w:rFonts w:ascii="Arial" w:cs="Arial" w:eastAsia="Arial" w:hAnsi="Arial"/>
          <w:sz w:val="15"/>
          <w:szCs w:val="15"/>
          <w:color w:val="auto"/>
        </w:rPr>
        <w:t>duly completed copies of Internal Revenue Service Form W-8ECI or any successor form certifying that the income receivable pursuant to this Agreement is effectively connected with the conduct of a trade or business in the United States,</w:t>
      </w:r>
    </w:p>
    <w:p>
      <w:pPr>
        <w:spacing w:after="0" w:line="114" w:lineRule="exact"/>
        <w:rPr>
          <w:rFonts w:ascii="Arial" w:cs="Arial" w:eastAsia="Arial" w:hAnsi="Arial"/>
          <w:sz w:val="15"/>
          <w:szCs w:val="15"/>
          <w:color w:val="auto"/>
        </w:rPr>
      </w:pPr>
    </w:p>
    <w:p>
      <w:pPr>
        <w:jc w:val="both"/>
        <w:ind w:left="2600" w:firstLine="671"/>
        <w:spacing w:after="0" w:line="245" w:lineRule="auto"/>
        <w:tabs>
          <w:tab w:leader="none" w:pos="3898"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 the case of a Foreign Lender claiming the benefits of the exemption for portfolio interest under Section 881(c) of the Code, (1) a certificate to the effect that such Foreign Lender is not (1) a “bank” within the meaning of Section 881(c)(3)(A) of the Code, (2) a “10 percent shareholder” of the Borrower within the meaning of Section 881(c)(3)(B) of the Code, or (3) a “controlled foreign corporation” described in Section 881(c)(3)(C) of the Code and (2) duly completed and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221615</wp:posOffset>
            </wp:positionV>
            <wp:extent cx="721106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type w:val="continuous"/>
        </w:sectPr>
      </w:pPr>
    </w:p>
    <w:bookmarkStart w:id="189" w:name="page190"/>
    <w:bookmarkEnd w:id="189"/>
    <w:p>
      <w:pPr>
        <w:ind w:left="2600"/>
        <w:spacing w:after="0"/>
        <w:rPr>
          <w:sz w:val="20"/>
          <w:szCs w:val="20"/>
          <w:color w:val="auto"/>
        </w:rPr>
      </w:pPr>
      <w:r>
        <w:rPr>
          <w:rFonts w:ascii="Arial" w:cs="Arial" w:eastAsia="Arial" w:hAnsi="Arial"/>
          <w:sz w:val="14"/>
          <w:szCs w:val="14"/>
          <w:color w:val="auto"/>
        </w:rPr>
        <w:t>copies of Internal Revenue Service Form W-8BEN or W-8BEN-E (or any successor form) certifying that the Foreign Lender is not a U.S.</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Person, or</w:t>
      </w:r>
    </w:p>
    <w:p>
      <w:pPr>
        <w:spacing w:after="0" w:line="137" w:lineRule="exact"/>
        <w:rPr>
          <w:sz w:val="20"/>
          <w:szCs w:val="20"/>
          <w:color w:val="auto"/>
        </w:rPr>
      </w:pPr>
    </w:p>
    <w:p>
      <w:pPr>
        <w:jc w:val="both"/>
        <w:ind w:left="2600" w:firstLine="671"/>
        <w:spacing w:after="0" w:line="275" w:lineRule="auto"/>
        <w:tabs>
          <w:tab w:leader="none" w:pos="3890" w:val="left"/>
        </w:tabs>
        <w:numPr>
          <w:ilvl w:val="0"/>
          <w:numId w:val="99"/>
        </w:numPr>
        <w:rPr>
          <w:rFonts w:ascii="Arial" w:cs="Arial" w:eastAsia="Arial" w:hAnsi="Arial"/>
          <w:sz w:val="14"/>
          <w:szCs w:val="14"/>
          <w:color w:val="auto"/>
        </w:rPr>
      </w:pPr>
      <w:r>
        <w:rPr>
          <w:rFonts w:ascii="Arial" w:cs="Arial" w:eastAsia="Arial" w:hAnsi="Arial"/>
          <w:sz w:val="14"/>
          <w:szCs w:val="14"/>
          <w:color w:val="auto"/>
        </w:rPr>
        <w:t>any other form including Internal Revenue Service Form W-8IMY as applicable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w:t>
      </w:r>
    </w:p>
    <w:p>
      <w:pPr>
        <w:spacing w:after="0" w:line="108" w:lineRule="exact"/>
        <w:rPr>
          <w:sz w:val="20"/>
          <w:szCs w:val="20"/>
          <w:color w:val="auto"/>
        </w:rPr>
      </w:pPr>
    </w:p>
    <w:p>
      <w:pPr>
        <w:jc w:val="both"/>
        <w:ind w:left="860" w:firstLine="802"/>
        <w:spacing w:after="0" w:line="245" w:lineRule="auto"/>
        <w:rPr>
          <w:sz w:val="20"/>
          <w:szCs w:val="20"/>
          <w:color w:val="auto"/>
        </w:rPr>
      </w:pPr>
      <w:r>
        <w:rPr>
          <w:rFonts w:ascii="Arial" w:cs="Arial" w:eastAsia="Arial" w:hAnsi="Arial"/>
          <w:sz w:val="15"/>
          <w:szCs w:val="15"/>
          <w:color w:val="auto"/>
        </w:rPr>
        <w:t xml:space="preserve">(iii) In addition, each Lender shall deliver such forms promptly upon the obsolescence, expiration or invalidity of any form previously delivered by such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it is legally able to do so at the time. Each Lender shall promptly notify the Borrower and the Administrative Agent at any time the chief tax officer of such Lender becomes aware that it no longer satisfies the legal requirements to provide any previously delivered form or certificate to the Borrower (or any other form of certification adopted by the U.S. or other taxing authorities for such purpose).</w:t>
      </w:r>
    </w:p>
    <w:p>
      <w:pPr>
        <w:spacing w:after="0" w:line="128"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(g) </w:t>
      </w:r>
      <w:r>
        <w:rPr>
          <w:rFonts w:ascii="Arial" w:cs="Arial" w:eastAsia="Arial" w:hAnsi="Arial"/>
          <w:sz w:val="15"/>
          <w:szCs w:val="15"/>
          <w:u w:val="single" w:color="auto"/>
          <w:color w:val="auto"/>
        </w:rPr>
        <w:t>Documentation Required by FATCA</w:t>
      </w:r>
      <w:r>
        <w:rPr>
          <w:rFonts w:ascii="Arial" w:cs="Arial" w:eastAsia="Arial" w:hAnsi="Arial"/>
          <w:sz w:val="15"/>
          <w:szCs w:val="15"/>
          <w:color w:val="auto"/>
        </w:rPr>
        <w:t xml:space="preserve">. If a payment made to a Lender under this Agreement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 prescribed by applicable law (including as prescribed by Section 1471(b)(3)(C)(i) of the Code) and such additional documentation reasonably requested by the Borrower or the Administrative Agent as may be necessary for the Borrower and the Administrative Agent to comply with their respective obligations under FATCA or to determine the amount to deduct and withhold from such payment. Solely for purposes of this </w:t>
      </w:r>
      <w:r>
        <w:rPr>
          <w:rFonts w:ascii="Arial" w:cs="Arial" w:eastAsia="Arial" w:hAnsi="Arial"/>
          <w:sz w:val="15"/>
          <w:szCs w:val="15"/>
          <w:u w:val="single" w:color="auto"/>
          <w:color w:val="auto"/>
        </w:rPr>
        <w:t>Section 2.16(g)</w:t>
      </w:r>
      <w:r>
        <w:rPr>
          <w:rFonts w:ascii="Arial" w:cs="Arial" w:eastAsia="Arial" w:hAnsi="Arial"/>
          <w:sz w:val="15"/>
          <w:szCs w:val="15"/>
          <w:color w:val="auto"/>
        </w:rPr>
        <w:t>, “FATCA” shall include any amendments made to FATCA after the date of this Agreement.</w:t>
      </w:r>
    </w:p>
    <w:p>
      <w:pPr>
        <w:spacing w:after="0" w:line="130" w:lineRule="exact"/>
        <w:rPr>
          <w:sz w:val="20"/>
          <w:szCs w:val="20"/>
          <w:color w:val="auto"/>
        </w:rPr>
      </w:pPr>
    </w:p>
    <w:p>
      <w:pPr>
        <w:jc w:val="both"/>
        <w:ind w:firstLine="1737"/>
        <w:spacing w:after="0" w:line="259" w:lineRule="auto"/>
        <w:rPr>
          <w:sz w:val="20"/>
          <w:szCs w:val="20"/>
          <w:color w:val="auto"/>
        </w:rPr>
      </w:pPr>
      <w:r>
        <w:rPr>
          <w:rFonts w:ascii="Arial" w:cs="Arial" w:eastAsia="Arial" w:hAnsi="Arial"/>
          <w:sz w:val="14"/>
          <w:szCs w:val="14"/>
          <w:color w:val="auto"/>
        </w:rPr>
        <w:t xml:space="preserve">(h) </w:t>
      </w:r>
      <w:r>
        <w:rPr>
          <w:rFonts w:ascii="Arial" w:cs="Arial" w:eastAsia="Arial" w:hAnsi="Arial"/>
          <w:sz w:val="14"/>
          <w:szCs w:val="14"/>
          <w:u w:val="single" w:color="auto"/>
          <w:color w:val="auto"/>
        </w:rPr>
        <w:t>Treatment of Certain Refunds</w:t>
      </w:r>
      <w:r>
        <w:rPr>
          <w:rFonts w:ascii="Arial" w:cs="Arial" w:eastAsia="Arial" w:hAnsi="Arial"/>
          <w:sz w:val="14"/>
          <w:szCs w:val="14"/>
          <w:color w:val="auto"/>
        </w:rPr>
        <w:t xml:space="preserve">. If the Administrative Agent, any Lender or an Issuing Bank determines, in its sole discretion, that it has received a refund or credit (in lieu of such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reasonable out-of-pocket expenses of the Administrative Agent, any Lender or an Issuing Bank, as the case may be, and without interest (other than any interest paid by the relevant Governmental Authority with respect to such refund);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Borrower, upon the request of the Administrative Agent, any Lender or an Issuing Bank, agrees to repay the amount paid over to the Borrower (plus any penalties, interest or other charges imposed by the relevant Governmental Authority) to the Administrative Agent, any Lender or an Issuing Bank in the event the Administrative Agent, any Lender or an Issuing Bank is required to repay such refund to such Governmental Authority. Notwithstanding anything to the contrary in this </w:t>
      </w:r>
      <w:r>
        <w:rPr>
          <w:rFonts w:ascii="Arial" w:cs="Arial" w:eastAsia="Arial" w:hAnsi="Arial"/>
          <w:sz w:val="14"/>
          <w:szCs w:val="14"/>
          <w:u w:val="single" w:color="auto"/>
          <w:color w:val="auto"/>
        </w:rPr>
        <w:t>clause (h)</w:t>
      </w:r>
      <w:r>
        <w:rPr>
          <w:rFonts w:ascii="Arial" w:cs="Arial" w:eastAsia="Arial" w:hAnsi="Arial"/>
          <w:sz w:val="14"/>
          <w:szCs w:val="14"/>
          <w:color w:val="auto"/>
        </w:rPr>
        <w:t xml:space="preserve">, in no event will the Administrative Agent, any Lender or an Issuing Bank be required to pay any amount to Borrower pursuant to this </w:t>
      </w:r>
      <w:r>
        <w:rPr>
          <w:rFonts w:ascii="Arial" w:cs="Arial" w:eastAsia="Arial" w:hAnsi="Arial"/>
          <w:sz w:val="14"/>
          <w:szCs w:val="14"/>
          <w:u w:val="single" w:color="auto"/>
          <w:color w:val="auto"/>
        </w:rPr>
        <w:t>clause (h)</w:t>
      </w:r>
      <w:r>
        <w:rPr>
          <w:rFonts w:ascii="Arial" w:cs="Arial" w:eastAsia="Arial" w:hAnsi="Arial"/>
          <w:sz w:val="14"/>
          <w:szCs w:val="14"/>
          <w:color w:val="auto"/>
        </w:rPr>
        <w:t>, the payment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215900</wp:posOffset>
            </wp:positionV>
            <wp:extent cx="721106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190" w:name="page191"/>
    <w:bookmarkEnd w:id="190"/>
    <w:p>
      <w:pPr>
        <w:jc w:val="both"/>
        <w:ind w:right="20"/>
        <w:spacing w:after="0" w:line="249" w:lineRule="auto"/>
        <w:rPr>
          <w:sz w:val="20"/>
          <w:szCs w:val="20"/>
          <w:color w:val="auto"/>
        </w:rPr>
      </w:pPr>
      <w:r>
        <w:rPr>
          <w:rFonts w:ascii="Arial" w:cs="Arial" w:eastAsia="Arial" w:hAnsi="Arial"/>
          <w:sz w:val="15"/>
          <w:szCs w:val="15"/>
          <w:color w:val="auto"/>
        </w:rPr>
        <w:t>would place such Person in a less favorable net after-Tax position than such Person would have been in if the indemnification payments or additional amounts giving rise to such refund had never been paid. This subsection shall not be construed to require the Administrative Agent, any Lender or an Issuing Bank to make available its tax returns or its books or records (or any other information relating to its taxes that it deems confidential) to the Borrower or any other Person.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2.17.</w:t>
            </w:r>
          </w:p>
        </w:tc>
        <w:tc>
          <w:tcPr>
            <w:tcW w:w="8020" w:type="dxa"/>
            <w:vAlign w:val="bottom"/>
            <w:gridSpan w:val="3"/>
          </w:tcPr>
          <w:p>
            <w:pPr>
              <w:ind w:left="1600"/>
              <w:spacing w:after="0"/>
              <w:rPr>
                <w:sz w:val="20"/>
                <w:szCs w:val="20"/>
                <w:color w:val="auto"/>
              </w:rPr>
            </w:pPr>
            <w:r>
              <w:rPr>
                <w:rFonts w:ascii="Arial" w:cs="Arial" w:eastAsia="Arial" w:hAnsi="Arial"/>
                <w:sz w:val="15"/>
                <w:szCs w:val="15"/>
                <w:color w:val="auto"/>
              </w:rPr>
              <w:t>Payments Generally; Pro Rata Treatment: Sharing of Set-offs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6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3"/>
          </w:tcPr>
          <w:p>
            <w:pPr>
              <w:spacing w:after="0"/>
              <w:rPr>
                <w:sz w:val="20"/>
                <w:szCs w:val="20"/>
                <w:color w:val="auto"/>
              </w:rPr>
            </w:pPr>
            <w:r>
              <w:rPr>
                <w:rFonts w:ascii="Arial" w:cs="Arial" w:eastAsia="Arial" w:hAnsi="Arial"/>
                <w:sz w:val="15"/>
                <w:szCs w:val="15"/>
                <w:color w:val="auto"/>
                <w:w w:val="95"/>
              </w:rPr>
              <w:t>Payments by the Borrower.  The Borrower shall make each payment required to be made by it hereunder (whether of principal,</w:t>
            </w:r>
          </w:p>
        </w:tc>
      </w:tr>
      <w:tr>
        <w:trPr>
          <w:trHeight w:val="20"/>
        </w:trPr>
        <w:tc>
          <w:tcPr>
            <w:tcW w:w="3260" w:type="dxa"/>
            <w:vAlign w:val="bottom"/>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interest, fees or reimbursement of LC Disbursements, or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or otherwise) or under any other Loan Document (except to the extent otherwise provided therein) prior to 12:00 noon,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Account, except as otherwise expressly provided in the relevant Loan Document and except payments to be made directly to any Issuing Bank or any Swingline Lender as expressly provided herein and payments pursuant to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9.03</w:t>
      </w:r>
      <w:r>
        <w:rPr>
          <w:rFonts w:ascii="Arial" w:cs="Arial" w:eastAsia="Arial" w:hAnsi="Arial"/>
          <w:sz w:val="14"/>
          <w:szCs w:val="14"/>
          <w:color w:val="auto"/>
        </w:rPr>
        <w:t>, which shall be made directly to the Persons entitled thereto. The Administrative Agent shall distribute any such payments received by it for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117" w:lineRule="exact"/>
        <w:rPr>
          <w:sz w:val="20"/>
          <w:szCs w:val="20"/>
          <w:color w:val="auto"/>
        </w:rPr>
      </w:pPr>
    </w:p>
    <w:p>
      <w:pPr>
        <w:jc w:val="both"/>
        <w:ind w:firstLine="1737"/>
        <w:spacing w:after="0" w:line="259" w:lineRule="auto"/>
        <w:rPr>
          <w:sz w:val="20"/>
          <w:szCs w:val="20"/>
          <w:color w:val="auto"/>
        </w:rPr>
      </w:pPr>
      <w:r>
        <w:rPr>
          <w:rFonts w:ascii="Arial" w:cs="Arial" w:eastAsia="Arial" w:hAnsi="Arial"/>
          <w:sz w:val="14"/>
          <w:szCs w:val="14"/>
          <w:color w:val="auto"/>
        </w:rPr>
        <w:t xml:space="preserve">All amounts owing under this Agreement (including commitment fees, payments required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and payments required under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relating to any Loan denominated in Dollars, but not including principal of and interest on any Loan denominated in any Foreign Currency or payments relating to any such Loan required under </w:t>
      </w:r>
      <w:r>
        <w:rPr>
          <w:rFonts w:ascii="Arial" w:cs="Arial" w:eastAsia="Arial" w:hAnsi="Arial"/>
          <w:sz w:val="14"/>
          <w:szCs w:val="14"/>
          <w:u w:val="single" w:color="auto"/>
          <w:color w:val="auto"/>
        </w:rPr>
        <w:t>Section 2.15</w:t>
      </w:r>
      <w:r>
        <w:rPr>
          <w:rFonts w:ascii="Arial" w:cs="Arial" w:eastAsia="Arial" w:hAnsi="Arial"/>
          <w:sz w:val="14"/>
          <w:szCs w:val="14"/>
          <w:color w:val="auto"/>
        </w:rPr>
        <w:t>, which are payable in such Foreign Currency) or under any other Loan Document (except to the extent otherwise provided therein) are payable in Dollars. Notwithstanding the foregoing, if the Borrower shall fail to pay any principal of any Loan when due (whether at stated maturity, by acceleration, by mandatory prepayment or otherwise), the unpaid portion of such Loan shall, if such Loan is not denominated in Dollars, automatically be redenominated in Dollars on the due date thereof (or, if such due date is a day other than the last day of the Interest Period therefor, on the last day of such Interest Period) in an amount equal to the Dollar Equivalent thereof on the date of such redenomination and such principal shall be payable on demand; and if the Borrower shall fail to pay any interest on any Loan that is not denominated in Dollars, such interest shall automatically be redenominated in Dollars on the due date therefor (or, if such due date is a day other than the last day of the Interest Period therefor, on the last day of such Interest Period) in an amount equal to the Dollar Equivalent thereof on the date of such redenomination and such interest shall be payable on demand.</w:t>
      </w:r>
    </w:p>
    <w:p>
      <w:pPr>
        <w:spacing w:after="0" w:line="11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Notwithstanding the foregoing provisions of this Section, if, after the making of any Borrowing in any Foreign Currency, currency control or exchange regulations are imposed in the country which issues such currency with the result that the type of currency in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91" w:name="page192"/>
    <w:bookmarkEnd w:id="191"/>
    <w:p>
      <w:pPr>
        <w:jc w:val="both"/>
        <w:ind w:left="4" w:right="20"/>
        <w:spacing w:after="0" w:line="306" w:lineRule="auto"/>
        <w:rPr>
          <w:sz w:val="20"/>
          <w:szCs w:val="20"/>
          <w:color w:val="auto"/>
        </w:rPr>
      </w:pPr>
      <w:r>
        <w:rPr>
          <w:rFonts w:ascii="Arial" w:cs="Arial" w:eastAsia="Arial" w:hAnsi="Arial"/>
          <w:sz w:val="13"/>
          <w:szCs w:val="13"/>
          <w:color w:val="auto"/>
        </w:rPr>
        <w:t>Borrowing was made (the “</w:t>
      </w:r>
      <w:r>
        <w:rPr>
          <w:rFonts w:ascii="Arial" w:cs="Arial" w:eastAsia="Arial" w:hAnsi="Arial"/>
          <w:sz w:val="13"/>
          <w:szCs w:val="13"/>
          <w:u w:val="single" w:color="auto"/>
          <w:color w:val="auto"/>
        </w:rPr>
        <w:t>Original Currency</w:t>
      </w:r>
      <w:r>
        <w:rPr>
          <w:rFonts w:ascii="Arial" w:cs="Arial" w:eastAsia="Arial" w:hAnsi="Arial"/>
          <w:sz w:val="13"/>
          <w:szCs w:val="13"/>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90"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Application of Insufficient Payments</w:t>
      </w:r>
      <w:r>
        <w:rPr>
          <w:rFonts w:ascii="Arial" w:cs="Arial" w:eastAsia="Arial" w:hAnsi="Arial"/>
          <w:sz w:val="14"/>
          <w:szCs w:val="14"/>
          <w:color w:val="auto"/>
        </w:rPr>
        <w:t>. If at any time insufficient funds are received by and available to the Administrative Agent to pay fully all amounts of principal, unreimbursed LC Disbursements, interest and fees of a Class of Commitments or Final Maturity Date then due hereunder, such funds shall be applied</w:t>
      </w:r>
    </w:p>
    <w:p>
      <w:pPr>
        <w:spacing w:after="0" w:line="1" w:lineRule="exact"/>
        <w:rPr>
          <w:sz w:val="20"/>
          <w:szCs w:val="20"/>
          <w:color w:val="auto"/>
        </w:rPr>
      </w:pPr>
    </w:p>
    <w:p>
      <w:pPr>
        <w:jc w:val="both"/>
        <w:ind w:left="4" w:right="20" w:hanging="4"/>
        <w:spacing w:after="0" w:line="241" w:lineRule="auto"/>
        <w:tabs>
          <w:tab w:leader="none" w:pos="18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first, to pay interest and fees of such Class then due hereunder, ratably among the parties entitled thereto in accordance with the amounts of interest and fees of such Class then due to such parties, and (ii) second, to pay principal and unreimbursed LC Disbursements of such Class then due hereunder, ratably among the parties entitled thereto in accordance with the amounts of principal and unreimbursed LC Disbursements of such Class then due to such parties.</w:t>
      </w:r>
    </w:p>
    <w:p>
      <w:pPr>
        <w:spacing w:after="0" w:line="130" w:lineRule="exact"/>
        <w:rPr>
          <w:sz w:val="20"/>
          <w:szCs w:val="20"/>
          <w:color w:val="auto"/>
        </w:rPr>
      </w:pPr>
    </w:p>
    <w:p>
      <w:pPr>
        <w:jc w:val="both"/>
        <w:ind w:left="4" w:firstLine="1737"/>
        <w:spacing w:after="0" w:line="257"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Pro Rata Treatment</w:t>
      </w:r>
      <w:r>
        <w:rPr>
          <w:rFonts w:ascii="Arial" w:cs="Arial" w:eastAsia="Arial" w:hAnsi="Arial"/>
          <w:sz w:val="14"/>
          <w:szCs w:val="14"/>
          <w:color w:val="auto"/>
        </w:rPr>
        <w:t xml:space="preserve">. Except to the extent otherwise provided herein: (i) other than with respect any Syndicated Borrowing requested pursuant to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each Syndicated Borrowing of a Class shall be made from the Lenders of such Class of Commitments and each Syndicated Borrowing of a Class requested pursuant to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shall be made from each Extending Lender, each payment of commitment fee under </w:t>
      </w:r>
      <w:r>
        <w:rPr>
          <w:rFonts w:ascii="Arial" w:cs="Arial" w:eastAsia="Arial" w:hAnsi="Arial"/>
          <w:sz w:val="14"/>
          <w:szCs w:val="14"/>
          <w:u w:val="single" w:color="auto"/>
          <w:color w:val="auto"/>
        </w:rPr>
        <w:t>Section 2.11</w:t>
      </w:r>
      <w:r>
        <w:rPr>
          <w:rFonts w:ascii="Arial" w:cs="Arial" w:eastAsia="Arial" w:hAnsi="Arial"/>
          <w:sz w:val="14"/>
          <w:szCs w:val="14"/>
          <w:color w:val="auto"/>
        </w:rPr>
        <w:t xml:space="preserve"> shall be made for account of the Lenders of the applicable Class, and each termination or reduction of the amount of the Commitments of a Class of Commitments or Final Maturity Date under </w:t>
      </w:r>
      <w:r>
        <w:rPr>
          <w:rFonts w:ascii="Arial" w:cs="Arial" w:eastAsia="Arial" w:hAnsi="Arial"/>
          <w:sz w:val="14"/>
          <w:szCs w:val="14"/>
          <w:u w:val="single" w:color="auto"/>
          <w:color w:val="auto"/>
        </w:rPr>
        <w:t>Section 2.08</w:t>
      </w:r>
      <w:r>
        <w:rPr>
          <w:rFonts w:ascii="Arial" w:cs="Arial" w:eastAsia="Arial" w:hAnsi="Arial"/>
          <w:sz w:val="14"/>
          <w:szCs w:val="14"/>
          <w:color w:val="auto"/>
        </w:rPr>
        <w:t xml:space="preserve"> shall be applied to the respective Commitments of the Lenders of such Class of Commitments or Final Maturity Date, pro rata according to the amounts of their respective Commitments of such Class of Commitments or Final Maturity Date; (ii) each Syndicated Borrowing of a Class of Commitments shall be allocated pro rata among the Lenders of such Class according to the amounts of their respective Commitments of such Class (in the case of the making of Syndicated Loans) or their respective Loans of such Class that are to be included in such Borrowing (in the case of conversions and continuations of Loans); (iii) each payment or prepayment of principal of Syndicated Loans of a Class of Commitments or Final Maturity Date by the Borrower shall be made for account of the Lenders of such Class of Commitments or Final Maturity Date pro rata in accordance with the respective unpaid principal amounts of the Syndicated Loans of such Class of Commitments or Final Maturity Date held by them; and (iv) each payment of interest on Syndicated Loans of a Class of Commitments or Final Maturity Date by the Borrower shall be made for account of the Lenders of such Class of Commitments or Final Maturity Date pro rata in accordance with the amounts of interest on such Loans of such Class of Commitments or Final Maturity Date then due and payable to the respective Lenders.</w:t>
      </w:r>
    </w:p>
    <w:p>
      <w:pPr>
        <w:spacing w:after="0" w:line="124" w:lineRule="exact"/>
        <w:rPr>
          <w:sz w:val="20"/>
          <w:szCs w:val="20"/>
          <w:color w:val="auto"/>
        </w:rPr>
      </w:pPr>
    </w:p>
    <w:p>
      <w:pPr>
        <w:jc w:val="both"/>
        <w:ind w:left="4" w:firstLine="1737"/>
        <w:spacing w:after="0" w:line="268"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Sharing of Payments by Lenders</w:t>
      </w:r>
      <w:r>
        <w:rPr>
          <w:rFonts w:ascii="Arial" w:cs="Arial" w:eastAsia="Arial" w:hAnsi="Arial"/>
          <w:sz w:val="14"/>
          <w:szCs w:val="14"/>
          <w:color w:val="auto"/>
        </w:rPr>
        <w:t>. If any Lender of any Class of Commitment or Final Maturity Date shall, by exercising any right of set-off or counterclaim or otherwise, obtain payment in respect of any principal of or interest on any of its Syndicated Loans, or participations in LC Disbursements or Swingline Loans, of such Class resulting in such Lender receiving payment of a greater proportion of the aggregate amount of its Syndicated Loans, and participations in LC Disbursements and Swingline Loans, and accrued interest thereon of such Class then due than the proportion received by any other Lender of such Class, then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7211060"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92" w:name="page193"/>
    <w:bookmarkEnd w:id="192"/>
    <w:p>
      <w:pPr>
        <w:jc w:val="both"/>
        <w:spacing w:after="0" w:line="239" w:lineRule="auto"/>
        <w:rPr>
          <w:sz w:val="20"/>
          <w:szCs w:val="20"/>
          <w:color w:val="auto"/>
        </w:rPr>
      </w:pPr>
      <w:r>
        <w:rPr>
          <w:rFonts w:ascii="Arial" w:cs="Arial" w:eastAsia="Arial" w:hAnsi="Arial"/>
          <w:sz w:val="15"/>
          <w:szCs w:val="15"/>
          <w:color w:val="auto"/>
        </w:rPr>
        <w:t xml:space="preserve">receiving such greater proportion shall purchase (for cash at face value) participations in the Syndicated Loans, and participations in LC Disbursements and Swingline Loans, of other Lenders of such Class to the extent necessary so that the benefit of all such payments shall be shared by the Lenders of such Class ratably in accordance with the aggregate amount of principal of and accrued interest on their respective Syndicated Loans, and participations in LC Disbursements and Swingline Loans, of such Class;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3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Presumptions of Payment</w:t>
      </w:r>
      <w:r>
        <w:rPr>
          <w:rFonts w:ascii="Arial" w:cs="Arial" w:eastAsia="Arial" w:hAnsi="Arial"/>
          <w:sz w:val="14"/>
          <w:szCs w:val="14"/>
          <w:color w:val="auto"/>
        </w:rPr>
        <w:t>. Unless the Administrative Agent shall have received notice from the Borrower prior to the date on which any payment is due to the Administrative Agent for account of the Lenders or the Issuing Banks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Federal Funds Effective Rate.</w:t>
      </w:r>
    </w:p>
    <w:p>
      <w:pPr>
        <w:spacing w:after="0" w:line="118" w:lineRule="exact"/>
        <w:rPr>
          <w:sz w:val="20"/>
          <w:szCs w:val="20"/>
          <w:color w:val="auto"/>
        </w:rPr>
      </w:pPr>
    </w:p>
    <w:p>
      <w:pPr>
        <w:jc w:val="both"/>
        <w:ind w:right="20" w:firstLine="1737"/>
        <w:spacing w:after="0" w:line="275" w:lineRule="auto"/>
        <w:rPr>
          <w:sz w:val="20"/>
          <w:szCs w:val="20"/>
          <w:color w:val="auto"/>
        </w:rPr>
      </w:pPr>
      <w:r>
        <w:rPr>
          <w:rFonts w:ascii="Arial" w:cs="Arial" w:eastAsia="Arial" w:hAnsi="Arial"/>
          <w:sz w:val="14"/>
          <w:szCs w:val="14"/>
          <w:color w:val="auto"/>
        </w:rPr>
        <w:t xml:space="preserve">(f) </w:t>
      </w:r>
      <w:r>
        <w:rPr>
          <w:rFonts w:ascii="Arial" w:cs="Arial" w:eastAsia="Arial" w:hAnsi="Arial"/>
          <w:sz w:val="14"/>
          <w:szCs w:val="14"/>
          <w:u w:val="single" w:color="auto"/>
          <w:color w:val="auto"/>
        </w:rPr>
        <w:t>Certain Deductions by the Administrative Agent</w:t>
      </w:r>
      <w:r>
        <w:rPr>
          <w:rFonts w:ascii="Arial" w:cs="Arial" w:eastAsia="Arial" w:hAnsi="Arial"/>
          <w:sz w:val="14"/>
          <w:szCs w:val="14"/>
          <w:color w:val="auto"/>
        </w:rPr>
        <w:t xml:space="preserve">. If any Lender shall fail to make any payment required to be made by it pursuant to </w:t>
      </w:r>
      <w:r>
        <w:rPr>
          <w:rFonts w:ascii="Arial" w:cs="Arial" w:eastAsia="Arial" w:hAnsi="Arial"/>
          <w:sz w:val="14"/>
          <w:szCs w:val="14"/>
          <w:u w:val="single" w:color="auto"/>
          <w:color w:val="auto"/>
        </w:rPr>
        <w:t>Section 2.04(c)</w:t>
      </w:r>
      <w:r>
        <w:rPr>
          <w:rFonts w:ascii="Arial" w:cs="Arial" w:eastAsia="Arial" w:hAnsi="Arial"/>
          <w:sz w:val="14"/>
          <w:szCs w:val="14"/>
          <w:color w:val="auto"/>
        </w:rPr>
        <w:t xml:space="preserve">, </w:t>
      </w:r>
      <w:r>
        <w:rPr>
          <w:rFonts w:ascii="Arial" w:cs="Arial" w:eastAsia="Arial" w:hAnsi="Arial"/>
          <w:sz w:val="14"/>
          <w:szCs w:val="14"/>
          <w:u w:val="single" w:color="auto"/>
          <w:color w:val="auto"/>
        </w:rPr>
        <w:t>2.05(e)</w:t>
      </w:r>
      <w:r>
        <w:rPr>
          <w:rFonts w:ascii="Arial" w:cs="Arial" w:eastAsia="Arial" w:hAnsi="Arial"/>
          <w:sz w:val="14"/>
          <w:szCs w:val="14"/>
          <w:color w:val="auto"/>
        </w:rPr>
        <w:t xml:space="preserve">, </w:t>
      </w:r>
      <w:r>
        <w:rPr>
          <w:rFonts w:ascii="Arial" w:cs="Arial" w:eastAsia="Arial" w:hAnsi="Arial"/>
          <w:sz w:val="14"/>
          <w:szCs w:val="14"/>
          <w:u w:val="single" w:color="auto"/>
          <w:color w:val="auto"/>
        </w:rPr>
        <w:t>2.06(a)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2.17(e)</w:t>
      </w:r>
      <w:r>
        <w:rPr>
          <w:rFonts w:ascii="Arial" w:cs="Arial" w:eastAsia="Arial" w:hAnsi="Arial"/>
          <w:sz w:val="14"/>
          <w:szCs w:val="14"/>
          <w:color w:val="auto"/>
        </w:rPr>
        <w:t>, then the Administrative Agent may, in its discretion (notwithstanding any contrary provision hereof), apply any amounts thereafter received by the Administrative Agent for account of such Lender to satisfy such Lender’s obligations under such Sections until all such unsatisfied obligations are fully paid.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2.18.</w:t>
            </w:r>
          </w:p>
        </w:tc>
        <w:tc>
          <w:tcPr>
            <w:tcW w:w="8020" w:type="dxa"/>
            <w:vAlign w:val="bottom"/>
            <w:gridSpan w:val="6"/>
          </w:tcPr>
          <w:p>
            <w:pPr>
              <w:ind w:left="1600"/>
              <w:spacing w:after="0"/>
              <w:rPr>
                <w:sz w:val="20"/>
                <w:szCs w:val="20"/>
                <w:color w:val="auto"/>
              </w:rPr>
            </w:pPr>
            <w:r>
              <w:rPr>
                <w:rFonts w:ascii="Arial" w:cs="Arial" w:eastAsia="Arial" w:hAnsi="Arial"/>
                <w:sz w:val="15"/>
                <w:szCs w:val="15"/>
                <w:color w:val="auto"/>
              </w:rPr>
              <w:t>Mitigation Obligations; Replacement of Lenders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6"/>
          </w:tcPr>
          <w:p>
            <w:pPr>
              <w:spacing w:after="0"/>
              <w:rPr>
                <w:sz w:val="20"/>
                <w:szCs w:val="20"/>
                <w:color w:val="auto"/>
              </w:rPr>
            </w:pPr>
            <w:r>
              <w:rPr>
                <w:rFonts w:ascii="Arial" w:cs="Arial" w:eastAsia="Arial" w:hAnsi="Arial"/>
                <w:sz w:val="15"/>
                <w:szCs w:val="15"/>
                <w:color w:val="auto"/>
                <w:w w:val="93"/>
              </w:rPr>
              <w:t>Designation of a Different Lending Office. If any Lender requests compensation under Section 2.14, or if the Borrower is required</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to pay any additional amount to any Lender or any Governmental Authority for the account of any Lender pursuant to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w:t>
      </w:r>
      <w:r>
        <w:rPr>
          <w:rFonts w:ascii="Arial" w:cs="Arial" w:eastAsia="Arial" w:hAnsi="Arial"/>
          <w:sz w:val="14"/>
          <w:szCs w:val="14"/>
          <w:color w:val="auto"/>
        </w:rPr>
        <w:t>,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209550</wp:posOffset>
            </wp:positionV>
            <wp:extent cx="721106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93" w:name="page194"/>
    <w:bookmarkEnd w:id="193"/>
    <w:p>
      <w:pPr>
        <w:jc w:val="both"/>
        <w:ind w:left="4" w:right="20"/>
        <w:spacing w:after="0" w:line="298" w:lineRule="auto"/>
        <w:rPr>
          <w:sz w:val="20"/>
          <w:szCs w:val="20"/>
          <w:color w:val="auto"/>
        </w:rPr>
      </w:pPr>
      <w:r>
        <w:rPr>
          <w:rFonts w:ascii="Arial" w:cs="Arial" w:eastAsia="Arial" w:hAnsi="Arial"/>
          <w:sz w:val="14"/>
          <w:szCs w:val="14"/>
          <w:color w:val="auto"/>
        </w:rPr>
        <w:t>be, in the future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92" w:lineRule="exact"/>
        <w:rPr>
          <w:sz w:val="20"/>
          <w:szCs w:val="20"/>
          <w:color w:val="auto"/>
        </w:rPr>
      </w:pPr>
    </w:p>
    <w:p>
      <w:pPr>
        <w:jc w:val="both"/>
        <w:ind w:left="4" w:firstLine="1737"/>
        <w:spacing w:after="0" w:line="256"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Replacement of Lenders</w:t>
      </w:r>
      <w:r>
        <w:rPr>
          <w:rFonts w:ascii="Arial" w:cs="Arial" w:eastAsia="Arial" w:hAnsi="Arial"/>
          <w:sz w:val="14"/>
          <w:szCs w:val="14"/>
          <w:color w:val="auto"/>
        </w:rPr>
        <w:t xml:space="preserve">. If any Lender requests compensation under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if the Borrower is required to pay any additional amount to any Lender or any Governmental Authority for account of any Lender pursuant to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or if any Lender becomes a Defaulting Lender or is a Non-Consenting Lender (as provided in </w:t>
      </w:r>
      <w:r>
        <w:rPr>
          <w:rFonts w:ascii="Arial" w:cs="Arial" w:eastAsia="Arial" w:hAnsi="Arial"/>
          <w:sz w:val="14"/>
          <w:szCs w:val="14"/>
          <w:u w:val="single" w:color="auto"/>
          <w:color w:val="auto"/>
        </w:rPr>
        <w:t>Section 9.02(d)</w:t>
      </w:r>
      <w:r>
        <w:rPr>
          <w:rFonts w:ascii="Arial" w:cs="Arial" w:eastAsia="Arial" w:hAnsi="Arial"/>
          <w:sz w:val="14"/>
          <w:szCs w:val="14"/>
          <w:color w:val="auto"/>
        </w:rPr>
        <w:t xml:space="preserve">), then the Borrower may, at its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all its interests, rights and obligations under this Agreement to an assignee that shall assume such obligations (which assignee may be another Lender, if a Lender accepts such assignment);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Borrower shall have received the prior written consent of the Administrative Agent (and, if a Commitment is being assigned, each Issuing Bank and each Swingline Lender), which consent shall not unreasonably be withheld,</w:t>
      </w:r>
    </w:p>
    <w:p>
      <w:pPr>
        <w:spacing w:after="0" w:line="3" w:lineRule="exact"/>
        <w:rPr>
          <w:sz w:val="20"/>
          <w:szCs w:val="20"/>
          <w:color w:val="auto"/>
        </w:rPr>
      </w:pPr>
    </w:p>
    <w:p>
      <w:pPr>
        <w:jc w:val="both"/>
        <w:ind w:left="4" w:hanging="4"/>
        <w:spacing w:after="0" w:line="238" w:lineRule="auto"/>
        <w:tabs>
          <w:tab w:leader="none" w:pos="23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or payments required to be made pursuant to </w:t>
      </w:r>
      <w:r>
        <w:rPr>
          <w:rFonts w:ascii="Arial" w:cs="Arial" w:eastAsia="Arial" w:hAnsi="Arial"/>
          <w:sz w:val="15"/>
          <w:szCs w:val="15"/>
          <w:u w:val="single" w:color="auto"/>
          <w:color w:val="auto"/>
        </w:rPr>
        <w:t>Section 2.16</w:t>
      </w:r>
      <w:r>
        <w:rPr>
          <w:rFonts w:ascii="Arial" w:cs="Arial" w:eastAsia="Arial" w:hAnsi="Arial"/>
          <w:sz w:val="15"/>
          <w:szCs w:val="15"/>
          <w:color w:val="auto"/>
        </w:rPr>
        <w:t>, such assignment is reasonably expected at the time of such assignment request to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180" w:type="dxa"/>
            <w:vAlign w:val="bottom"/>
          </w:tcPr>
          <w:p>
            <w:pPr>
              <w:ind w:left="1740"/>
              <w:spacing w:after="0"/>
              <w:rPr>
                <w:sz w:val="20"/>
                <w:szCs w:val="20"/>
                <w:color w:val="auto"/>
              </w:rPr>
            </w:pPr>
            <w:r>
              <w:rPr>
                <w:rFonts w:ascii="Arial" w:cs="Arial" w:eastAsia="Arial" w:hAnsi="Arial"/>
                <w:sz w:val="15"/>
                <w:szCs w:val="15"/>
                <w:color w:val="auto"/>
              </w:rPr>
              <w:t>SECTION 2.19.</w:t>
            </w:r>
          </w:p>
        </w:tc>
        <w:tc>
          <w:tcPr>
            <w:tcW w:w="80" w:type="dxa"/>
            <w:vAlign w:val="bottom"/>
          </w:tcPr>
          <w:p>
            <w:pPr>
              <w:spacing w:after="0"/>
              <w:rPr>
                <w:sz w:val="14"/>
                <w:szCs w:val="14"/>
                <w:color w:val="auto"/>
              </w:rPr>
            </w:pPr>
          </w:p>
        </w:tc>
        <w:tc>
          <w:tcPr>
            <w:tcW w:w="8020" w:type="dxa"/>
            <w:vAlign w:val="bottom"/>
            <w:gridSpan w:val="4"/>
          </w:tcPr>
          <w:p>
            <w:pPr>
              <w:jc w:val="right"/>
              <w:ind w:right="5240"/>
              <w:spacing w:after="0"/>
              <w:rPr>
                <w:sz w:val="20"/>
                <w:szCs w:val="20"/>
                <w:color w:val="auto"/>
              </w:rPr>
            </w:pPr>
            <w:r>
              <w:rPr>
                <w:rFonts w:ascii="Arial" w:cs="Arial" w:eastAsia="Arial" w:hAnsi="Arial"/>
                <w:sz w:val="15"/>
                <w:szCs w:val="15"/>
                <w:color w:val="auto"/>
              </w:rPr>
              <w:t>Defaulting Lenders</w:t>
            </w:r>
          </w:p>
        </w:tc>
      </w:tr>
      <w:tr>
        <w:trPr>
          <w:trHeight w:val="336"/>
        </w:trPr>
        <w:tc>
          <w:tcPr>
            <w:tcW w:w="3180" w:type="dxa"/>
            <w:vAlign w:val="bottom"/>
          </w:tcPr>
          <w:p>
            <w:pPr>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287"/>
        </w:trPr>
        <w:tc>
          <w:tcPr>
            <w:tcW w:w="3180" w:type="dxa"/>
            <w:vAlign w:val="bottom"/>
          </w:tcPr>
          <w:p>
            <w:pPr>
              <w:ind w:left="1740"/>
              <w:spacing w:after="0"/>
              <w:rPr>
                <w:sz w:val="20"/>
                <w:szCs w:val="20"/>
                <w:color w:val="auto"/>
              </w:rPr>
            </w:pPr>
            <w:r>
              <w:rPr>
                <w:rFonts w:ascii="Arial" w:cs="Arial" w:eastAsia="Arial" w:hAnsi="Arial"/>
                <w:sz w:val="15"/>
                <w:szCs w:val="15"/>
                <w:color w:val="auto"/>
              </w:rPr>
              <w:t>(a)</w:t>
            </w:r>
          </w:p>
        </w:tc>
        <w:tc>
          <w:tcPr>
            <w:tcW w:w="80" w:type="dxa"/>
            <w:vAlign w:val="bottom"/>
          </w:tcPr>
          <w:p>
            <w:pPr>
              <w:spacing w:after="0"/>
              <w:rPr>
                <w:sz w:val="24"/>
                <w:szCs w:val="24"/>
                <w:color w:val="auto"/>
              </w:rPr>
            </w:pPr>
          </w:p>
        </w:tc>
        <w:tc>
          <w:tcPr>
            <w:tcW w:w="8020" w:type="dxa"/>
            <w:vAlign w:val="bottom"/>
            <w:gridSpan w:val="4"/>
          </w:tcPr>
          <w:p>
            <w:pPr>
              <w:jc w:val="right"/>
              <w:spacing w:after="0"/>
              <w:rPr>
                <w:sz w:val="20"/>
                <w:szCs w:val="20"/>
                <w:color w:val="auto"/>
              </w:rPr>
            </w:pPr>
            <w:r>
              <w:rPr>
                <w:rFonts w:ascii="Arial" w:cs="Arial" w:eastAsia="Arial" w:hAnsi="Arial"/>
                <w:sz w:val="15"/>
                <w:szCs w:val="15"/>
                <w:color w:val="auto"/>
                <w:w w:val="94"/>
              </w:rPr>
              <w:t>Defaulting Lender Adjustments. Notwithstanding anything to the contrary contained in this Agreement, if any Lender becomes a</w:t>
            </w:r>
          </w:p>
        </w:tc>
      </w:tr>
      <w:tr>
        <w:trPr>
          <w:trHeight w:val="20"/>
        </w:trPr>
        <w:tc>
          <w:tcPr>
            <w:tcW w:w="3260" w:type="dxa"/>
            <w:vAlign w:val="bottom"/>
            <w:gridSpan w:val="2"/>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r>
      <w:tr>
        <w:trPr>
          <w:trHeight w:val="185"/>
        </w:trPr>
        <w:tc>
          <w:tcPr>
            <w:tcW w:w="11280" w:type="dxa"/>
            <w:vAlign w:val="bottom"/>
            <w:gridSpan w:val="6"/>
          </w:tcPr>
          <w:p>
            <w:pPr>
              <w:spacing w:after="0"/>
              <w:rPr>
                <w:sz w:val="20"/>
                <w:szCs w:val="20"/>
                <w:color w:val="auto"/>
              </w:rPr>
            </w:pPr>
            <w:r>
              <w:rPr>
                <w:rFonts w:ascii="Arial" w:cs="Arial" w:eastAsia="Arial" w:hAnsi="Arial"/>
                <w:sz w:val="15"/>
                <w:szCs w:val="15"/>
                <w:color w:val="auto"/>
              </w:rPr>
              <w:t>Defaulting Lender, then, until such time as such Lender is no longer a Defaulting Lender, to the extent permitted by applicable law:</w:t>
            </w:r>
          </w:p>
        </w:tc>
      </w:tr>
      <w:tr>
        <w:trPr>
          <w:trHeight w:val="287"/>
        </w:trPr>
        <w:tc>
          <w:tcPr>
            <w:tcW w:w="3180" w:type="dxa"/>
            <w:vAlign w:val="bottom"/>
          </w:tcPr>
          <w:p>
            <w:pPr>
              <w:ind w:left="1660"/>
              <w:spacing w:after="0"/>
              <w:rPr>
                <w:sz w:val="20"/>
                <w:szCs w:val="20"/>
                <w:color w:val="auto"/>
              </w:rPr>
            </w:pPr>
            <w:r>
              <w:rPr>
                <w:rFonts w:ascii="Arial" w:cs="Arial" w:eastAsia="Arial" w:hAnsi="Arial"/>
                <w:sz w:val="15"/>
                <w:szCs w:val="15"/>
                <w:color w:val="auto"/>
              </w:rPr>
              <w:t>(i)</w:t>
            </w:r>
          </w:p>
        </w:tc>
        <w:tc>
          <w:tcPr>
            <w:tcW w:w="8100" w:type="dxa"/>
            <w:vAlign w:val="bottom"/>
            <w:gridSpan w:val="5"/>
          </w:tcPr>
          <w:p>
            <w:pPr>
              <w:jc w:val="right"/>
              <w:spacing w:after="0"/>
              <w:rPr>
                <w:sz w:val="20"/>
                <w:szCs w:val="20"/>
                <w:color w:val="auto"/>
              </w:rPr>
            </w:pPr>
            <w:r>
              <w:rPr>
                <w:rFonts w:ascii="Arial" w:cs="Arial" w:eastAsia="Arial" w:hAnsi="Arial"/>
                <w:sz w:val="15"/>
                <w:szCs w:val="15"/>
                <w:color w:val="auto"/>
                <w:w w:val="96"/>
              </w:rPr>
              <w:t>Defaulting Lender Waterfall. Any payment of principal, interest, fees or other amounts received by Administrative Agent for the</w:t>
            </w:r>
          </w:p>
        </w:tc>
      </w:tr>
      <w:tr>
        <w:trPr>
          <w:trHeight w:val="20"/>
        </w:trPr>
        <w:tc>
          <w:tcPr>
            <w:tcW w:w="3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4"/>
        <w:spacing w:after="0" w:line="261" w:lineRule="auto"/>
        <w:rPr>
          <w:sz w:val="20"/>
          <w:szCs w:val="20"/>
          <w:color w:val="auto"/>
        </w:rPr>
      </w:pPr>
      <w:r>
        <w:rPr>
          <w:rFonts w:ascii="Arial" w:cs="Arial" w:eastAsia="Arial" w:hAnsi="Arial"/>
          <w:sz w:val="14"/>
          <w:szCs w:val="14"/>
          <w:color w:val="auto"/>
        </w:rPr>
        <w:t xml:space="preserve">account of such Defaulting Lender (whether voluntary or mandatory, at maturity, pursuant to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or otherwise) or received by Administrative Agent from a Defaulting Lender pursuant to </w:t>
      </w:r>
      <w:r>
        <w:rPr>
          <w:rFonts w:ascii="Arial" w:cs="Arial" w:eastAsia="Arial" w:hAnsi="Arial"/>
          <w:sz w:val="14"/>
          <w:szCs w:val="14"/>
          <w:u w:val="single" w:color="auto"/>
          <w:color w:val="auto"/>
        </w:rPr>
        <w:t>Section 9.08</w:t>
      </w:r>
      <w:r>
        <w:rPr>
          <w:rFonts w:ascii="Arial" w:cs="Arial" w:eastAsia="Arial" w:hAnsi="Arial"/>
          <w:sz w:val="14"/>
          <w:szCs w:val="14"/>
          <w:color w:val="auto"/>
        </w:rPr>
        <w:t xml:space="preserve"> shall be applied at such time or times as may be determined by Administrative Agent as follows: </w:t>
      </w:r>
      <w:r>
        <w:rPr>
          <w:rFonts w:ascii="Arial" w:cs="Arial" w:eastAsia="Arial" w:hAnsi="Arial"/>
          <w:sz w:val="14"/>
          <w:szCs w:val="14"/>
          <w:i w:val="1"/>
          <w:iCs w:val="1"/>
          <w:color w:val="auto"/>
        </w:rPr>
        <w:t>first</w:t>
      </w:r>
      <w:r>
        <w:rPr>
          <w:rFonts w:ascii="Arial" w:cs="Arial" w:eastAsia="Arial" w:hAnsi="Arial"/>
          <w:sz w:val="14"/>
          <w:szCs w:val="14"/>
          <w:color w:val="auto"/>
        </w:rPr>
        <w:t xml:space="preserve">, to the payment of any amounts owing by such Defaulting Lender to Administrative Agent hereunder; </w:t>
      </w:r>
      <w:r>
        <w:rPr>
          <w:rFonts w:ascii="Arial" w:cs="Arial" w:eastAsia="Arial" w:hAnsi="Arial"/>
          <w:sz w:val="14"/>
          <w:szCs w:val="14"/>
          <w:i w:val="1"/>
          <w:iCs w:val="1"/>
          <w:color w:val="auto"/>
        </w:rPr>
        <w:t>second</w:t>
      </w:r>
      <w:r>
        <w:rPr>
          <w:rFonts w:ascii="Arial" w:cs="Arial" w:eastAsia="Arial" w:hAnsi="Arial"/>
          <w:sz w:val="14"/>
          <w:szCs w:val="14"/>
          <w:color w:val="auto"/>
        </w:rPr>
        <w:t xml:space="preserve">, to the payment on a pro rata basis of any amounts owing by such Defaulting Lender to any Issuing Bank or any Swingline Lender hereunder; </w:t>
      </w:r>
      <w:r>
        <w:rPr>
          <w:rFonts w:ascii="Arial" w:cs="Arial" w:eastAsia="Arial" w:hAnsi="Arial"/>
          <w:sz w:val="14"/>
          <w:szCs w:val="14"/>
          <w:i w:val="1"/>
          <w:iCs w:val="1"/>
          <w:color w:val="auto"/>
        </w:rPr>
        <w:t>third</w:t>
      </w:r>
      <w:r>
        <w:rPr>
          <w:rFonts w:ascii="Arial" w:cs="Arial" w:eastAsia="Arial" w:hAnsi="Arial"/>
          <w:sz w:val="14"/>
          <w:szCs w:val="14"/>
          <w:color w:val="auto"/>
        </w:rPr>
        <w:t xml:space="preserve">, to Cash Collateralize each Issuing Bank’s Fronting Exposure with respect to such Defaulting Lender in the manner described in </w:t>
      </w:r>
      <w:r>
        <w:rPr>
          <w:rFonts w:ascii="Arial" w:cs="Arial" w:eastAsia="Arial" w:hAnsi="Arial"/>
          <w:sz w:val="14"/>
          <w:szCs w:val="14"/>
          <w:u w:val="single" w:color="auto"/>
          <w:color w:val="auto"/>
        </w:rPr>
        <w:t>Section 2.09(a)</w:t>
      </w:r>
      <w:r>
        <w:rPr>
          <w:rFonts w:ascii="Arial" w:cs="Arial" w:eastAsia="Arial" w:hAnsi="Arial"/>
          <w:sz w:val="14"/>
          <w:szCs w:val="14"/>
          <w:color w:val="auto"/>
        </w:rPr>
        <w:t xml:space="preserve">; </w:t>
      </w:r>
      <w:r>
        <w:rPr>
          <w:rFonts w:ascii="Arial" w:cs="Arial" w:eastAsia="Arial" w:hAnsi="Arial"/>
          <w:sz w:val="14"/>
          <w:szCs w:val="14"/>
          <w:i w:val="1"/>
          <w:iCs w:val="1"/>
          <w:color w:val="auto"/>
        </w:rPr>
        <w:t>fourth</w:t>
      </w:r>
      <w:r>
        <w:rPr>
          <w:rFonts w:ascii="Arial" w:cs="Arial" w:eastAsia="Arial" w:hAnsi="Arial"/>
          <w:sz w:val="14"/>
          <w:szCs w:val="14"/>
          <w:color w:val="auto"/>
        </w:rPr>
        <w:t xml:space="preserve">, as Borrower may request (so long as no Default exists), to the funding of any Loan in respect of which such Defaulting Lender has failed to fund its portion thereof as required by this Agreement, as determined by Administrative Agent; </w:t>
      </w:r>
      <w:r>
        <w:rPr>
          <w:rFonts w:ascii="Arial" w:cs="Arial" w:eastAsia="Arial" w:hAnsi="Arial"/>
          <w:sz w:val="14"/>
          <w:szCs w:val="14"/>
          <w:i w:val="1"/>
          <w:iCs w:val="1"/>
          <w:color w:val="auto"/>
        </w:rPr>
        <w:t>fifth</w:t>
      </w:r>
      <w:r>
        <w:rPr>
          <w:rFonts w:ascii="Arial" w:cs="Arial" w:eastAsia="Arial" w:hAnsi="Arial"/>
          <w:sz w:val="14"/>
          <w:szCs w:val="14"/>
          <w:color w:val="auto"/>
        </w:rPr>
        <w:t>, if so determined by Administrative Agent and Borrower, to be held in a deposit account and released pro rata in order to (x) satisfy such Defaulting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214630</wp:posOffset>
            </wp:positionV>
            <wp:extent cx="7211060"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194" w:name="page195"/>
    <w:bookmarkEnd w:id="194"/>
    <w:p>
      <w:pPr>
        <w:jc w:val="both"/>
        <w:spacing w:after="0" w:line="278" w:lineRule="auto"/>
        <w:rPr>
          <w:sz w:val="20"/>
          <w:szCs w:val="20"/>
          <w:color w:val="auto"/>
        </w:rPr>
      </w:pPr>
      <w:r>
        <w:rPr>
          <w:rFonts w:ascii="Arial" w:cs="Arial" w:eastAsia="Arial" w:hAnsi="Arial"/>
          <w:sz w:val="13"/>
          <w:szCs w:val="13"/>
          <w:color w:val="auto"/>
        </w:rPr>
        <w:t xml:space="preserve">Lender’s potential future funding obligations with respect to Loans under this Agreement and (y) Cash Collateralize each Issuing Bank’s future Fronting Exposure with respect to such Defaulting Lender with respect to future Letters of Credit issued under this Agreement, in the manner described in </w:t>
      </w:r>
      <w:r>
        <w:rPr>
          <w:rFonts w:ascii="Arial" w:cs="Arial" w:eastAsia="Arial" w:hAnsi="Arial"/>
          <w:sz w:val="13"/>
          <w:szCs w:val="13"/>
          <w:u w:val="single" w:color="auto"/>
          <w:color w:val="auto"/>
        </w:rPr>
        <w:t>Section 2.09(a)</w:t>
      </w:r>
      <w:r>
        <w:rPr>
          <w:rFonts w:ascii="Arial" w:cs="Arial" w:eastAsia="Arial" w:hAnsi="Arial"/>
          <w:sz w:val="13"/>
          <w:szCs w:val="13"/>
          <w:color w:val="auto"/>
        </w:rPr>
        <w:t xml:space="preserve">; </w:t>
      </w:r>
      <w:r>
        <w:rPr>
          <w:rFonts w:ascii="Arial" w:cs="Arial" w:eastAsia="Arial" w:hAnsi="Arial"/>
          <w:sz w:val="13"/>
          <w:szCs w:val="13"/>
          <w:i w:val="1"/>
          <w:iCs w:val="1"/>
          <w:color w:val="auto"/>
        </w:rPr>
        <w:t>sixth</w:t>
      </w:r>
      <w:r>
        <w:rPr>
          <w:rFonts w:ascii="Arial" w:cs="Arial" w:eastAsia="Arial" w:hAnsi="Arial"/>
          <w:sz w:val="13"/>
          <w:szCs w:val="13"/>
          <w:color w:val="auto"/>
        </w:rPr>
        <w:t xml:space="preserve">, to the payment of any amounts owing to the Lenders, Issuing Banks or Swingline Lenders as a result of any judgment of a court of competent jurisdiction obtained by any Lender, any Issuing Bank or any Swingline Lender against such Defaulting Lender as a result of such Defaulting Lender’s breach of its obligations under this Agreement; </w:t>
      </w:r>
      <w:r>
        <w:rPr>
          <w:rFonts w:ascii="Arial" w:cs="Arial" w:eastAsia="Arial" w:hAnsi="Arial"/>
          <w:sz w:val="13"/>
          <w:szCs w:val="13"/>
          <w:i w:val="1"/>
          <w:iCs w:val="1"/>
          <w:color w:val="auto"/>
        </w:rPr>
        <w:t>seventh</w:t>
      </w:r>
      <w:r>
        <w:rPr>
          <w:rFonts w:ascii="Arial" w:cs="Arial" w:eastAsia="Arial" w:hAnsi="Arial"/>
          <w:sz w:val="13"/>
          <w:szCs w:val="13"/>
          <w:color w:val="auto"/>
        </w:rPr>
        <w:t xml:space="preserve">, so long as no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3"/>
          <w:szCs w:val="13"/>
          <w:i w:val="1"/>
          <w:iCs w:val="1"/>
          <w:color w:val="auto"/>
        </w:rPr>
        <w:t>eighth</w:t>
      </w:r>
      <w:r>
        <w:rPr>
          <w:rFonts w:ascii="Arial" w:cs="Arial" w:eastAsia="Arial" w:hAnsi="Arial"/>
          <w:sz w:val="13"/>
          <w:szCs w:val="13"/>
          <w:color w:val="auto"/>
        </w:rPr>
        <w:t xml:space="preserve">, to such Defaulting Lender or as otherwise directed by a court of competent jurisdiction;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(x) such payment is a payment of the principal amount of any Loans or reimbursement obligations in respect of any LC Disbursement for which such Defaulting Lender has not fully funded its appropriate share, and (y) such Loans were made or the related Letters of Credit were issued at a time when the conditions set forth in </w:t>
      </w:r>
      <w:r>
        <w:rPr>
          <w:rFonts w:ascii="Arial" w:cs="Arial" w:eastAsia="Arial" w:hAnsi="Arial"/>
          <w:sz w:val="13"/>
          <w:szCs w:val="13"/>
          <w:u w:val="single" w:color="auto"/>
          <w:color w:val="auto"/>
        </w:rPr>
        <w:t>Section 4.02</w:t>
      </w:r>
      <w:r>
        <w:rPr>
          <w:rFonts w:ascii="Arial" w:cs="Arial" w:eastAsia="Arial" w:hAnsi="Arial"/>
          <w:sz w:val="13"/>
          <w:szCs w:val="13"/>
          <w:color w:val="auto"/>
        </w:rPr>
        <w:t xml:space="preserve"> were satisfied and waived, such payment shall be applied solely to pay the Loans of, and reimbursement obligations in respect of any LC Disbursement that is owed to, all Non-Defaulting Lenders on a pro rata basis prior to being applied to the payment of any Loans of, or reimbursement obligations in respect of any LC Disbursement that is owed to, such Defaulting Lender until such time as all Loans and funded and unfunded participations in Letters of Credit and Swingline Loans are held by the Lenders pro rata in accordance with the applicable Commitments without giving effect to </w:t>
      </w:r>
      <w:r>
        <w:rPr>
          <w:rFonts w:ascii="Arial" w:cs="Arial" w:eastAsia="Arial" w:hAnsi="Arial"/>
          <w:sz w:val="13"/>
          <w:szCs w:val="13"/>
          <w:u w:val="single" w:color="auto"/>
          <w:color w:val="auto"/>
        </w:rPr>
        <w:t>Section 2.19(a)(iii)</w:t>
      </w:r>
      <w:r>
        <w:rPr>
          <w:rFonts w:ascii="Arial" w:cs="Arial" w:eastAsia="Arial" w:hAnsi="Arial"/>
          <w:sz w:val="13"/>
          <w:szCs w:val="13"/>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3"/>
          <w:szCs w:val="13"/>
          <w:u w:val="single" w:color="auto"/>
          <w:color w:val="auto"/>
        </w:rPr>
        <w:t>Section 2.19(a)(i)</w:t>
      </w:r>
      <w:r>
        <w:rPr>
          <w:rFonts w:ascii="Arial" w:cs="Arial" w:eastAsia="Arial" w:hAnsi="Arial"/>
          <w:sz w:val="13"/>
          <w:szCs w:val="13"/>
          <w:color w:val="auto"/>
        </w:rPr>
        <w:t xml:space="preserve"> shall be deemed paid to and redirected by such Defaulting Lender, and each Lender irrevocably consents hereto.</w:t>
      </w:r>
    </w:p>
    <w:p>
      <w:pPr>
        <w:spacing w:after="0" w:line="93"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1280" w:type="dxa"/>
            <w:vAlign w:val="bottom"/>
          </w:tcPr>
          <w:p>
            <w:pPr>
              <w:spacing w:after="0"/>
              <w:rPr>
                <w:sz w:val="20"/>
                <w:szCs w:val="20"/>
                <w:color w:val="auto"/>
              </w:rPr>
            </w:pPr>
            <w:r>
              <w:rPr>
                <w:rFonts w:ascii="Arial" w:cs="Arial" w:eastAsia="Arial" w:hAnsi="Arial"/>
                <w:sz w:val="15"/>
                <w:szCs w:val="15"/>
                <w:color w:val="auto"/>
              </w:rPr>
              <w:t>(ii)</w:t>
            </w:r>
          </w:p>
        </w:tc>
        <w:tc>
          <w:tcPr>
            <w:tcW w:w="8360" w:type="dxa"/>
            <w:vAlign w:val="bottom"/>
            <w:gridSpan w:val="7"/>
          </w:tcPr>
          <w:p>
            <w:pPr>
              <w:ind w:left="280"/>
              <w:spacing w:after="0"/>
              <w:rPr>
                <w:sz w:val="20"/>
                <w:szCs w:val="20"/>
                <w:color w:val="auto"/>
              </w:rPr>
            </w:pPr>
            <w:r>
              <w:rPr>
                <w:rFonts w:ascii="Arial" w:cs="Arial" w:eastAsia="Arial" w:hAnsi="Arial"/>
                <w:sz w:val="15"/>
                <w:szCs w:val="15"/>
                <w:color w:val="auto"/>
              </w:rPr>
              <w:t>Certain Fees.</w:t>
            </w:r>
          </w:p>
        </w:tc>
      </w:tr>
      <w:tr>
        <w:trPr>
          <w:trHeight w:val="301"/>
        </w:trPr>
        <w:tc>
          <w:tcPr>
            <w:tcW w:w="1280" w:type="dxa"/>
            <w:vAlign w:val="bottom"/>
          </w:tcPr>
          <w:p>
            <w:pPr>
              <w:ind w:left="800"/>
              <w:spacing w:after="0"/>
              <w:rPr>
                <w:sz w:val="20"/>
                <w:szCs w:val="20"/>
                <w:color w:val="auto"/>
              </w:rPr>
            </w:pPr>
            <w:r>
              <w:rPr>
                <w:rFonts w:ascii="Arial" w:cs="Arial" w:eastAsia="Arial" w:hAnsi="Arial"/>
                <w:sz w:val="15"/>
                <w:szCs w:val="15"/>
                <w:color w:val="auto"/>
              </w:rPr>
              <w:t>(A)</w:t>
            </w:r>
          </w:p>
        </w:tc>
        <w:tc>
          <w:tcPr>
            <w:tcW w:w="2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320" w:type="dxa"/>
            <w:vAlign w:val="bottom"/>
            <w:gridSpan w:val="5"/>
          </w:tcPr>
          <w:p>
            <w:pPr>
              <w:ind w:left="520"/>
              <w:spacing w:after="0"/>
              <w:rPr>
                <w:sz w:val="20"/>
                <w:szCs w:val="20"/>
                <w:color w:val="auto"/>
              </w:rPr>
            </w:pPr>
            <w:r>
              <w:rPr>
                <w:rFonts w:ascii="Arial" w:cs="Arial" w:eastAsia="Arial" w:hAnsi="Arial"/>
                <w:sz w:val="15"/>
                <w:szCs w:val="15"/>
                <w:color w:val="auto"/>
                <w:w w:val="95"/>
              </w:rPr>
              <w:t>No Defaulting Lender shall be entitled to receive any fee pursuant to Sections 2.11(a) and (b) for any period</w:t>
            </w: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80" w:right="20"/>
        <w:spacing w:after="0" w:line="245" w:lineRule="auto"/>
        <w:rPr>
          <w:sz w:val="20"/>
          <w:szCs w:val="20"/>
          <w:color w:val="auto"/>
        </w:rPr>
      </w:pPr>
      <w:r>
        <w:rPr>
          <w:rFonts w:ascii="Arial" w:cs="Arial" w:eastAsia="Arial" w:hAnsi="Arial"/>
          <w:sz w:val="15"/>
          <w:szCs w:val="15"/>
          <w:color w:val="auto"/>
        </w:rPr>
        <w:t xml:space="preserve">during which that Lender is a Defaulting Lender (and Borrower shall not be required to pay any such fee that otherwise would have been required to have been paid to that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Defaulting Lender shall be entitled to receive fees pursuant to </w:t>
      </w:r>
      <w:r>
        <w:rPr>
          <w:rFonts w:ascii="Arial" w:cs="Arial" w:eastAsia="Arial" w:hAnsi="Arial"/>
          <w:sz w:val="15"/>
          <w:szCs w:val="15"/>
          <w:u w:val="single" w:color="auto"/>
          <w:color w:val="auto"/>
        </w:rPr>
        <w:t>Section 2.11(b)</w:t>
      </w:r>
      <w:r>
        <w:rPr>
          <w:rFonts w:ascii="Arial" w:cs="Arial" w:eastAsia="Arial" w:hAnsi="Arial"/>
          <w:sz w:val="15"/>
          <w:szCs w:val="15"/>
          <w:color w:val="auto"/>
        </w:rPr>
        <w:t xml:space="preserve"> for any period during which that Lender is a Defaulting Lender only to extent allocable to its Applicable Percentage of the stated amount of Letters of Credit for which it has provided Cash Collateral pursuant to </w:t>
      </w:r>
      <w:r>
        <w:rPr>
          <w:rFonts w:ascii="Arial" w:cs="Arial" w:eastAsia="Arial" w:hAnsi="Arial"/>
          <w:sz w:val="15"/>
          <w:szCs w:val="15"/>
          <w:u w:val="single" w:color="auto"/>
          <w:color w:val="auto"/>
        </w:rPr>
        <w:t>Section 2.19(d)</w:t>
      </w:r>
      <w:r>
        <w:rPr>
          <w:rFonts w:ascii="Arial" w:cs="Arial" w:eastAsia="Arial" w:hAnsi="Arial"/>
          <w:sz w:val="15"/>
          <w:szCs w:val="15"/>
          <w:color w:val="auto"/>
        </w:rPr>
        <w:t>.</w:t>
      </w:r>
    </w:p>
    <w:p>
      <w:pPr>
        <w:spacing w:after="0" w:line="128" w:lineRule="exact"/>
        <w:rPr>
          <w:sz w:val="20"/>
          <w:szCs w:val="20"/>
          <w:color w:val="auto"/>
        </w:rPr>
      </w:pPr>
    </w:p>
    <w:p>
      <w:pPr>
        <w:jc w:val="both"/>
        <w:ind w:left="880" w:firstLine="735"/>
        <w:spacing w:after="0" w:line="268" w:lineRule="auto"/>
        <w:rPr>
          <w:sz w:val="20"/>
          <w:szCs w:val="20"/>
          <w:color w:val="auto"/>
        </w:rPr>
      </w:pPr>
      <w:r>
        <w:rPr>
          <w:rFonts w:ascii="Arial" w:cs="Arial" w:eastAsia="Arial" w:hAnsi="Arial"/>
          <w:sz w:val="14"/>
          <w:szCs w:val="14"/>
          <w:color w:val="auto"/>
        </w:rPr>
        <w:t xml:space="preserve">(B) With respect to any </w:t>
      </w:r>
      <w:r>
        <w:rPr>
          <w:rFonts w:ascii="Arial" w:cs="Arial" w:eastAsia="Arial" w:hAnsi="Arial"/>
          <w:sz w:val="14"/>
          <w:szCs w:val="14"/>
          <w:u w:val="single" w:color="auto"/>
          <w:color w:val="auto"/>
        </w:rPr>
        <w:t>Section 2.11(b)</w:t>
      </w:r>
      <w:r>
        <w:rPr>
          <w:rFonts w:ascii="Arial" w:cs="Arial" w:eastAsia="Arial" w:hAnsi="Arial"/>
          <w:sz w:val="14"/>
          <w:szCs w:val="14"/>
          <w:color w:val="auto"/>
        </w:rPr>
        <w:t xml:space="preserve"> fees not required to be paid to any Defaulting Lender pursuant to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above,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w:t>
      </w:r>
      <w:r>
        <w:rPr>
          <w:rFonts w:ascii="Arial" w:cs="Arial" w:eastAsia="Arial" w:hAnsi="Arial"/>
          <w:sz w:val="14"/>
          <w:szCs w:val="14"/>
          <w:u w:val="single" w:color="auto"/>
          <w:color w:val="auto"/>
        </w:rPr>
        <w:t>clause (iii)</w:t>
      </w:r>
      <w:r>
        <w:rPr>
          <w:rFonts w:ascii="Arial" w:cs="Arial" w:eastAsia="Arial" w:hAnsi="Arial"/>
          <w:sz w:val="14"/>
          <w:szCs w:val="14"/>
          <w:color w:val="auto"/>
        </w:rPr>
        <w:t xml:space="preserve"> below, (y) pay to each Issuing Bank the amount of any such fee otherwise payable to such Defaulting Lender to the extent allocable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212090</wp:posOffset>
            </wp:positionV>
            <wp:extent cx="721106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440"/>
          </w:cols>
          <w:pgMar w:left="1160" w:top="295" w:right="299" w:bottom="1440" w:gutter="0" w:footer="0" w:header="0"/>
        </w:sectPr>
      </w:pPr>
    </w:p>
    <w:bookmarkStart w:id="195" w:name="page196"/>
    <w:bookmarkEnd w:id="195"/>
    <w:p>
      <w:pPr>
        <w:ind w:left="1740"/>
        <w:spacing w:after="0"/>
        <w:rPr>
          <w:sz w:val="20"/>
          <w:szCs w:val="20"/>
          <w:color w:val="auto"/>
        </w:rPr>
      </w:pPr>
      <w:r>
        <w:rPr>
          <w:rFonts w:ascii="Arial" w:cs="Arial" w:eastAsia="Arial" w:hAnsi="Arial"/>
          <w:sz w:val="15"/>
          <w:szCs w:val="15"/>
          <w:color w:val="auto"/>
        </w:rPr>
        <w:t>such Issuing Bank’s Fronting Exposure to such Defaulting Lender, and (z) not be required to pay the remaining amount of any such fee.</w:t>
      </w:r>
    </w:p>
    <w:p>
      <w:pPr>
        <w:spacing w:after="0" w:line="149" w:lineRule="exact"/>
        <w:rPr>
          <w:sz w:val="20"/>
          <w:szCs w:val="20"/>
          <w:color w:val="auto"/>
        </w:rPr>
      </w:pPr>
    </w:p>
    <w:p>
      <w:pPr>
        <w:jc w:val="both"/>
        <w:ind w:left="860" w:firstLine="802"/>
        <w:spacing w:after="0" w:line="259" w:lineRule="auto"/>
        <w:rPr>
          <w:sz w:val="20"/>
          <w:szCs w:val="20"/>
          <w:color w:val="auto"/>
        </w:rPr>
      </w:pPr>
      <w:r>
        <w:rPr>
          <w:rFonts w:ascii="Arial" w:cs="Arial" w:eastAsia="Arial" w:hAnsi="Arial"/>
          <w:sz w:val="14"/>
          <w:szCs w:val="14"/>
          <w:color w:val="auto"/>
        </w:rPr>
        <w:t xml:space="preserve">(iii) </w:t>
      </w:r>
      <w:r>
        <w:rPr>
          <w:rFonts w:ascii="Arial" w:cs="Arial" w:eastAsia="Arial" w:hAnsi="Arial"/>
          <w:sz w:val="14"/>
          <w:szCs w:val="14"/>
          <w:u w:val="single" w:color="auto"/>
          <w:color w:val="auto"/>
        </w:rPr>
        <w:t>Reallocation of Participations to Reduce Fronting Exposure</w:t>
      </w:r>
      <w:r>
        <w:rPr>
          <w:rFonts w:ascii="Arial" w:cs="Arial" w:eastAsia="Arial" w:hAnsi="Arial"/>
          <w:sz w:val="14"/>
          <w:szCs w:val="14"/>
          <w:color w:val="auto"/>
        </w:rPr>
        <w:t xml:space="preserve">. All or any part of such Defaulting Lender’s participation in Letters of Credit and Swingline Loans shall be reallocated (effective no later than one (1) Business Day after the Administrative Agent has actual knowledge that such Lender has become a Defaulting Lender) among the Non-Defaulting Lenders in accordance with their respective Applicable Dollar Percentages and Applicable Multicurrency Percentages, as the case may be (in each case calculated without regard to such Defaulting Lender’s Commitment), but only to the extent that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Arial" w:cs="Arial" w:eastAsia="Arial" w:hAnsi="Arial"/>
          <w:sz w:val="14"/>
          <w:szCs w:val="14"/>
          <w:u w:val="single" w:color="auto"/>
          <w:color w:val="auto"/>
        </w:rPr>
        <w:t>Section 9.17</w:t>
      </w:r>
      <w:r>
        <w:rPr>
          <w:rFonts w:ascii="Arial" w:cs="Arial" w:eastAsia="Arial" w:hAnsi="Arial"/>
          <w:sz w:val="14"/>
          <w:szCs w:val="14"/>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9" w:lineRule="exact"/>
        <w:rPr>
          <w:sz w:val="20"/>
          <w:szCs w:val="20"/>
          <w:color w:val="auto"/>
        </w:rPr>
      </w:pPr>
    </w:p>
    <w:p>
      <w:pPr>
        <w:jc w:val="both"/>
        <w:ind w:left="860" w:firstLine="802"/>
        <w:spacing w:after="0"/>
        <w:rPr>
          <w:sz w:val="20"/>
          <w:szCs w:val="20"/>
          <w:color w:val="auto"/>
        </w:rPr>
      </w:pPr>
      <w:r>
        <w:rPr>
          <w:rFonts w:ascii="Arial" w:cs="Arial" w:eastAsia="Arial" w:hAnsi="Arial"/>
          <w:sz w:val="15"/>
          <w:szCs w:val="15"/>
          <w:color w:val="auto"/>
        </w:rPr>
        <w:t xml:space="preserve">(iv) </w:t>
      </w:r>
      <w:r>
        <w:rPr>
          <w:rFonts w:ascii="Arial" w:cs="Arial" w:eastAsia="Arial" w:hAnsi="Arial"/>
          <w:sz w:val="15"/>
          <w:szCs w:val="15"/>
          <w:u w:val="single" w:color="auto"/>
          <w:color w:val="auto"/>
        </w:rPr>
        <w:t>Cash Collateral; Repayment of Swingline Loans</w:t>
      </w:r>
      <w:r>
        <w:rPr>
          <w:rFonts w:ascii="Arial" w:cs="Arial" w:eastAsia="Arial" w:hAnsi="Arial"/>
          <w:sz w:val="15"/>
          <w:szCs w:val="15"/>
          <w:color w:val="auto"/>
        </w:rPr>
        <w:t xml:space="preserve">. If the reallocation described in </w:t>
      </w:r>
      <w:r>
        <w:rPr>
          <w:rFonts w:ascii="Arial" w:cs="Arial" w:eastAsia="Arial" w:hAnsi="Arial"/>
          <w:sz w:val="15"/>
          <w:szCs w:val="15"/>
          <w:u w:val="single" w:color="auto"/>
          <w:color w:val="auto"/>
        </w:rPr>
        <w:t>clause (iii)</w:t>
      </w:r>
      <w:r>
        <w:rPr>
          <w:rFonts w:ascii="Arial" w:cs="Arial" w:eastAsia="Arial" w:hAnsi="Arial"/>
          <w:sz w:val="15"/>
          <w:szCs w:val="15"/>
          <w:color w:val="auto"/>
        </w:rPr>
        <w:t xml:space="preserve"> above cannot, or can only partially, be effected, the Borrower shall not later than two (2) Business Days after demand by the Administrative Agent (at the direction of any Issuing Bank and/or any Swingline Lender), without prejudice to any right or remedy available to it hereunder or under law, (x) first, prepay Swingline Loans in an amount equal to the Swingline Lenders’ Swingline Exposure (which exposure shall be deemed equal to the applicable Defaulting Lender’s Applicable Percentage of the total outstanding Swingline Exposure (other than Swingline Exposure as to which such Defaulting Lender’s participation obligation has been reallocated to other Lenders or Cash Collateralized in accordance with the terms hereof)) and (y) second, Cash Collateralize each Issuing Bank’s Fronting Exposure in accordance with the procedures set forth in </w:t>
      </w:r>
      <w:r>
        <w:rPr>
          <w:rFonts w:ascii="Arial" w:cs="Arial" w:eastAsia="Arial" w:hAnsi="Arial"/>
          <w:sz w:val="15"/>
          <w:szCs w:val="15"/>
          <w:u w:val="single" w:color="auto"/>
          <w:color w:val="auto"/>
        </w:rPr>
        <w:t>Section 2.19(d)</w:t>
      </w:r>
      <w:r>
        <w:rPr>
          <w:rFonts w:ascii="Arial" w:cs="Arial" w:eastAsia="Arial" w:hAnsi="Arial"/>
          <w:sz w:val="15"/>
          <w:szCs w:val="15"/>
          <w:color w:val="auto"/>
        </w:rPr>
        <w:t xml:space="preserve"> or (z) make other arrangements reasonably satisfactory to the Administrative Agent, the Issuing Banks and the Swingline Lenders in their sole discretion to protect them against the risk of non-payment by such Defaulting Lender.</w:t>
      </w:r>
    </w:p>
    <w:p>
      <w:pPr>
        <w:spacing w:after="0" w:line="133"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Defaulting Lender Cure</w:t>
      </w:r>
      <w:r>
        <w:rPr>
          <w:rFonts w:ascii="Arial" w:cs="Arial" w:eastAsia="Arial" w:hAnsi="Arial"/>
          <w:sz w:val="15"/>
          <w:szCs w:val="15"/>
          <w:color w:val="auto"/>
        </w:rPr>
        <w:t xml:space="preserve">. If the Borrower, the Administrative Agent, the Swingline Lenders and the Issuing Banks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such former Defaulting Lender will, to the extent applicable, purchase at par that portion of outstanding Loans of the other Lenders or take such other actions as Administrative Agent may determine to be necessary to cause the Loans and funded and unfunded participations in Letters of Credit and Swingline Loans to be held pro rata by the Lenders in accordance with the applicable Commitments (without giving effect to </w:t>
      </w:r>
      <w:r>
        <w:rPr>
          <w:rFonts w:ascii="Arial" w:cs="Arial" w:eastAsia="Arial" w:hAnsi="Arial"/>
          <w:sz w:val="15"/>
          <w:szCs w:val="15"/>
          <w:u w:val="single" w:color="auto"/>
          <w:color w:val="auto"/>
        </w:rPr>
        <w:t>Section 2.19(a)(iii)</w:t>
      </w:r>
      <w:r>
        <w:rPr>
          <w:rFonts w:ascii="Arial" w:cs="Arial" w:eastAsia="Arial" w:hAnsi="Arial"/>
          <w:sz w:val="15"/>
          <w:szCs w:val="15"/>
          <w:color w:val="auto"/>
        </w:rPr>
        <w:t xml:space="preserve">), and if Cash Collateral has been posted with respect to such Defaulting Lender, the Administrative Agent will promptly return or release such Cash Collateral to the Borrower, whereupon such Lender will cease to be a Defaulting Lender;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adjustments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96" w:name="page197"/>
    <w:bookmarkEnd w:id="196"/>
    <w:p>
      <w:pPr>
        <w:jc w:val="both"/>
        <w:spacing w:after="0" w:line="249" w:lineRule="auto"/>
        <w:rPr>
          <w:sz w:val="20"/>
          <w:szCs w:val="20"/>
          <w:color w:val="auto"/>
        </w:rPr>
      </w:pPr>
      <w:r>
        <w:rPr>
          <w:rFonts w:ascii="Arial" w:cs="Arial" w:eastAsia="Arial" w:hAnsi="Arial"/>
          <w:sz w:val="15"/>
          <w:szCs w:val="15"/>
          <w:color w:val="auto"/>
        </w:rPr>
        <w:t xml:space="preserve">be made retroactively with respect to fees accrued or payments made by or on behalf of Borrower while that Lender was a Defaulting Lender;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25" w:lineRule="exact"/>
        <w:rPr>
          <w:sz w:val="20"/>
          <w:szCs w:val="20"/>
          <w:color w:val="auto"/>
        </w:rPr>
      </w:pPr>
    </w:p>
    <w:p>
      <w:pPr>
        <w:jc w:val="both"/>
        <w:ind w:right="20" w:firstLine="1737"/>
        <w:spacing w:after="0" w:line="241"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New Swingline Loans/Letters of Credit</w:t>
      </w:r>
      <w:r>
        <w:rPr>
          <w:rFonts w:ascii="Arial" w:cs="Arial" w:eastAsia="Arial" w:hAnsi="Arial"/>
          <w:sz w:val="15"/>
          <w:szCs w:val="15"/>
          <w:color w:val="auto"/>
        </w:rPr>
        <w:t xml:space="preserve">. So long as any Lender is a Defaulting Lender, (i) no Swingline Lender shall be required to fund any Swingline Loans unless it is satisfied that the participations therein will be fully allocated among Non-Defaulting Lenders in a manner consistent with </w:t>
      </w:r>
      <w:r>
        <w:rPr>
          <w:rFonts w:ascii="Arial" w:cs="Arial" w:eastAsia="Arial" w:hAnsi="Arial"/>
          <w:sz w:val="15"/>
          <w:szCs w:val="15"/>
          <w:u w:val="single" w:color="auto"/>
          <w:color w:val="auto"/>
        </w:rPr>
        <w:t>clause (a)(iii)</w:t>
      </w:r>
      <w:r>
        <w:rPr>
          <w:rFonts w:ascii="Arial" w:cs="Arial" w:eastAsia="Arial" w:hAnsi="Arial"/>
          <w:sz w:val="15"/>
          <w:szCs w:val="15"/>
          <w:color w:val="auto"/>
        </w:rPr>
        <w:t xml:space="preserve"> above and the Defaulting Lender shall not participate therein and (ii) no Issuing Bank shall be required to issue, extend, renew or increase any Letter of Credit unless it is satisfied that the participations in any existing Letters of Credit as well as the new, extended, renewed or increased Letter of Credit has been or will be fully allocated among the Non-Defaulting Lenders in a manner consistent with </w:t>
      </w:r>
      <w:r>
        <w:rPr>
          <w:rFonts w:ascii="Arial" w:cs="Arial" w:eastAsia="Arial" w:hAnsi="Arial"/>
          <w:sz w:val="15"/>
          <w:szCs w:val="15"/>
          <w:u w:val="single" w:color="auto"/>
          <w:color w:val="auto"/>
        </w:rPr>
        <w:t>clause (a)(iii)</w:t>
      </w:r>
      <w:r>
        <w:rPr>
          <w:rFonts w:ascii="Arial" w:cs="Arial" w:eastAsia="Arial" w:hAnsi="Arial"/>
          <w:sz w:val="15"/>
          <w:szCs w:val="15"/>
          <w:color w:val="auto"/>
        </w:rPr>
        <w:t xml:space="preserve"> above and such Defaulting Lender shall not participate therein except to the extent such Defaulting Lender’s participation has been or will be fully Cash Collateralized in accordance with </w:t>
      </w:r>
      <w:r>
        <w:rPr>
          <w:rFonts w:ascii="Arial" w:cs="Arial" w:eastAsia="Arial" w:hAnsi="Arial"/>
          <w:sz w:val="15"/>
          <w:szCs w:val="15"/>
          <w:u w:val="single" w:color="auto"/>
          <w:color w:val="auto"/>
        </w:rPr>
        <w:t>Section 2.19(d)</w:t>
      </w:r>
      <w:r>
        <w:rPr>
          <w:rFonts w:ascii="Arial" w:cs="Arial" w:eastAsia="Arial" w:hAnsi="Arial"/>
          <w:sz w:val="15"/>
          <w:szCs w:val="15"/>
          <w:color w:val="auto"/>
        </w:rPr>
        <w:t>.</w:t>
      </w:r>
    </w:p>
    <w:p>
      <w:pPr>
        <w:spacing w:after="0" w:line="133"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Cash Collateral</w:t>
      </w:r>
      <w:r>
        <w:rPr>
          <w:rFonts w:ascii="Arial" w:cs="Arial" w:eastAsia="Arial" w:hAnsi="Arial"/>
          <w:sz w:val="14"/>
          <w:szCs w:val="14"/>
          <w:color w:val="auto"/>
        </w:rPr>
        <w:t xml:space="preserve">. At any time that there shall exist a Defaulting Lender, promptly following the written request of Administrative Agent or any Issuing Bank (with a copy to Administrative Agent) Borrower shall Cash Collateralize each Issuing Bank’s Fronting Exposure with respect to such Defaulting Lender (determined after giving effect to </w:t>
      </w:r>
      <w:r>
        <w:rPr>
          <w:rFonts w:ascii="Arial" w:cs="Arial" w:eastAsia="Arial" w:hAnsi="Arial"/>
          <w:sz w:val="14"/>
          <w:szCs w:val="14"/>
          <w:u w:val="single" w:color="auto"/>
          <w:color w:val="auto"/>
        </w:rPr>
        <w:t>Section 2.19(a)(iii)</w:t>
      </w:r>
      <w:r>
        <w:rPr>
          <w:rFonts w:ascii="Arial" w:cs="Arial" w:eastAsia="Arial" w:hAnsi="Arial"/>
          <w:sz w:val="14"/>
          <w:szCs w:val="14"/>
          <w:color w:val="auto"/>
        </w:rPr>
        <w:t xml:space="preserve"> and any Cash Collateral provided by such Defaulting Lender) in an amount not less than the Minimum Collateral Amount.</w:t>
      </w:r>
    </w:p>
    <w:p>
      <w:pPr>
        <w:spacing w:after="0" w:line="108" w:lineRule="exact"/>
        <w:rPr>
          <w:sz w:val="20"/>
          <w:szCs w:val="20"/>
          <w:color w:val="auto"/>
        </w:rPr>
      </w:pPr>
    </w:p>
    <w:p>
      <w:pPr>
        <w:jc w:val="both"/>
        <w:ind w:left="860" w:right="20" w:firstLine="802"/>
        <w:spacing w:after="0" w:line="239" w:lineRule="auto"/>
        <w:rPr>
          <w:sz w:val="20"/>
          <w:szCs w:val="20"/>
          <w:color w:val="auto"/>
        </w:rPr>
      </w:pPr>
      <w:r>
        <w:rPr>
          <w:rFonts w:ascii="Arial" w:cs="Arial" w:eastAsia="Arial" w:hAnsi="Arial"/>
          <w:sz w:val="15"/>
          <w:szCs w:val="15"/>
          <w:color w:val="auto"/>
        </w:rPr>
        <w:t xml:space="preserve">(i) </w:t>
      </w:r>
      <w:r>
        <w:rPr>
          <w:rFonts w:ascii="Arial" w:cs="Arial" w:eastAsia="Arial" w:hAnsi="Arial"/>
          <w:sz w:val="15"/>
          <w:szCs w:val="15"/>
          <w:u w:val="single" w:color="auto"/>
          <w:color w:val="auto"/>
        </w:rPr>
        <w:t>Grant of Security Interest</w:t>
      </w:r>
      <w:r>
        <w:rPr>
          <w:rFonts w:ascii="Arial" w:cs="Arial" w:eastAsia="Arial" w:hAnsi="Arial"/>
          <w:sz w:val="15"/>
          <w:szCs w:val="15"/>
          <w:color w:val="auto"/>
        </w:rPr>
        <w:t xml:space="preserve">. Borrower, and to the extent provided by any Defaulting Lender, such Defaulting Lender, hereby grants to (and subjects to the control of) Administrative Agent, for the benefit of the Issuing Banks, and agrees to maintain, a first priority security interest in all such Cash Collateral as security for the Defaulting Lenders’ obligation to fund participations in respect of Letters of Credit, to be applied pursuant to </w:t>
      </w:r>
      <w:r>
        <w:rPr>
          <w:rFonts w:ascii="Arial" w:cs="Arial" w:eastAsia="Arial" w:hAnsi="Arial"/>
          <w:sz w:val="15"/>
          <w:szCs w:val="15"/>
          <w:u w:val="single" w:color="auto"/>
          <w:color w:val="auto"/>
        </w:rPr>
        <w:t>clause (ii)</w:t>
      </w:r>
      <w:r>
        <w:rPr>
          <w:rFonts w:ascii="Arial" w:cs="Arial" w:eastAsia="Arial" w:hAnsi="Arial"/>
          <w:sz w:val="15"/>
          <w:szCs w:val="15"/>
          <w:color w:val="auto"/>
        </w:rPr>
        <w:t xml:space="preserve"> below. If at any time Administrative Agent determines that Cash Collateral is subject to any right or claim of any Person other than Administrative Agent and the Issuing Banks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(after giving effect to any Cash Collateral provided by the Defaulting Lender). All Cash Collateral (other than credit support not constituting funds subject to deposit) shall be maintained in blocked, non-interest bearing deposit accounts at Truist. Borrower shall pay on demand therefor from time to time all reasonable and customary account opening, activity and other administrative fees and charges in connection with the maintenance and disbursement of Cash Collateral.</w:t>
      </w:r>
    </w:p>
    <w:p>
      <w:pPr>
        <w:spacing w:after="0" w:line="137" w:lineRule="exact"/>
        <w:rPr>
          <w:sz w:val="20"/>
          <w:szCs w:val="20"/>
          <w:color w:val="auto"/>
        </w:rPr>
      </w:pPr>
    </w:p>
    <w:p>
      <w:pPr>
        <w:jc w:val="both"/>
        <w:ind w:left="860" w:firstLine="802"/>
        <w:spacing w:after="0" w:line="249" w:lineRule="auto"/>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Application</w:t>
      </w:r>
      <w:r>
        <w:rPr>
          <w:rFonts w:ascii="Arial" w:cs="Arial" w:eastAsia="Arial" w:hAnsi="Arial"/>
          <w:sz w:val="15"/>
          <w:szCs w:val="15"/>
          <w:color w:val="auto"/>
        </w:rPr>
        <w:t xml:space="preserve">. Notwithstanding anything to the contrary contained in this Agreement, Cash Collateral provided under this </w:t>
      </w:r>
      <w:r>
        <w:rPr>
          <w:rFonts w:ascii="Arial" w:cs="Arial" w:eastAsia="Arial" w:hAnsi="Arial"/>
          <w:sz w:val="15"/>
          <w:szCs w:val="15"/>
          <w:u w:val="single" w:color="auto"/>
          <w:color w:val="auto"/>
        </w:rPr>
        <w:t>Section 2.19</w:t>
      </w:r>
      <w:r>
        <w:rPr>
          <w:rFonts w:ascii="Arial" w:cs="Arial" w:eastAsia="Arial" w:hAnsi="Arial"/>
          <w:sz w:val="15"/>
          <w:szCs w:val="15"/>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97" w:name="page198"/>
    <w:bookmarkEnd w:id="197"/>
    <w:p>
      <w:pPr>
        <w:ind w:left="860"/>
        <w:spacing w:after="0"/>
        <w:rPr>
          <w:sz w:val="20"/>
          <w:szCs w:val="20"/>
          <w:color w:val="auto"/>
        </w:rPr>
      </w:pPr>
      <w:r>
        <w:rPr>
          <w:rFonts w:ascii="Arial" w:cs="Arial" w:eastAsia="Arial" w:hAnsi="Arial"/>
          <w:sz w:val="15"/>
          <w:szCs w:val="15"/>
          <w:color w:val="auto"/>
        </w:rPr>
        <w:t>was so provided, prior to any other application of such property as may otherwise be provided for herein.</w:t>
      </w:r>
    </w:p>
    <w:p>
      <w:pPr>
        <w:spacing w:after="0" w:line="149" w:lineRule="exact"/>
        <w:rPr>
          <w:sz w:val="20"/>
          <w:szCs w:val="20"/>
          <w:color w:val="auto"/>
        </w:rPr>
      </w:pPr>
    </w:p>
    <w:p>
      <w:pPr>
        <w:jc w:val="both"/>
        <w:ind w:left="860" w:right="20" w:firstLine="802"/>
        <w:spacing w:after="0" w:line="241" w:lineRule="auto"/>
        <w:rPr>
          <w:sz w:val="20"/>
          <w:szCs w:val="20"/>
          <w:color w:val="auto"/>
        </w:rPr>
      </w:pPr>
      <w:r>
        <w:rPr>
          <w:rFonts w:ascii="Arial" w:cs="Arial" w:eastAsia="Arial" w:hAnsi="Arial"/>
          <w:sz w:val="15"/>
          <w:szCs w:val="15"/>
          <w:color w:val="auto"/>
        </w:rPr>
        <w:t xml:space="preserve">(iii) </w:t>
      </w:r>
      <w:r>
        <w:rPr>
          <w:rFonts w:ascii="Arial" w:cs="Arial" w:eastAsia="Arial" w:hAnsi="Arial"/>
          <w:sz w:val="15"/>
          <w:szCs w:val="15"/>
          <w:u w:val="single" w:color="auto"/>
          <w:color w:val="auto"/>
        </w:rPr>
        <w:t>Termination of Requirement</w:t>
      </w:r>
      <w:r>
        <w:rPr>
          <w:rFonts w:ascii="Arial" w:cs="Arial" w:eastAsia="Arial" w:hAnsi="Arial"/>
          <w:sz w:val="15"/>
          <w:szCs w:val="15"/>
          <w:color w:val="auto"/>
        </w:rPr>
        <w:t xml:space="preserve">. Cash Collateral (or the appropriate portion thereof) provided to reduce Issuing Bank’s Fronting Exposure shall no longer be required to be held as Cash Collateral pursuant to this </w:t>
      </w:r>
      <w:r>
        <w:rPr>
          <w:rFonts w:ascii="Arial" w:cs="Arial" w:eastAsia="Arial" w:hAnsi="Arial"/>
          <w:sz w:val="15"/>
          <w:szCs w:val="15"/>
          <w:u w:val="single" w:color="auto"/>
          <w:color w:val="auto"/>
        </w:rPr>
        <w:t>Section 2.19</w:t>
      </w:r>
      <w:r>
        <w:rPr>
          <w:rFonts w:ascii="Arial" w:cs="Arial" w:eastAsia="Arial" w:hAnsi="Arial"/>
          <w:sz w:val="15"/>
          <w:szCs w:val="15"/>
          <w:color w:val="auto"/>
        </w:rPr>
        <w:t xml:space="preserve"> following (i) the elimination of the applicable Fronting Exposure (including by the termination of Defaulting Lender status of the applicable Lender) or (ii) the determination by Administrative Agent and the Issuing Banks that there exists excess Cash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subject to the other provisions of this </w:t>
      </w:r>
      <w:r>
        <w:rPr>
          <w:rFonts w:ascii="Arial" w:cs="Arial" w:eastAsia="Arial" w:hAnsi="Arial"/>
          <w:sz w:val="15"/>
          <w:szCs w:val="15"/>
          <w:u w:val="single" w:color="auto"/>
          <w:color w:val="auto"/>
        </w:rPr>
        <w:t>Section 2.19</w:t>
      </w:r>
      <w:r>
        <w:rPr>
          <w:rFonts w:ascii="Arial" w:cs="Arial" w:eastAsia="Arial" w:hAnsi="Arial"/>
          <w:sz w:val="15"/>
          <w:szCs w:val="15"/>
          <w:color w:val="auto"/>
        </w:rPr>
        <w:t xml:space="preserve">, the Person providing Cash Collateral and each Issuing Bank may agree that Cash Collateral shall be held to support future anticipated Fronting Exposure;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to the extent that such Cash Collateral was provided by Borrower, such Cash Collateral shall remain subject to the security interest granted pursuant to the Loan Documents.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ind w:left="1740"/>
              <w:spacing w:after="0"/>
              <w:rPr>
                <w:sz w:val="20"/>
                <w:szCs w:val="20"/>
                <w:color w:val="auto"/>
              </w:rPr>
            </w:pPr>
            <w:r>
              <w:rPr>
                <w:rFonts w:ascii="Arial" w:cs="Arial" w:eastAsia="Arial" w:hAnsi="Arial"/>
                <w:sz w:val="15"/>
                <w:szCs w:val="15"/>
                <w:color w:val="auto"/>
              </w:rPr>
              <w:t>SECTION 2.20.</w:t>
            </w:r>
          </w:p>
        </w:tc>
        <w:tc>
          <w:tcPr>
            <w:tcW w:w="320" w:type="dxa"/>
            <w:vAlign w:val="bottom"/>
          </w:tcPr>
          <w:p>
            <w:pPr>
              <w:spacing w:after="0"/>
              <w:rPr>
                <w:sz w:val="14"/>
                <w:szCs w:val="14"/>
                <w:color w:val="auto"/>
              </w:rPr>
            </w:pPr>
          </w:p>
        </w:tc>
        <w:tc>
          <w:tcPr>
            <w:tcW w:w="8020" w:type="dxa"/>
            <w:vAlign w:val="bottom"/>
            <w:gridSpan w:val="4"/>
          </w:tcPr>
          <w:p>
            <w:pPr>
              <w:ind w:left="1600"/>
              <w:spacing w:after="0"/>
              <w:rPr>
                <w:sz w:val="20"/>
                <w:szCs w:val="20"/>
                <w:color w:val="auto"/>
              </w:rPr>
            </w:pPr>
            <w:r>
              <w:rPr>
                <w:rFonts w:ascii="Arial" w:cs="Arial" w:eastAsia="Arial" w:hAnsi="Arial"/>
                <w:sz w:val="15"/>
                <w:szCs w:val="15"/>
                <w:color w:val="auto"/>
              </w:rPr>
              <w:t>Reallocation Following a Non-Extended Commitment Termination Date</w:t>
            </w:r>
          </w:p>
        </w:tc>
      </w:tr>
      <w:tr>
        <w:trPr>
          <w:trHeight w:val="336"/>
        </w:trPr>
        <w:tc>
          <w:tcPr>
            <w:tcW w:w="2940" w:type="dxa"/>
            <w:vAlign w:val="bottom"/>
          </w:tcPr>
          <w:p>
            <w:pPr>
              <w:jc w:val="right"/>
              <w:ind w:right="2831"/>
              <w:spacing w:after="0"/>
              <w:rPr>
                <w:sz w:val="20"/>
                <w:szCs w:val="20"/>
                <w:color w:val="auto"/>
              </w:rPr>
            </w:pPr>
            <w:r>
              <w:rPr>
                <w:rFonts w:ascii="Arial" w:cs="Arial" w:eastAsia="Arial" w:hAnsi="Arial"/>
                <w:sz w:val="10"/>
                <w:szCs w:val="10"/>
                <w:color w:val="auto"/>
                <w:w w:val="70"/>
              </w:rPr>
              <w:t>.</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r>
      <w:tr>
        <w:trPr>
          <w:trHeight w:val="287"/>
        </w:trPr>
        <w:tc>
          <w:tcPr>
            <w:tcW w:w="2940" w:type="dxa"/>
            <w:vAlign w:val="bottom"/>
          </w:tcPr>
          <w:p>
            <w:pPr>
              <w:ind w:left="1740"/>
              <w:spacing w:after="0"/>
              <w:rPr>
                <w:sz w:val="20"/>
                <w:szCs w:val="20"/>
                <w:color w:val="auto"/>
              </w:rPr>
            </w:pPr>
            <w:r>
              <w:rPr>
                <w:rFonts w:ascii="Arial" w:cs="Arial" w:eastAsia="Arial" w:hAnsi="Arial"/>
                <w:sz w:val="15"/>
                <w:szCs w:val="15"/>
                <w:color w:val="auto"/>
              </w:rPr>
              <w:t>(a)</w:t>
            </w:r>
          </w:p>
        </w:tc>
        <w:tc>
          <w:tcPr>
            <w:tcW w:w="320" w:type="dxa"/>
            <w:vAlign w:val="bottom"/>
          </w:tcPr>
          <w:p>
            <w:pPr>
              <w:spacing w:after="0"/>
              <w:rPr>
                <w:sz w:val="24"/>
                <w:szCs w:val="24"/>
                <w:color w:val="auto"/>
              </w:rPr>
            </w:pPr>
          </w:p>
        </w:tc>
        <w:tc>
          <w:tcPr>
            <w:tcW w:w="8020" w:type="dxa"/>
            <w:vAlign w:val="bottom"/>
            <w:gridSpan w:val="4"/>
          </w:tcPr>
          <w:p>
            <w:pPr>
              <w:spacing w:after="0"/>
              <w:rPr>
                <w:sz w:val="20"/>
                <w:szCs w:val="20"/>
                <w:color w:val="auto"/>
              </w:rPr>
            </w:pPr>
            <w:r>
              <w:rPr>
                <w:rFonts w:ascii="Arial" w:cs="Arial" w:eastAsia="Arial" w:hAnsi="Arial"/>
                <w:sz w:val="15"/>
                <w:szCs w:val="15"/>
                <w:color w:val="auto"/>
              </w:rPr>
              <w:t>Reallocation of Participations and Loans.</w:t>
            </w:r>
          </w:p>
        </w:tc>
      </w:tr>
      <w:tr>
        <w:trPr>
          <w:trHeight w:val="20"/>
        </w:trPr>
        <w:tc>
          <w:tcPr>
            <w:tcW w:w="2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2"/>
            <w:shd w:val="clear" w:color="auto" w:fill="000000"/>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r>
      <w:tr>
        <w:trPr>
          <w:trHeight w:val="327"/>
        </w:trPr>
        <w:tc>
          <w:tcPr>
            <w:tcW w:w="2940" w:type="dxa"/>
            <w:vAlign w:val="bottom"/>
          </w:tcPr>
          <w:p>
            <w:pPr>
              <w:ind w:left="1660"/>
              <w:spacing w:after="0"/>
              <w:rPr>
                <w:sz w:val="20"/>
                <w:szCs w:val="20"/>
                <w:color w:val="auto"/>
              </w:rPr>
            </w:pPr>
            <w:r>
              <w:rPr>
                <w:rFonts w:ascii="Arial" w:cs="Arial" w:eastAsia="Arial" w:hAnsi="Arial"/>
                <w:sz w:val="15"/>
                <w:szCs w:val="15"/>
                <w:color w:val="auto"/>
              </w:rPr>
              <w:t>(i)</w:t>
            </w:r>
          </w:p>
        </w:tc>
        <w:tc>
          <w:tcPr>
            <w:tcW w:w="8340" w:type="dxa"/>
            <w:vAlign w:val="bottom"/>
            <w:gridSpan w:val="5"/>
          </w:tcPr>
          <w:p>
            <w:pPr>
              <w:ind w:left="240"/>
              <w:spacing w:after="0"/>
              <w:rPr>
                <w:sz w:val="20"/>
                <w:szCs w:val="20"/>
                <w:color w:val="auto"/>
              </w:rPr>
            </w:pPr>
            <w:r>
              <w:rPr>
                <w:rFonts w:ascii="Arial" w:cs="Arial" w:eastAsia="Arial" w:hAnsi="Arial"/>
                <w:sz w:val="15"/>
                <w:szCs w:val="15"/>
                <w:color w:val="auto"/>
                <w:w w:val="93"/>
              </w:rPr>
              <w:t>Notwithstanding anything to the contrary herein, (a) in connection with the reduction or termination of any Non-Extending Lender’s</w:t>
            </w:r>
          </w:p>
        </w:tc>
      </w:tr>
    </w:tbl>
    <w:p>
      <w:pPr>
        <w:jc w:val="both"/>
        <w:ind w:left="860"/>
        <w:spacing w:after="0" w:line="255" w:lineRule="auto"/>
        <w:rPr>
          <w:sz w:val="20"/>
          <w:szCs w:val="20"/>
          <w:color w:val="auto"/>
        </w:rPr>
      </w:pPr>
      <w:r>
        <w:rPr>
          <w:rFonts w:ascii="Arial" w:cs="Arial" w:eastAsia="Arial" w:hAnsi="Arial"/>
          <w:sz w:val="14"/>
          <w:szCs w:val="14"/>
          <w:color w:val="auto"/>
        </w:rPr>
        <w:t xml:space="preserve">Commitments in accordance with </w:t>
      </w:r>
      <w:r>
        <w:rPr>
          <w:rFonts w:ascii="Arial" w:cs="Arial" w:eastAsia="Arial" w:hAnsi="Arial"/>
          <w:sz w:val="14"/>
          <w:szCs w:val="14"/>
          <w:u w:val="single" w:color="auto"/>
          <w:color w:val="auto"/>
        </w:rPr>
        <w:t>Section 2.08(f)</w:t>
      </w:r>
      <w:r>
        <w:rPr>
          <w:rFonts w:ascii="Arial" w:cs="Arial" w:eastAsia="Arial" w:hAnsi="Arial"/>
          <w:sz w:val="14"/>
          <w:szCs w:val="14"/>
          <w:color w:val="auto"/>
        </w:rPr>
        <w:t xml:space="preserve"> on any date prior to the Non-Extended Commitment Termination Date for such Non-Extending Lender, the Borrower shall be permitted to request a Dollar Loan be made ratably among the Extending Lenders and Non-Extending Lenders for which the Non-Extended Commitment Termination Date shall not have occurred in accordance with the provisions of </w:t>
      </w:r>
      <w:r>
        <w:rPr>
          <w:rFonts w:ascii="Arial" w:cs="Arial" w:eastAsia="Arial" w:hAnsi="Arial"/>
          <w:sz w:val="14"/>
          <w:szCs w:val="14"/>
          <w:u w:val="single" w:color="auto"/>
          <w:color w:val="auto"/>
        </w:rPr>
        <w:t>Sections 2.02</w:t>
      </w:r>
      <w:r>
        <w:rPr>
          <w:rFonts w:ascii="Arial" w:cs="Arial" w:eastAsia="Arial" w:hAnsi="Arial"/>
          <w:sz w:val="14"/>
          <w:szCs w:val="14"/>
          <w:color w:val="auto"/>
        </w:rPr>
        <w:t xml:space="preserve">, </w:t>
      </w:r>
      <w:r>
        <w:rPr>
          <w:rFonts w:ascii="Arial" w:cs="Arial" w:eastAsia="Arial" w:hAnsi="Arial"/>
          <w:sz w:val="14"/>
          <w:szCs w:val="14"/>
          <w:u w:val="single" w:color="auto"/>
          <w:color w:val="auto"/>
        </w:rPr>
        <w:t>2.03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2.17(c)</w:t>
      </w:r>
      <w:r>
        <w:rPr>
          <w:rFonts w:ascii="Arial" w:cs="Arial" w:eastAsia="Arial" w:hAnsi="Arial"/>
          <w:sz w:val="14"/>
          <w:szCs w:val="14"/>
          <w:color w:val="auto"/>
        </w:rPr>
        <w:t xml:space="preserve"> in an amount up to the amount by which such Non-Extending Lender’s Revolving Credit Exposure exceeds such Non-Extending Lender’s Commitments after giving effect to such Commitment reduction and (b) on any date following the Non-Extended Commitment Termination Date for any Non-Extending Lender until the Extended Commitment Termination Date, the Borrower shall be permitted to request a Dollar Loan to be made ratably among the Extending Lenders and Non-Extending Lenders for which the Non-Extended Commitment Termination Date shall not have occurred in accordance with </w:t>
      </w:r>
      <w:r>
        <w:rPr>
          <w:rFonts w:ascii="Arial" w:cs="Arial" w:eastAsia="Arial" w:hAnsi="Arial"/>
          <w:sz w:val="14"/>
          <w:szCs w:val="14"/>
          <w:u w:val="single" w:color="auto"/>
          <w:color w:val="auto"/>
        </w:rPr>
        <w:t>Sections 2.02</w:t>
      </w:r>
      <w:r>
        <w:rPr>
          <w:rFonts w:ascii="Arial" w:cs="Arial" w:eastAsia="Arial" w:hAnsi="Arial"/>
          <w:sz w:val="14"/>
          <w:szCs w:val="14"/>
          <w:color w:val="auto"/>
        </w:rPr>
        <w:t xml:space="preserve">, </w:t>
      </w:r>
      <w:r>
        <w:rPr>
          <w:rFonts w:ascii="Arial" w:cs="Arial" w:eastAsia="Arial" w:hAnsi="Arial"/>
          <w:sz w:val="14"/>
          <w:szCs w:val="14"/>
          <w:u w:val="single" w:color="auto"/>
          <w:color w:val="auto"/>
        </w:rPr>
        <w:t>2.03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2.17(c)</w:t>
      </w:r>
      <w:r>
        <w:rPr>
          <w:rFonts w:ascii="Arial" w:cs="Arial" w:eastAsia="Arial" w:hAnsi="Arial"/>
          <w:sz w:val="14"/>
          <w:szCs w:val="14"/>
          <w:color w:val="auto"/>
        </w:rPr>
        <w:t xml:space="preserve"> in an amount up to the Revolving Credit Exposure of each Non-Extending Lender for which the Non-Extended Commitment Termination shall have occurred, in each case, so long as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are satisfied (and, unless Borrower shall have otherwise notified the Administrative Agent at such time, Borrower shall be deemed to have represented and warranted that such conditions are satisfied at such time), (y) such Borrowing does not cause (I) the aggregate Revolving Credit Exposure of any Extending Lender to exceed such Extending Lender’s Commitment, (II) the aggregate Revolving Dollar Credit Exposure of all of the Dollar Lenders with Dollar Commitments then in effect to exceed the aggregate Dollar Commitments at such time or (III) the aggregate Revolving Multicurrency Credit Exposure of all of the Multicurrency Lenders with Multicurrency Commitments then in effect to exceed the aggregate Multicurrency Commitments at such time and (z) the proceeds of any such Loan are applied solely to reduce the Revolving Credit Exposure of the applicable Non-Extending Lender or Non-Extending Lenders,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220980</wp:posOffset>
            </wp:positionV>
            <wp:extent cx="7211060"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98" w:name="page199"/>
    <w:bookmarkEnd w:id="198"/>
    <w:p>
      <w:pPr>
        <w:jc w:val="both"/>
        <w:ind w:left="860" w:firstLine="802"/>
        <w:spacing w:after="0" w:line="258" w:lineRule="auto"/>
        <w:rPr>
          <w:sz w:val="20"/>
          <w:szCs w:val="20"/>
          <w:color w:val="auto"/>
        </w:rPr>
      </w:pPr>
      <w:r>
        <w:rPr>
          <w:rFonts w:ascii="Arial" w:cs="Arial" w:eastAsia="Arial" w:hAnsi="Arial"/>
          <w:sz w:val="14"/>
          <w:szCs w:val="14"/>
          <w:color w:val="auto"/>
        </w:rPr>
        <w:t xml:space="preserve">(ii) All or any part of each Non-Extending Lender’s participation in Letters of Credit and Swingline Loans shall be reallocated on (A) any date on which the Commitment of such Non-Extending Lender is reduced or terminated pursuant to </w:t>
      </w:r>
      <w:r>
        <w:rPr>
          <w:rFonts w:ascii="Arial" w:cs="Arial" w:eastAsia="Arial" w:hAnsi="Arial"/>
          <w:sz w:val="14"/>
          <w:szCs w:val="14"/>
          <w:u w:val="single" w:color="auto"/>
          <w:color w:val="auto"/>
        </w:rPr>
        <w:t>Section 2.08(f)</w:t>
      </w:r>
      <w:r>
        <w:rPr>
          <w:rFonts w:ascii="Arial" w:cs="Arial" w:eastAsia="Arial" w:hAnsi="Arial"/>
          <w:sz w:val="14"/>
          <w:szCs w:val="14"/>
          <w:color w:val="auto"/>
        </w:rPr>
        <w:t xml:space="preserve"> and (B) on the Non-Extended Commitment Termination Date for such Non-Extending Lender, in each case, among the Extending Lenders and Non-Extending Lenders for which the Non-Extended Commitment Termination Date shall not have occurred in accordance with their respective Applicable Dollar Percentages and Applicable Multicurrency Percentages after giving effect to the reduction of the aggregate Commitments, but only to the extent that (x) the conditions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are satisfied at the time of such reallocation (and, unless Borrower shall have otherwise notified Administrative Agent at such time, Borrower shall be deemed to have represented and warranted that such conditions are satisfied at such time), and (y) such reallocation does not cause (I) the aggregate Revolving Credit Exposure of any Extending Lender or Non-Extending Lender for which the Commitment Termination Date shall not have occurred to exceed such Lender’s Commitment, (II) the total Revolving Dollar Credit Exposures of Dollar Lenders with Dollar Commitments then in effect to exceed the aggregate Dollar Commitments at such time, or (III) the total Revolving Multicurrency Credit Exposures of Multicurrency Lenders with Multicurrency Commitments then in effect to exceed the aggregate Multicurrency Commitments at such time.</w:t>
      </w:r>
    </w:p>
    <w:p>
      <w:pPr>
        <w:spacing w:after="0" w:line="122" w:lineRule="exact"/>
        <w:rPr>
          <w:sz w:val="20"/>
          <w:szCs w:val="20"/>
          <w:color w:val="auto"/>
        </w:rPr>
      </w:pPr>
    </w:p>
    <w:p>
      <w:pPr>
        <w:jc w:val="both"/>
        <w:ind w:firstLine="1737"/>
        <w:spacing w:after="0" w:line="239"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Cash Collateral; Repayment of Swingline Loans</w:t>
      </w:r>
      <w:r>
        <w:rPr>
          <w:rFonts w:ascii="Arial" w:cs="Arial" w:eastAsia="Arial" w:hAnsi="Arial"/>
          <w:sz w:val="15"/>
          <w:szCs w:val="15"/>
          <w:color w:val="auto"/>
        </w:rPr>
        <w:t xml:space="preserve">. If any Loan related to the reduction or termination of a Non-Extending Lender’s Commitment prior to the Non-Extended Commitment Termination Date described in </w:t>
      </w:r>
      <w:r>
        <w:rPr>
          <w:rFonts w:ascii="Arial" w:cs="Arial" w:eastAsia="Arial" w:hAnsi="Arial"/>
          <w:sz w:val="15"/>
          <w:szCs w:val="15"/>
          <w:u w:val="single" w:color="auto"/>
          <w:color w:val="auto"/>
        </w:rPr>
        <w:t>clause (a)(i)</w:t>
      </w:r>
      <w:r>
        <w:rPr>
          <w:rFonts w:ascii="Arial" w:cs="Arial" w:eastAsia="Arial" w:hAnsi="Arial"/>
          <w:sz w:val="15"/>
          <w:szCs w:val="15"/>
          <w:color w:val="auto"/>
        </w:rPr>
        <w:t xml:space="preserve"> above or any reallocation described in </w:t>
      </w:r>
      <w:r>
        <w:rPr>
          <w:rFonts w:ascii="Arial" w:cs="Arial" w:eastAsia="Arial" w:hAnsi="Arial"/>
          <w:sz w:val="15"/>
          <w:szCs w:val="15"/>
          <w:u w:val="single" w:color="auto"/>
          <w:color w:val="auto"/>
        </w:rPr>
        <w:t>clause (a)(ii)</w:t>
      </w:r>
      <w:r>
        <w:rPr>
          <w:rFonts w:ascii="Arial" w:cs="Arial" w:eastAsia="Arial" w:hAnsi="Arial"/>
          <w:sz w:val="15"/>
          <w:szCs w:val="15"/>
          <w:color w:val="auto"/>
        </w:rPr>
        <w:t xml:space="preserve"> above cannot, or can only partially, be effected, the Borrower shall, not later than (i) with respect to any reduction or termination of a Non-Extending Lender’s Commitment pursuant to </w:t>
      </w:r>
      <w:r>
        <w:rPr>
          <w:rFonts w:ascii="Arial" w:cs="Arial" w:eastAsia="Arial" w:hAnsi="Arial"/>
          <w:sz w:val="15"/>
          <w:szCs w:val="15"/>
          <w:u w:val="single" w:color="auto"/>
          <w:color w:val="auto"/>
        </w:rPr>
        <w:t>Section 2.08(f)</w:t>
      </w:r>
      <w:r>
        <w:rPr>
          <w:rFonts w:ascii="Arial" w:cs="Arial" w:eastAsia="Arial" w:hAnsi="Arial"/>
          <w:sz w:val="15"/>
          <w:szCs w:val="15"/>
          <w:color w:val="auto"/>
        </w:rPr>
        <w:t xml:space="preserve">, the date of such Commitment reduction or termination or, (ii) with respect to any reallocation of participations in Letters of Credit and Swingline Loans on the Non-Extended Commitment Termination Date for any Non-Extending Lender, on the Non-Extended Commitment Termination Date applicable to such Non-Extending Lender, as the case may be, without prejudice to any right or remedy available to it hereunder or under law, (x) prepay Swingline Loans in an amount equal to the amount by which the participation obligations of the Non-Extending Lenders for which the Non-Extended Commitment Termination Date shall have occurred which have not been reallocated to the Extending Lenders and Non-Extending Lenders for which the Non-Extended Commitment Termination Date shall not have occurred pursuant to </w:t>
      </w:r>
      <w:r>
        <w:rPr>
          <w:rFonts w:ascii="Arial" w:cs="Arial" w:eastAsia="Arial" w:hAnsi="Arial"/>
          <w:sz w:val="15"/>
          <w:szCs w:val="15"/>
          <w:u w:val="single" w:color="auto"/>
          <w:color w:val="auto"/>
        </w:rPr>
        <w:t>clause (a)(ii)</w:t>
      </w:r>
      <w:r>
        <w:rPr>
          <w:rFonts w:ascii="Arial" w:cs="Arial" w:eastAsia="Arial" w:hAnsi="Arial"/>
          <w:sz w:val="15"/>
          <w:szCs w:val="15"/>
          <w:color w:val="auto"/>
        </w:rPr>
        <w:t xml:space="preserve"> above, (y) provide Cash Collateral in an amount equal to the amount by which the participation obligations of such Non-Extending Lenders in Letters of Credit have not been reallocated pursuant to </w:t>
      </w:r>
      <w:r>
        <w:rPr>
          <w:rFonts w:ascii="Arial" w:cs="Arial" w:eastAsia="Arial" w:hAnsi="Arial"/>
          <w:sz w:val="15"/>
          <w:szCs w:val="15"/>
          <w:u w:val="single" w:color="auto"/>
          <w:color w:val="auto"/>
        </w:rPr>
        <w:t>clause (a)(ii)</w:t>
      </w:r>
      <w:r>
        <w:rPr>
          <w:rFonts w:ascii="Arial" w:cs="Arial" w:eastAsia="Arial" w:hAnsi="Arial"/>
          <w:sz w:val="15"/>
          <w:szCs w:val="15"/>
          <w:color w:val="auto"/>
        </w:rPr>
        <w:t xml:space="preserve"> above and (z) prepay any other Loans of a Non-Extending Lender for which the Non-Extended Commitment Termination Date shall have occurred in an amount equal to the amount by which the Revolving Credit Exposure of such Non-Extending Lender after giving effect to any prepayment described in </w:t>
      </w:r>
      <w:r>
        <w:rPr>
          <w:rFonts w:ascii="Arial" w:cs="Arial" w:eastAsia="Arial" w:hAnsi="Arial"/>
          <w:sz w:val="15"/>
          <w:szCs w:val="15"/>
          <w:u w:val="single" w:color="auto"/>
          <w:color w:val="auto"/>
        </w:rPr>
        <w:t>clause (a)(i)(z) above</w:t>
      </w:r>
      <w:r>
        <w:rPr>
          <w:rFonts w:ascii="Arial" w:cs="Arial" w:eastAsia="Arial" w:hAnsi="Arial"/>
          <w:sz w:val="15"/>
          <w:szCs w:val="15"/>
          <w:color w:val="auto"/>
        </w:rPr>
        <w:t xml:space="preserve"> exceeds such Non-Extending Lender’s Commitment after giving effect to any reduction in such Non-Extending Lender’s Commitment.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2.21.</w:t>
            </w:r>
          </w:p>
        </w:tc>
        <w:tc>
          <w:tcPr>
            <w:tcW w:w="160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5"/>
                <w:szCs w:val="15"/>
                <w:color w:val="auto"/>
              </w:rPr>
              <w:t>Effect of Benchmark Transition Event</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3"/>
          </w:tcPr>
          <w:p>
            <w:pPr>
              <w:spacing w:after="0"/>
              <w:rPr>
                <w:sz w:val="20"/>
                <w:szCs w:val="20"/>
                <w:color w:val="auto"/>
              </w:rPr>
            </w:pPr>
            <w:r>
              <w:rPr>
                <w:rFonts w:ascii="Arial" w:cs="Arial" w:eastAsia="Arial" w:hAnsi="Arial"/>
                <w:sz w:val="15"/>
                <w:szCs w:val="15"/>
                <w:color w:val="auto"/>
                <w:w w:val="98"/>
              </w:rPr>
              <w:t>Benchmark Replacement. Notwithstanding anything to the contrary herein or in any other Loan Document, if a Benchmark</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Transition Event or an Other Benchmark Rate Election and its related Benchmark Replacement Date have occurred prior to any setting of the then-current Benchmark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242570</wp:posOffset>
            </wp:positionV>
            <wp:extent cx="7211060"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99" w:name="page200"/>
    <w:bookmarkEnd w:id="199"/>
    <w:p>
      <w:pPr>
        <w:jc w:val="both"/>
        <w:spacing w:after="0" w:line="258" w:lineRule="auto"/>
        <w:rPr>
          <w:sz w:val="20"/>
          <w:szCs w:val="20"/>
          <w:color w:val="auto"/>
        </w:rPr>
      </w:pPr>
      <w:r>
        <w:rPr>
          <w:rFonts w:ascii="Arial" w:cs="Arial" w:eastAsia="Arial" w:hAnsi="Arial"/>
          <w:sz w:val="14"/>
          <w:szCs w:val="14"/>
          <w:color w:val="auto"/>
        </w:rPr>
        <w:t>Currency, then (x) if a Benchmark Replacement for the Term SOFR Reference Rate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such Currency for all purposes hereunder and under any Loan Document in respect of any Benchmark setting at or after 5:00 p.m. (New York City time) on the fifth (5th) Business Day after the date notice of such Benchmark Replacement is provided to the Lenders (which, in the case of a Benchmark Replacement in connection with an Other Benchmark Rate Election, may be delivered on the same day that notice of such Other Benchmark Rate Election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 Benchmark Replacement for Dollars, the Required Lenders, and, (y) in the case of a Benchmark Replacement for any Foreign Currency, the Required Multicurrency Lenders.</w:t>
      </w:r>
    </w:p>
    <w:p>
      <w:pPr>
        <w:spacing w:after="0" w:line="122"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Benchmark Replacement Conforming Changes</w:t>
      </w:r>
      <w:r>
        <w:rPr>
          <w:rFonts w:ascii="Arial" w:cs="Arial" w:eastAsia="Arial" w:hAnsi="Arial"/>
          <w:sz w:val="15"/>
          <w:szCs w:val="15"/>
          <w:color w:val="auto"/>
        </w:rPr>
        <w:t>. In connection with the use, administration, adoption or implementation of a Benchmark Replacement, the Administrative Agent (after consulting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28" w:lineRule="exact"/>
        <w:rPr>
          <w:sz w:val="20"/>
          <w:szCs w:val="20"/>
          <w:color w:val="auto"/>
        </w:rPr>
      </w:pPr>
    </w:p>
    <w:p>
      <w:pPr>
        <w:jc w:val="both"/>
        <w:ind w:firstLine="1737"/>
        <w:spacing w:after="0" w:line="261"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Notices; Standards for Decisions and Determinations</w:t>
      </w:r>
      <w:r>
        <w:rPr>
          <w:rFonts w:ascii="Arial" w:cs="Arial" w:eastAsia="Arial" w:hAnsi="Arial"/>
          <w:sz w:val="14"/>
          <w:szCs w:val="14"/>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Arial" w:cs="Arial" w:eastAsia="Arial" w:hAnsi="Arial"/>
          <w:sz w:val="14"/>
          <w:szCs w:val="14"/>
          <w:u w:val="single" w:color="auto"/>
          <w:color w:val="auto"/>
        </w:rPr>
        <w:t>clause (d)</w:t>
      </w:r>
      <w:r>
        <w:rPr>
          <w:rFonts w:ascii="Arial" w:cs="Arial" w:eastAsia="Arial" w:hAnsi="Arial"/>
          <w:sz w:val="14"/>
          <w:szCs w:val="14"/>
          <w:color w:val="auto"/>
        </w:rPr>
        <w:t xml:space="preserve"> below and (y) the commencement of any Benchmark Unavailability Period. Any determination, decision or election that may be made by the Administrative Agent or, if applicable, any Lender (or group of Lenders) pursuant to this </w:t>
      </w:r>
      <w:r>
        <w:rPr>
          <w:rFonts w:ascii="Arial" w:cs="Arial" w:eastAsia="Arial" w:hAnsi="Arial"/>
          <w:sz w:val="14"/>
          <w:szCs w:val="14"/>
          <w:u w:val="single" w:color="auto"/>
          <w:color w:val="auto"/>
        </w:rPr>
        <w:t>Section 2.21</w:t>
      </w:r>
      <w:r>
        <w:rPr>
          <w:rFonts w:ascii="Arial" w:cs="Arial" w:eastAsia="Arial" w:hAnsi="Arial"/>
          <w:sz w:val="14"/>
          <w:szCs w:val="14"/>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4"/>
          <w:szCs w:val="14"/>
          <w:u w:val="single" w:color="auto"/>
          <w:color w:val="auto"/>
        </w:rPr>
        <w:t>Section 2.21</w:t>
      </w:r>
      <w:r>
        <w:rPr>
          <w:rFonts w:ascii="Arial" w:cs="Arial" w:eastAsia="Arial" w:hAnsi="Arial"/>
          <w:sz w:val="14"/>
          <w:szCs w:val="14"/>
          <w:color w:val="auto"/>
        </w:rPr>
        <w:t>.</w:t>
      </w:r>
    </w:p>
    <w:p>
      <w:pPr>
        <w:spacing w:after="0" w:line="117"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Unavailability of Tenor of Benchmark</w:t>
      </w:r>
      <w:r>
        <w:rPr>
          <w:rFonts w:ascii="Arial" w:cs="Arial" w:eastAsia="Arial" w:hAnsi="Arial"/>
          <w:sz w:val="15"/>
          <w:szCs w:val="15"/>
          <w:color w:val="auto"/>
        </w:rPr>
        <w:t>. Notwithstanding anything to the contrary herein or in any other Loan Document, at any time (including in connection with the implementation of a Benchmark Replacement), (i) if the then-current Benchmark for a Currency is a term rate (including the Term SOFR Reference Rate or the Eurocurrency Rate) and either (A) any tenor for such Benchmark for such Currency is not displayed on a screen or other information service that publishes such rate from time to time as selected by the Administrative Agent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221615</wp:posOffset>
            </wp:positionV>
            <wp:extent cx="721106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00" w:name="page201"/>
    <w:bookmarkEnd w:id="200"/>
    <w:p>
      <w:pPr>
        <w:jc w:val="both"/>
        <w:ind w:left="4"/>
        <w:spacing w:after="0" w:line="241" w:lineRule="auto"/>
        <w:rPr>
          <w:sz w:val="20"/>
          <w:szCs w:val="20"/>
          <w:color w:val="auto"/>
        </w:rPr>
      </w:pPr>
      <w:r>
        <w:rPr>
          <w:rFonts w:ascii="Arial" w:cs="Arial" w:eastAsia="Arial" w:hAnsi="Arial"/>
          <w:sz w:val="15"/>
          <w:szCs w:val="15"/>
          <w:color w:val="auto"/>
        </w:rPr>
        <w:t>reasonable discretion or (B) the regulatory supervisor for the administrator of such Benchmark has provided a public statement or publication of information announcing that any tenor for such Benchmark for such Currency is not or will not be representative, then the Administrative Agent may modify the definition of “Interest Period” (or any similar or analogous definition) for any Benchmark settings for such Currency at or after such time to 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not or will not be representative for a Benchmark for such Currency (including a Benchmark Replacement), then the Administrative Agent may modify the definition of “Interest Period” (or any similar or analogous definition) for all Benchmark settings for such Currency at or after such time to reinstate such previously removed tenor.</w:t>
      </w:r>
    </w:p>
    <w:p>
      <w:pPr>
        <w:spacing w:after="0" w:line="130" w:lineRule="exact"/>
        <w:rPr>
          <w:sz w:val="20"/>
          <w:szCs w:val="20"/>
          <w:color w:val="auto"/>
        </w:rPr>
      </w:pPr>
    </w:p>
    <w:p>
      <w:pPr>
        <w:jc w:val="both"/>
        <w:ind w:left="4" w:firstLine="1737"/>
        <w:spacing w:after="0" w:line="258"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Benchmark Unavailability Period</w:t>
      </w:r>
      <w:r>
        <w:rPr>
          <w:rFonts w:ascii="Arial" w:cs="Arial" w:eastAsia="Arial" w:hAnsi="Arial"/>
          <w:sz w:val="14"/>
          <w:szCs w:val="14"/>
          <w:color w:val="auto"/>
        </w:rPr>
        <w:t xml:space="preserve">. Upon the Borrower’s receipt of notice of the commencement of a Benchmark Unavailability Period, the Borrower may revoke any pending request for a Eurocurrency Borrowing or RFR Borrowing of, conversion to or continuation of Eurocurrency Loans or RFR Loans in each affected Currency to be made, converted or continued during any Benchmark Unavailability Period and, failing that, (i) in the case of a request for a Dollar Borrowing, the Borrower will be deemed to have converted such request into a request for a Borrowing of or conversion to an ABR Loan, and (ii) in the case of a request for a Eurocurrency Borrowing or a RFR Borrowing in Sterling or Swiss Francs, at the Borrower’s election, shall either (1) be converted into an ABR Borrowing denominated in Dollars (in an amount equal to the Dollar Equivalent of such affected Currency) immediately in the case of a RFR Borrowing in Sterling or Swiss Francs or, in the case of a Eurocurrency Borrowing, at the end of the applicable Interest Period, or (2) be prepaid in full immediately in the case of a RFR Borrowing in Sterling or Swiss Francs or, in the case of a Eurocurrency Borrowing, at the end of the applicable Interest Period;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no election is made by the Borrower by the date that is three Business Days after receipt by the Borrower of such notice or, in the case of a Eurocurrency Borrowing, the last day of the current Interest Period for the applicable Eurocurrency Loan, if earlier, the Borrower shall be deemed to have elected clause (1) above.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ARTICLE III</w:t>
      </w:r>
    </w:p>
    <w:p>
      <w:pPr>
        <w:spacing w:after="0" w:line="168" w:lineRule="exact"/>
        <w:rPr>
          <w:sz w:val="20"/>
          <w:szCs w:val="20"/>
          <w:color w:val="auto"/>
        </w:rPr>
      </w:pPr>
    </w:p>
    <w:p>
      <w:pPr>
        <w:ind w:left="4264"/>
        <w:spacing w:after="0"/>
        <w:rPr>
          <w:sz w:val="20"/>
          <w:szCs w:val="20"/>
          <w:color w:val="auto"/>
        </w:rPr>
      </w:pPr>
      <w:r>
        <w:rPr>
          <w:rFonts w:ascii="Arial" w:cs="Arial" w:eastAsia="Arial" w:hAnsi="Arial"/>
          <w:sz w:val="15"/>
          <w:szCs w:val="15"/>
          <w:u w:val="single" w:color="auto"/>
          <w:color w:val="auto"/>
        </w:rPr>
        <w:t>REPRESENTATIONS AND WARRANTIES</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The Borrower represents and warrants to the Lenders that:</w:t>
      </w:r>
    </w:p>
    <w:p>
      <w:pPr>
        <w:spacing w:after="0" w:line="14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3.01.</w:t>
      </w:r>
      <w:r>
        <w:rPr>
          <w:sz w:val="20"/>
          <w:szCs w:val="20"/>
          <w:color w:val="auto"/>
        </w:rPr>
        <w:tab/>
      </w:r>
      <w:r>
        <w:rPr>
          <w:rFonts w:ascii="Arial" w:cs="Arial" w:eastAsia="Arial" w:hAnsi="Arial"/>
          <w:sz w:val="13"/>
          <w:szCs w:val="13"/>
          <w:u w:val="single" w:color="auto"/>
          <w:color w:val="auto"/>
        </w:rPr>
        <w:t>Organization; Powers</w:t>
      </w:r>
    </w:p>
    <w:p>
      <w:pPr>
        <w:spacing w:after="0" w:line="149" w:lineRule="exact"/>
        <w:rPr>
          <w:sz w:val="20"/>
          <w:szCs w:val="20"/>
          <w:color w:val="auto"/>
        </w:rPr>
      </w:pPr>
    </w:p>
    <w:p>
      <w:pPr>
        <w:jc w:val="both"/>
        <w:ind w:left="4" w:hanging="4"/>
        <w:spacing w:after="0" w:line="249" w:lineRule="auto"/>
        <w:tabs>
          <w:tab w:leader="none" w:pos="143"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Each of the Borrower and its Subsidiaries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 of the Borrower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219710</wp:posOffset>
            </wp:positionV>
            <wp:extent cx="721106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01" w:name="page202"/>
    <w:bookmarkEnd w:id="201"/>
    <w:p>
      <w:pPr>
        <w:ind w:left="4"/>
        <w:spacing w:after="0"/>
        <w:rPr>
          <w:sz w:val="20"/>
          <w:szCs w:val="20"/>
          <w:color w:val="auto"/>
        </w:rPr>
      </w:pPr>
      <w:r>
        <w:rPr>
          <w:rFonts w:ascii="Arial" w:cs="Arial" w:eastAsia="Arial" w:hAnsi="Arial"/>
          <w:sz w:val="15"/>
          <w:szCs w:val="15"/>
          <w:color w:val="auto"/>
        </w:rPr>
        <w:t>Subsidiary, as applicable.</w:t>
      </w:r>
    </w:p>
    <w:p>
      <w:pPr>
        <w:spacing w:after="0" w:line="14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3.02.</w:t>
      </w:r>
      <w:r>
        <w:rPr>
          <w:sz w:val="20"/>
          <w:szCs w:val="20"/>
          <w:color w:val="auto"/>
        </w:rPr>
        <w:tab/>
      </w:r>
      <w:r>
        <w:rPr>
          <w:rFonts w:ascii="Arial" w:cs="Arial" w:eastAsia="Arial" w:hAnsi="Arial"/>
          <w:sz w:val="14"/>
          <w:szCs w:val="14"/>
          <w:u w:val="single" w:color="auto"/>
          <w:color w:val="auto"/>
        </w:rPr>
        <w:t>Authorization; Enforceability</w:t>
      </w:r>
    </w:p>
    <w:p>
      <w:pPr>
        <w:spacing w:after="0" w:line="149" w:lineRule="exact"/>
        <w:rPr>
          <w:sz w:val="20"/>
          <w:szCs w:val="20"/>
          <w:color w:val="auto"/>
        </w:rPr>
      </w:pPr>
    </w:p>
    <w:p>
      <w:pPr>
        <w:jc w:val="both"/>
        <w:ind w:left="4" w:hanging="4"/>
        <w:spacing w:after="0" w:line="243" w:lineRule="auto"/>
        <w:tabs>
          <w:tab w:leader="none" w:pos="146"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Transactions are within the Borrower’s corporate powers and have been duly authorized by all necessary corporate and, if required, by all necessary shareholder action. This Agreement has been duly executed and delivered by the Borrower and constitutes, and each of the other Loan Documents when executed and delivered by each Obligor party thereto will constitute, a legal, valid and binding obligation of such Obligor, enforceable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spacing w:after="0" w:line="12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3.03.</w:t>
      </w:r>
      <w:r>
        <w:rPr>
          <w:sz w:val="20"/>
          <w:szCs w:val="20"/>
          <w:color w:val="auto"/>
        </w:rPr>
        <w:tab/>
      </w:r>
      <w:r>
        <w:rPr>
          <w:rFonts w:ascii="Arial" w:cs="Arial" w:eastAsia="Arial" w:hAnsi="Arial"/>
          <w:sz w:val="14"/>
          <w:szCs w:val="14"/>
          <w:u w:val="single" w:color="auto"/>
          <w:color w:val="auto"/>
        </w:rPr>
        <w:t>Governmental Approvals; No Conflicts</w:t>
      </w:r>
    </w:p>
    <w:p>
      <w:pPr>
        <w:spacing w:after="0" w:line="149" w:lineRule="exact"/>
        <w:rPr>
          <w:sz w:val="20"/>
          <w:szCs w:val="20"/>
          <w:color w:val="auto"/>
        </w:rPr>
      </w:pPr>
    </w:p>
    <w:p>
      <w:pPr>
        <w:jc w:val="both"/>
        <w:ind w:left="4" w:hanging="4"/>
        <w:spacing w:after="0" w:line="279" w:lineRule="auto"/>
        <w:tabs>
          <w:tab w:leader="none" w:pos="125" w:val="left"/>
        </w:tabs>
        <w:numPr>
          <w:ilvl w:val="0"/>
          <w:numId w:val="104"/>
        </w:numPr>
        <w:rPr>
          <w:rFonts w:ascii="Arial" w:cs="Arial" w:eastAsia="Arial" w:hAnsi="Arial"/>
          <w:sz w:val="13"/>
          <w:szCs w:val="13"/>
          <w:u w:val="single" w:color="auto"/>
          <w:color w:val="auto"/>
        </w:rPr>
      </w:pPr>
      <w:r>
        <w:rPr>
          <w:rFonts w:ascii="Arial" w:cs="Arial" w:eastAsia="Arial" w:hAnsi="Arial"/>
          <w:sz w:val="13"/>
          <w:szCs w:val="13"/>
          <w:color w:val="auto"/>
        </w:rPr>
        <w:t>The Transactions (a) do not require any consent or approval of, registration or filing with, or any other action by, any Governmental Authority, except for (i) such as have been or will be obtained or made and are in full force and effect and (ii) filings and recordings in respect of the Liens created pursuant to this Agreement or the Security Documents, (b) will not violate any applicable law or regulation or the charter, by-laws or other organizational documents of the Borrower or any of its Subsidiaries or any order of any Governmental Authority,</w:t>
      </w:r>
    </w:p>
    <w:p>
      <w:pPr>
        <w:spacing w:after="0" w:line="1" w:lineRule="exact"/>
        <w:rPr>
          <w:rFonts w:ascii="Arial" w:cs="Arial" w:eastAsia="Arial" w:hAnsi="Arial"/>
          <w:sz w:val="13"/>
          <w:szCs w:val="13"/>
          <w:u w:val="single" w:color="auto"/>
          <w:color w:val="auto"/>
        </w:rPr>
      </w:pPr>
    </w:p>
    <w:p>
      <w:pPr>
        <w:jc w:val="both"/>
        <w:ind w:left="4"/>
        <w:spacing w:after="0" w:line="241" w:lineRule="auto"/>
        <w:rPr>
          <w:rFonts w:ascii="Arial" w:cs="Arial" w:eastAsia="Arial" w:hAnsi="Arial"/>
          <w:sz w:val="13"/>
          <w:szCs w:val="13"/>
          <w:u w:val="single" w:color="auto"/>
          <w:color w:val="auto"/>
        </w:rPr>
      </w:pPr>
      <w:r>
        <w:rPr>
          <w:rFonts w:ascii="Arial" w:cs="Arial" w:eastAsia="Arial" w:hAnsi="Arial"/>
          <w:sz w:val="15"/>
          <w:szCs w:val="15"/>
          <w:color w:val="auto"/>
        </w:rPr>
        <w:t>(c) will not violate or result in a default in any material respect under any indenture, agreement or other instrument binding upon the Borrower or any of its Subsidiaries or assets, or give rise to a right thereunder to require any payment to be made by any such Person, and (d) except for the Liens created pursuant to this Agreement or the Security Documents, will not result in the creation or imposition of any Lien on any asset of the Borrower or any of its Subsidiaries.</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3.04.</w:t>
            </w:r>
          </w:p>
        </w:tc>
        <w:tc>
          <w:tcPr>
            <w:tcW w:w="1260" w:type="dxa"/>
            <w:vAlign w:val="bottom"/>
          </w:tcPr>
          <w:p>
            <w:pPr>
              <w:spacing w:after="0"/>
              <w:rPr>
                <w:sz w:val="14"/>
                <w:szCs w:val="14"/>
                <w:color w:val="auto"/>
              </w:rPr>
            </w:pPr>
          </w:p>
        </w:tc>
        <w:tc>
          <w:tcPr>
            <w:tcW w:w="6760" w:type="dxa"/>
            <w:vAlign w:val="bottom"/>
            <w:gridSpan w:val="3"/>
          </w:tcPr>
          <w:p>
            <w:pPr>
              <w:ind w:left="340"/>
              <w:spacing w:after="0"/>
              <w:rPr>
                <w:sz w:val="20"/>
                <w:szCs w:val="20"/>
                <w:color w:val="auto"/>
              </w:rPr>
            </w:pPr>
            <w:r>
              <w:rPr>
                <w:rFonts w:ascii="Arial" w:cs="Arial" w:eastAsia="Arial" w:hAnsi="Arial"/>
                <w:sz w:val="15"/>
                <w:szCs w:val="15"/>
                <w:color w:val="auto"/>
              </w:rPr>
              <w:t>Financial Condition; No Material Adverse Change</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0"/>
              </w:rPr>
              <w:t>Financial Statements. The Borrower has heretofore delivered to the Lenders the audited consolidated balance sheet and statement of</w:t>
            </w:r>
          </w:p>
        </w:tc>
      </w:tr>
      <w:tr>
        <w:trPr>
          <w:trHeight w:val="20"/>
        </w:trPr>
        <w:tc>
          <w:tcPr>
            <w:tcW w:w="3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right="20"/>
        <w:spacing w:after="0" w:line="249" w:lineRule="auto"/>
        <w:rPr>
          <w:sz w:val="20"/>
          <w:szCs w:val="20"/>
          <w:color w:val="auto"/>
        </w:rPr>
      </w:pPr>
      <w:r>
        <w:rPr>
          <w:rFonts w:ascii="Arial" w:cs="Arial" w:eastAsia="Arial" w:hAnsi="Arial"/>
          <w:sz w:val="15"/>
          <w:szCs w:val="15"/>
          <w:color w:val="auto"/>
        </w:rPr>
        <w:t>operations, changes in net assets and cash flows of the Borrower and its Subsidiaries as of and for the year ended December 31, 2012, certified by a Financial Officer of the Borrower. Such financial statements present fairly, in all material respects, the consolidated financial position and results of operations and cash flows of the Borrower and its Subsidiaries as of such date and for such period in accordance with GAAP.</w:t>
      </w:r>
    </w:p>
    <w:p>
      <w:pPr>
        <w:spacing w:after="0" w:line="125" w:lineRule="exact"/>
        <w:rPr>
          <w:sz w:val="20"/>
          <w:szCs w:val="20"/>
          <w:color w:val="auto"/>
        </w:rPr>
      </w:pPr>
    </w:p>
    <w:p>
      <w:pPr>
        <w:jc w:val="both"/>
        <w:ind w:left="4" w:firstLine="1737"/>
        <w:spacing w:after="0" w:line="243"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No Material Adverse Change</w:t>
      </w:r>
      <w:r>
        <w:rPr>
          <w:rFonts w:ascii="Arial" w:cs="Arial" w:eastAsia="Arial" w:hAnsi="Arial"/>
          <w:sz w:val="15"/>
          <w:szCs w:val="15"/>
          <w:color w:val="auto"/>
        </w:rPr>
        <w:t>. Since the date of the most recent Applicable Financial Statements, there has not been any event, development or circumstance (herein, a “</w:t>
      </w:r>
      <w:r>
        <w:rPr>
          <w:rFonts w:ascii="Arial" w:cs="Arial" w:eastAsia="Arial" w:hAnsi="Arial"/>
          <w:sz w:val="15"/>
          <w:szCs w:val="15"/>
          <w:u w:val="single" w:color="auto"/>
          <w:color w:val="auto"/>
        </w:rPr>
        <w:t>Material Adverse Change</w:t>
      </w:r>
      <w:r>
        <w:rPr>
          <w:rFonts w:ascii="Arial" w:cs="Arial" w:eastAsia="Arial" w:hAnsi="Arial"/>
          <w:sz w:val="15"/>
          <w:szCs w:val="15"/>
          <w:color w:val="auto"/>
        </w:rPr>
        <w:t>”) that has had or could reasonably be expected to have a material adverse effect on (i) the business, Portfolio Investments and other assets, liabilities or financial condition of the Borrower and its Subsidiaries (other than any Financing Subsidiary) taken as a whole (excluding in any case a decline in the net asset value of the Borrower or a change in general market conditions or values of the Borrower’s Portfolio Investments), or (ii) the validity or enforceability of any of the Loan Documents or the rights or remedies of the Administrative Agent and the Lenders thereunder.</w:t>
      </w:r>
    </w:p>
    <w:p>
      <w:pPr>
        <w:spacing w:after="0" w:line="12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3.05.</w:t>
      </w:r>
      <w:r>
        <w:rPr>
          <w:sz w:val="20"/>
          <w:szCs w:val="20"/>
          <w:color w:val="auto"/>
        </w:rPr>
        <w:tab/>
      </w:r>
      <w:r>
        <w:rPr>
          <w:rFonts w:ascii="Arial" w:cs="Arial" w:eastAsia="Arial" w:hAnsi="Arial"/>
          <w:sz w:val="14"/>
          <w:szCs w:val="14"/>
          <w:u w:val="single" w:color="auto"/>
          <w:color w:val="auto"/>
        </w:rPr>
        <w:t>Litigation</w:t>
      </w:r>
    </w:p>
    <w:p>
      <w:pPr>
        <w:spacing w:after="0" w:line="149" w:lineRule="exact"/>
        <w:rPr>
          <w:sz w:val="20"/>
          <w:szCs w:val="20"/>
          <w:color w:val="auto"/>
        </w:rPr>
      </w:pPr>
    </w:p>
    <w:p>
      <w:pPr>
        <w:jc w:val="both"/>
        <w:ind w:left="4" w:right="20" w:hanging="4"/>
        <w:spacing w:after="0" w:line="275" w:lineRule="auto"/>
        <w:tabs>
          <w:tab w:leader="none" w:pos="12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There are no actions, suits, investigations or proceedings by or before any arbitrator or Governmental Authority now pending against or, to the knowledge of the Borrower, threatened against or affecting the Borrower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211060"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02" w:name="page203"/>
    <w:bookmarkEnd w:id="202"/>
    <w:p>
      <w:pPr>
        <w:ind w:left="1744"/>
        <w:spacing w:after="0"/>
        <w:tabs>
          <w:tab w:leader="none" w:pos="4844" w:val="left"/>
        </w:tabs>
        <w:rPr>
          <w:sz w:val="20"/>
          <w:szCs w:val="20"/>
          <w:color w:val="auto"/>
        </w:rPr>
      </w:pPr>
      <w:r>
        <w:rPr>
          <w:rFonts w:ascii="Arial" w:cs="Arial" w:eastAsia="Arial" w:hAnsi="Arial"/>
          <w:sz w:val="15"/>
          <w:szCs w:val="15"/>
          <w:color w:val="auto"/>
        </w:rPr>
        <w:t>SECTION 3.06.</w:t>
      </w:r>
      <w:r>
        <w:rPr>
          <w:sz w:val="20"/>
          <w:szCs w:val="20"/>
          <w:color w:val="auto"/>
        </w:rPr>
        <w:tab/>
      </w:r>
      <w:r>
        <w:rPr>
          <w:rFonts w:ascii="Arial" w:cs="Arial" w:eastAsia="Arial" w:hAnsi="Arial"/>
          <w:sz w:val="13"/>
          <w:szCs w:val="13"/>
          <w:u w:val="single" w:color="auto"/>
          <w:color w:val="auto"/>
        </w:rPr>
        <w:t>Compliance with Laws and Agreements</w:t>
      </w:r>
    </w:p>
    <w:p>
      <w:pPr>
        <w:spacing w:after="0" w:line="149" w:lineRule="exact"/>
        <w:rPr>
          <w:sz w:val="20"/>
          <w:szCs w:val="20"/>
          <w:color w:val="auto"/>
        </w:rPr>
      </w:pPr>
    </w:p>
    <w:p>
      <w:pPr>
        <w:jc w:val="both"/>
        <w:ind w:left="4" w:hanging="4"/>
        <w:spacing w:after="0" w:line="245" w:lineRule="auto"/>
        <w:tabs>
          <w:tab w:leader="none" w:pos="149" w:val="left"/>
        </w:tabs>
        <w:numPr>
          <w:ilvl w:val="0"/>
          <w:numId w:val="106"/>
        </w:numPr>
        <w:rPr>
          <w:rFonts w:ascii="Arial" w:cs="Arial" w:eastAsia="Arial" w:hAnsi="Arial"/>
          <w:sz w:val="15"/>
          <w:szCs w:val="15"/>
          <w:color w:val="auto"/>
        </w:rPr>
      </w:pPr>
      <w:r>
        <w:rPr>
          <w:rFonts w:ascii="Arial" w:cs="Arial" w:eastAsia="Arial" w:hAnsi="Arial"/>
          <w:sz w:val="15"/>
          <w:szCs w:val="15"/>
          <w:color w:val="auto"/>
        </w:rPr>
        <w:t>Each of the Borrower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Neither the Borrower nor any of its Subsidiaries is subject to any contract or other arrangement, the performance of which by the Borrower or its Subsidiaries could reasonably be expected to result in a Material Adverse Effect.</w:t>
      </w:r>
    </w:p>
    <w:p>
      <w:pPr>
        <w:spacing w:after="0" w:line="12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3.07.</w:t>
      </w:r>
      <w:r>
        <w:rPr>
          <w:sz w:val="20"/>
          <w:szCs w:val="20"/>
          <w:color w:val="auto"/>
        </w:rPr>
        <w:tab/>
      </w:r>
      <w:r>
        <w:rPr>
          <w:rFonts w:ascii="Arial" w:cs="Arial" w:eastAsia="Arial" w:hAnsi="Arial"/>
          <w:sz w:val="13"/>
          <w:szCs w:val="13"/>
          <w:u w:val="single" w:color="auto"/>
          <w:color w:val="auto"/>
        </w:rPr>
        <w:t>Taxes</w:t>
      </w:r>
    </w:p>
    <w:p>
      <w:pPr>
        <w:spacing w:after="0" w:line="149" w:lineRule="exact"/>
        <w:rPr>
          <w:sz w:val="20"/>
          <w:szCs w:val="20"/>
          <w:color w:val="auto"/>
        </w:rPr>
      </w:pPr>
    </w:p>
    <w:p>
      <w:pPr>
        <w:jc w:val="both"/>
        <w:ind w:left="4" w:hanging="4"/>
        <w:spacing w:after="0" w:line="249" w:lineRule="auto"/>
        <w:tabs>
          <w:tab w:leader="none" w:pos="138"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Each of the Borrower and its Subsidiaries has timely filed or caused to be filed all material Tax returns and reports required to have been filed and has paid or caused to be paid all material Taxes required to have been paid by it, except (a) Taxes that are being contested in good faith by appropriate proceedings and for which such Person has set aside on its books adequate reserves or (b) to the extent that the failure to do so could not reasonably be expected to result in a Material Adverse Effect.</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3.08.</w:t>
      </w:r>
      <w:r>
        <w:rPr>
          <w:sz w:val="20"/>
          <w:szCs w:val="20"/>
          <w:color w:val="auto"/>
        </w:rPr>
        <w:tab/>
      </w:r>
      <w:r>
        <w:rPr>
          <w:rFonts w:ascii="Arial" w:cs="Arial" w:eastAsia="Arial" w:hAnsi="Arial"/>
          <w:sz w:val="14"/>
          <w:szCs w:val="14"/>
          <w:u w:val="single" w:color="auto"/>
          <w:color w:val="auto"/>
        </w:rPr>
        <w:t>ERISA</w:t>
      </w:r>
    </w:p>
    <w:p>
      <w:pPr>
        <w:spacing w:after="0" w:line="149" w:lineRule="exact"/>
        <w:rPr>
          <w:sz w:val="20"/>
          <w:szCs w:val="20"/>
          <w:color w:val="auto"/>
        </w:rPr>
      </w:pPr>
    </w:p>
    <w:p>
      <w:pPr>
        <w:ind w:left="4" w:hanging="4"/>
        <w:spacing w:after="0" w:line="262" w:lineRule="auto"/>
        <w:tabs>
          <w:tab w:leader="none" w:pos="125" w:val="left"/>
        </w:tabs>
        <w:numPr>
          <w:ilvl w:val="0"/>
          <w:numId w:val="108"/>
        </w:numPr>
        <w:rPr>
          <w:rFonts w:ascii="Arial" w:cs="Arial" w:eastAsia="Arial" w:hAnsi="Arial"/>
          <w:sz w:val="15"/>
          <w:szCs w:val="15"/>
          <w:color w:val="auto"/>
        </w:rPr>
      </w:pPr>
      <w:r>
        <w:rPr>
          <w:rFonts w:ascii="Arial" w:cs="Arial" w:eastAsia="Arial" w:hAnsi="Arial"/>
          <w:sz w:val="15"/>
          <w:szCs w:val="15"/>
          <w:color w:val="auto"/>
        </w:rPr>
        <w:t>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1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3.09.</w:t>
      </w:r>
      <w:r>
        <w:rPr>
          <w:sz w:val="20"/>
          <w:szCs w:val="20"/>
          <w:color w:val="auto"/>
        </w:rPr>
        <w:tab/>
      </w:r>
      <w:r>
        <w:rPr>
          <w:rFonts w:ascii="Arial" w:cs="Arial" w:eastAsia="Arial" w:hAnsi="Arial"/>
          <w:sz w:val="14"/>
          <w:szCs w:val="14"/>
          <w:u w:val="single" w:color="auto"/>
          <w:color w:val="auto"/>
        </w:rPr>
        <w:t>Disclosure</w:t>
      </w:r>
    </w:p>
    <w:p>
      <w:pPr>
        <w:spacing w:after="0" w:line="149" w:lineRule="exact"/>
        <w:rPr>
          <w:sz w:val="20"/>
          <w:szCs w:val="20"/>
          <w:color w:val="auto"/>
        </w:rPr>
      </w:pPr>
    </w:p>
    <w:p>
      <w:pPr>
        <w:jc w:val="both"/>
        <w:ind w:left="4" w:hanging="4"/>
        <w:spacing w:after="0"/>
        <w:tabs>
          <w:tab w:leader="none" w:pos="11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 xml:space="preserve">As of the Effective Date, the Borrower has disclosed to the Lenders all agreements, instruments and corporate or other restrictions to which it or any of its Subsidiaries is subject, and all other matters known to it, that, individually or in the aggregate, could reasonably be expected to result in a Material Adverse Effect. As of the Effective Date, none of the reports, financial statements, certificates or other written information (other than projected financial information, other forward looking information relating to third parties and information of a general economic or general industry nature) furnished by or on behalf of the Borrower to the Administrative Agent in connection with the negotiation of this Agreement and the other Loan Documents or delivered hereunder or thereunder (as modified or supplemented by other information so furnished) when taken as a whole (and after giving effect to all updates, modifications and supplements) contains any material misstatement of fact or omits to state any material fact necessary to make the statements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projected financial information, the Borrower represents only that such information was prepared in good faith based upon assumptions believed to be reasonable at the time.</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80" w:type="dxa"/>
            <w:vAlign w:val="bottom"/>
          </w:tcPr>
          <w:p>
            <w:pPr>
              <w:ind w:left="1740"/>
              <w:spacing w:after="0"/>
              <w:rPr>
                <w:sz w:val="20"/>
                <w:szCs w:val="20"/>
                <w:color w:val="auto"/>
              </w:rPr>
            </w:pPr>
            <w:r>
              <w:rPr>
                <w:rFonts w:ascii="Arial" w:cs="Arial" w:eastAsia="Arial" w:hAnsi="Arial"/>
                <w:sz w:val="15"/>
                <w:szCs w:val="15"/>
                <w:color w:val="auto"/>
              </w:rPr>
              <w:t>SECTION 3.10.</w:t>
            </w:r>
          </w:p>
        </w:tc>
        <w:tc>
          <w:tcPr>
            <w:tcW w:w="8020" w:type="dxa"/>
            <w:vAlign w:val="bottom"/>
            <w:gridSpan w:val="5"/>
          </w:tcPr>
          <w:p>
            <w:pPr>
              <w:jc w:val="right"/>
              <w:ind w:right="3600"/>
              <w:spacing w:after="0"/>
              <w:rPr>
                <w:sz w:val="20"/>
                <w:szCs w:val="20"/>
                <w:color w:val="auto"/>
              </w:rPr>
            </w:pPr>
            <w:r>
              <w:rPr>
                <w:rFonts w:ascii="Arial" w:cs="Arial" w:eastAsia="Arial" w:hAnsi="Arial"/>
                <w:sz w:val="15"/>
                <w:szCs w:val="15"/>
                <w:color w:val="auto"/>
              </w:rPr>
              <w:t>Investment Company Act; Margin Regulations</w:t>
            </w:r>
          </w:p>
        </w:tc>
      </w:tr>
      <w:tr>
        <w:trPr>
          <w:trHeight w:val="336"/>
        </w:trPr>
        <w:tc>
          <w:tcPr>
            <w:tcW w:w="3280" w:type="dxa"/>
            <w:vAlign w:val="bottom"/>
          </w:tcPr>
          <w:p>
            <w:pPr>
              <w:spacing w:after="0"/>
              <w:rPr>
                <w:sz w:val="20"/>
                <w:szCs w:val="20"/>
                <w:color w:val="auto"/>
              </w:rPr>
            </w:pPr>
            <w:r>
              <w:rPr>
                <w:rFonts w:ascii="Arial" w:cs="Arial" w:eastAsia="Arial" w:hAnsi="Arial"/>
                <w:sz w:val="15"/>
                <w:szCs w:val="15"/>
                <w:color w:val="auto"/>
              </w:rPr>
              <w:t>.</w:t>
            </w:r>
          </w:p>
        </w:tc>
        <w:tc>
          <w:tcPr>
            <w:tcW w:w="15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5"/>
          </w:tcPr>
          <w:p>
            <w:pPr>
              <w:jc w:val="right"/>
              <w:spacing w:after="0"/>
              <w:rPr>
                <w:sz w:val="20"/>
                <w:szCs w:val="20"/>
                <w:color w:val="auto"/>
              </w:rPr>
            </w:pPr>
            <w:r>
              <w:rPr>
                <w:rFonts w:ascii="Arial" w:cs="Arial" w:eastAsia="Arial" w:hAnsi="Arial"/>
                <w:sz w:val="15"/>
                <w:szCs w:val="15"/>
                <w:color w:val="auto"/>
                <w:w w:val="91"/>
              </w:rPr>
              <w:t>Status as Business Development Company. The Borrower has elected to be regulated as a “business development company” within</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2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r>
      <w:tr>
        <w:trPr>
          <w:trHeight w:val="185"/>
        </w:trPr>
        <w:tc>
          <w:tcPr>
            <w:tcW w:w="11300" w:type="dxa"/>
            <w:vAlign w:val="bottom"/>
            <w:gridSpan w:val="6"/>
          </w:tcPr>
          <w:p>
            <w:pPr>
              <w:spacing w:after="0"/>
              <w:rPr>
                <w:sz w:val="20"/>
                <w:szCs w:val="20"/>
                <w:color w:val="auto"/>
              </w:rPr>
            </w:pPr>
            <w:r>
              <w:rPr>
                <w:rFonts w:ascii="Arial" w:cs="Arial" w:eastAsia="Arial" w:hAnsi="Arial"/>
                <w:sz w:val="15"/>
                <w:szCs w:val="15"/>
                <w:color w:val="auto"/>
              </w:rPr>
              <w:t>the meaning of the Investment Company Act and qualifies as a RIC.</w:t>
            </w: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(b)</w:t>
            </w:r>
          </w:p>
        </w:tc>
        <w:tc>
          <w:tcPr>
            <w:tcW w:w="8020" w:type="dxa"/>
            <w:vAlign w:val="bottom"/>
            <w:gridSpan w:val="5"/>
          </w:tcPr>
          <w:p>
            <w:pPr>
              <w:jc w:val="right"/>
              <w:spacing w:after="0"/>
              <w:rPr>
                <w:sz w:val="20"/>
                <w:szCs w:val="20"/>
                <w:color w:val="auto"/>
              </w:rPr>
            </w:pPr>
            <w:r>
              <w:rPr>
                <w:rFonts w:ascii="Arial" w:cs="Arial" w:eastAsia="Arial" w:hAnsi="Arial"/>
                <w:sz w:val="15"/>
                <w:szCs w:val="15"/>
                <w:color w:val="auto"/>
                <w:w w:val="95"/>
              </w:rPr>
              <w:t>Compliance with Investment Company Act. The business and other activities of the Borrower and its Subsidiaries, including the</w:t>
            </w:r>
          </w:p>
        </w:tc>
      </w:tr>
      <w:tr>
        <w:trPr>
          <w:trHeight w:val="20"/>
        </w:trPr>
        <w:tc>
          <w:tcPr>
            <w:tcW w:w="3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62" w:lineRule="auto"/>
        <w:rPr>
          <w:sz w:val="20"/>
          <w:szCs w:val="20"/>
          <w:color w:val="auto"/>
        </w:rPr>
      </w:pPr>
      <w:r>
        <w:rPr>
          <w:rFonts w:ascii="Arial" w:cs="Arial" w:eastAsia="Arial" w:hAnsi="Arial"/>
          <w:sz w:val="15"/>
          <w:szCs w:val="15"/>
          <w:color w:val="auto"/>
        </w:rPr>
        <w:t>making of the Loans hereunder, the application of the proceeds and repayment thereof by the Borrower and the consummation of the Transactions contemplated by the Loan Documents do not result in a violation or breach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03" w:name="page204"/>
    <w:bookmarkEnd w:id="203"/>
    <w:p>
      <w:pPr>
        <w:jc w:val="both"/>
        <w:ind w:right="20"/>
        <w:spacing w:after="0" w:line="262" w:lineRule="auto"/>
        <w:rPr>
          <w:sz w:val="20"/>
          <w:szCs w:val="20"/>
          <w:color w:val="auto"/>
        </w:rPr>
      </w:pPr>
      <w:r>
        <w:rPr>
          <w:rFonts w:ascii="Arial" w:cs="Arial" w:eastAsia="Arial" w:hAnsi="Arial"/>
          <w:sz w:val="15"/>
          <w:szCs w:val="15"/>
          <w:color w:val="auto"/>
        </w:rPr>
        <w:t>material respect of the provisions of the Investment Company Act or any rules, regulations or orders issued by the Securities and Exchange Commission thereunder, in each case that are applicable to the Borrower and its Subsidiaries.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ind w:left="1740"/>
              <w:spacing w:after="0"/>
              <w:rPr>
                <w:sz w:val="20"/>
                <w:szCs w:val="20"/>
                <w:color w:val="auto"/>
              </w:rPr>
            </w:pPr>
            <w:r>
              <w:rPr>
                <w:rFonts w:ascii="Arial" w:cs="Arial" w:eastAsia="Arial" w:hAnsi="Arial"/>
                <w:sz w:val="15"/>
                <w:szCs w:val="15"/>
                <w:color w:val="auto"/>
              </w:rPr>
              <w:t>(c)</w:t>
            </w:r>
          </w:p>
        </w:tc>
        <w:tc>
          <w:tcPr>
            <w:tcW w:w="8020" w:type="dxa"/>
            <w:vAlign w:val="bottom"/>
            <w:gridSpan w:val="3"/>
          </w:tcPr>
          <w:p>
            <w:pPr>
              <w:spacing w:after="0"/>
              <w:rPr>
                <w:sz w:val="20"/>
                <w:szCs w:val="20"/>
                <w:color w:val="auto"/>
              </w:rPr>
            </w:pPr>
            <w:r>
              <w:rPr>
                <w:rFonts w:ascii="Arial" w:cs="Arial" w:eastAsia="Arial" w:hAnsi="Arial"/>
                <w:sz w:val="15"/>
                <w:szCs w:val="15"/>
                <w:color w:val="auto"/>
                <w:w w:val="92"/>
              </w:rPr>
              <w:t>Investment Policies. The Borrower is in compliance in all respects with the Investment Policies (after giving effect to any Permitted</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185"/>
        </w:trPr>
        <w:tc>
          <w:tcPr>
            <w:tcW w:w="11300" w:type="dxa"/>
            <w:vAlign w:val="bottom"/>
            <w:gridSpan w:val="4"/>
          </w:tcPr>
          <w:p>
            <w:pPr>
              <w:spacing w:after="0"/>
              <w:rPr>
                <w:sz w:val="20"/>
                <w:szCs w:val="20"/>
                <w:color w:val="auto"/>
              </w:rPr>
            </w:pPr>
            <w:r>
              <w:rPr>
                <w:rFonts w:ascii="Arial" w:cs="Arial" w:eastAsia="Arial" w:hAnsi="Arial"/>
                <w:sz w:val="15"/>
                <w:szCs w:val="15"/>
                <w:color w:val="auto"/>
              </w:rPr>
              <w:t>Policy Amendments), except to the extent that the failure to so comply could not reasonably be expected to have a Material Adverse Effect.</w:t>
            </w: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(d)</w:t>
            </w:r>
          </w:p>
        </w:tc>
        <w:tc>
          <w:tcPr>
            <w:tcW w:w="8020" w:type="dxa"/>
            <w:vAlign w:val="bottom"/>
            <w:gridSpan w:val="3"/>
          </w:tcPr>
          <w:p>
            <w:pPr>
              <w:spacing w:after="0"/>
              <w:rPr>
                <w:sz w:val="20"/>
                <w:szCs w:val="20"/>
                <w:color w:val="auto"/>
              </w:rPr>
            </w:pPr>
            <w:r>
              <w:rPr>
                <w:rFonts w:ascii="Arial" w:cs="Arial" w:eastAsia="Arial" w:hAnsi="Arial"/>
                <w:sz w:val="15"/>
                <w:szCs w:val="15"/>
                <w:color w:val="auto"/>
                <w:w w:val="95"/>
              </w:rPr>
              <w:t>Use of Credit. Neither the Borrower nor any of its Subsidiaries is engaged principally, or as one of its important activities, in the</w:t>
            </w:r>
          </w:p>
        </w:tc>
      </w:tr>
      <w:tr>
        <w:trPr>
          <w:trHeight w:val="20"/>
        </w:trPr>
        <w:tc>
          <w:tcPr>
            <w:tcW w:w="3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40"/>
        <w:spacing w:after="0" w:line="262" w:lineRule="auto"/>
        <w:rPr>
          <w:sz w:val="20"/>
          <w:szCs w:val="20"/>
          <w:color w:val="auto"/>
        </w:rPr>
      </w:pPr>
      <w:r>
        <w:rPr>
          <w:rFonts w:ascii="Arial" w:cs="Arial" w:eastAsia="Arial" w:hAnsi="Arial"/>
          <w:sz w:val="15"/>
          <w:szCs w:val="15"/>
          <w:color w:val="auto"/>
        </w:rPr>
        <w:t>business of extending credit for the purpose, whether immediate, incidental or ultimate, of buying or carrying Margin Stock, and no part of the proceeds of any extension of credit hereunder will be used to buy or carry any Margin Stock.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3.11.</w:t>
            </w: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20" w:type="dxa"/>
            <w:vAlign w:val="bottom"/>
            <w:gridSpan w:val="5"/>
          </w:tcPr>
          <w:p>
            <w:pPr>
              <w:spacing w:after="0"/>
              <w:rPr>
                <w:sz w:val="20"/>
                <w:szCs w:val="20"/>
                <w:color w:val="auto"/>
              </w:rPr>
            </w:pPr>
            <w:r>
              <w:rPr>
                <w:rFonts w:ascii="Arial" w:cs="Arial" w:eastAsia="Arial" w:hAnsi="Arial"/>
                <w:sz w:val="15"/>
                <w:szCs w:val="15"/>
                <w:color w:val="auto"/>
              </w:rPr>
              <w:t>Material Agreements and Liens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5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8"/>
          </w:tcPr>
          <w:p>
            <w:pPr>
              <w:spacing w:after="0"/>
              <w:rPr>
                <w:sz w:val="20"/>
                <w:szCs w:val="20"/>
                <w:color w:val="auto"/>
              </w:rPr>
            </w:pPr>
            <w:r>
              <w:rPr>
                <w:rFonts w:ascii="Arial" w:cs="Arial" w:eastAsia="Arial" w:hAnsi="Arial"/>
                <w:sz w:val="15"/>
                <w:szCs w:val="15"/>
                <w:color w:val="auto"/>
                <w:w w:val="97"/>
              </w:rPr>
              <w:t>Material Agreements.  Part A of Schedule 3.11 is a complete and correct list, as of the Original Effective Date, of each credit</w:t>
            </w:r>
          </w:p>
        </w:tc>
      </w:tr>
      <w:tr>
        <w:trPr>
          <w:trHeight w:val="20"/>
        </w:trPr>
        <w:tc>
          <w:tcPr>
            <w:tcW w:w="3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40"/>
        <w:spacing w:after="0" w:line="275" w:lineRule="auto"/>
        <w:rPr>
          <w:sz w:val="20"/>
          <w:szCs w:val="20"/>
          <w:color w:val="auto"/>
        </w:rPr>
      </w:pPr>
      <w:r>
        <w:rPr>
          <w:rFonts w:ascii="Arial" w:cs="Arial" w:eastAsia="Arial" w:hAnsi="Arial"/>
          <w:sz w:val="14"/>
          <w:szCs w:val="14"/>
          <w:color w:val="auto"/>
        </w:rPr>
        <w:t xml:space="preserve">agreement, loan agreement, indenture, purchase agreement, guarantee, letter of credit or other arrangement providing for or otherwise relating to any Indebtedness or any extension of credit (or commitment for any extension of credit) to, or guarantee by, the Borrower or any of its Subsidiaries outstanding as of the Original Effective Date, and the aggregate principal or face amount outstanding or that is, or may become, outstanding under each such arrangement is correctly described in </w:t>
      </w:r>
      <w:r>
        <w:rPr>
          <w:rFonts w:ascii="Arial" w:cs="Arial" w:eastAsia="Arial" w:hAnsi="Arial"/>
          <w:sz w:val="14"/>
          <w:szCs w:val="14"/>
          <w:u w:val="single" w:color="auto"/>
          <w:color w:val="auto"/>
        </w:rPr>
        <w:t>Part A</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w:t>
      </w:r>
    </w:p>
    <w:p>
      <w:pPr>
        <w:spacing w:after="0" w:line="108"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Liens</w:t>
      </w:r>
      <w:r>
        <w:rPr>
          <w:rFonts w:ascii="Arial" w:cs="Arial" w:eastAsia="Arial" w:hAnsi="Arial"/>
          <w:sz w:val="15"/>
          <w:szCs w:val="15"/>
          <w:color w:val="auto"/>
        </w:rPr>
        <w:t xml:space="preserve">. </w:t>
      </w:r>
      <w:r>
        <w:rPr>
          <w:rFonts w:ascii="Arial" w:cs="Arial" w:eastAsia="Arial" w:hAnsi="Arial"/>
          <w:sz w:val="15"/>
          <w:szCs w:val="15"/>
          <w:u w:val="single" w:color="auto"/>
          <w:color w:val="auto"/>
        </w:rPr>
        <w:t>Part B</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3.11</w:t>
      </w:r>
      <w:r>
        <w:rPr>
          <w:rFonts w:ascii="Arial" w:cs="Arial" w:eastAsia="Arial" w:hAnsi="Arial"/>
          <w:sz w:val="15"/>
          <w:szCs w:val="15"/>
          <w:color w:val="auto"/>
        </w:rPr>
        <w:t xml:space="preserve"> is a complete and correct list, as of the Original Effective Date, of each Lien securing Indebtedness of any Person outstanding on the Original Effective Date covering any property of the Borrower or any of the Subsidiary Guarantors, and the aggregate Indebtedness secured (or that may be secured) by each such Lien and the property covered by each such Lien is correctly described in </w:t>
      </w:r>
      <w:r>
        <w:rPr>
          <w:rFonts w:ascii="Arial" w:cs="Arial" w:eastAsia="Arial" w:hAnsi="Arial"/>
          <w:sz w:val="15"/>
          <w:szCs w:val="15"/>
          <w:u w:val="single" w:color="auto"/>
          <w:color w:val="auto"/>
        </w:rPr>
        <w:t>Part B</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3.11</w:t>
      </w:r>
      <w:r>
        <w:rPr>
          <w:rFonts w:ascii="Arial" w:cs="Arial" w:eastAsia="Arial" w:hAnsi="Arial"/>
          <w:sz w:val="15"/>
          <w:szCs w:val="15"/>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ind w:left="1740"/>
              <w:spacing w:after="0"/>
              <w:rPr>
                <w:sz w:val="20"/>
                <w:szCs w:val="20"/>
                <w:color w:val="auto"/>
              </w:rPr>
            </w:pPr>
            <w:r>
              <w:rPr>
                <w:rFonts w:ascii="Arial" w:cs="Arial" w:eastAsia="Arial" w:hAnsi="Arial"/>
                <w:sz w:val="15"/>
                <w:szCs w:val="15"/>
                <w:color w:val="auto"/>
              </w:rPr>
              <w:t>SECTION 3.12.</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40" w:type="dxa"/>
            <w:vAlign w:val="bottom"/>
            <w:gridSpan w:val="3"/>
          </w:tcPr>
          <w:p>
            <w:pPr>
              <w:spacing w:after="0"/>
              <w:rPr>
                <w:sz w:val="20"/>
                <w:szCs w:val="20"/>
                <w:color w:val="auto"/>
              </w:rPr>
            </w:pPr>
            <w:r>
              <w:rPr>
                <w:rFonts w:ascii="Arial" w:cs="Arial" w:eastAsia="Arial" w:hAnsi="Arial"/>
                <w:sz w:val="15"/>
                <w:szCs w:val="15"/>
                <w:color w:val="auto"/>
              </w:rPr>
              <w:t>Subsidiaries and Investments</w:t>
            </w:r>
          </w:p>
        </w:tc>
      </w:tr>
      <w:tr>
        <w:trPr>
          <w:trHeight w:val="336"/>
        </w:trPr>
        <w:tc>
          <w:tcPr>
            <w:tcW w:w="2980" w:type="dxa"/>
            <w:vAlign w:val="bottom"/>
          </w:tcPr>
          <w:p>
            <w:pPr>
              <w:jc w:val="right"/>
              <w:ind w:right="2871"/>
              <w:spacing w:after="0"/>
              <w:rPr>
                <w:sz w:val="20"/>
                <w:szCs w:val="20"/>
                <w:color w:val="auto"/>
              </w:rPr>
            </w:pPr>
            <w:r>
              <w:rPr>
                <w:rFonts w:ascii="Arial" w:cs="Arial" w:eastAsia="Arial" w:hAnsi="Arial"/>
                <w:sz w:val="10"/>
                <w:szCs w:val="10"/>
                <w:color w:val="auto"/>
                <w:w w:val="70"/>
              </w:rPr>
              <w:t>.</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60" w:type="dxa"/>
            <w:vAlign w:val="bottom"/>
          </w:tcPr>
          <w:p>
            <w:pPr>
              <w:spacing w:after="0"/>
              <w:rPr>
                <w:sz w:val="24"/>
                <w:szCs w:val="24"/>
                <w:color w:val="auto"/>
              </w:rPr>
            </w:pPr>
          </w:p>
        </w:tc>
      </w:tr>
      <w:tr>
        <w:trPr>
          <w:trHeight w:val="287"/>
        </w:trPr>
        <w:tc>
          <w:tcPr>
            <w:tcW w:w="2980" w:type="dxa"/>
            <w:vAlign w:val="bottom"/>
          </w:tcPr>
          <w:p>
            <w:pPr>
              <w:ind w:left="1740"/>
              <w:spacing w:after="0"/>
              <w:rPr>
                <w:sz w:val="20"/>
                <w:szCs w:val="20"/>
                <w:color w:val="auto"/>
              </w:rPr>
            </w:pPr>
            <w:r>
              <w:rPr>
                <w:rFonts w:ascii="Arial" w:cs="Arial" w:eastAsia="Arial" w:hAnsi="Arial"/>
                <w:sz w:val="15"/>
                <w:szCs w:val="15"/>
                <w:color w:val="auto"/>
              </w:rPr>
              <w:t>(a)</w:t>
            </w:r>
          </w:p>
        </w:tc>
        <w:tc>
          <w:tcPr>
            <w:tcW w:w="3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Arial" w:cs="Arial" w:eastAsia="Arial" w:hAnsi="Arial"/>
                <w:sz w:val="15"/>
                <w:szCs w:val="15"/>
                <w:color w:val="auto"/>
              </w:rPr>
              <w:t>Subsidiaries. Set forth on Schedule 3.12(a) is a list of the Borrower’s Subsidiaries as of the Original Effective Date.</w:t>
            </w:r>
          </w:p>
        </w:tc>
      </w:tr>
      <w:tr>
        <w:trPr>
          <w:trHeight w:val="20"/>
        </w:trPr>
        <w:tc>
          <w:tcPr>
            <w:tcW w:w="29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r>
      <w:tr>
        <w:trPr>
          <w:trHeight w:val="301"/>
        </w:trPr>
        <w:tc>
          <w:tcPr>
            <w:tcW w:w="2980" w:type="dxa"/>
            <w:vAlign w:val="bottom"/>
          </w:tcPr>
          <w:p>
            <w:pPr>
              <w:ind w:left="1740"/>
              <w:spacing w:after="0"/>
              <w:rPr>
                <w:sz w:val="20"/>
                <w:szCs w:val="20"/>
                <w:color w:val="auto"/>
              </w:rPr>
            </w:pPr>
            <w:r>
              <w:rPr>
                <w:rFonts w:ascii="Arial" w:cs="Arial" w:eastAsia="Arial" w:hAnsi="Arial"/>
                <w:sz w:val="15"/>
                <w:szCs w:val="15"/>
                <w:color w:val="auto"/>
              </w:rPr>
              <w:t>(b)</w:t>
            </w:r>
          </w:p>
        </w:tc>
        <w:tc>
          <w:tcPr>
            <w:tcW w:w="3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Arial" w:cs="Arial" w:eastAsia="Arial" w:hAnsi="Arial"/>
                <w:sz w:val="15"/>
                <w:szCs w:val="15"/>
                <w:color w:val="auto"/>
                <w:w w:val="92"/>
              </w:rPr>
              <w:t>Investments. Set forth on Schedule 3.12(b) is a complete and correct list, as of the Original Effective Date, of all Investments (other</w:t>
            </w: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 xml:space="preserve">than Investments of the types referred to in </w:t>
      </w:r>
      <w:r>
        <w:rPr>
          <w:rFonts w:ascii="Arial" w:cs="Arial" w:eastAsia="Arial" w:hAnsi="Arial"/>
          <w:sz w:val="15"/>
          <w:szCs w:val="15"/>
          <w:u w:val="single" w:color="auto"/>
          <w:color w:val="auto"/>
        </w:rPr>
        <w:t>clauses (b)</w:t>
      </w:r>
      <w:r>
        <w:rPr>
          <w:rFonts w:ascii="Arial" w:cs="Arial" w:eastAsia="Arial" w:hAnsi="Arial"/>
          <w:sz w:val="15"/>
          <w:szCs w:val="15"/>
          <w:color w:val="auto"/>
        </w:rPr>
        <w:t xml:space="preserve">, </w:t>
      </w:r>
      <w:r>
        <w:rPr>
          <w:rFonts w:ascii="Arial" w:cs="Arial" w:eastAsia="Arial" w:hAnsi="Arial"/>
          <w:sz w:val="15"/>
          <w:szCs w:val="15"/>
          <w:u w:val="single" w:color="auto"/>
          <w:color w:val="auto"/>
        </w:rPr>
        <w:t>(c)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6.04</w:t>
      </w:r>
      <w:r>
        <w:rPr>
          <w:rFonts w:ascii="Arial" w:cs="Arial" w:eastAsia="Arial" w:hAnsi="Arial"/>
          <w:sz w:val="15"/>
          <w:szCs w:val="15"/>
          <w:color w:val="auto"/>
        </w:rPr>
        <w:t xml:space="preserve">) held by the Borrower or any of the Subsidiary Guarantors in any Person on the Original Effective Date and, for each such Investment, (x) the identity of the Person or Persons holding such Investment and (y) the nature of such Investment. Except as disclosed in </w:t>
      </w:r>
      <w:r>
        <w:rPr>
          <w:rFonts w:ascii="Arial" w:cs="Arial" w:eastAsia="Arial" w:hAnsi="Arial"/>
          <w:sz w:val="15"/>
          <w:szCs w:val="15"/>
          <w:u w:val="single" w:color="auto"/>
          <w:color w:val="auto"/>
        </w:rPr>
        <w:t>Schedule 3.12</w:t>
      </w:r>
      <w:r>
        <w:rPr>
          <w:rFonts w:ascii="Arial" w:cs="Arial" w:eastAsia="Arial" w:hAnsi="Arial"/>
          <w:sz w:val="15"/>
          <w:szCs w:val="15"/>
          <w:color w:val="auto"/>
        </w:rPr>
        <w:t>, each of the Borrower and any of the Subsidiary Guarantors owned, free and clear of all Liens (other than Liens created pursuant to this Agreement or the Security Documents and Permitted Liens), all such Investments as of such date.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ind w:left="1740"/>
              <w:spacing w:after="0"/>
              <w:rPr>
                <w:sz w:val="20"/>
                <w:szCs w:val="20"/>
                <w:color w:val="auto"/>
              </w:rPr>
            </w:pPr>
            <w:r>
              <w:rPr>
                <w:rFonts w:ascii="Arial" w:cs="Arial" w:eastAsia="Arial" w:hAnsi="Arial"/>
                <w:sz w:val="15"/>
                <w:szCs w:val="15"/>
                <w:color w:val="auto"/>
              </w:rPr>
              <w:t>SECTION 3.13.</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140" w:type="dxa"/>
            <w:vAlign w:val="bottom"/>
            <w:gridSpan w:val="3"/>
          </w:tcPr>
          <w:p>
            <w:pPr>
              <w:ind w:left="680"/>
              <w:spacing w:after="0"/>
              <w:rPr>
                <w:sz w:val="20"/>
                <w:szCs w:val="20"/>
                <w:color w:val="auto"/>
              </w:rPr>
            </w:pPr>
            <w:r>
              <w:rPr>
                <w:rFonts w:ascii="Arial" w:cs="Arial" w:eastAsia="Arial" w:hAnsi="Arial"/>
                <w:sz w:val="15"/>
                <w:szCs w:val="15"/>
                <w:color w:val="auto"/>
              </w:rPr>
              <w:t>Properties</w:t>
            </w:r>
          </w:p>
        </w:tc>
      </w:tr>
      <w:tr>
        <w:trPr>
          <w:trHeight w:val="336"/>
        </w:trPr>
        <w:tc>
          <w:tcPr>
            <w:tcW w:w="2980" w:type="dxa"/>
            <w:vAlign w:val="bottom"/>
          </w:tcPr>
          <w:p>
            <w:pPr>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40" w:type="dxa"/>
            <w:vAlign w:val="bottom"/>
          </w:tcPr>
          <w:p>
            <w:pPr>
              <w:spacing w:after="0"/>
              <w:rPr>
                <w:sz w:val="24"/>
                <w:szCs w:val="24"/>
                <w:color w:val="auto"/>
              </w:rPr>
            </w:pPr>
          </w:p>
        </w:tc>
      </w:tr>
      <w:tr>
        <w:trPr>
          <w:trHeight w:val="287"/>
        </w:trPr>
        <w:tc>
          <w:tcPr>
            <w:tcW w:w="2980" w:type="dxa"/>
            <w:vAlign w:val="bottom"/>
          </w:tcPr>
          <w:p>
            <w:pPr>
              <w:ind w:left="1740"/>
              <w:spacing w:after="0"/>
              <w:rPr>
                <w:sz w:val="20"/>
                <w:szCs w:val="20"/>
                <w:color w:val="auto"/>
              </w:rPr>
            </w:pPr>
            <w:r>
              <w:rPr>
                <w:rFonts w:ascii="Arial" w:cs="Arial" w:eastAsia="Arial" w:hAnsi="Arial"/>
                <w:sz w:val="15"/>
                <w:szCs w:val="15"/>
                <w:color w:val="auto"/>
              </w:rPr>
              <w:t>(a)</w:t>
            </w:r>
          </w:p>
        </w:tc>
        <w:tc>
          <w:tcPr>
            <w:tcW w:w="8340" w:type="dxa"/>
            <w:vAlign w:val="bottom"/>
            <w:gridSpan w:val="5"/>
          </w:tcPr>
          <w:p>
            <w:pPr>
              <w:ind w:left="280"/>
              <w:spacing w:after="0"/>
              <w:rPr>
                <w:sz w:val="20"/>
                <w:szCs w:val="20"/>
                <w:color w:val="auto"/>
              </w:rPr>
            </w:pPr>
            <w:r>
              <w:rPr>
                <w:rFonts w:ascii="Arial" w:cs="Arial" w:eastAsia="Arial" w:hAnsi="Arial"/>
                <w:sz w:val="15"/>
                <w:szCs w:val="15"/>
                <w:color w:val="auto"/>
                <w:w w:val="92"/>
              </w:rPr>
              <w:t>Title Generally. Each of the Borrower and the Subsidiary Guarantors has good title to, or valid leasehold interests in, all its real and</w:t>
            </w:r>
          </w:p>
        </w:tc>
      </w:tr>
      <w:tr>
        <w:trPr>
          <w:trHeight w:val="185"/>
        </w:trPr>
        <w:tc>
          <w:tcPr>
            <w:tcW w:w="2980" w:type="dxa"/>
            <w:vAlign w:val="bottom"/>
          </w:tcPr>
          <w:p>
            <w:pPr>
              <w:spacing w:after="0"/>
              <w:rPr>
                <w:sz w:val="20"/>
                <w:szCs w:val="20"/>
                <w:color w:val="auto"/>
              </w:rPr>
            </w:pPr>
            <w:r>
              <w:rPr>
                <w:rFonts w:ascii="Arial" w:cs="Arial" w:eastAsia="Arial" w:hAnsi="Arial"/>
                <w:sz w:val="15"/>
                <w:szCs w:val="15"/>
                <w:color w:val="auto"/>
              </w:rPr>
              <w:t>personal property material to its</w:t>
            </w:r>
          </w:p>
        </w:tc>
        <w:tc>
          <w:tcPr>
            <w:tcW w:w="2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372"/>
        </w:trPr>
        <w:tc>
          <w:tcPr>
            <w:tcW w:w="2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95" w:right="279" w:bottom="1440" w:gutter="0" w:footer="0" w:header="0"/>
        </w:sectPr>
      </w:pPr>
    </w:p>
    <w:bookmarkStart w:id="204" w:name="page205"/>
    <w:bookmarkEnd w:id="204"/>
    <w:p>
      <w:pPr>
        <w:ind w:left="4"/>
        <w:spacing w:after="0"/>
        <w:rPr>
          <w:sz w:val="20"/>
          <w:szCs w:val="20"/>
          <w:color w:val="auto"/>
        </w:rPr>
      </w:pPr>
      <w:r>
        <w:rPr>
          <w:rFonts w:ascii="Arial" w:cs="Arial" w:eastAsia="Arial" w:hAnsi="Arial"/>
          <w:sz w:val="14"/>
          <w:szCs w:val="14"/>
          <w:color w:val="auto"/>
        </w:rPr>
        <w:t>business, except for minor defects in title that do not interfere with its ability to conduct its business as currently conducted or to utilize such properties for their intended purposes.</w:t>
      </w:r>
    </w:p>
    <w:p>
      <w:pPr>
        <w:spacing w:after="0" w:line="160" w:lineRule="exact"/>
        <w:rPr>
          <w:sz w:val="20"/>
          <w:szCs w:val="20"/>
          <w:color w:val="auto"/>
        </w:rPr>
      </w:pPr>
    </w:p>
    <w:p>
      <w:pPr>
        <w:jc w:val="both"/>
        <w:ind w:left="4" w:right="20" w:firstLine="1737"/>
        <w:spacing w:after="0" w:line="245"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Each of the Borrower and its Subsidiaries (other than any Financing Subsidiary) owns, or is licensed to use, all trademarks, tradenames, copyrights, patents and other intellectual property material to its business, and the use thereof by the Borrower and its Subsidiaries (other than any Financing Subsidiary) does not infringe upon the rights of any other Person, except for any such infringements that, individually or in the aggregate, could not reasonably be expected to result in a Material Adverse Effect.</w:t>
      </w:r>
    </w:p>
    <w:p>
      <w:pPr>
        <w:spacing w:after="0" w:line="12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3.14.</w:t>
      </w:r>
      <w:r>
        <w:rPr>
          <w:sz w:val="20"/>
          <w:szCs w:val="20"/>
          <w:color w:val="auto"/>
        </w:rPr>
        <w:tab/>
      </w:r>
      <w:r>
        <w:rPr>
          <w:rFonts w:ascii="Arial" w:cs="Arial" w:eastAsia="Arial" w:hAnsi="Arial"/>
          <w:sz w:val="14"/>
          <w:szCs w:val="14"/>
          <w:u w:val="single" w:color="auto"/>
          <w:color w:val="auto"/>
        </w:rPr>
        <w:t>Affiliate Agreements</w:t>
      </w:r>
    </w:p>
    <w:p>
      <w:pPr>
        <w:spacing w:after="0" w:line="149" w:lineRule="exact"/>
        <w:rPr>
          <w:sz w:val="20"/>
          <w:szCs w:val="20"/>
          <w:color w:val="auto"/>
        </w:rPr>
      </w:pPr>
    </w:p>
    <w:p>
      <w:pPr>
        <w:jc w:val="both"/>
        <w:ind w:left="4" w:right="20" w:hanging="4"/>
        <w:spacing w:after="0" w:line="249" w:lineRule="auto"/>
        <w:tabs>
          <w:tab w:leader="none" w:pos="1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As of the Original Effective Date, the Borrower has heretofore delivered to the Administrative Agent true and complete copies of each of the Affiliate Agreements (including and schedules and exhibits thereto, and any amendments, supplements or waivers executed and delivered thereunder). As of the Original Effective Date, each of the Affiliate Agreements was in full force and effect.</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2980" w:type="dxa"/>
            <w:vAlign w:val="bottom"/>
          </w:tcPr>
          <w:p>
            <w:pPr>
              <w:ind w:left="1740"/>
              <w:spacing w:after="0"/>
              <w:rPr>
                <w:sz w:val="20"/>
                <w:szCs w:val="20"/>
                <w:color w:val="auto"/>
              </w:rPr>
            </w:pPr>
            <w:r>
              <w:rPr>
                <w:rFonts w:ascii="Arial" w:cs="Arial" w:eastAsia="Arial" w:hAnsi="Arial"/>
                <w:sz w:val="15"/>
                <w:szCs w:val="15"/>
                <w:color w:val="auto"/>
              </w:rPr>
              <w:t>SECTION 3.15.</w:t>
            </w:r>
          </w:p>
        </w:tc>
        <w:tc>
          <w:tcPr>
            <w:tcW w:w="8300" w:type="dxa"/>
            <w:vAlign w:val="bottom"/>
            <w:gridSpan w:val="3"/>
          </w:tcPr>
          <w:p>
            <w:pPr>
              <w:ind w:left="1880"/>
              <w:spacing w:after="0"/>
              <w:rPr>
                <w:sz w:val="20"/>
                <w:szCs w:val="20"/>
                <w:color w:val="auto"/>
              </w:rPr>
            </w:pPr>
            <w:r>
              <w:rPr>
                <w:rFonts w:ascii="Arial" w:cs="Arial" w:eastAsia="Arial" w:hAnsi="Arial"/>
                <w:sz w:val="15"/>
                <w:szCs w:val="15"/>
                <w:color w:val="auto"/>
              </w:rPr>
              <w:t>Sanctions</w:t>
            </w:r>
          </w:p>
        </w:tc>
      </w:tr>
      <w:tr>
        <w:trPr>
          <w:trHeight w:val="336"/>
        </w:trPr>
        <w:tc>
          <w:tcPr>
            <w:tcW w:w="2980" w:type="dxa"/>
            <w:vAlign w:val="bottom"/>
          </w:tcPr>
          <w:p>
            <w:pPr>
              <w:jc w:val="right"/>
              <w:ind w:right="2873"/>
              <w:spacing w:after="0"/>
              <w:rPr>
                <w:sz w:val="20"/>
                <w:szCs w:val="20"/>
                <w:color w:val="auto"/>
              </w:rPr>
            </w:pPr>
            <w:r>
              <w:rPr>
                <w:rFonts w:ascii="Arial" w:cs="Arial" w:eastAsia="Arial" w:hAnsi="Arial"/>
                <w:sz w:val="10"/>
                <w:szCs w:val="10"/>
                <w:color w:val="auto"/>
                <w:w w:val="70"/>
              </w:rPr>
              <w:t>.</w:t>
            </w:r>
          </w:p>
        </w:tc>
        <w:tc>
          <w:tcPr>
            <w:tcW w:w="18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820" w:type="dxa"/>
            <w:vAlign w:val="bottom"/>
          </w:tcPr>
          <w:p>
            <w:pPr>
              <w:spacing w:after="0"/>
              <w:rPr>
                <w:sz w:val="24"/>
                <w:szCs w:val="24"/>
                <w:color w:val="auto"/>
              </w:rPr>
            </w:pPr>
          </w:p>
        </w:tc>
      </w:tr>
      <w:tr>
        <w:trPr>
          <w:trHeight w:val="313"/>
        </w:trPr>
        <w:tc>
          <w:tcPr>
            <w:tcW w:w="2980" w:type="dxa"/>
            <w:vAlign w:val="bottom"/>
          </w:tcPr>
          <w:p>
            <w:pPr>
              <w:ind w:left="1740"/>
              <w:spacing w:after="0"/>
              <w:rPr>
                <w:sz w:val="20"/>
                <w:szCs w:val="20"/>
                <w:color w:val="auto"/>
              </w:rPr>
            </w:pPr>
            <w:r>
              <w:rPr>
                <w:rFonts w:ascii="Arial" w:cs="Arial" w:eastAsia="Arial" w:hAnsi="Arial"/>
                <w:sz w:val="15"/>
                <w:szCs w:val="15"/>
                <w:color w:val="auto"/>
              </w:rPr>
              <w:t>(a)</w:t>
            </w:r>
          </w:p>
        </w:tc>
        <w:tc>
          <w:tcPr>
            <w:tcW w:w="8300" w:type="dxa"/>
            <w:vAlign w:val="bottom"/>
            <w:gridSpan w:val="3"/>
          </w:tcPr>
          <w:p>
            <w:pPr>
              <w:ind w:left="280"/>
              <w:spacing w:after="0"/>
              <w:rPr>
                <w:sz w:val="20"/>
                <w:szCs w:val="20"/>
                <w:color w:val="auto"/>
              </w:rPr>
            </w:pPr>
            <w:r>
              <w:rPr>
                <w:rFonts w:ascii="Arial" w:cs="Arial" w:eastAsia="Arial" w:hAnsi="Arial"/>
                <w:sz w:val="15"/>
                <w:szCs w:val="15"/>
                <w:color w:val="auto"/>
                <w:w w:val="93"/>
              </w:rPr>
              <w:t>None of the Borrower or any of its Subsidiaries, nor, to the knowledge of the Borrower, any of their respective directors, officers or</w:t>
            </w:r>
          </w:p>
        </w:tc>
      </w:tr>
    </w:tbl>
    <w:p>
      <w:pPr>
        <w:jc w:val="both"/>
        <w:ind w:left="4"/>
        <w:spacing w:after="0" w:line="296" w:lineRule="auto"/>
        <w:rPr>
          <w:sz w:val="20"/>
          <w:szCs w:val="20"/>
          <w:color w:val="auto"/>
        </w:rPr>
      </w:pPr>
      <w:r>
        <w:rPr>
          <w:rFonts w:ascii="Arial" w:cs="Arial" w:eastAsia="Arial" w:hAnsi="Arial"/>
          <w:sz w:val="13"/>
          <w:szCs w:val="13"/>
          <w:color w:val="auto"/>
        </w:rPr>
        <w:t>authorized signors (i) is a person on the list of Specially Designated Nationals and Blocked Persons or subject to, or the subject or target of, the limitations or prohibitions (collectively “</w:t>
      </w:r>
      <w:r>
        <w:rPr>
          <w:rFonts w:ascii="Arial" w:cs="Arial" w:eastAsia="Arial" w:hAnsi="Arial"/>
          <w:sz w:val="13"/>
          <w:szCs w:val="13"/>
          <w:u w:val="single" w:color="auto"/>
          <w:color w:val="auto"/>
        </w:rPr>
        <w:t>Sanctions</w:t>
      </w:r>
      <w:r>
        <w:rPr>
          <w:rFonts w:ascii="Arial" w:cs="Arial" w:eastAsia="Arial" w:hAnsi="Arial"/>
          <w:sz w:val="13"/>
          <w:szCs w:val="13"/>
          <w:color w:val="auto"/>
        </w:rPr>
        <w:t>”) under (A) any U.S. Department of Treasury’s Office of Foreign Assets Control or U.S. Department of State regulation or executive order or (B) any international economic sanction administered or enforced by the United Nations Security Council, Her Majesty’s Treasury or the European Union or (ii) is located, organized or resident in a Sanctioned Country.</w:t>
      </w:r>
    </w:p>
    <w:p>
      <w:pPr>
        <w:spacing w:after="0" w:line="97" w:lineRule="exact"/>
        <w:rPr>
          <w:sz w:val="20"/>
          <w:szCs w:val="20"/>
          <w:color w:val="auto"/>
        </w:rPr>
      </w:pPr>
    </w:p>
    <w:p>
      <w:pPr>
        <w:jc w:val="both"/>
        <w:ind w:left="4" w:right="20" w:firstLine="1737"/>
        <w:spacing w:after="0" w:line="262" w:lineRule="auto"/>
        <w:rPr>
          <w:sz w:val="20"/>
          <w:szCs w:val="20"/>
          <w:color w:val="auto"/>
        </w:rPr>
      </w:pPr>
      <w:r>
        <w:rPr>
          <w:rFonts w:ascii="Arial" w:cs="Arial" w:eastAsia="Arial" w:hAnsi="Arial"/>
          <w:sz w:val="15"/>
          <w:szCs w:val="15"/>
          <w:color w:val="auto"/>
        </w:rPr>
        <w:t>(b) The Borrower has implemented and maintains in effect policies and procedures reasonably designed to ensure compliance by the Borrower, its Subsidiaries and their respective directors, officers, employees and investment advisors with Anti-Corruption Laws and applicable Sanctions in all material respects.</w:t>
      </w:r>
    </w:p>
    <w:p>
      <w:pPr>
        <w:spacing w:after="0" w:line="11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3.16.</w:t>
      </w:r>
      <w:r>
        <w:rPr>
          <w:sz w:val="20"/>
          <w:szCs w:val="20"/>
          <w:color w:val="auto"/>
        </w:rPr>
        <w:tab/>
      </w:r>
      <w:r>
        <w:rPr>
          <w:rFonts w:ascii="Arial" w:cs="Arial" w:eastAsia="Arial" w:hAnsi="Arial"/>
          <w:sz w:val="14"/>
          <w:szCs w:val="14"/>
          <w:u w:val="single" w:color="auto"/>
          <w:color w:val="auto"/>
        </w:rPr>
        <w:t>Patriot Act</w:t>
      </w:r>
    </w:p>
    <w:p>
      <w:pPr>
        <w:spacing w:after="0" w:line="149" w:lineRule="exact"/>
        <w:rPr>
          <w:sz w:val="20"/>
          <w:szCs w:val="20"/>
          <w:color w:val="auto"/>
        </w:rPr>
      </w:pPr>
    </w:p>
    <w:p>
      <w:pPr>
        <w:jc w:val="both"/>
        <w:ind w:left="4" w:hanging="4"/>
        <w:spacing w:after="0" w:line="259" w:lineRule="auto"/>
        <w:tabs>
          <w:tab w:leader="none" w:pos="14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Each of the Borrower and its Subsidiaries is in material compliance with (a) the Trading with the Enemy Act, as amended, and each of the foreign assets control regulations of the United States Treasury Department (31 CFR, Subtitle B, Chapter V, as amended) and any other enabling legislation or executive order relating thereto, and (b) the Uniting And Strengthening America By Providing Appropriate Tools Required To Intercept And Obstruct Terrorism (USA Patriot Act of 2001). No part of the proceeds of the Loans or Letters of Credit will be used, directly or, to the knowledge of a Responsible Officer of the Borrower, indirectly, for any payments (i) to any governmental official or employee, political party, official of a political party, candidate for political office, or anyone else acting in an official capacity, in order to obtain, retain or direct business or obtain any improper advantage, all in violation by the Borrower or its Subsidiaries of the United States Foreign Corrupt Practices Act of 1977, as amended, or the UK Bribery Act or in material violation of US or UK regulations implementing the OECD Convention on Combating Bribery of Foreign Public Officials in International Business Transactions (collectively, the “Anti-Corruption Laws”) or (ii) for the purpose of financing the activities in or with any Sanctioned Country, or of any Person, at the time of such financing (A) subject to, or the subject of, any Sanctions or (B) located, organized or resident in a Sanctioned Country, in each case as would result in a violation of Sanctions.</w:t>
      </w:r>
    </w:p>
    <w:p>
      <w:pPr>
        <w:spacing w:after="0" w:line="11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3.17.</w:t>
      </w:r>
      <w:r>
        <w:rPr>
          <w:sz w:val="20"/>
          <w:szCs w:val="20"/>
          <w:color w:val="auto"/>
        </w:rPr>
        <w:tab/>
      </w:r>
      <w:r>
        <w:rPr>
          <w:rFonts w:ascii="Arial" w:cs="Arial" w:eastAsia="Arial" w:hAnsi="Arial"/>
          <w:sz w:val="14"/>
          <w:szCs w:val="14"/>
          <w:u w:val="single" w:color="auto"/>
          <w:color w:val="auto"/>
        </w:rPr>
        <w:t>Collateral Documents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5"/>
          <w:szCs w:val="15"/>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05" w:name="page206"/>
    <w:bookmarkEnd w:id="205"/>
    <w:p>
      <w:pPr>
        <w:jc w:val="both"/>
        <w:ind w:left="4" w:right="20"/>
        <w:spacing w:after="0" w:line="249" w:lineRule="auto"/>
        <w:rPr>
          <w:sz w:val="20"/>
          <w:szCs w:val="20"/>
          <w:color w:val="auto"/>
        </w:rPr>
      </w:pPr>
      <w:r>
        <w:rPr>
          <w:rFonts w:ascii="Arial" w:cs="Arial" w:eastAsia="Arial" w:hAnsi="Arial"/>
          <w:sz w:val="15"/>
          <w:szCs w:val="15"/>
          <w:color w:val="auto"/>
        </w:rPr>
        <w:t xml:space="preserve">provisions of the Security Documents are effective to create in favor of the Collateral Agent a legal, valid and enforceable first priority Lien (subject to Liens permitted by </w:t>
      </w:r>
      <w:r>
        <w:rPr>
          <w:rFonts w:ascii="Arial" w:cs="Arial" w:eastAsia="Arial" w:hAnsi="Arial"/>
          <w:sz w:val="15"/>
          <w:szCs w:val="15"/>
          <w:u w:val="single" w:color="auto"/>
          <w:color w:val="auto"/>
        </w:rPr>
        <w:t>Section 6.02</w:t>
      </w:r>
      <w:r>
        <w:rPr>
          <w:rFonts w:ascii="Arial" w:cs="Arial" w:eastAsia="Arial" w:hAnsi="Arial"/>
          <w:sz w:val="15"/>
          <w:szCs w:val="15"/>
          <w:color w:val="auto"/>
        </w:rPr>
        <w:t>) on all right, title and interest of the Borrower and each Subsidiary Guarantor in the Collateral described therein. Except for filings completed prior to the Effective Date and as contemplated hereby and by the Security Documents, no filing or other action will be necessary to perfect such Liens.</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3.18.</w:t>
      </w:r>
      <w:r>
        <w:rPr>
          <w:sz w:val="20"/>
          <w:szCs w:val="20"/>
          <w:color w:val="auto"/>
        </w:rPr>
        <w:tab/>
      </w:r>
      <w:r>
        <w:rPr>
          <w:rFonts w:ascii="Arial" w:cs="Arial" w:eastAsia="Arial" w:hAnsi="Arial"/>
          <w:sz w:val="14"/>
          <w:szCs w:val="14"/>
          <w:u w:val="single" w:color="auto"/>
          <w:color w:val="auto"/>
        </w:rPr>
        <w:t>EEA Financial Institutions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5"/>
          <w:szCs w:val="15"/>
          <w:color w:val="auto"/>
        </w:rPr>
        <w:t>. Neither the Borrower nor any Subsidiary is an EEA Financial Institution.</w:t>
      </w:r>
    </w:p>
    <w:p>
      <w:pPr>
        <w:spacing w:after="0" w:line="149"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ARTICLE IV</w:t>
      </w:r>
    </w:p>
    <w:p>
      <w:pPr>
        <w:spacing w:after="0" w:line="168" w:lineRule="exact"/>
        <w:rPr>
          <w:sz w:val="20"/>
          <w:szCs w:val="20"/>
          <w:color w:val="auto"/>
        </w:rPr>
      </w:pPr>
    </w:p>
    <w:p>
      <w:pPr>
        <w:ind w:left="5184"/>
        <w:spacing w:after="0"/>
        <w:rPr>
          <w:sz w:val="20"/>
          <w:szCs w:val="20"/>
          <w:color w:val="auto"/>
        </w:rPr>
      </w:pPr>
      <w:r>
        <w:rPr>
          <w:rFonts w:ascii="Arial" w:cs="Arial" w:eastAsia="Arial" w:hAnsi="Arial"/>
          <w:sz w:val="15"/>
          <w:szCs w:val="15"/>
          <w:u w:val="single" w:color="auto"/>
          <w:color w:val="auto"/>
        </w:rPr>
        <w:t>CONDITIONS</w:t>
      </w:r>
    </w:p>
    <w:p>
      <w:pPr>
        <w:spacing w:after="0" w:line="14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4.01.</w:t>
      </w:r>
      <w:r>
        <w:rPr>
          <w:sz w:val="20"/>
          <w:szCs w:val="20"/>
          <w:color w:val="auto"/>
        </w:rPr>
        <w:tab/>
      </w:r>
      <w:r>
        <w:rPr>
          <w:rFonts w:ascii="Arial" w:cs="Arial" w:eastAsia="Arial" w:hAnsi="Arial"/>
          <w:sz w:val="14"/>
          <w:szCs w:val="14"/>
          <w:u w:val="single" w:color="auto"/>
          <w:color w:val="auto"/>
        </w:rPr>
        <w:t>Effective Date</w:t>
      </w:r>
    </w:p>
    <w:p>
      <w:pPr>
        <w:spacing w:after="0" w:line="149" w:lineRule="exact"/>
        <w:rPr>
          <w:sz w:val="20"/>
          <w:szCs w:val="20"/>
          <w:color w:val="auto"/>
        </w:rPr>
      </w:pPr>
    </w:p>
    <w:p>
      <w:pPr>
        <w:ind w:left="4" w:hanging="4"/>
        <w:spacing w:after="0" w:line="262" w:lineRule="auto"/>
        <w:tabs>
          <w:tab w:leader="none" w:pos="125" w:val="left"/>
        </w:tabs>
        <w:numPr>
          <w:ilvl w:val="0"/>
          <w:numId w:val="112"/>
        </w:numPr>
        <w:rPr>
          <w:rFonts w:ascii="Arial" w:cs="Arial" w:eastAsia="Arial" w:hAnsi="Arial"/>
          <w:sz w:val="15"/>
          <w:szCs w:val="15"/>
          <w:color w:val="auto"/>
        </w:rPr>
      </w:pPr>
      <w:r>
        <w:rPr>
          <w:rFonts w:ascii="Arial" w:cs="Arial" w:eastAsia="Arial" w:hAnsi="Arial"/>
          <w:sz w:val="15"/>
          <w:szCs w:val="15"/>
          <w:color w:val="auto"/>
        </w:rPr>
        <w:t>The effectiveness of this Agreement and of the obligations of the Lenders to make Loans and of the Issuing Banks to issue Letters of Credit hereunder shall not become effective until completion of each of the following conditions precedent (unless a condition shall have been waived in accordance with Section 9.02):</w:t>
      </w:r>
    </w:p>
    <w:p>
      <w:pPr>
        <w:spacing w:after="0" w:line="99"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180" w:type="dxa"/>
            <w:vAlign w:val="bottom"/>
          </w:tcPr>
          <w:p>
            <w:pPr>
              <w:ind w:left="1740"/>
              <w:spacing w:after="0"/>
              <w:rPr>
                <w:sz w:val="20"/>
                <w:szCs w:val="20"/>
                <w:color w:val="auto"/>
              </w:rPr>
            </w:pPr>
            <w:r>
              <w:rPr>
                <w:rFonts w:ascii="Arial" w:cs="Arial" w:eastAsia="Arial" w:hAnsi="Arial"/>
                <w:sz w:val="15"/>
                <w:szCs w:val="15"/>
                <w:color w:val="auto"/>
              </w:rPr>
              <w:t>(a)</w:t>
            </w:r>
          </w:p>
        </w:tc>
        <w:tc>
          <w:tcPr>
            <w:tcW w:w="80" w:type="dxa"/>
            <w:vAlign w:val="bottom"/>
          </w:tcPr>
          <w:p>
            <w:pPr>
              <w:spacing w:after="0"/>
              <w:rPr>
                <w:sz w:val="14"/>
                <w:szCs w:val="14"/>
                <w:color w:val="auto"/>
              </w:rPr>
            </w:pPr>
          </w:p>
        </w:tc>
        <w:tc>
          <w:tcPr>
            <w:tcW w:w="8020" w:type="dxa"/>
            <w:vAlign w:val="bottom"/>
            <w:gridSpan w:val="3"/>
          </w:tcPr>
          <w:p>
            <w:pPr>
              <w:jc w:val="right"/>
              <w:spacing w:after="0"/>
              <w:rPr>
                <w:sz w:val="20"/>
                <w:szCs w:val="20"/>
                <w:color w:val="auto"/>
              </w:rPr>
            </w:pPr>
            <w:r>
              <w:rPr>
                <w:rFonts w:ascii="Arial" w:cs="Arial" w:eastAsia="Arial" w:hAnsi="Arial"/>
                <w:sz w:val="15"/>
                <w:szCs w:val="15"/>
                <w:color w:val="auto"/>
                <w:w w:val="94"/>
              </w:rPr>
              <w:t>Documents. Administrative Agent shall have received each of the following documents, each of which shall be satisfactory to the</w:t>
            </w:r>
          </w:p>
        </w:tc>
      </w:tr>
      <w:tr>
        <w:trPr>
          <w:trHeight w:val="20"/>
        </w:trPr>
        <w:tc>
          <w:tcPr>
            <w:tcW w:w="326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85"/>
        </w:trPr>
        <w:tc>
          <w:tcPr>
            <w:tcW w:w="11280" w:type="dxa"/>
            <w:vAlign w:val="bottom"/>
            <w:gridSpan w:val="5"/>
          </w:tcPr>
          <w:p>
            <w:pPr>
              <w:jc w:val="right"/>
              <w:ind w:right="5480"/>
              <w:spacing w:after="0"/>
              <w:rPr>
                <w:sz w:val="20"/>
                <w:szCs w:val="20"/>
                <w:color w:val="auto"/>
              </w:rPr>
            </w:pPr>
            <w:r>
              <w:rPr>
                <w:rFonts w:ascii="Arial" w:cs="Arial" w:eastAsia="Arial" w:hAnsi="Arial"/>
                <w:sz w:val="15"/>
                <w:szCs w:val="15"/>
                <w:color w:val="auto"/>
                <w:w w:val="91"/>
              </w:rPr>
              <w:t>Administrative Agent (and to the extent specified below to each Lender) in form and substance:</w:t>
            </w:r>
          </w:p>
        </w:tc>
      </w:tr>
      <w:tr>
        <w:trPr>
          <w:trHeight w:val="287"/>
        </w:trPr>
        <w:tc>
          <w:tcPr>
            <w:tcW w:w="3180" w:type="dxa"/>
            <w:vAlign w:val="bottom"/>
          </w:tcPr>
          <w:p>
            <w:pPr>
              <w:ind w:left="1660"/>
              <w:spacing w:after="0"/>
              <w:rPr>
                <w:sz w:val="20"/>
                <w:szCs w:val="20"/>
                <w:color w:val="auto"/>
              </w:rPr>
            </w:pPr>
            <w:r>
              <w:rPr>
                <w:rFonts w:ascii="Arial" w:cs="Arial" w:eastAsia="Arial" w:hAnsi="Arial"/>
                <w:sz w:val="15"/>
                <w:szCs w:val="15"/>
                <w:color w:val="auto"/>
              </w:rPr>
              <w:t>(i)</w:t>
            </w:r>
          </w:p>
        </w:tc>
        <w:tc>
          <w:tcPr>
            <w:tcW w:w="8100" w:type="dxa"/>
            <w:vAlign w:val="bottom"/>
            <w:gridSpan w:val="4"/>
          </w:tcPr>
          <w:p>
            <w:pPr>
              <w:jc w:val="right"/>
              <w:spacing w:after="0"/>
              <w:rPr>
                <w:sz w:val="20"/>
                <w:szCs w:val="20"/>
                <w:color w:val="auto"/>
              </w:rPr>
            </w:pPr>
            <w:r>
              <w:rPr>
                <w:rFonts w:ascii="Arial" w:cs="Arial" w:eastAsia="Arial" w:hAnsi="Arial"/>
                <w:sz w:val="15"/>
                <w:szCs w:val="15"/>
                <w:color w:val="auto"/>
                <w:w w:val="98"/>
              </w:rPr>
              <w:t>Executed Counterparts.  From each party hereto either (i) a counterpart of this Agreement signed on behalf of such party or</w:t>
            </w:r>
          </w:p>
        </w:tc>
      </w:tr>
      <w:tr>
        <w:trPr>
          <w:trHeight w:val="20"/>
        </w:trPr>
        <w:tc>
          <w:tcPr>
            <w:tcW w:w="3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4" w:lineRule="exact"/>
        <w:rPr>
          <w:sz w:val="20"/>
          <w:szCs w:val="20"/>
          <w:color w:val="auto"/>
        </w:rPr>
      </w:pPr>
    </w:p>
    <w:p>
      <w:pPr>
        <w:ind w:left="864" w:right="20" w:firstLine="4"/>
        <w:spacing w:after="0" w:line="262" w:lineRule="auto"/>
        <w:tabs>
          <w:tab w:leader="none" w:pos="1094"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written evidence satisfactory to the Administrative Agent (which may include telecopy transmission of a signed signature page to this Agreement) that such party has signed a counterpart of this Agreement.</w:t>
      </w:r>
    </w:p>
    <w:p>
      <w:pPr>
        <w:spacing w:after="0" w:line="115" w:lineRule="exact"/>
        <w:rPr>
          <w:sz w:val="20"/>
          <w:szCs w:val="20"/>
          <w:color w:val="auto"/>
        </w:rPr>
      </w:pPr>
    </w:p>
    <w:p>
      <w:pPr>
        <w:jc w:val="both"/>
        <w:ind w:left="864" w:firstLine="802"/>
        <w:spacing w:after="0" w:line="245" w:lineRule="auto"/>
        <w:rPr>
          <w:sz w:val="20"/>
          <w:szCs w:val="20"/>
          <w:color w:val="auto"/>
        </w:rPr>
      </w:pPr>
      <w:r>
        <w:rPr>
          <w:rFonts w:ascii="Arial" w:cs="Arial" w:eastAsia="Arial" w:hAnsi="Arial"/>
          <w:sz w:val="15"/>
          <w:szCs w:val="15"/>
          <w:color w:val="auto"/>
        </w:rPr>
        <w:t xml:space="preserve">(ii) </w:t>
      </w:r>
      <w:r>
        <w:rPr>
          <w:rFonts w:ascii="Arial" w:cs="Arial" w:eastAsia="Arial" w:hAnsi="Arial"/>
          <w:sz w:val="15"/>
          <w:szCs w:val="15"/>
          <w:u w:val="single" w:color="auto"/>
          <w:color w:val="auto"/>
        </w:rPr>
        <w:t>Opinion of Counsel to the Borrower</w:t>
      </w:r>
      <w:r>
        <w:rPr>
          <w:rFonts w:ascii="Arial" w:cs="Arial" w:eastAsia="Arial" w:hAnsi="Arial"/>
          <w:sz w:val="15"/>
          <w:szCs w:val="15"/>
          <w:color w:val="auto"/>
        </w:rPr>
        <w:t>. A favorable written opinion (addressed to the Administrative Agent and the Lenders and dated the Effective Date) of (A) Cleary Gottlieb Steen &amp; Hamilton LLP, New York counsel for the Borrower and the Subsidiary Guarantors and (B) Young Conaway Stargatt &amp; Taylor, LLP, Delaware counsel for the Borrower and the Subsidiary Guarantors, in each case, in form and substance reasonably acceptable to the Administrative Agent (and the Borrower hereby instructs such counsel to deliver such opinion to the Lenders and the Administrative Agent).</w:t>
      </w:r>
    </w:p>
    <w:p>
      <w:pPr>
        <w:spacing w:after="0" w:line="128" w:lineRule="exact"/>
        <w:rPr>
          <w:sz w:val="20"/>
          <w:szCs w:val="20"/>
          <w:color w:val="auto"/>
        </w:rPr>
      </w:pPr>
    </w:p>
    <w:p>
      <w:pPr>
        <w:jc w:val="both"/>
        <w:ind w:left="864" w:firstLine="802"/>
        <w:spacing w:after="0" w:line="249" w:lineRule="auto"/>
        <w:rPr>
          <w:sz w:val="20"/>
          <w:szCs w:val="20"/>
          <w:color w:val="auto"/>
        </w:rPr>
      </w:pPr>
      <w:r>
        <w:rPr>
          <w:rFonts w:ascii="Arial" w:cs="Arial" w:eastAsia="Arial" w:hAnsi="Arial"/>
          <w:sz w:val="15"/>
          <w:szCs w:val="15"/>
          <w:color w:val="auto"/>
        </w:rPr>
        <w:t xml:space="preserve">(iii) </w:t>
      </w:r>
      <w:r>
        <w:rPr>
          <w:rFonts w:ascii="Arial" w:cs="Arial" w:eastAsia="Arial" w:hAnsi="Arial"/>
          <w:sz w:val="15"/>
          <w:szCs w:val="15"/>
          <w:u w:val="single" w:color="auto"/>
          <w:color w:val="auto"/>
        </w:rPr>
        <w:t>Corporate Documents</w:t>
      </w:r>
      <w:r>
        <w:rPr>
          <w:rFonts w:ascii="Arial" w:cs="Arial" w:eastAsia="Arial" w:hAnsi="Arial"/>
          <w:sz w:val="15"/>
          <w:szCs w:val="15"/>
          <w:color w:val="auto"/>
        </w:rPr>
        <w:t>. Such documents and certificates as the Administrative Agent or its counsel may reasonably request relating to the organization, existence and good standing of the Borrower, the authorization of the Transactions and any other legal matters relating to the Borrower, this Agreement or the Transactions, all in form and substance satisfactory to the Administrative Agent and its counsel.</w:t>
      </w:r>
    </w:p>
    <w:p>
      <w:pPr>
        <w:spacing w:after="0" w:line="109" w:lineRule="exact"/>
        <w:rPr>
          <w:sz w:val="20"/>
          <w:szCs w:val="20"/>
          <w:color w:val="auto"/>
        </w:rPr>
      </w:pPr>
    </w:p>
    <w:tbl>
      <w:tblPr>
        <w:tblLayout w:type="fixed"/>
        <w:tblInd w:w="864" w:type="dxa"/>
        <w:tblCellMar>
          <w:top w:w="0" w:type="dxa"/>
          <w:left w:w="0" w:type="dxa"/>
          <w:bottom w:w="0" w:type="dxa"/>
          <w:right w:w="0" w:type="dxa"/>
        </w:tblCellMar>
      </w:tblPr>
      <w:tr>
        <w:trPr>
          <w:trHeight w:val="172"/>
        </w:trPr>
        <w:tc>
          <w:tcPr>
            <w:tcW w:w="2420" w:type="dxa"/>
            <w:vAlign w:val="bottom"/>
          </w:tcPr>
          <w:p>
            <w:pPr>
              <w:ind w:left="800"/>
              <w:spacing w:after="0"/>
              <w:rPr>
                <w:sz w:val="20"/>
                <w:szCs w:val="20"/>
                <w:color w:val="auto"/>
              </w:rPr>
            </w:pPr>
            <w:r>
              <w:rPr>
                <w:rFonts w:ascii="Arial" w:cs="Arial" w:eastAsia="Arial" w:hAnsi="Arial"/>
                <w:sz w:val="15"/>
                <w:szCs w:val="15"/>
                <w:color w:val="auto"/>
              </w:rPr>
              <w:t>(iv)</w:t>
            </w:r>
          </w:p>
        </w:tc>
        <w:tc>
          <w:tcPr>
            <w:tcW w:w="8000" w:type="dxa"/>
            <w:vAlign w:val="bottom"/>
            <w:gridSpan w:val="4"/>
          </w:tcPr>
          <w:p>
            <w:pPr>
              <w:jc w:val="right"/>
              <w:spacing w:after="0"/>
              <w:rPr>
                <w:sz w:val="20"/>
                <w:szCs w:val="20"/>
                <w:color w:val="auto"/>
              </w:rPr>
            </w:pPr>
            <w:r>
              <w:rPr>
                <w:rFonts w:ascii="Arial" w:cs="Arial" w:eastAsia="Arial" w:hAnsi="Arial"/>
                <w:sz w:val="15"/>
                <w:szCs w:val="15"/>
                <w:color w:val="auto"/>
                <w:w w:val="98"/>
              </w:rPr>
              <w:t>Officer’s Certificate.  A certificate, dated the Effective Date and signed by the President, the Chief Executive Officer, a Vice</w:t>
            </w: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340" w:type="dxa"/>
            <w:vAlign w:val="bottom"/>
            <w:tcBorders>
              <w:left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0"/>
        </w:trPr>
        <w:tc>
          <w:tcPr>
            <w:tcW w:w="10420" w:type="dxa"/>
            <w:vAlign w:val="bottom"/>
            <w:gridSpan w:val="5"/>
          </w:tcPr>
          <w:p>
            <w:pPr>
              <w:jc w:val="right"/>
              <w:ind w:right="740"/>
              <w:spacing w:after="0" w:line="150" w:lineRule="exact"/>
              <w:rPr>
                <w:sz w:val="20"/>
                <w:szCs w:val="20"/>
                <w:color w:val="auto"/>
              </w:rPr>
            </w:pPr>
            <w:r>
              <w:rPr>
                <w:rFonts w:ascii="Arial" w:cs="Arial" w:eastAsia="Arial" w:hAnsi="Arial"/>
                <w:sz w:val="15"/>
                <w:szCs w:val="15"/>
                <w:color w:val="auto"/>
                <w:w w:val="92"/>
              </w:rPr>
              <w:t>President or a Financial Officer of the Borrower, confirming compliance with the conditions set forth in the lettered clauses of the first sentence of Section 4.02.</w:t>
            </w:r>
          </w:p>
        </w:tc>
      </w:tr>
      <w:tr>
        <w:trPr>
          <w:trHeight w:val="20"/>
        </w:trPr>
        <w:tc>
          <w:tcPr>
            <w:tcW w:w="2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1"/>
        </w:trPr>
        <w:tc>
          <w:tcPr>
            <w:tcW w:w="2420" w:type="dxa"/>
            <w:vAlign w:val="bottom"/>
          </w:tcPr>
          <w:p>
            <w:pPr>
              <w:ind w:left="880"/>
              <w:spacing w:after="0"/>
              <w:rPr>
                <w:sz w:val="20"/>
                <w:szCs w:val="20"/>
                <w:color w:val="auto"/>
              </w:rPr>
            </w:pPr>
            <w:r>
              <w:rPr>
                <w:rFonts w:ascii="Arial" w:cs="Arial" w:eastAsia="Arial" w:hAnsi="Arial"/>
                <w:sz w:val="15"/>
                <w:szCs w:val="15"/>
                <w:color w:val="auto"/>
              </w:rPr>
              <w:t>(b)</w:t>
            </w:r>
          </w:p>
        </w:tc>
        <w:tc>
          <w:tcPr>
            <w:tcW w:w="8000" w:type="dxa"/>
            <w:vAlign w:val="bottom"/>
            <w:gridSpan w:val="4"/>
          </w:tcPr>
          <w:p>
            <w:pPr>
              <w:jc w:val="right"/>
              <w:spacing w:after="0"/>
              <w:rPr>
                <w:sz w:val="20"/>
                <w:szCs w:val="20"/>
                <w:color w:val="auto"/>
              </w:rPr>
            </w:pPr>
            <w:r>
              <w:rPr>
                <w:rFonts w:ascii="Arial" w:cs="Arial" w:eastAsia="Arial" w:hAnsi="Arial"/>
                <w:sz w:val="15"/>
                <w:szCs w:val="15"/>
                <w:color w:val="auto"/>
                <w:w w:val="93"/>
              </w:rPr>
              <w:t>Fees and Expenses. Confirmation of receipt by the Administrative Agent, for the benefit of the Lenders, of the fees required to be</w:t>
            </w:r>
          </w:p>
        </w:tc>
      </w:tr>
      <w:tr>
        <w:trPr>
          <w:trHeight w:val="20"/>
        </w:trPr>
        <w:tc>
          <w:tcPr>
            <w:tcW w:w="2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4" w:lineRule="exact"/>
        <w:rPr>
          <w:sz w:val="20"/>
          <w:szCs w:val="20"/>
          <w:color w:val="auto"/>
        </w:rPr>
      </w:pPr>
    </w:p>
    <w:p>
      <w:pPr>
        <w:ind w:left="4"/>
        <w:spacing w:after="0"/>
        <w:rPr>
          <w:sz w:val="20"/>
          <w:szCs w:val="20"/>
          <w:color w:val="auto"/>
        </w:rPr>
      </w:pPr>
      <w:r>
        <w:rPr>
          <w:rFonts w:ascii="Arial" w:cs="Arial" w:eastAsia="Arial" w:hAnsi="Arial"/>
          <w:sz w:val="15"/>
          <w:szCs w:val="15"/>
          <w:color w:val="auto"/>
        </w:rPr>
        <w:t>paid by the Borrower pursuant to that certain fee letter, dated as of the date hereof, among the Borrower, the Administrative Agent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06" w:name="page207"/>
    <w:bookmarkEnd w:id="206"/>
    <w:p>
      <w:pPr>
        <w:ind w:left="1744"/>
        <w:spacing w:after="0"/>
        <w:tabs>
          <w:tab w:leader="none" w:pos="4844" w:val="left"/>
        </w:tabs>
        <w:rPr>
          <w:sz w:val="20"/>
          <w:szCs w:val="20"/>
          <w:color w:val="auto"/>
        </w:rPr>
      </w:pPr>
      <w:r>
        <w:rPr>
          <w:rFonts w:ascii="Arial" w:cs="Arial" w:eastAsia="Arial" w:hAnsi="Arial"/>
          <w:sz w:val="15"/>
          <w:szCs w:val="15"/>
          <w:color w:val="auto"/>
        </w:rPr>
        <w:t>SECTION 4.02.</w:t>
      </w:r>
      <w:r>
        <w:rPr>
          <w:sz w:val="20"/>
          <w:szCs w:val="20"/>
          <w:color w:val="auto"/>
        </w:rPr>
        <w:tab/>
      </w:r>
      <w:r>
        <w:rPr>
          <w:rFonts w:ascii="Arial" w:cs="Arial" w:eastAsia="Arial" w:hAnsi="Arial"/>
          <w:sz w:val="13"/>
          <w:szCs w:val="13"/>
          <w:u w:val="single" w:color="auto"/>
          <w:color w:val="auto"/>
        </w:rPr>
        <w:t>Each Credit Event</w:t>
      </w:r>
    </w:p>
    <w:p>
      <w:pPr>
        <w:spacing w:after="0" w:line="149" w:lineRule="exact"/>
        <w:rPr>
          <w:sz w:val="20"/>
          <w:szCs w:val="20"/>
          <w:color w:val="auto"/>
        </w:rPr>
      </w:pPr>
    </w:p>
    <w:p>
      <w:pPr>
        <w:ind w:left="4" w:hanging="4"/>
        <w:spacing w:after="0" w:line="262" w:lineRule="auto"/>
        <w:tabs>
          <w:tab w:leader="none" w:pos="143"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obligation of each Lender to make any Loan, and of each Issuing Bank to issue, amend, renew or extend any Letter of Credit, is additionally subject to the satisfaction of the following conditions:</w:t>
      </w:r>
    </w:p>
    <w:p>
      <w:pPr>
        <w:spacing w:after="0" w:line="115" w:lineRule="exact"/>
        <w:rPr>
          <w:sz w:val="20"/>
          <w:szCs w:val="20"/>
          <w:color w:val="auto"/>
        </w:rPr>
      </w:pPr>
    </w:p>
    <w:p>
      <w:pPr>
        <w:jc w:val="both"/>
        <w:ind w:left="4" w:firstLine="1737"/>
        <w:spacing w:after="0" w:line="245" w:lineRule="auto"/>
        <w:rPr>
          <w:sz w:val="20"/>
          <w:szCs w:val="20"/>
          <w:color w:val="auto"/>
        </w:rPr>
      </w:pPr>
      <w:r>
        <w:rPr>
          <w:rFonts w:ascii="Arial" w:cs="Arial" w:eastAsia="Arial" w:hAnsi="Arial"/>
          <w:sz w:val="15"/>
          <w:szCs w:val="15"/>
          <w:color w:val="auto"/>
        </w:rPr>
        <w:t>(a) the representations and warranties of the Borrower set forth in this Agreement and in the other Loan Documents shall be true and correct in all material respects (or, in the case of any portion of any representations and warranties already subject to a materiality qualifier, true and correct in all respects) on and as of the date of such Loan or the date of issuance, amendment, renewal or extension of such Letter of Credit, as applicable, or, as to any such representation or warranty that refers to a specific date, as of such specific date;</w:t>
      </w:r>
    </w:p>
    <w:p>
      <w:pPr>
        <w:spacing w:after="0" w:line="128"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5"/>
          <w:szCs w:val="15"/>
          <w:color w:val="auto"/>
        </w:rPr>
        <w:t>(b) at the time of and immediately after giving effect to such Loan or the issuance, amendment, renewal or extension of such Letter of Credit, as applicable, no Default shall have occurred and be continuing; and</w:t>
      </w:r>
    </w:p>
    <w:p>
      <w:pPr>
        <w:spacing w:after="0" w:line="115" w:lineRule="exact"/>
        <w:rPr>
          <w:sz w:val="20"/>
          <w:szCs w:val="20"/>
          <w:color w:val="auto"/>
        </w:rPr>
      </w:pPr>
    </w:p>
    <w:p>
      <w:pPr>
        <w:ind w:left="1744"/>
        <w:spacing w:after="0"/>
        <w:tabs>
          <w:tab w:leader="none" w:pos="3244"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color w:val="auto"/>
        </w:rPr>
        <w:t>either (i) the aggregate Covered Debt Amount (after giving effect to such extension of credit) shall not exceed the Borrowing Base</w:t>
      </w:r>
    </w:p>
    <w:p>
      <w:pPr>
        <w:spacing w:after="0" w:line="21" w:lineRule="exact"/>
        <w:rPr>
          <w:sz w:val="20"/>
          <w:szCs w:val="20"/>
          <w:color w:val="auto"/>
        </w:rPr>
      </w:pPr>
    </w:p>
    <w:p>
      <w:pPr>
        <w:jc w:val="both"/>
        <w:ind w:left="4"/>
        <w:spacing w:after="0" w:line="239" w:lineRule="auto"/>
        <w:rPr>
          <w:sz w:val="20"/>
          <w:szCs w:val="20"/>
          <w:color w:val="auto"/>
        </w:rPr>
      </w:pPr>
      <w:r>
        <w:rPr>
          <w:rFonts w:ascii="Arial" w:cs="Arial" w:eastAsia="Arial" w:hAnsi="Arial"/>
          <w:sz w:val="15"/>
          <w:szCs w:val="15"/>
          <w:color w:val="auto"/>
        </w:rPr>
        <w:t>reflected on the Borrowing Base Certificate most recently delivered to the Administrative Agent or (ii) the Borrower shall have delivered an updated Borrowing Base Certificate demonstrating that the Covered Debt Amount (after giving effect to such extension of credit) shall not exceed the Borrowing Base after giving effect to such extension of credit as well as any concurrent acquisitions of Portfolio Investments or payment of outstanding Loans or Other Covered Indebtedness or any other Indebtedness that is included in the Covered Debt Amount at such time.</w:t>
      </w:r>
    </w:p>
    <w:p>
      <w:pPr>
        <w:spacing w:after="0" w:line="133"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5"/>
          <w:szCs w:val="15"/>
          <w:color w:val="auto"/>
        </w:rPr>
        <w:t>Each Borrowing and each issuance, amendment, renewal or extension of a Letter of Credit shall be deemed to constitute a representation and warranty by the Borrower on the date thereof as to the matters specified in the preceding sentence.</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ARTICLE V</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5"/>
          <w:szCs w:val="15"/>
          <w:u w:val="single" w:color="auto"/>
          <w:color w:val="auto"/>
        </w:rPr>
        <w:t>AFFIRMATIVE COVENANTS</w:t>
      </w:r>
    </w:p>
    <w:p>
      <w:pPr>
        <w:spacing w:after="0" w:line="149" w:lineRule="exact"/>
        <w:rPr>
          <w:sz w:val="20"/>
          <w:szCs w:val="20"/>
          <w:color w:val="auto"/>
        </w:rPr>
      </w:pPr>
    </w:p>
    <w:p>
      <w:pPr>
        <w:jc w:val="both"/>
        <w:ind w:left="4" w:firstLine="1737"/>
        <w:spacing w:after="0" w:line="249" w:lineRule="auto"/>
        <w:rPr>
          <w:sz w:val="20"/>
          <w:szCs w:val="20"/>
          <w:color w:val="auto"/>
        </w:rPr>
      </w:pPr>
      <w:r>
        <w:rPr>
          <w:rFonts w:ascii="Arial" w:cs="Arial" w:eastAsia="Arial" w:hAnsi="Arial"/>
          <w:sz w:val="15"/>
          <w:szCs w:val="15"/>
          <w:color w:val="auto"/>
        </w:rPr>
        <w:t>Until the Commitments have expired or been terminated and the principal of and interest on each Loan and all fees payable hereunder shall have been paid in full and all Letters of Credit shall have expired, been terminated, Cash Collateralized or backstopped and all LC Disbursements shall have been reimbursed, the Borrower covenants and agrees with the Lenders that:</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2980" w:type="dxa"/>
            <w:vAlign w:val="bottom"/>
          </w:tcPr>
          <w:p>
            <w:pPr>
              <w:ind w:left="1740"/>
              <w:spacing w:after="0"/>
              <w:rPr>
                <w:sz w:val="20"/>
                <w:szCs w:val="20"/>
                <w:color w:val="auto"/>
              </w:rPr>
            </w:pPr>
            <w:r>
              <w:rPr>
                <w:rFonts w:ascii="Arial" w:cs="Arial" w:eastAsia="Arial" w:hAnsi="Arial"/>
                <w:sz w:val="15"/>
                <w:szCs w:val="15"/>
                <w:color w:val="auto"/>
              </w:rPr>
              <w:t>SECTION 5.01.</w:t>
            </w:r>
          </w:p>
        </w:tc>
        <w:tc>
          <w:tcPr>
            <w:tcW w:w="1880" w:type="dxa"/>
            <w:vAlign w:val="bottom"/>
          </w:tcPr>
          <w:p>
            <w:pPr>
              <w:spacing w:after="0"/>
              <w:rPr>
                <w:sz w:val="14"/>
                <w:szCs w:val="14"/>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1"/>
              </w:rPr>
              <w:t>Financial Statements and Other Information</w:t>
            </w:r>
          </w:p>
        </w:tc>
        <w:tc>
          <w:tcPr>
            <w:tcW w:w="3740" w:type="dxa"/>
            <w:vAlign w:val="bottom"/>
          </w:tcPr>
          <w:p>
            <w:pPr>
              <w:spacing w:after="0"/>
              <w:rPr>
                <w:sz w:val="14"/>
                <w:szCs w:val="14"/>
                <w:color w:val="auto"/>
              </w:rPr>
            </w:pPr>
          </w:p>
        </w:tc>
      </w:tr>
      <w:tr>
        <w:trPr>
          <w:trHeight w:val="336"/>
        </w:trPr>
        <w:tc>
          <w:tcPr>
            <w:tcW w:w="11280" w:type="dxa"/>
            <w:vAlign w:val="bottom"/>
            <w:gridSpan w:val="4"/>
          </w:tcPr>
          <w:p>
            <w:pPr>
              <w:spacing w:after="0"/>
              <w:rPr>
                <w:sz w:val="20"/>
                <w:szCs w:val="20"/>
                <w:color w:val="auto"/>
              </w:rPr>
            </w:pPr>
            <w:r>
              <w:rPr>
                <w:rFonts w:ascii="Arial" w:cs="Arial" w:eastAsia="Arial" w:hAnsi="Arial"/>
                <w:sz w:val="15"/>
                <w:szCs w:val="15"/>
                <w:color w:val="auto"/>
              </w:rPr>
              <w:t>. The Borrower will furnish to the Administrative Agent and each Lender:</w:t>
            </w:r>
          </w:p>
        </w:tc>
      </w:tr>
      <w:tr>
        <w:trPr>
          <w:trHeight w:val="313"/>
        </w:trPr>
        <w:tc>
          <w:tcPr>
            <w:tcW w:w="2980" w:type="dxa"/>
            <w:vAlign w:val="bottom"/>
          </w:tcPr>
          <w:p>
            <w:pPr>
              <w:ind w:left="1740"/>
              <w:spacing w:after="0"/>
              <w:rPr>
                <w:sz w:val="20"/>
                <w:szCs w:val="20"/>
                <w:color w:val="auto"/>
              </w:rPr>
            </w:pPr>
            <w:r>
              <w:rPr>
                <w:rFonts w:ascii="Arial" w:cs="Arial" w:eastAsia="Arial" w:hAnsi="Arial"/>
                <w:sz w:val="15"/>
                <w:szCs w:val="15"/>
                <w:color w:val="auto"/>
              </w:rPr>
              <w:t>(a)</w:t>
            </w:r>
          </w:p>
        </w:tc>
        <w:tc>
          <w:tcPr>
            <w:tcW w:w="8300" w:type="dxa"/>
            <w:vAlign w:val="bottom"/>
            <w:gridSpan w:val="3"/>
          </w:tcPr>
          <w:p>
            <w:pPr>
              <w:ind w:left="280"/>
              <w:spacing w:after="0"/>
              <w:rPr>
                <w:sz w:val="20"/>
                <w:szCs w:val="20"/>
                <w:color w:val="auto"/>
              </w:rPr>
            </w:pPr>
            <w:r>
              <w:rPr>
                <w:rFonts w:ascii="Arial" w:cs="Arial" w:eastAsia="Arial" w:hAnsi="Arial"/>
                <w:sz w:val="15"/>
                <w:szCs w:val="15"/>
                <w:color w:val="auto"/>
                <w:w w:val="91"/>
              </w:rPr>
              <w:t>within 90 days after the end of each fiscal year of the Borrower, the audited consolidated balance sheet and statement of operations,</w:t>
            </w:r>
          </w:p>
        </w:tc>
      </w:tr>
    </w:tbl>
    <w:p>
      <w:pPr>
        <w:jc w:val="both"/>
        <w:ind w:left="4"/>
        <w:spacing w:after="0" w:line="239" w:lineRule="auto"/>
        <w:rPr>
          <w:sz w:val="20"/>
          <w:szCs w:val="20"/>
          <w:color w:val="auto"/>
        </w:rPr>
      </w:pPr>
      <w:r>
        <w:rPr>
          <w:rFonts w:ascii="Arial" w:cs="Arial" w:eastAsia="Arial" w:hAnsi="Arial"/>
          <w:sz w:val="15"/>
          <w:szCs w:val="15"/>
          <w:color w:val="auto"/>
        </w:rPr>
        <w:t xml:space="preserve">changes in net assets and cash flows of the Borrower and its Subsidiaries as of the end of and for such year, setting forth in each case in comparative form the figures for the previous fiscal year, all reported on by KPMG or other independent public accountants of recognized national standing to the effect that such consolidated financial statements present fairly in all material respects the financial condition and results of operations of the Borrower and its Subsidiaries on a consolidated basis in accordance with GAAP consistently applied;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requirements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21106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4"/>
          </w:cols>
          <w:pgMar w:left="296" w:top="295" w:right="319" w:bottom="1440" w:gutter="0" w:footer="0" w:header="0"/>
        </w:sectPr>
      </w:pPr>
    </w:p>
    <w:bookmarkStart w:id="207" w:name="page208"/>
    <w:bookmarkEnd w:id="207"/>
    <w:p>
      <w:pPr>
        <w:spacing w:after="0"/>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may be fulfilled by providing to the Administrative Agent and the Lenders the report of the Borrower to the SEC on Form 10-K for the applicable fiscal year;</w:t>
      </w:r>
    </w:p>
    <w:p>
      <w:pPr>
        <w:spacing w:after="0" w:line="149"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(b) within 45 days after the end of each of the first three fiscal quarters of each fiscal year of the Borrower, the consolidated balance sheet and statement of operations, changes in net assets and cash flows of the Borrower and its Subsidiaries as of the end of and for such fiscal quarter and the then elapsed portion of the fiscal year, setting forth in each case in comparative form the figures for (or, in the case of the statements of assets and liabilities, operations, changes in net assets and cash flows, as of the end of) the corresponding period or periods of the previous fiscal year, all certified by a Financial Officer of the Borrower as presenting fairly in all material respects the financial condition and results of operations of the Borrower and its Subsidiaries on a consolidated basis in accordance with GAAP consistently applied, subject to normal year-end audit adjustments and the absence of footnotes;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requirements set forth in this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may be fulfilled by providing to the Lenders the report of the Borrower to the SEC on Form 10-Q for the applicable quarterly period;</w:t>
      </w:r>
    </w:p>
    <w:p>
      <w:pPr>
        <w:spacing w:after="0" w:line="130"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(c) concurrently with any delivery of financial statements under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Section, a certificate of a Financial Officer of the Borrower (i) certifying that such statements are consistent with the financial statements filed by the Borrower with the Securities and Exchange Commission, (ii) certifying as to whether the Borrower has knowledge that a Default has occurred during the applicable period and, if a Default has occurred, specifying the details thereof and any action taken or proposed to be taken with respect thereto, (iii) setting forth reasonably detailed calculations demonstrating compliance with </w:t>
      </w:r>
      <w:r>
        <w:rPr>
          <w:rFonts w:ascii="Arial" w:cs="Arial" w:eastAsia="Arial" w:hAnsi="Arial"/>
          <w:sz w:val="15"/>
          <w:szCs w:val="15"/>
          <w:u w:val="single" w:color="auto"/>
          <w:color w:val="auto"/>
        </w:rPr>
        <w:t>Sections 6.01</w:t>
      </w:r>
      <w:r>
        <w:rPr>
          <w:rFonts w:ascii="Arial" w:cs="Arial" w:eastAsia="Arial" w:hAnsi="Arial"/>
          <w:sz w:val="15"/>
          <w:szCs w:val="15"/>
          <w:color w:val="auto"/>
        </w:rPr>
        <w:t xml:space="preserve">, </w:t>
      </w:r>
      <w:r>
        <w:rPr>
          <w:rFonts w:ascii="Arial" w:cs="Arial" w:eastAsia="Arial" w:hAnsi="Arial"/>
          <w:sz w:val="15"/>
          <w:szCs w:val="15"/>
          <w:u w:val="single" w:color="auto"/>
          <w:color w:val="auto"/>
        </w:rPr>
        <w:t>6.02</w:t>
      </w:r>
      <w:r>
        <w:rPr>
          <w:rFonts w:ascii="Arial" w:cs="Arial" w:eastAsia="Arial" w:hAnsi="Arial"/>
          <w:sz w:val="15"/>
          <w:szCs w:val="15"/>
          <w:color w:val="auto"/>
        </w:rPr>
        <w:t xml:space="preserve">, </w:t>
      </w:r>
      <w:r>
        <w:rPr>
          <w:rFonts w:ascii="Arial" w:cs="Arial" w:eastAsia="Arial" w:hAnsi="Arial"/>
          <w:sz w:val="15"/>
          <w:szCs w:val="15"/>
          <w:u w:val="single" w:color="auto"/>
          <w:color w:val="auto"/>
        </w:rPr>
        <w:t>6.04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6.07</w:t>
      </w:r>
      <w:r>
        <w:rPr>
          <w:rFonts w:ascii="Arial" w:cs="Arial" w:eastAsia="Arial" w:hAnsi="Arial"/>
          <w:sz w:val="15"/>
          <w:szCs w:val="15"/>
          <w:color w:val="auto"/>
        </w:rPr>
        <w:t xml:space="preserve"> and (iv) stating whether any change in GAAP as applied by (or in the application of GAAP by) the Borrower has occurred since the Effective Date and, if any such change has occurred, specifying the effect of such change on the financial statements accompanying such certificate;</w:t>
      </w:r>
    </w:p>
    <w:p>
      <w:pPr>
        <w:spacing w:after="0" w:line="133"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 xml:space="preserve">(d) as soon as available and in any event not later than 20 days after the end of each monthly accounting period (ending on the last day of each calendar month) of the Borrower and its Subsidiaries, a Borrowing Base Certificate as at the last day of such accounting period which shall include the ratio of the Borrowing Base to the Combined Debt Amount (showing the components of the Combined Debt Amount); provided that if during such monthly accounting period the Borrower had declared or made any Restricted Payment pursuant to </w:t>
      </w:r>
      <w:r>
        <w:rPr>
          <w:rFonts w:ascii="Arial" w:cs="Arial" w:eastAsia="Arial" w:hAnsi="Arial"/>
          <w:sz w:val="15"/>
          <w:szCs w:val="15"/>
          <w:u w:val="single" w:color="auto"/>
          <w:color w:val="auto"/>
        </w:rPr>
        <w:t>Section 6.05(d)</w:t>
      </w:r>
      <w:r>
        <w:rPr>
          <w:rFonts w:ascii="Arial" w:cs="Arial" w:eastAsia="Arial" w:hAnsi="Arial"/>
          <w:sz w:val="15"/>
          <w:szCs w:val="15"/>
          <w:color w:val="auto"/>
        </w:rPr>
        <w:t xml:space="preserve">, such Borrowing Base Certificate shall certify that the condition set forth in </w:t>
      </w:r>
      <w:r>
        <w:rPr>
          <w:rFonts w:ascii="Arial" w:cs="Arial" w:eastAsia="Arial" w:hAnsi="Arial"/>
          <w:sz w:val="15"/>
          <w:szCs w:val="15"/>
          <w:u w:val="single" w:color="auto"/>
          <w:color w:val="auto"/>
        </w:rPr>
        <w:t>Section 6.05(d)(x)</w:t>
      </w:r>
      <w:r>
        <w:rPr>
          <w:rFonts w:ascii="Arial" w:cs="Arial" w:eastAsia="Arial" w:hAnsi="Arial"/>
          <w:sz w:val="15"/>
          <w:szCs w:val="15"/>
          <w:color w:val="auto"/>
        </w:rPr>
        <w:t xml:space="preserve"> was satisfied on the date of each such Restricted Payment;</w:t>
      </w:r>
    </w:p>
    <w:p>
      <w:pPr>
        <w:spacing w:after="0" w:line="129" w:lineRule="exact"/>
        <w:rPr>
          <w:sz w:val="20"/>
          <w:szCs w:val="20"/>
          <w:color w:val="auto"/>
        </w:rPr>
      </w:pPr>
    </w:p>
    <w:p>
      <w:pPr>
        <w:jc w:val="both"/>
        <w:ind w:firstLine="1737"/>
        <w:spacing w:after="0" w:line="245" w:lineRule="auto"/>
        <w:rPr>
          <w:sz w:val="20"/>
          <w:szCs w:val="20"/>
          <w:color w:val="auto"/>
        </w:rPr>
      </w:pPr>
      <w:r>
        <w:rPr>
          <w:rFonts w:ascii="Arial" w:cs="Arial" w:eastAsia="Arial" w:hAnsi="Arial"/>
          <w:sz w:val="15"/>
          <w:szCs w:val="15"/>
          <w:color w:val="auto"/>
        </w:rPr>
        <w:t>(e) promptly but no later than five Business Days after any Responsible Officer of the Borrower shall at any time have knowledge that there is a Borrowing Base Deficiency, a Borrowing Base Certificate as at the date such Responsible Officer of the Borrower has knowledge of such Borrowing Base Deficiency indicating the amount of the Borrowing Base Deficiency as at the date such Responsible Officer of the Borrower obtained knowledge of such deficiency and the amount of the Borrowing Base Deficiency as of the date not earlier than one Business Day prior to the date the Borrowing Base Certificate is delivered pursuant to this paragraph;</w:t>
      </w:r>
    </w:p>
    <w:p>
      <w:pPr>
        <w:spacing w:after="0" w:line="128"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(f) promptly upon receipt thereof copies of all significant reports submitted by the Borrower’s independent public accountants in connection with each annual, interim or special audit or review of any type of the financial statements or related internal control systems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08" w:name="page209"/>
    <w:bookmarkEnd w:id="208"/>
    <w:p>
      <w:pPr>
        <w:spacing w:after="0"/>
        <w:rPr>
          <w:sz w:val="20"/>
          <w:szCs w:val="20"/>
          <w:color w:val="auto"/>
        </w:rPr>
      </w:pPr>
      <w:r>
        <w:rPr>
          <w:rFonts w:ascii="Arial" w:cs="Arial" w:eastAsia="Arial" w:hAnsi="Arial"/>
          <w:sz w:val="15"/>
          <w:szCs w:val="15"/>
          <w:color w:val="auto"/>
        </w:rPr>
        <w:t>Borrower or any of its Subsidiaries delivered by such accountants to the management or board of directors of the Borrower;</w:t>
      </w:r>
    </w:p>
    <w:p>
      <w:pPr>
        <w:spacing w:after="0" w:line="14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(g) promptly after the same become publicly available, copies of all periodic and other reports, proxy statements and other materials filed by the Borrower or any of the Subsidiary Guarantors with the Securities and Exchange Commission, or any Governmental Authority succeeding to any or all of the functions of said Commission, or with any national securities exchange, as the case may be; and</w:t>
      </w:r>
    </w:p>
    <w:p>
      <w:pPr>
        <w:spacing w:after="0" w:line="125"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(h) promptly following any request therefor, such other information regarding the operations, business affairs and financial condition of the Borrower or any of its Subsidiaries, or compliance with the terms of this Agreement and the other Loan Documents, as the Administrative Agent or any Lender may reasonably request.</w:t>
      </w:r>
    </w:p>
    <w:p>
      <w:pPr>
        <w:spacing w:after="0" w:line="125" w:lineRule="exact"/>
        <w:rPr>
          <w:sz w:val="20"/>
          <w:szCs w:val="20"/>
          <w:color w:val="auto"/>
        </w:rPr>
      </w:pPr>
    </w:p>
    <w:p>
      <w:pPr>
        <w:jc w:val="both"/>
        <w:ind w:firstLine="1737"/>
        <w:spacing w:after="0" w:line="261" w:lineRule="auto"/>
        <w:rPr>
          <w:sz w:val="20"/>
          <w:szCs w:val="20"/>
          <w:color w:val="auto"/>
        </w:rPr>
      </w:pPr>
      <w:r>
        <w:rPr>
          <w:rFonts w:ascii="Arial" w:cs="Arial" w:eastAsia="Arial" w:hAnsi="Arial"/>
          <w:sz w:val="14"/>
          <w:szCs w:val="14"/>
          <w:color w:val="auto"/>
        </w:rPr>
        <w:t xml:space="preserve">(i) Borrower and each Lender acknowledge that certain of the Lenders may be Public Lenders and, if documents or notices required to be delivered pursuant to this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or otherwise are being distributed through IntraLinks/IntraAgency, SyndTrak or another relevant website or other information platform (the “</w:t>
      </w:r>
      <w:r>
        <w:rPr>
          <w:rFonts w:ascii="Arial" w:cs="Arial" w:eastAsia="Arial" w:hAnsi="Arial"/>
          <w:sz w:val="14"/>
          <w:szCs w:val="14"/>
          <w:u w:val="single" w:color="auto"/>
          <w:color w:val="auto"/>
        </w:rPr>
        <w:t>Platform</w:t>
      </w:r>
      <w:r>
        <w:rPr>
          <w:rFonts w:ascii="Arial" w:cs="Arial" w:eastAsia="Arial" w:hAnsi="Arial"/>
          <w:sz w:val="14"/>
          <w:szCs w:val="14"/>
          <w:color w:val="auto"/>
        </w:rPr>
        <w:t xml:space="preserve">”), any document or notice that Borrower has indicated contains Non-Public Information shall not be posted by Administrative Agent on that portion of the Platform designated for such Public Lenders. Borrower agrees to clearly designate all information provided to Administrative Agent by or on behalf of Borrower or any of its Subsidiaries which is suitable to make available to Public Lenders. If Borrower has not indicated whether a document or notice delivered pursuant to this </w:t>
      </w:r>
      <w:r>
        <w:rPr>
          <w:rFonts w:ascii="Arial" w:cs="Arial" w:eastAsia="Arial" w:hAnsi="Arial"/>
          <w:sz w:val="14"/>
          <w:szCs w:val="14"/>
          <w:u w:val="single" w:color="auto"/>
          <w:color w:val="auto"/>
        </w:rPr>
        <w:t>Section 5.01</w:t>
      </w:r>
      <w:r>
        <w:rPr>
          <w:rFonts w:ascii="Arial" w:cs="Arial" w:eastAsia="Arial" w:hAnsi="Arial"/>
          <w:sz w:val="14"/>
          <w:szCs w:val="14"/>
          <w:color w:val="auto"/>
        </w:rPr>
        <w:t xml:space="preserve"> contains Non-Public Information, the Administrative Agent reserves the right to post such document or notice solely on that portion of the Platform designated for Lenders who wish to receive material Non-Public Information with respect to Borrower, its Subsidiaries and their Securities (as such term is defined in </w:t>
      </w:r>
      <w:r>
        <w:rPr>
          <w:rFonts w:ascii="Arial" w:cs="Arial" w:eastAsia="Arial" w:hAnsi="Arial"/>
          <w:sz w:val="14"/>
          <w:szCs w:val="14"/>
          <w:u w:val="single" w:color="auto"/>
          <w:color w:val="auto"/>
        </w:rPr>
        <w:t>Section 5.13</w:t>
      </w:r>
      <w:r>
        <w:rPr>
          <w:rFonts w:ascii="Arial" w:cs="Arial" w:eastAsia="Arial" w:hAnsi="Arial"/>
          <w:sz w:val="14"/>
          <w:szCs w:val="14"/>
          <w:color w:val="auto"/>
        </w:rPr>
        <w:t xml:space="preserve"> of this Agreement).</w:t>
      </w:r>
    </w:p>
    <w:p>
      <w:pPr>
        <w:spacing w:after="0" w:line="117"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 xml:space="preserve">(j) Notwithstanding anything to the contrary herein, the requirements to deliver documents set forth in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(g)</w:t>
      </w:r>
      <w:r>
        <w:rPr>
          <w:rFonts w:ascii="Arial" w:cs="Arial" w:eastAsia="Arial" w:hAnsi="Arial"/>
          <w:sz w:val="15"/>
          <w:szCs w:val="15"/>
          <w:color w:val="auto"/>
        </w:rPr>
        <w:t xml:space="preserve"> will be fulfilled by filing by the Borrower of the applicable documents for public availability on the SEC’s Electronic Data Gathering and Retrieval system; </w:t>
      </w:r>
      <w:r>
        <w:rPr>
          <w:rFonts w:ascii="Arial" w:cs="Arial" w:eastAsia="Arial" w:hAnsi="Arial"/>
          <w:sz w:val="15"/>
          <w:szCs w:val="15"/>
          <w:u w:val="single" w:color="auto"/>
          <w:color w:val="auto"/>
        </w:rPr>
        <w:t>provided</w:t>
      </w:r>
      <w:r>
        <w:rPr>
          <w:rFonts w:ascii="Arial" w:cs="Arial" w:eastAsia="Arial" w:hAnsi="Arial"/>
          <w:sz w:val="15"/>
          <w:szCs w:val="15"/>
          <w:color w:val="auto"/>
        </w:rPr>
        <w:t>, that the Borrower shall notify the Administrative Agent (by telecopier or electronic mail) of the posting of any such documents.</w:t>
      </w:r>
    </w:p>
    <w:p>
      <w:pPr>
        <w:spacing w:after="0" w:line="125" w:lineRule="exact"/>
        <w:rPr>
          <w:sz w:val="20"/>
          <w:szCs w:val="20"/>
          <w:color w:val="auto"/>
        </w:rPr>
      </w:pPr>
    </w:p>
    <w:p>
      <w:pPr>
        <w:ind w:left="1740"/>
        <w:spacing w:after="0"/>
        <w:tabs>
          <w:tab w:leader="none" w:pos="4840" w:val="left"/>
        </w:tabs>
        <w:rPr>
          <w:sz w:val="20"/>
          <w:szCs w:val="20"/>
          <w:color w:val="auto"/>
        </w:rPr>
      </w:pPr>
      <w:r>
        <w:rPr>
          <w:rFonts w:ascii="Arial" w:cs="Arial" w:eastAsia="Arial" w:hAnsi="Arial"/>
          <w:sz w:val="15"/>
          <w:szCs w:val="15"/>
          <w:color w:val="auto"/>
        </w:rPr>
        <w:t>SECTION 5.02.</w:t>
      </w:r>
      <w:r>
        <w:rPr>
          <w:sz w:val="20"/>
          <w:szCs w:val="20"/>
          <w:color w:val="auto"/>
        </w:rPr>
        <w:tab/>
      </w:r>
      <w:r>
        <w:rPr>
          <w:rFonts w:ascii="Arial" w:cs="Arial" w:eastAsia="Arial" w:hAnsi="Arial"/>
          <w:sz w:val="14"/>
          <w:szCs w:val="14"/>
          <w:u w:val="single" w:color="auto"/>
          <w:color w:val="auto"/>
        </w:rPr>
        <w:t>Notices of Material Events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 The Borrower will furnish to the Administrative Agent and each Lender prompt written notice upon any Responsible Officer obtaining knowledge of the following:</w:t>
      </w:r>
    </w:p>
    <w:p>
      <w:pPr>
        <w:sectPr>
          <w:pgSz w:w="11900" w:h="16838" w:orient="portrait"/>
          <w:cols w:equalWidth="0" w:num="1">
            <w:col w:w="11300"/>
          </w:cols>
          <w:pgMar w:left="300" w:top="295" w:right="299" w:bottom="1440" w:gutter="0" w:footer="0" w:header="0"/>
        </w:sectPr>
      </w:pP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occurrence of any Default;</w:t>
      </w:r>
    </w:p>
    <w:p>
      <w:pPr>
        <w:spacing w:after="0" w:line="172" w:lineRule="exact"/>
        <w:rPr>
          <w:sz w:val="20"/>
          <w:szCs w:val="20"/>
          <w:color w:val="auto"/>
        </w:rPr>
      </w:pPr>
    </w:p>
    <w:p>
      <w:pPr>
        <w:sectPr>
          <w:pgSz w:w="11900" w:h="16838" w:orient="portrait"/>
          <w:cols w:equalWidth="0" w:num="2">
            <w:col w:w="2540" w:space="720"/>
            <w:col w:w="8040"/>
          </w:cols>
          <w:pgMar w:left="300" w:top="295" w:right="299" w:bottom="1440" w:gutter="0" w:footer="0" w:header="0"/>
          <w:type w:val="continuous"/>
        </w:sectPr>
      </w:pPr>
    </w:p>
    <w:p>
      <w:pPr>
        <w:ind w:firstLine="1737"/>
        <w:spacing w:after="0" w:line="262" w:lineRule="auto"/>
        <w:rPr>
          <w:sz w:val="20"/>
          <w:szCs w:val="20"/>
          <w:color w:val="auto"/>
        </w:rPr>
      </w:pPr>
      <w:r>
        <w:rPr>
          <w:rFonts w:ascii="Arial" w:cs="Arial" w:eastAsia="Arial" w:hAnsi="Arial"/>
          <w:sz w:val="15"/>
          <w:szCs w:val="15"/>
          <w:color w:val="auto"/>
        </w:rPr>
        <w:t>(b) the filing or commencement of any action, suit or proceeding by or before any arbitrator or Governmental Authority against or affecting the Borrower or any of its Affiliates that, if adversely determined, could reasonably be expected to result in a Material Adverse Effect;</w:t>
      </w:r>
    </w:p>
    <w:p>
      <w:pPr>
        <w:spacing w:after="0" w:line="115" w:lineRule="exact"/>
        <w:rPr>
          <w:sz w:val="20"/>
          <w:szCs w:val="20"/>
          <w:color w:val="auto"/>
        </w:rPr>
      </w:pPr>
    </w:p>
    <w:p>
      <w:pPr>
        <w:ind w:left="1740"/>
        <w:spacing w:after="0"/>
        <w:tabs>
          <w:tab w:leader="none" w:pos="3240" w:val="left"/>
        </w:tabs>
        <w:rPr>
          <w:sz w:val="20"/>
          <w:szCs w:val="20"/>
          <w:color w:val="auto"/>
        </w:rPr>
      </w:pPr>
      <w:r>
        <w:rPr>
          <w:rFonts w:ascii="Arial" w:cs="Arial" w:eastAsia="Arial" w:hAnsi="Arial"/>
          <w:sz w:val="14"/>
          <w:szCs w:val="14"/>
          <w:color w:val="auto"/>
        </w:rPr>
        <w:t>(c)</w:t>
      </w:r>
      <w:r>
        <w:rPr>
          <w:sz w:val="20"/>
          <w:szCs w:val="20"/>
          <w:color w:val="auto"/>
        </w:rPr>
        <w:tab/>
      </w:r>
      <w:r>
        <w:rPr>
          <w:rFonts w:ascii="Arial" w:cs="Arial" w:eastAsia="Arial" w:hAnsi="Arial"/>
          <w:sz w:val="14"/>
          <w:szCs w:val="14"/>
          <w:color w:val="auto"/>
        </w:rPr>
        <w:t>the occurrence of any ERISA Event that, alone or together with any other ERISA Events that have occurred, could reasonably be</w:t>
      </w:r>
    </w:p>
    <w:p>
      <w:pPr>
        <w:sectPr>
          <w:pgSz w:w="11900" w:h="16838" w:orient="portrait"/>
          <w:cols w:equalWidth="0" w:num="1">
            <w:col w:w="11300"/>
          </w:cols>
          <w:pgMar w:left="300" w:top="295" w:right="29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expected to result in liability of the Borrower and its Subsidiaries in an aggregate amount exceeding $25,000,000;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236855</wp:posOffset>
            </wp:positionV>
            <wp:extent cx="721106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type w:val="continuous"/>
        </w:sectPr>
      </w:pPr>
    </w:p>
    <w:bookmarkStart w:id="209" w:name="page210"/>
    <w:bookmarkEnd w:id="209"/>
    <w:p>
      <w:pPr>
        <w:ind w:left="4" w:right="20" w:firstLine="1737"/>
        <w:spacing w:after="0" w:line="262" w:lineRule="auto"/>
        <w:rPr>
          <w:sz w:val="20"/>
          <w:szCs w:val="20"/>
          <w:color w:val="auto"/>
        </w:rPr>
      </w:pPr>
      <w:r>
        <w:rPr>
          <w:rFonts w:ascii="Arial" w:cs="Arial" w:eastAsia="Arial" w:hAnsi="Arial"/>
          <w:sz w:val="15"/>
          <w:szCs w:val="15"/>
          <w:color w:val="auto"/>
        </w:rPr>
        <w:t>(d) any other development (excluding matters of a general economic, financial or political nature to the extent that they could not reasonably be expected to have a disproportionate effect on the Borrower) that results in, or could reasonably be expected to result in, a Material Adverse Effect.</w:t>
      </w:r>
    </w:p>
    <w:p>
      <w:pPr>
        <w:spacing w:after="0" w:line="115" w:lineRule="exact"/>
        <w:rPr>
          <w:sz w:val="20"/>
          <w:szCs w:val="20"/>
          <w:color w:val="auto"/>
        </w:rPr>
      </w:pPr>
    </w:p>
    <w:p>
      <w:pPr>
        <w:ind w:left="4" w:right="20" w:firstLine="1737"/>
        <w:spacing w:after="0" w:line="262" w:lineRule="auto"/>
        <w:rPr>
          <w:sz w:val="20"/>
          <w:szCs w:val="20"/>
          <w:color w:val="auto"/>
        </w:rPr>
      </w:pPr>
      <w:r>
        <w:rPr>
          <w:rFonts w:ascii="Arial" w:cs="Arial" w:eastAsia="Arial" w:hAnsi="Arial"/>
          <w:sz w:val="15"/>
          <w:szCs w:val="15"/>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1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5.03.</w:t>
      </w:r>
      <w:r>
        <w:rPr>
          <w:sz w:val="20"/>
          <w:szCs w:val="20"/>
          <w:color w:val="auto"/>
        </w:rPr>
        <w:tab/>
      </w:r>
      <w:r>
        <w:rPr>
          <w:rFonts w:ascii="Arial" w:cs="Arial" w:eastAsia="Arial" w:hAnsi="Arial"/>
          <w:sz w:val="13"/>
          <w:szCs w:val="13"/>
          <w:u w:val="single" w:color="auto"/>
          <w:color w:val="auto"/>
        </w:rPr>
        <w:t>Existence: Conduct of Business</w:t>
      </w:r>
    </w:p>
    <w:p>
      <w:pPr>
        <w:spacing w:after="0" w:line="149" w:lineRule="exact"/>
        <w:rPr>
          <w:sz w:val="20"/>
          <w:szCs w:val="20"/>
          <w:color w:val="auto"/>
        </w:rPr>
      </w:pPr>
    </w:p>
    <w:p>
      <w:pPr>
        <w:jc w:val="both"/>
        <w:ind w:left="4" w:right="20" w:hanging="4"/>
        <w:spacing w:after="0" w:line="249" w:lineRule="auto"/>
        <w:tabs>
          <w:tab w:leader="none" w:pos="125"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Borrower will, and will cause each of its Subsidiaries (other than Immaterial Subsidiaries) to, do or cause to be done all things necessary to preserve, renew and keep in full force and effect its legal existence and the rights, licenses, permits, privileges and franchises material to the conduct of its business; provided that the foregoing shall not prohibit any merger, consolidation, liquidation or dissolution permitted under Section 6.03.</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5.04.</w:t>
      </w:r>
      <w:r>
        <w:rPr>
          <w:sz w:val="20"/>
          <w:szCs w:val="20"/>
          <w:color w:val="auto"/>
        </w:rPr>
        <w:tab/>
      </w:r>
      <w:r>
        <w:rPr>
          <w:rFonts w:ascii="Arial" w:cs="Arial" w:eastAsia="Arial" w:hAnsi="Arial"/>
          <w:sz w:val="13"/>
          <w:szCs w:val="13"/>
          <w:u w:val="single" w:color="auto"/>
          <w:color w:val="auto"/>
        </w:rPr>
        <w:t>Payment of Obligations</w:t>
      </w:r>
    </w:p>
    <w:p>
      <w:pPr>
        <w:spacing w:after="0" w:line="149" w:lineRule="exact"/>
        <w:rPr>
          <w:sz w:val="20"/>
          <w:szCs w:val="20"/>
          <w:color w:val="auto"/>
        </w:rPr>
      </w:pPr>
    </w:p>
    <w:p>
      <w:pPr>
        <w:jc w:val="both"/>
        <w:ind w:left="4" w:right="20" w:hanging="4"/>
        <w:spacing w:after="0" w:line="279" w:lineRule="auto"/>
        <w:tabs>
          <w:tab w:leader="none" w:pos="12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Borrower will, and will cause each of its Subsidiaries to, pay its obligations, including income tax and other material tax liabilities and material contractual obligations, that, if not paid, could reasonably be expected to result in a Material Adverse Effect before the same shall become delinquent or in default, except where (a) the validity or amount thereof is being contested in good faith by appropriate proceedings, (b) the Borrower or such Subsidiary has set aside on its books adequate reserves with respect thereto in accordance with GAAP and</w:t>
      </w:r>
    </w:p>
    <w:p>
      <w:pPr>
        <w:spacing w:after="0" w:line="1" w:lineRule="exact"/>
        <w:rPr>
          <w:rFonts w:ascii="Arial" w:cs="Arial" w:eastAsia="Arial" w:hAnsi="Arial"/>
          <w:sz w:val="13"/>
          <w:szCs w:val="13"/>
          <w:color w:val="auto"/>
        </w:rPr>
      </w:pPr>
    </w:p>
    <w:p>
      <w:pPr>
        <w:ind w:left="4"/>
        <w:spacing w:after="0"/>
        <w:rPr>
          <w:rFonts w:ascii="Arial" w:cs="Arial" w:eastAsia="Arial" w:hAnsi="Arial"/>
          <w:sz w:val="13"/>
          <w:szCs w:val="13"/>
          <w:color w:val="auto"/>
        </w:rPr>
      </w:pPr>
      <w:r>
        <w:rPr>
          <w:rFonts w:ascii="Arial" w:cs="Arial" w:eastAsia="Arial" w:hAnsi="Arial"/>
          <w:sz w:val="15"/>
          <w:szCs w:val="15"/>
          <w:color w:val="auto"/>
        </w:rPr>
        <w:t>(c) the failure to make payment pending such contest could not reasonably be expected to result in a Material Adverse Effect.</w:t>
      </w:r>
    </w:p>
    <w:p>
      <w:pPr>
        <w:spacing w:after="0" w:line="137"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5.05.</w:t>
      </w:r>
      <w:r>
        <w:rPr>
          <w:sz w:val="20"/>
          <w:szCs w:val="20"/>
          <w:color w:val="auto"/>
        </w:rPr>
        <w:tab/>
      </w:r>
      <w:r>
        <w:rPr>
          <w:rFonts w:ascii="Arial" w:cs="Arial" w:eastAsia="Arial" w:hAnsi="Arial"/>
          <w:sz w:val="13"/>
          <w:szCs w:val="13"/>
          <w:u w:val="single" w:color="auto"/>
          <w:color w:val="auto"/>
        </w:rPr>
        <w:t>Maintenance of Properties; Insurance</w:t>
      </w:r>
    </w:p>
    <w:p>
      <w:pPr>
        <w:spacing w:after="0" w:line="149" w:lineRule="exact"/>
        <w:rPr>
          <w:sz w:val="20"/>
          <w:szCs w:val="20"/>
          <w:color w:val="auto"/>
        </w:rPr>
      </w:pPr>
    </w:p>
    <w:p>
      <w:pPr>
        <w:jc w:val="both"/>
        <w:ind w:left="4" w:right="20" w:hanging="4"/>
        <w:spacing w:after="0" w:line="249" w:lineRule="auto"/>
        <w:tabs>
          <w:tab w:leader="none" w:pos="138"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Borrower will, and will cause each of its Subsidiaries (other than Immaterial Subsidiaries) to, (a) keep and maintain all property material to the conduct of its business in good working order and condition, ordinary wear and tear excepted,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5.06.</w:t>
      </w:r>
      <w:r>
        <w:rPr>
          <w:sz w:val="20"/>
          <w:szCs w:val="20"/>
          <w:color w:val="auto"/>
        </w:rPr>
        <w:tab/>
      </w:r>
      <w:r>
        <w:rPr>
          <w:rFonts w:ascii="Arial" w:cs="Arial" w:eastAsia="Arial" w:hAnsi="Arial"/>
          <w:sz w:val="13"/>
          <w:szCs w:val="13"/>
          <w:u w:val="single" w:color="auto"/>
          <w:color w:val="auto"/>
        </w:rPr>
        <w:t>Books and Records; Inspection and Audit Rights</w:t>
      </w:r>
    </w:p>
    <w:p>
      <w:pPr>
        <w:spacing w:after="0" w:line="149" w:lineRule="exact"/>
        <w:rPr>
          <w:sz w:val="20"/>
          <w:szCs w:val="20"/>
          <w:color w:val="auto"/>
        </w:rPr>
      </w:pPr>
    </w:p>
    <w:p>
      <w:pPr>
        <w:jc w:val="both"/>
        <w:ind w:left="4" w:hanging="4"/>
        <w:spacing w:after="0" w:line="261" w:lineRule="auto"/>
        <w:tabs>
          <w:tab w:leader="none" w:pos="131"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Borrower will, and will cause each of its Subsidiaries to, keep books of record and account in accordance with GAAP. The Borrower will, and will cause each other Obligor to, permit any representatives designated by the Administrative Agent or any Lender, upon reasonable prior notice, to visit and inspect its properties during business hours, to examine and make extracts from its books and records, and to discuss its affairs, finances and condition with its officers and independent accountants, all at such reasonable times and as often as reasonably requested, in each case, to the extent such inspection or requests for such information are reasonable and such information can be provided or discussed without violation of law, rule, regulation or contract; provided that (i) the Borrower or such Obligor shall be entitled to have its representatives and advisors present during any inspection of its books and records and (ii) unless an Event of Default shall have occurred and be continuing, the Borrower’s obligation to reimburse any costs and expenses incurred by the Administrative Agent and the Lenders in connection with any such inspection shall be limited to one inspection per calendar year.</w:t>
      </w:r>
    </w:p>
    <w:p>
      <w:pPr>
        <w:spacing w:after="0" w:line="117"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5.07.</w:t>
      </w:r>
      <w:r>
        <w:rPr>
          <w:sz w:val="20"/>
          <w:szCs w:val="20"/>
          <w:color w:val="auto"/>
        </w:rPr>
        <w:tab/>
      </w:r>
      <w:r>
        <w:rPr>
          <w:rFonts w:ascii="Arial" w:cs="Arial" w:eastAsia="Arial" w:hAnsi="Arial"/>
          <w:sz w:val="14"/>
          <w:szCs w:val="14"/>
          <w:u w:val="single" w:color="auto"/>
          <w:color w:val="auto"/>
        </w:rPr>
        <w:t>Compliance with Laws</w:t>
      </w:r>
    </w:p>
    <w:p>
      <w:pPr>
        <w:spacing w:after="0" w:line="149" w:lineRule="exact"/>
        <w:rPr>
          <w:sz w:val="20"/>
          <w:szCs w:val="20"/>
          <w:color w:val="auto"/>
        </w:rPr>
      </w:pPr>
    </w:p>
    <w:p>
      <w:pPr>
        <w:ind w:left="4" w:right="20" w:hanging="4"/>
        <w:spacing w:after="0" w:line="298" w:lineRule="auto"/>
        <w:tabs>
          <w:tab w:leader="none" w:pos="15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Borrower will, and will cause each of its Subsidiaries to, comply with all laws, rules, regulations, including the Investment Company Act, and orders of any Governmental Authority applicable to it or its property, except where the failure to do so, individually or in the aggregate, could not reasonably be expected to result in a Material Adverse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11060"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6" w:right="299" w:bottom="1440" w:gutter="0" w:footer="0" w:header="0"/>
        </w:sectPr>
      </w:pPr>
    </w:p>
    <w:bookmarkStart w:id="210" w:name="page211"/>
    <w:bookmarkEnd w:id="210"/>
    <w:p>
      <w:pPr>
        <w:jc w:val="both"/>
        <w:ind w:right="20"/>
        <w:spacing w:after="0" w:line="298" w:lineRule="auto"/>
        <w:rPr>
          <w:sz w:val="20"/>
          <w:szCs w:val="20"/>
          <w:color w:val="auto"/>
        </w:rPr>
      </w:pPr>
      <w:r>
        <w:rPr>
          <w:rFonts w:ascii="Arial" w:cs="Arial" w:eastAsia="Arial" w:hAnsi="Arial"/>
          <w:sz w:val="14"/>
          <w:szCs w:val="14"/>
          <w:color w:val="auto"/>
        </w:rPr>
        <w:t>Effect. Without limiting the generality of the foregoing, the Borrower will, and will cause its Subsidiaries to, conduct its business and other activities in compliance in all material respects with the provisions of the Investment Company Act and any applicable rules, regulations or orders issued by the Securities and Exchange Commission thereunder.</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5.08.</w:t>
            </w:r>
          </w:p>
        </w:tc>
        <w:tc>
          <w:tcPr>
            <w:tcW w:w="1360" w:type="dxa"/>
            <w:vAlign w:val="bottom"/>
          </w:tcPr>
          <w:p>
            <w:pPr>
              <w:spacing w:after="0"/>
              <w:rPr>
                <w:sz w:val="14"/>
                <w:szCs w:val="14"/>
                <w:color w:val="auto"/>
              </w:rPr>
            </w:pPr>
          </w:p>
        </w:tc>
        <w:tc>
          <w:tcPr>
            <w:tcW w:w="6680" w:type="dxa"/>
            <w:vAlign w:val="bottom"/>
            <w:gridSpan w:val="3"/>
          </w:tcPr>
          <w:p>
            <w:pPr>
              <w:ind w:left="240"/>
              <w:spacing w:after="0"/>
              <w:rPr>
                <w:sz w:val="20"/>
                <w:szCs w:val="20"/>
                <w:color w:val="auto"/>
              </w:rPr>
            </w:pPr>
            <w:r>
              <w:rPr>
                <w:rFonts w:ascii="Arial" w:cs="Arial" w:eastAsia="Arial" w:hAnsi="Arial"/>
                <w:sz w:val="15"/>
                <w:szCs w:val="15"/>
                <w:color w:val="auto"/>
              </w:rPr>
              <w:t>Certain Obligations Respecting Subsidiaries; Further Assurances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40" w:type="dxa"/>
            <w:vAlign w:val="bottom"/>
            <w:gridSpan w:val="4"/>
          </w:tcPr>
          <w:p>
            <w:pPr>
              <w:spacing w:after="0"/>
              <w:rPr>
                <w:sz w:val="20"/>
                <w:szCs w:val="20"/>
                <w:color w:val="auto"/>
              </w:rPr>
            </w:pPr>
            <w:r>
              <w:rPr>
                <w:rFonts w:ascii="Arial" w:cs="Arial" w:eastAsia="Arial" w:hAnsi="Arial"/>
                <w:sz w:val="15"/>
                <w:szCs w:val="15"/>
                <w:color w:val="auto"/>
                <w:w w:val="93"/>
              </w:rPr>
              <w:t>Subsidiary Guarantors. In the event that the Borrower or any the Subsidiary Guarantors shall form or acquire any new Subsidiary</w:t>
            </w:r>
          </w:p>
        </w:tc>
      </w:tr>
      <w:tr>
        <w:trPr>
          <w:trHeight w:val="20"/>
        </w:trPr>
        <w:tc>
          <w:tcPr>
            <w:tcW w:w="3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(other than a Financing Subsidiary, a Foreign Subsidiary, an Immaterial Subsidiary or a Subsidiary of a Foreign Subsidiary) the Borrower will cause such new Subsidiary to become a “Subsidiary Guarantor” (and, thereby, an “Obligor”) under the Guarantee and Security Agreement pursuant to a Guarantee Assumption Agreement and to deliver such proof of corporate or other action, incumbency of officers, opinions of counsel and other documents as is consistent with those delivered by the Borrower pursuant to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upon the Effective Date or as the Administrative Agent shall have reasonably requested.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ind w:left="1740"/>
              <w:spacing w:after="0"/>
              <w:rPr>
                <w:sz w:val="20"/>
                <w:szCs w:val="20"/>
                <w:color w:val="auto"/>
              </w:rPr>
            </w:pPr>
            <w:r>
              <w:rPr>
                <w:rFonts w:ascii="Arial" w:cs="Arial" w:eastAsia="Arial" w:hAnsi="Arial"/>
                <w:sz w:val="15"/>
                <w:szCs w:val="15"/>
                <w:color w:val="auto"/>
              </w:rPr>
              <w:t>(b)</w:t>
            </w:r>
          </w:p>
        </w:tc>
        <w:tc>
          <w:tcPr>
            <w:tcW w:w="8020" w:type="dxa"/>
            <w:vAlign w:val="bottom"/>
            <w:gridSpan w:val="3"/>
          </w:tcPr>
          <w:p>
            <w:pPr>
              <w:jc w:val="right"/>
              <w:spacing w:after="0"/>
              <w:rPr>
                <w:sz w:val="20"/>
                <w:szCs w:val="20"/>
                <w:color w:val="auto"/>
              </w:rPr>
            </w:pPr>
            <w:r>
              <w:rPr>
                <w:rFonts w:ascii="Arial" w:cs="Arial" w:eastAsia="Arial" w:hAnsi="Arial"/>
                <w:sz w:val="15"/>
                <w:szCs w:val="15"/>
                <w:color w:val="auto"/>
                <w:w w:val="92"/>
              </w:rPr>
              <w:t>Ownership of Subsidiaries. The Borrower will, and will cause each of its Subsidiaries to, take such action from time to time as shall</w:t>
            </w:r>
          </w:p>
        </w:tc>
      </w:tr>
      <w:tr>
        <w:trPr>
          <w:trHeight w:val="20"/>
        </w:trPr>
        <w:tc>
          <w:tcPr>
            <w:tcW w:w="3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85"/>
        </w:trPr>
        <w:tc>
          <w:tcPr>
            <w:tcW w:w="11300" w:type="dxa"/>
            <w:vAlign w:val="bottom"/>
            <w:gridSpan w:val="4"/>
          </w:tcPr>
          <w:p>
            <w:pPr>
              <w:spacing w:after="0"/>
              <w:rPr>
                <w:sz w:val="20"/>
                <w:szCs w:val="20"/>
                <w:color w:val="auto"/>
              </w:rPr>
            </w:pPr>
            <w:r>
              <w:rPr>
                <w:rFonts w:ascii="Arial" w:cs="Arial" w:eastAsia="Arial" w:hAnsi="Arial"/>
                <w:sz w:val="15"/>
                <w:szCs w:val="15"/>
                <w:color w:val="auto"/>
              </w:rPr>
              <w:t>be necessary to ensure that each of its Subsidiaries is a wholly owned Subsidiary.</w:t>
            </w: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(c)</w:t>
            </w:r>
          </w:p>
        </w:tc>
        <w:tc>
          <w:tcPr>
            <w:tcW w:w="8020" w:type="dxa"/>
            <w:vAlign w:val="bottom"/>
            <w:gridSpan w:val="3"/>
          </w:tcPr>
          <w:p>
            <w:pPr>
              <w:jc w:val="right"/>
              <w:spacing w:after="0"/>
              <w:rPr>
                <w:sz w:val="20"/>
                <w:szCs w:val="20"/>
                <w:color w:val="auto"/>
              </w:rPr>
            </w:pPr>
            <w:r>
              <w:rPr>
                <w:rFonts w:ascii="Arial" w:cs="Arial" w:eastAsia="Arial" w:hAnsi="Arial"/>
                <w:sz w:val="15"/>
                <w:szCs w:val="15"/>
                <w:color w:val="auto"/>
                <w:w w:val="93"/>
              </w:rPr>
              <w:t>Further Assurances. The Borrower will, and will cause each of the Subsidiary Guarantors to, take such action from time to time as</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shall reasonably be requested by the Administrative Agent to effectuate the purposes and objectives of this Agreement. Without limiting the generality of the foregoing, the Borrower will, and will cause each of the Subsidiary Guarantors to, take such action from time to time (including filing appropriate Uniform Commercial Code financing statements and executing and delivering such assignments, security agreements and other instruments) as shall be reasonably requested by the Administrative Agent: (i) to create, in favor of the Collateral Agent for the benefit of the Lenders (and any affiliate thereof that is a party to any Hedging Agreement entered into with the Borrower) and the holders of any Secured Longer-Term Indebtedness or Secured Shorter-Term Indebtedness, perfected security interests and Liens in the Collateral;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such security interest or Lien shall be subject to the relevant requirements of the Security Documents, (ii) in the case of any Portfolio Investment consisting of a Bank Loan (as defined in </w:t>
      </w:r>
      <w:r>
        <w:rPr>
          <w:rFonts w:ascii="Arial" w:cs="Arial" w:eastAsia="Arial" w:hAnsi="Arial"/>
          <w:sz w:val="14"/>
          <w:szCs w:val="14"/>
          <w:u w:val="single" w:color="auto"/>
          <w:color w:val="auto"/>
        </w:rPr>
        <w:t>Section 5.13</w:t>
      </w:r>
      <w:r>
        <w:rPr>
          <w:rFonts w:ascii="Arial" w:cs="Arial" w:eastAsia="Arial" w:hAnsi="Arial"/>
          <w:sz w:val="14"/>
          <w:szCs w:val="14"/>
          <w:color w:val="auto"/>
        </w:rPr>
        <w:t>) that does not constitute all of the credit extended to the underlying borrower under the relevant underlying loan documents and a Financing Subsidiary holds any interest in the loans or other extensions of credit under such loan documents, (x) to cause such Financing Subsidiary to be party to such underlying loan documents as a “lender” having a direct interest (or a participation not acquired from an Obligor) in such underlying loan documents and the extensions of credit thereunder and (y) to ensure that all amounts owing to such Obligor or Financing Subsidiary by the underlying borrower or other obligated party are remitted by such borrower or obligated party directly to separate accounts of such Obligor and such Financing Subsidiary, (iii) in the event that any Obligor is acting as an agent or administrative agent under any loan documents with respect to any Bank Loan that does not constitute all of the credit extended to the underlying borrower under the relevant underlying loan documents, to ensure that all funds held by such Obligor in such capacity as agent or administrative agent is segregated from all other funds of such Obligor and clearly identified as being held in an agency capacity and (iv) to cause the closing sets and all executed amendments, consents, forbearances and other modifications and assignment agreements relating to any Portfolio Investment and any other documents relating to any Portfolio Investment requested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216535</wp:posOffset>
            </wp:positionV>
            <wp:extent cx="721106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11" w:name="page212"/>
    <w:bookmarkEnd w:id="211"/>
    <w:p>
      <w:pPr>
        <w:ind w:left="4"/>
        <w:spacing w:after="0"/>
        <w:rPr>
          <w:sz w:val="20"/>
          <w:szCs w:val="20"/>
          <w:color w:val="auto"/>
        </w:rPr>
      </w:pPr>
      <w:r>
        <w:rPr>
          <w:rFonts w:ascii="Arial" w:cs="Arial" w:eastAsia="Arial" w:hAnsi="Arial"/>
          <w:sz w:val="14"/>
          <w:szCs w:val="14"/>
          <w:color w:val="auto"/>
        </w:rPr>
        <w:t>Collateral Agent, in each case, to be held by the Collateral Agent or a custodian pursuant to the terms of a custodian agreement reasonably satisfactory to the Collateral Agent.</w:t>
      </w:r>
    </w:p>
    <w:p>
      <w:pPr>
        <w:spacing w:after="0" w:line="160"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5.09.</w:t>
      </w:r>
      <w:r>
        <w:rPr>
          <w:sz w:val="20"/>
          <w:szCs w:val="20"/>
          <w:color w:val="auto"/>
        </w:rPr>
        <w:tab/>
      </w:r>
      <w:r>
        <w:rPr>
          <w:rFonts w:ascii="Arial" w:cs="Arial" w:eastAsia="Arial" w:hAnsi="Arial"/>
          <w:sz w:val="13"/>
          <w:szCs w:val="13"/>
          <w:u w:val="single" w:color="auto"/>
          <w:color w:val="auto"/>
        </w:rPr>
        <w:t>Use of Proceeds</w:t>
      </w:r>
    </w:p>
    <w:p>
      <w:pPr>
        <w:spacing w:after="0" w:line="149" w:lineRule="exact"/>
        <w:rPr>
          <w:sz w:val="20"/>
          <w:szCs w:val="20"/>
          <w:color w:val="auto"/>
        </w:rPr>
      </w:pPr>
    </w:p>
    <w:p>
      <w:pPr>
        <w:jc w:val="both"/>
        <w:ind w:left="4" w:right="20" w:hanging="4"/>
        <w:spacing w:after="0" w:line="279" w:lineRule="auto"/>
        <w:tabs>
          <w:tab w:leader="none" w:pos="137"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Borrower will use the proceeds of the Loans only for general corporate purposes of the Borrower, including the acquisition and funding (either directly or through one or more wholly-owned Subsidiaries) of leveraged loans, mezzanine loans, high-yield securities, convertible securities, preferred stock, common stock and other Portfolio Investments; provided that neither the Administrative Agent nor any Lender shall have any responsibility as to the use of any of such proceeds. No part of the proceeds of any Loan will be used in violation of</w:t>
      </w:r>
    </w:p>
    <w:p>
      <w:pPr>
        <w:spacing w:after="0" w:line="1" w:lineRule="exact"/>
        <w:rPr>
          <w:rFonts w:ascii="Arial" w:cs="Arial" w:eastAsia="Arial" w:hAnsi="Arial"/>
          <w:sz w:val="13"/>
          <w:szCs w:val="13"/>
          <w:color w:val="auto"/>
        </w:rPr>
      </w:pPr>
    </w:p>
    <w:p>
      <w:pPr>
        <w:ind w:left="4"/>
        <w:spacing w:after="0" w:line="280" w:lineRule="auto"/>
        <w:rPr>
          <w:rFonts w:ascii="Arial" w:cs="Arial" w:eastAsia="Arial" w:hAnsi="Arial"/>
          <w:sz w:val="13"/>
          <w:szCs w:val="13"/>
          <w:color w:val="auto"/>
        </w:rPr>
      </w:pPr>
      <w:r>
        <w:rPr>
          <w:rFonts w:ascii="Arial" w:cs="Arial" w:eastAsia="Arial" w:hAnsi="Arial"/>
          <w:sz w:val="14"/>
          <w:szCs w:val="14"/>
          <w:color w:val="auto"/>
        </w:rPr>
        <w:t xml:space="preserve">(a) applicable law or, directly or indirectly, for the purpose, whether immediate, incidental or ultimate, of buying or carrying any Margin Stock or (b) </w:t>
      </w:r>
      <w:r>
        <w:rPr>
          <w:rFonts w:ascii="Arial" w:cs="Arial" w:eastAsia="Arial" w:hAnsi="Arial"/>
          <w:sz w:val="14"/>
          <w:szCs w:val="14"/>
          <w:u w:val="single" w:color="auto"/>
          <w:color w:val="auto"/>
        </w:rPr>
        <w:t>Section 3.16</w:t>
      </w:r>
      <w:r>
        <w:rPr>
          <w:rFonts w:ascii="Arial" w:cs="Arial" w:eastAsia="Arial" w:hAnsi="Arial"/>
          <w:sz w:val="14"/>
          <w:szCs w:val="14"/>
          <w:color w:val="auto"/>
        </w:rPr>
        <w:t>. Margin Stock shall be purchased by the Obligors only with the proceeds of Indebtedness not directly or indirectly secured by Margin Stock, or with the proceeds of equity capital of the Borrower.</w:t>
      </w:r>
    </w:p>
    <w:p>
      <w:pPr>
        <w:spacing w:after="0" w:line="104"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5.10.</w:t>
      </w:r>
      <w:r>
        <w:rPr>
          <w:sz w:val="20"/>
          <w:szCs w:val="20"/>
          <w:color w:val="auto"/>
        </w:rPr>
        <w:tab/>
      </w:r>
      <w:r>
        <w:rPr>
          <w:rFonts w:ascii="Arial" w:cs="Arial" w:eastAsia="Arial" w:hAnsi="Arial"/>
          <w:sz w:val="14"/>
          <w:szCs w:val="14"/>
          <w:u w:val="single" w:color="auto"/>
          <w:color w:val="auto"/>
        </w:rPr>
        <w:t>Status of RIC and BDC</w:t>
      </w:r>
    </w:p>
    <w:p>
      <w:pPr>
        <w:spacing w:after="0" w:line="149" w:lineRule="exact"/>
        <w:rPr>
          <w:sz w:val="20"/>
          <w:szCs w:val="20"/>
          <w:color w:val="auto"/>
        </w:rPr>
      </w:pPr>
    </w:p>
    <w:p>
      <w:pPr>
        <w:ind w:left="4" w:right="20" w:hanging="4"/>
        <w:spacing w:after="0" w:line="262" w:lineRule="auto"/>
        <w:tabs>
          <w:tab w:leader="none" w:pos="123"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Borrower shall at all times, subject to applicable grace periods set forth in the Code, maintain its status as a RIC under the Code, and as a “business development company” under the Investment Company Act.</w:t>
      </w:r>
    </w:p>
    <w:p>
      <w:pPr>
        <w:spacing w:after="0" w:line="11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5.11.</w:t>
      </w:r>
      <w:r>
        <w:rPr>
          <w:sz w:val="20"/>
          <w:szCs w:val="20"/>
          <w:color w:val="auto"/>
        </w:rPr>
        <w:tab/>
      </w:r>
      <w:r>
        <w:rPr>
          <w:rFonts w:ascii="Arial" w:cs="Arial" w:eastAsia="Arial" w:hAnsi="Arial"/>
          <w:sz w:val="13"/>
          <w:szCs w:val="13"/>
          <w:u w:val="single" w:color="auto"/>
          <w:color w:val="auto"/>
        </w:rPr>
        <w:t>Investment Policies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5"/>
          <w:szCs w:val="15"/>
          <w:color w:val="auto"/>
        </w:rPr>
        <w:t>. The Borrower shall at all times be in compliance in all material respects with its Investment Policies (after giving effect to any Permitted Policy Amendments).</w:t>
      </w:r>
    </w:p>
    <w:p>
      <w:pPr>
        <w:spacing w:after="0" w:line="133" w:lineRule="exact"/>
        <w:rPr>
          <w:sz w:val="20"/>
          <w:szCs w:val="20"/>
          <w:color w:val="auto"/>
        </w:rPr>
      </w:pPr>
    </w:p>
    <w:tbl>
      <w:tblPr>
        <w:tblLayout w:type="fixed"/>
        <w:tblInd w:w="1744" w:type="dxa"/>
        <w:tblCellMar>
          <w:top w:w="0" w:type="dxa"/>
          <w:left w:w="0" w:type="dxa"/>
          <w:bottom w:w="0" w:type="dxa"/>
          <w:right w:w="0" w:type="dxa"/>
        </w:tblCellMar>
      </w:tblPr>
      <w:tr>
        <w:trPr>
          <w:trHeight w:val="172"/>
        </w:trPr>
        <w:tc>
          <w:tcPr>
            <w:tcW w:w="1520" w:type="dxa"/>
            <w:vAlign w:val="bottom"/>
          </w:tcPr>
          <w:p>
            <w:pPr>
              <w:spacing w:after="0"/>
              <w:rPr>
                <w:sz w:val="20"/>
                <w:szCs w:val="20"/>
                <w:color w:val="auto"/>
              </w:rPr>
            </w:pPr>
            <w:r>
              <w:rPr>
                <w:rFonts w:ascii="Arial" w:cs="Arial" w:eastAsia="Arial" w:hAnsi="Arial"/>
                <w:sz w:val="15"/>
                <w:szCs w:val="15"/>
                <w:color w:val="auto"/>
              </w:rPr>
              <w:t>SECTION 5.12.</w:t>
            </w:r>
          </w:p>
        </w:tc>
        <w:tc>
          <w:tcPr>
            <w:tcW w:w="1600" w:type="dxa"/>
            <w:vAlign w:val="bottom"/>
          </w:tcPr>
          <w:p>
            <w:pPr>
              <w:spacing w:after="0"/>
              <w:rPr>
                <w:sz w:val="14"/>
                <w:szCs w:val="14"/>
                <w:color w:val="auto"/>
              </w:rPr>
            </w:pPr>
          </w:p>
        </w:tc>
        <w:tc>
          <w:tcPr>
            <w:tcW w:w="6440" w:type="dxa"/>
            <w:vAlign w:val="bottom"/>
            <w:gridSpan w:val="3"/>
          </w:tcPr>
          <w:p>
            <w:pPr>
              <w:spacing w:after="0"/>
              <w:rPr>
                <w:sz w:val="20"/>
                <w:szCs w:val="20"/>
                <w:color w:val="auto"/>
              </w:rPr>
            </w:pPr>
            <w:r>
              <w:rPr>
                <w:rFonts w:ascii="Arial" w:cs="Arial" w:eastAsia="Arial" w:hAnsi="Arial"/>
                <w:sz w:val="15"/>
                <w:szCs w:val="15"/>
                <w:color w:val="auto"/>
              </w:rPr>
              <w:t>Portfolio Valuation and Diversification Etc.</w:t>
            </w:r>
          </w:p>
        </w:tc>
      </w:tr>
      <w:tr>
        <w:trPr>
          <w:trHeight w:val="20"/>
        </w:trPr>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604"/>
        </w:trPr>
        <w:tc>
          <w:tcPr>
            <w:tcW w:w="1520" w:type="dxa"/>
            <w:vAlign w:val="bottom"/>
          </w:tcPr>
          <w:p>
            <w:pPr>
              <w:spacing w:after="0"/>
              <w:rPr>
                <w:sz w:val="20"/>
                <w:szCs w:val="20"/>
                <w:color w:val="auto"/>
              </w:rPr>
            </w:pPr>
            <w:r>
              <w:rPr>
                <w:rFonts w:ascii="Arial" w:cs="Arial" w:eastAsia="Arial" w:hAnsi="Arial"/>
                <w:sz w:val="15"/>
                <w:szCs w:val="15"/>
                <w:color w:val="auto"/>
              </w:rPr>
              <w:t>(a)</w:t>
            </w:r>
          </w:p>
        </w:tc>
        <w:tc>
          <w:tcPr>
            <w:tcW w:w="8040" w:type="dxa"/>
            <w:vAlign w:val="bottom"/>
            <w:gridSpan w:val="4"/>
          </w:tcPr>
          <w:p>
            <w:pPr>
              <w:spacing w:after="0"/>
              <w:rPr>
                <w:sz w:val="20"/>
                <w:szCs w:val="20"/>
                <w:color w:val="auto"/>
              </w:rPr>
            </w:pPr>
            <w:r>
              <w:rPr>
                <w:rFonts w:ascii="Arial" w:cs="Arial" w:eastAsia="Arial" w:hAnsi="Arial"/>
                <w:sz w:val="15"/>
                <w:szCs w:val="15"/>
                <w:color w:val="auto"/>
                <w:w w:val="92"/>
              </w:rPr>
              <w:t>Industry Classification Groups. For purposes of this Agreement, the Borrower shall assign each Portfolio Investment to an Industry</w:t>
            </w:r>
          </w:p>
        </w:tc>
      </w:tr>
      <w:tr>
        <w:trPr>
          <w:trHeight w:val="20"/>
        </w:trPr>
        <w:tc>
          <w:tcPr>
            <w:tcW w:w="1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306" w:lineRule="auto"/>
        <w:rPr>
          <w:sz w:val="20"/>
          <w:szCs w:val="20"/>
          <w:color w:val="auto"/>
        </w:rPr>
      </w:pPr>
      <w:r>
        <w:rPr>
          <w:rFonts w:ascii="Arial" w:cs="Arial" w:eastAsia="Arial" w:hAnsi="Arial"/>
          <w:sz w:val="13"/>
          <w:szCs w:val="13"/>
          <w:color w:val="auto"/>
        </w:rPr>
        <w:t>Classification Group. To the extent that any Portfolio Investment is not correlated with the risks of other Portfolio Investments in an Industry Classification Group, such Portfolio Investment may be assigned by the Borrower to an Industry Classification Group that is more closely correlated to such Portfolio Investment. In the absence of any correlation, the Borrower shall be permitted, upon prior notice to the Administrative Agent and each Lender, to create up to three additional industry classification groups for purposes of this Agreement.</w:t>
      </w:r>
    </w:p>
    <w:p>
      <w:pPr>
        <w:spacing w:after="0" w:line="90" w:lineRule="exact"/>
        <w:rPr>
          <w:sz w:val="20"/>
          <w:szCs w:val="20"/>
          <w:color w:val="auto"/>
        </w:rPr>
      </w:pPr>
    </w:p>
    <w:tbl>
      <w:tblPr>
        <w:tblLayout w:type="fixed"/>
        <w:tblInd w:w="1664" w:type="dxa"/>
        <w:tblCellMar>
          <w:top w:w="0" w:type="dxa"/>
          <w:left w:w="0" w:type="dxa"/>
          <w:bottom w:w="0" w:type="dxa"/>
          <w:right w:w="0" w:type="dxa"/>
        </w:tblCellMar>
      </w:tblPr>
      <w:tr>
        <w:trPr>
          <w:trHeight w:val="191"/>
        </w:trPr>
        <w:tc>
          <w:tcPr>
            <w:tcW w:w="1520" w:type="dxa"/>
            <w:vAlign w:val="bottom"/>
          </w:tcPr>
          <w:p>
            <w:pPr>
              <w:ind w:left="80"/>
              <w:spacing w:after="0"/>
              <w:rPr>
                <w:sz w:val="20"/>
                <w:szCs w:val="20"/>
                <w:color w:val="auto"/>
              </w:rPr>
            </w:pPr>
            <w:r>
              <w:rPr>
                <w:rFonts w:ascii="Arial" w:cs="Arial" w:eastAsia="Arial" w:hAnsi="Arial"/>
                <w:sz w:val="15"/>
                <w:szCs w:val="15"/>
                <w:color w:val="auto"/>
              </w:rPr>
              <w:t>(b)</w:t>
            </w:r>
          </w:p>
        </w:tc>
        <w:tc>
          <w:tcPr>
            <w:tcW w:w="8100" w:type="dxa"/>
            <w:vAlign w:val="bottom"/>
            <w:gridSpan w:val="2"/>
          </w:tcPr>
          <w:p>
            <w:pPr>
              <w:ind w:left="100"/>
              <w:spacing w:after="0"/>
              <w:rPr>
                <w:sz w:val="20"/>
                <w:szCs w:val="20"/>
                <w:color w:val="auto"/>
              </w:rPr>
            </w:pPr>
            <w:r>
              <w:rPr>
                <w:rFonts w:ascii="Arial" w:cs="Arial" w:eastAsia="Arial" w:hAnsi="Arial"/>
                <w:sz w:val="15"/>
                <w:szCs w:val="15"/>
                <w:color w:val="auto"/>
              </w:rPr>
              <w:t>Portfolio Valuation Etc.</w:t>
            </w:r>
          </w:p>
        </w:tc>
      </w:tr>
      <w:tr>
        <w:trPr>
          <w:trHeight w:val="287"/>
        </w:trPr>
        <w:tc>
          <w:tcPr>
            <w:tcW w:w="1520" w:type="dxa"/>
            <w:vAlign w:val="bottom"/>
          </w:tcPr>
          <w:p>
            <w:pPr>
              <w:spacing w:after="0"/>
              <w:rPr>
                <w:sz w:val="20"/>
                <w:szCs w:val="20"/>
                <w:color w:val="auto"/>
              </w:rPr>
            </w:pPr>
            <w:r>
              <w:rPr>
                <w:rFonts w:ascii="Arial" w:cs="Arial" w:eastAsia="Arial" w:hAnsi="Arial"/>
                <w:sz w:val="15"/>
                <w:szCs w:val="15"/>
                <w:color w:val="auto"/>
              </w:rPr>
              <w:t>(i)</w:t>
            </w:r>
          </w:p>
        </w:tc>
        <w:tc>
          <w:tcPr>
            <w:tcW w:w="8100" w:type="dxa"/>
            <w:vAlign w:val="bottom"/>
            <w:gridSpan w:val="2"/>
          </w:tcPr>
          <w:p>
            <w:pPr>
              <w:spacing w:after="0"/>
              <w:rPr>
                <w:sz w:val="20"/>
                <w:szCs w:val="20"/>
                <w:color w:val="auto"/>
              </w:rPr>
            </w:pPr>
            <w:r>
              <w:rPr>
                <w:rFonts w:ascii="Arial" w:cs="Arial" w:eastAsia="Arial" w:hAnsi="Arial"/>
                <w:sz w:val="15"/>
                <w:szCs w:val="15"/>
                <w:color w:val="auto"/>
                <w:w w:val="93"/>
              </w:rPr>
              <w:t>Settlement Date Basis. For purposes of this Agreement, all determinations of whether an investment is to be included as a Portfolio</w:t>
            </w:r>
          </w:p>
        </w:tc>
      </w:tr>
      <w:tr>
        <w:trPr>
          <w:trHeight w:val="20"/>
        </w:trPr>
        <w:tc>
          <w:tcPr>
            <w:tcW w:w="15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4" w:right="20"/>
        <w:spacing w:after="0" w:line="249" w:lineRule="auto"/>
        <w:rPr>
          <w:sz w:val="20"/>
          <w:szCs w:val="20"/>
          <w:color w:val="auto"/>
        </w:rPr>
      </w:pPr>
      <w:r>
        <w:rPr>
          <w:rFonts w:ascii="Arial" w:cs="Arial" w:eastAsia="Arial" w:hAnsi="Arial"/>
          <w:sz w:val="15"/>
          <w:szCs w:val="15"/>
          <w:color w:val="auto"/>
        </w:rPr>
        <w:t xml:space="preserve">Investment shall be determined on a settlement-date basis (meaning that any investment that has been purchased will not be treated as a Portfolio Investment until such purchase has settled, and any Portfolio Investment which has been sold will not be excluded as a Portfolio Investment until such sale has settled);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investment shall be included as a Portfolio Investment to the extent it has not been paid for in full.</w:t>
      </w:r>
    </w:p>
    <w:p>
      <w:pPr>
        <w:spacing w:after="0" w:line="109" w:lineRule="exact"/>
        <w:rPr>
          <w:sz w:val="20"/>
          <w:szCs w:val="20"/>
          <w:color w:val="auto"/>
        </w:rPr>
      </w:pPr>
    </w:p>
    <w:tbl>
      <w:tblPr>
        <w:tblLayout w:type="fixed"/>
        <w:tblInd w:w="864" w:type="dxa"/>
        <w:tblCellMar>
          <w:top w:w="0" w:type="dxa"/>
          <w:left w:w="0" w:type="dxa"/>
          <w:bottom w:w="0" w:type="dxa"/>
          <w:right w:w="0" w:type="dxa"/>
        </w:tblCellMar>
      </w:tblPr>
      <w:tr>
        <w:trPr>
          <w:trHeight w:val="172"/>
        </w:trPr>
        <w:tc>
          <w:tcPr>
            <w:tcW w:w="2080" w:type="dxa"/>
            <w:vAlign w:val="bottom"/>
          </w:tcPr>
          <w:p>
            <w:pPr>
              <w:ind w:left="800"/>
              <w:spacing w:after="0"/>
              <w:rPr>
                <w:sz w:val="20"/>
                <w:szCs w:val="20"/>
                <w:color w:val="auto"/>
              </w:rPr>
            </w:pPr>
            <w:r>
              <w:rPr>
                <w:rFonts w:ascii="Arial" w:cs="Arial" w:eastAsia="Arial" w:hAnsi="Arial"/>
                <w:sz w:val="15"/>
                <w:szCs w:val="15"/>
                <w:color w:val="auto"/>
              </w:rPr>
              <w:t>(ii)</w:t>
            </w:r>
          </w:p>
        </w:tc>
        <w:tc>
          <w:tcPr>
            <w:tcW w:w="8360" w:type="dxa"/>
            <w:vAlign w:val="bottom"/>
            <w:gridSpan w:val="5"/>
          </w:tcPr>
          <w:p>
            <w:pPr>
              <w:jc w:val="right"/>
              <w:spacing w:after="0"/>
              <w:rPr>
                <w:sz w:val="20"/>
                <w:szCs w:val="20"/>
                <w:color w:val="auto"/>
              </w:rPr>
            </w:pPr>
            <w:r>
              <w:rPr>
                <w:rFonts w:ascii="Arial" w:cs="Arial" w:eastAsia="Arial" w:hAnsi="Arial"/>
                <w:sz w:val="15"/>
                <w:szCs w:val="15"/>
                <w:color w:val="auto"/>
                <w:w w:val="99"/>
              </w:rPr>
              <w:t>Determination of Values.  The Borrower will conduct reviews of the value to be assigned to each of its Portfolio Investments as</w:t>
            </w:r>
          </w:p>
        </w:tc>
      </w:tr>
      <w:tr>
        <w:trPr>
          <w:trHeight w:val="185"/>
        </w:trPr>
        <w:tc>
          <w:tcPr>
            <w:tcW w:w="2080" w:type="dxa"/>
            <w:vAlign w:val="bottom"/>
          </w:tcPr>
          <w:p>
            <w:pPr>
              <w:spacing w:after="0"/>
              <w:rPr>
                <w:sz w:val="20"/>
                <w:szCs w:val="20"/>
                <w:color w:val="auto"/>
              </w:rPr>
            </w:pPr>
            <w:r>
              <w:rPr>
                <w:rFonts w:ascii="Arial" w:cs="Arial" w:eastAsia="Arial" w:hAnsi="Arial"/>
                <w:sz w:val="15"/>
                <w:szCs w:val="15"/>
                <w:color w:val="auto"/>
              </w:rPr>
              <w:t>follows:</w:t>
            </w:r>
          </w:p>
        </w:tc>
        <w:tc>
          <w:tcPr>
            <w:tcW w:w="2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140" w:type="dxa"/>
            <w:vAlign w:val="bottom"/>
          </w:tcPr>
          <w:p>
            <w:pPr>
              <w:spacing w:after="0"/>
              <w:rPr>
                <w:sz w:val="16"/>
                <w:szCs w:val="16"/>
                <w:color w:val="auto"/>
              </w:rPr>
            </w:pPr>
          </w:p>
        </w:tc>
        <w:tc>
          <w:tcPr>
            <w:tcW w:w="4440" w:type="dxa"/>
            <w:vAlign w:val="bottom"/>
          </w:tcPr>
          <w:p>
            <w:pPr>
              <w:spacing w:after="0"/>
              <w:rPr>
                <w:sz w:val="16"/>
                <w:szCs w:val="16"/>
                <w:color w:val="auto"/>
              </w:rPr>
            </w:pPr>
          </w:p>
        </w:tc>
      </w:tr>
      <w:tr>
        <w:trPr>
          <w:trHeight w:val="287"/>
        </w:trPr>
        <w:tc>
          <w:tcPr>
            <w:tcW w:w="2080" w:type="dxa"/>
            <w:vAlign w:val="bottom"/>
          </w:tcPr>
          <w:p>
            <w:pPr>
              <w:ind w:left="1600"/>
              <w:spacing w:after="0"/>
              <w:rPr>
                <w:sz w:val="20"/>
                <w:szCs w:val="20"/>
                <w:color w:val="auto"/>
              </w:rPr>
            </w:pPr>
            <w:r>
              <w:rPr>
                <w:rFonts w:ascii="Arial" w:cs="Arial" w:eastAsia="Arial" w:hAnsi="Arial"/>
                <w:sz w:val="15"/>
                <w:szCs w:val="15"/>
                <w:color w:val="auto"/>
              </w:rPr>
              <w:t>(A)</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0" w:type="dxa"/>
            <w:vAlign w:val="bottom"/>
            <w:gridSpan w:val="3"/>
          </w:tcPr>
          <w:p>
            <w:pPr>
              <w:jc w:val="right"/>
              <w:spacing w:after="0"/>
              <w:rPr>
                <w:sz w:val="20"/>
                <w:szCs w:val="20"/>
                <w:color w:val="auto"/>
              </w:rPr>
            </w:pPr>
            <w:r>
              <w:rPr>
                <w:rFonts w:ascii="Arial" w:cs="Arial" w:eastAsia="Arial" w:hAnsi="Arial"/>
                <w:sz w:val="15"/>
                <w:szCs w:val="15"/>
                <w:color w:val="auto"/>
                <w:w w:val="93"/>
              </w:rPr>
              <w:t>Quoted Investments - External Review. With respect to Portfolio Investments (including Cash Equivalents) for</w:t>
            </w:r>
          </w:p>
        </w:tc>
      </w:tr>
      <w:tr>
        <w:trPr>
          <w:trHeight w:val="20"/>
        </w:trPr>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pacing w:after="0" w:line="4"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which market quotations are readily available, the Borrower shall, not less frequently than once each calendar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12" w:name="page213"/>
    <w:bookmarkEnd w:id="212"/>
    <w:p>
      <w:pPr>
        <w:ind w:left="600"/>
        <w:spacing w:after="0" w:line="262" w:lineRule="auto"/>
        <w:rPr>
          <w:sz w:val="20"/>
          <w:szCs w:val="20"/>
          <w:color w:val="auto"/>
        </w:rPr>
      </w:pPr>
      <w:r>
        <w:rPr>
          <w:rFonts w:ascii="Arial" w:cs="Arial" w:eastAsia="Arial" w:hAnsi="Arial"/>
          <w:sz w:val="15"/>
          <w:szCs w:val="15"/>
          <w:color w:val="auto"/>
        </w:rPr>
        <w:t>determine the market value of such Portfolio Investments which shall, in each case, be determined in accordance with one of the following methodologies (as selected by the Borrower):</w:t>
      </w:r>
    </w:p>
    <w:p>
      <w:pPr>
        <w:spacing w:after="0" w:line="115" w:lineRule="exact"/>
        <w:rPr>
          <w:sz w:val="20"/>
          <w:szCs w:val="20"/>
          <w:color w:val="auto"/>
        </w:rPr>
      </w:pPr>
    </w:p>
    <w:p>
      <w:pPr>
        <w:ind w:left="2800" w:hanging="669"/>
        <w:spacing w:after="0"/>
        <w:tabs>
          <w:tab w:leader="none" w:pos="280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in the case of public and 144A securities, the average of the bid prices as determined by two Approved Dealers selected</w:t>
      </w:r>
    </w:p>
    <w:p>
      <w:pPr>
        <w:spacing w:after="0" w:line="32" w:lineRule="exact"/>
        <w:rPr>
          <w:rFonts w:ascii="Arial" w:cs="Arial" w:eastAsia="Arial" w:hAnsi="Arial"/>
          <w:sz w:val="13"/>
          <w:szCs w:val="13"/>
          <w:color w:val="auto"/>
        </w:rPr>
      </w:pPr>
    </w:p>
    <w:p>
      <w:pPr>
        <w:ind w:left="1460"/>
        <w:spacing w:after="0"/>
        <w:rPr>
          <w:rFonts w:ascii="Arial" w:cs="Arial" w:eastAsia="Arial" w:hAnsi="Arial"/>
          <w:sz w:val="13"/>
          <w:szCs w:val="13"/>
          <w:color w:val="auto"/>
        </w:rPr>
      </w:pPr>
      <w:r>
        <w:rPr>
          <w:rFonts w:ascii="Arial" w:cs="Arial" w:eastAsia="Arial" w:hAnsi="Arial"/>
          <w:sz w:val="15"/>
          <w:szCs w:val="15"/>
          <w:color w:val="auto"/>
        </w:rPr>
        <w:t>by the Borrower,</w:t>
      </w:r>
    </w:p>
    <w:p>
      <w:pPr>
        <w:spacing w:after="0" w:line="136" w:lineRule="exact"/>
        <w:rPr>
          <w:rFonts w:ascii="Arial" w:cs="Arial" w:eastAsia="Arial" w:hAnsi="Arial"/>
          <w:sz w:val="13"/>
          <w:szCs w:val="13"/>
          <w:color w:val="auto"/>
        </w:rPr>
      </w:pPr>
    </w:p>
    <w:p>
      <w:pPr>
        <w:ind w:left="2760" w:hanging="629"/>
        <w:spacing w:after="0"/>
        <w:tabs>
          <w:tab w:leader="none" w:pos="27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in the case of bank loans, the bid price as determined by one Approved Dealer selected by the Borrower,</w:t>
      </w:r>
    </w:p>
    <w:p>
      <w:pPr>
        <w:spacing w:after="0" w:line="148" w:lineRule="exact"/>
        <w:rPr>
          <w:rFonts w:ascii="Arial" w:cs="Arial" w:eastAsia="Arial" w:hAnsi="Arial"/>
          <w:sz w:val="15"/>
          <w:szCs w:val="15"/>
          <w:color w:val="auto"/>
        </w:rPr>
      </w:pPr>
    </w:p>
    <w:p>
      <w:pPr>
        <w:ind w:left="1460" w:right="20" w:firstLine="671"/>
        <w:spacing w:after="0" w:line="262" w:lineRule="auto"/>
        <w:tabs>
          <w:tab w:leader="none" w:pos="275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in the case of any Portfolio Investment traded on an exchange, the closing price for such Portfolio Investment most recently posted on such exchange, and</w:t>
      </w:r>
    </w:p>
    <w:p>
      <w:pPr>
        <w:spacing w:after="0" w:line="114" w:lineRule="exact"/>
        <w:rPr>
          <w:rFonts w:ascii="Arial" w:cs="Arial" w:eastAsia="Arial" w:hAnsi="Arial"/>
          <w:sz w:val="15"/>
          <w:szCs w:val="15"/>
          <w:color w:val="auto"/>
        </w:rPr>
      </w:pPr>
    </w:p>
    <w:p>
      <w:pPr>
        <w:ind w:left="1460" w:firstLine="671"/>
        <w:spacing w:after="0" w:line="262" w:lineRule="auto"/>
        <w:tabs>
          <w:tab w:leader="none" w:pos="275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in the case of any other Portfolio Investment, the fair market value thereof as determined by an Approved Pricing Service selected by the Borrower; and</w:t>
      </w:r>
    </w:p>
    <w:p>
      <w:pPr>
        <w:spacing w:after="0" w:line="115" w:lineRule="exact"/>
        <w:rPr>
          <w:sz w:val="20"/>
          <w:szCs w:val="20"/>
          <w:color w:val="auto"/>
        </w:rPr>
      </w:pPr>
    </w:p>
    <w:p>
      <w:pPr>
        <w:jc w:val="both"/>
        <w:ind w:left="600" w:firstLine="735"/>
        <w:spacing w:after="0" w:line="243"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Unquoted Investments- External Review</w:t>
      </w:r>
      <w:r>
        <w:rPr>
          <w:rFonts w:ascii="Arial" w:cs="Arial" w:eastAsia="Arial" w:hAnsi="Arial"/>
          <w:sz w:val="15"/>
          <w:szCs w:val="15"/>
          <w:color w:val="auto"/>
        </w:rPr>
        <w:t>. With respect to each Portfolio Investment for which market quotations are not readily available, the Borrower shall request an Approved Third-Party Appraiser to assist the Board of Directors of the Borrower in determining the fair market value of such Portfolio Investment, as at the last day of two non-consecutive fiscal quarters each calendar year in each case, and with respect to each calendar year, as selected by the Borrower in its sole discretion (with respect to such Portfolio Investment) (each, a “</w:t>
      </w:r>
      <w:r>
        <w:rPr>
          <w:rFonts w:ascii="Arial" w:cs="Arial" w:eastAsia="Arial" w:hAnsi="Arial"/>
          <w:sz w:val="15"/>
          <w:szCs w:val="15"/>
          <w:u w:val="single" w:color="auto"/>
          <w:color w:val="auto"/>
        </w:rPr>
        <w:t>Testing Quarter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29" w:lineRule="exact"/>
        <w:rPr>
          <w:sz w:val="20"/>
          <w:szCs w:val="20"/>
          <w:color w:val="auto"/>
        </w:rPr>
      </w:pPr>
    </w:p>
    <w:p>
      <w:pPr>
        <w:jc w:val="both"/>
        <w:ind w:left="1460" w:right="20" w:firstLine="671"/>
        <w:spacing w:after="0" w:line="245" w:lineRule="auto"/>
        <w:tabs>
          <w:tab w:leader="none" w:pos="2758" w:val="left"/>
        </w:tabs>
        <w:numPr>
          <w:ilvl w:val="0"/>
          <w:numId w:val="123"/>
        </w:numPr>
        <w:rPr>
          <w:rFonts w:ascii="Arial" w:cs="Arial" w:eastAsia="Arial" w:hAnsi="Arial"/>
          <w:sz w:val="15"/>
          <w:szCs w:val="15"/>
          <w:color w:val="auto"/>
        </w:rPr>
      </w:pPr>
      <w:r>
        <w:rPr>
          <w:rFonts w:ascii="Arial" w:cs="Arial" w:eastAsia="Arial" w:hAnsi="Arial"/>
          <w:sz w:val="15"/>
          <w:szCs w:val="15"/>
          <w:color w:val="auto"/>
        </w:rPr>
        <w:t xml:space="preserve">the Value of any such Portfolio Investment (i.e., a Portfolio Investment for which market quotations are not readily available) acquired shall be deemed to be equal to the cost of such Portfolio Investment until such time as the fair market value of such Portfolio Investment is determined in accordance with the foregoing provisions of this </w:t>
      </w:r>
      <w:r>
        <w:rPr>
          <w:rFonts w:ascii="Arial" w:cs="Arial" w:eastAsia="Arial" w:hAnsi="Arial"/>
          <w:sz w:val="15"/>
          <w:szCs w:val="15"/>
          <w:u w:val="single" w:color="auto"/>
          <w:color w:val="auto"/>
        </w:rPr>
        <w:t>sub-clause (B)</w:t>
      </w:r>
      <w:r>
        <w:rPr>
          <w:rFonts w:ascii="Arial" w:cs="Arial" w:eastAsia="Arial" w:hAnsi="Arial"/>
          <w:sz w:val="15"/>
          <w:szCs w:val="15"/>
          <w:color w:val="auto"/>
        </w:rPr>
        <w:t xml:space="preserve"> as at the last day of the next succeeding Testing Quarter with respect to such Portfolio Investment;</w:t>
      </w:r>
    </w:p>
    <w:p>
      <w:pPr>
        <w:spacing w:after="0" w:line="127" w:lineRule="exact"/>
        <w:rPr>
          <w:rFonts w:ascii="Arial" w:cs="Arial" w:eastAsia="Arial" w:hAnsi="Arial"/>
          <w:sz w:val="15"/>
          <w:szCs w:val="15"/>
          <w:color w:val="auto"/>
        </w:rPr>
      </w:pPr>
    </w:p>
    <w:p>
      <w:pPr>
        <w:jc w:val="both"/>
        <w:ind w:left="1460" w:firstLine="671"/>
        <w:spacing w:after="0" w:line="262" w:lineRule="auto"/>
        <w:tabs>
          <w:tab w:leader="none" w:pos="2758"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notwithstanding the foregoing, the Board of Directors of the Borrower may, without the assistance of an Approved Third-Party Appraiser, determine the fair market value of such unquoted Portfolio Investment so long as the aggregate Value thereof of all such Portfolio Investments so determined does not at any time exceed 10% of the aggregate Borrowing Base, except that the fair market value of any Portfolio Investment that has been determined without the assistance of an Approved Third-Party Appraiser as at the last day of any Testing Quarter with respect to such Portfolio Investment shall be deemed to be zero as at the last day of the immediately succeeding Testing Quarter with respect to such Portfolio Investment (but effective upon the date upon which the Borrowing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215265</wp:posOffset>
            </wp:positionV>
            <wp:extent cx="721106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160"/>
          </w:cols>
          <w:pgMar w:left="1440" w:top="296" w:right="299" w:bottom="1440" w:gutter="0" w:footer="0" w:header="0"/>
        </w:sectPr>
      </w:pPr>
    </w:p>
    <w:bookmarkStart w:id="213" w:name="page214"/>
    <w:bookmarkEnd w:id="213"/>
    <w:p>
      <w:pPr>
        <w:ind w:left="1460" w:right="20"/>
        <w:spacing w:after="0" w:line="262" w:lineRule="auto"/>
        <w:rPr>
          <w:sz w:val="20"/>
          <w:szCs w:val="20"/>
          <w:color w:val="auto"/>
        </w:rPr>
      </w:pPr>
      <w:r>
        <w:rPr>
          <w:rFonts w:ascii="Arial" w:cs="Arial" w:eastAsia="Arial" w:hAnsi="Arial"/>
          <w:sz w:val="15"/>
          <w:szCs w:val="15"/>
          <w:color w:val="auto"/>
        </w:rPr>
        <w:t>Certificate for such last day is required to be delivered hereunder) if an Approved Third-Party Appraiser has not assisted the Board of Directors of the Borrower in determining the fair market value of such Portfolio Investments, as at such date; and</w:t>
      </w:r>
    </w:p>
    <w:p>
      <w:pPr>
        <w:spacing w:after="0" w:line="115" w:lineRule="exact"/>
        <w:rPr>
          <w:sz w:val="20"/>
          <w:szCs w:val="20"/>
          <w:color w:val="auto"/>
        </w:rPr>
      </w:pPr>
    </w:p>
    <w:p>
      <w:pPr>
        <w:ind w:left="1460" w:right="20" w:firstLine="671"/>
        <w:spacing w:after="0" w:line="262" w:lineRule="auto"/>
        <w:tabs>
          <w:tab w:leader="none" w:pos="2336" w:val="left"/>
        </w:tabs>
        <w:numPr>
          <w:ilvl w:val="0"/>
          <w:numId w:val="124"/>
        </w:numPr>
        <w:rPr>
          <w:rFonts w:ascii="Arial" w:cs="Arial" w:eastAsia="Arial" w:hAnsi="Arial"/>
          <w:sz w:val="15"/>
          <w:szCs w:val="15"/>
          <w:color w:val="auto"/>
        </w:rPr>
      </w:pPr>
      <w:r>
        <w:rPr>
          <w:rFonts w:ascii="Arial" w:cs="Arial" w:eastAsia="Arial" w:hAnsi="Arial"/>
          <w:sz w:val="15"/>
          <w:szCs w:val="15"/>
          <w:color w:val="auto"/>
        </w:rPr>
        <w:t>no Testing Quarter with respect to any Portfolio Investment for which market quotations are not readily available shall end more than six months following the end of the immediately preceding Testing Quarter for such Portfolio Investment.</w:t>
      </w:r>
    </w:p>
    <w:p>
      <w:pPr>
        <w:spacing w:after="0" w:line="115" w:lineRule="exact"/>
        <w:rPr>
          <w:sz w:val="20"/>
          <w:szCs w:val="20"/>
          <w:color w:val="auto"/>
        </w:rPr>
      </w:pPr>
    </w:p>
    <w:p>
      <w:pPr>
        <w:jc w:val="both"/>
        <w:ind w:left="600" w:firstLine="735"/>
        <w:spacing w:after="0" w:line="260"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Internal Review</w:t>
      </w:r>
      <w:r>
        <w:rPr>
          <w:rFonts w:ascii="Arial" w:cs="Arial" w:eastAsia="Arial" w:hAnsi="Arial"/>
          <w:sz w:val="14"/>
          <w:szCs w:val="14"/>
          <w:color w:val="auto"/>
        </w:rPr>
        <w:t xml:space="preserve">. The Borrower shall conduct internal reviews of all Portfolio Investments at least once each calendar week which shall take into account any events of which any Responsible Officer of the Borrower has knowledge that adversely affect the value of the Portfolio Investments. If the value of any Portfolio Investment as most recently determined by the Borrower pursuant to this </w:t>
      </w:r>
      <w:r>
        <w:rPr>
          <w:rFonts w:ascii="Arial" w:cs="Arial" w:eastAsia="Arial" w:hAnsi="Arial"/>
          <w:sz w:val="14"/>
          <w:szCs w:val="14"/>
          <w:u w:val="single" w:color="auto"/>
          <w:color w:val="auto"/>
        </w:rPr>
        <w:t>Section 5.12(b)(ii)(C)</w:t>
      </w:r>
      <w:r>
        <w:rPr>
          <w:rFonts w:ascii="Arial" w:cs="Arial" w:eastAsia="Arial" w:hAnsi="Arial"/>
          <w:sz w:val="14"/>
          <w:szCs w:val="14"/>
          <w:color w:val="auto"/>
        </w:rPr>
        <w:t xml:space="preserve"> is lower than the value of such Portfolio Investment as most recently determined pursuant to </w:t>
      </w:r>
      <w:r>
        <w:rPr>
          <w:rFonts w:ascii="Arial" w:cs="Arial" w:eastAsia="Arial" w:hAnsi="Arial"/>
          <w:sz w:val="14"/>
          <w:szCs w:val="14"/>
          <w:u w:val="single" w:color="auto"/>
          <w:color w:val="auto"/>
        </w:rPr>
        <w:t>Section 5.12(b)(ii)(A)</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(B)</w:t>
      </w:r>
      <w:r>
        <w:rPr>
          <w:rFonts w:ascii="Arial" w:cs="Arial" w:eastAsia="Arial" w:hAnsi="Arial"/>
          <w:sz w:val="14"/>
          <w:szCs w:val="14"/>
          <w:color w:val="auto"/>
        </w:rPr>
        <w:t xml:space="preserve">, such lower value shall be deemed to be the “Value” of such Portfolio Investment for purposes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Value of any Portfolio Investment of the Borrower and its Subsidiaries shall be increased by the net unrealized gain as at the date such Value is determined of any Hedging Agreement entered into to hedge risks associated with such Portfolio Investment and reduced by the net unrealized loss as at such date of any such Hedging Agreement (such net unrealized gain or net unrealized loss, on any date, to be equal to the aggregate amount receivable or payable under the related Hedging Agreement if the same were terminated on such date).</w:t>
      </w:r>
    </w:p>
    <w:p>
      <w:pPr>
        <w:spacing w:after="0" w:line="117" w:lineRule="exact"/>
        <w:rPr>
          <w:sz w:val="20"/>
          <w:szCs w:val="20"/>
          <w:color w:val="auto"/>
        </w:rPr>
      </w:pPr>
    </w:p>
    <w:p>
      <w:pPr>
        <w:jc w:val="both"/>
        <w:ind w:left="600" w:right="20" w:firstLine="735"/>
        <w:spacing w:after="0" w:line="249"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Failure to Determine Values</w:t>
      </w:r>
      <w:r>
        <w:rPr>
          <w:rFonts w:ascii="Arial" w:cs="Arial" w:eastAsia="Arial" w:hAnsi="Arial"/>
          <w:sz w:val="15"/>
          <w:szCs w:val="15"/>
          <w:color w:val="auto"/>
        </w:rPr>
        <w:t xml:space="preserve">. If the Borrower shall fail to determine the value of any Portfolio Investment as at any date pursuant to the requirements of the foregoing </w:t>
      </w:r>
      <w:r>
        <w:rPr>
          <w:rFonts w:ascii="Arial" w:cs="Arial" w:eastAsia="Arial" w:hAnsi="Arial"/>
          <w:sz w:val="15"/>
          <w:szCs w:val="15"/>
          <w:u w:val="single" w:color="auto"/>
          <w:color w:val="auto"/>
        </w:rPr>
        <w:t>sub-clauses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(C)</w:t>
      </w:r>
      <w:r>
        <w:rPr>
          <w:rFonts w:ascii="Arial" w:cs="Arial" w:eastAsia="Arial" w:hAnsi="Arial"/>
          <w:sz w:val="15"/>
          <w:szCs w:val="15"/>
          <w:color w:val="auto"/>
        </w:rPr>
        <w:t>, then the “Value” of such Portfolio Investment as at such date shall be deemed to be zero.</w:t>
      </w:r>
    </w:p>
    <w:p>
      <w:pPr>
        <w:spacing w:after="0" w:line="125" w:lineRule="exact"/>
        <w:rPr>
          <w:sz w:val="20"/>
          <w:szCs w:val="20"/>
          <w:color w:val="auto"/>
        </w:rPr>
      </w:pPr>
    </w:p>
    <w:p>
      <w:pPr>
        <w:ind w:left="1320"/>
        <w:spacing w:after="0"/>
        <w:tabs>
          <w:tab w:leader="none" w:pos="3320" w:val="left"/>
        </w:tabs>
        <w:rPr>
          <w:sz w:val="20"/>
          <w:szCs w:val="20"/>
          <w:color w:val="auto"/>
        </w:rPr>
      </w:pPr>
      <w:r>
        <w:rPr>
          <w:rFonts w:ascii="Arial" w:cs="Arial" w:eastAsia="Arial" w:hAnsi="Arial"/>
          <w:sz w:val="15"/>
          <w:szCs w:val="15"/>
          <w:color w:val="auto"/>
        </w:rPr>
        <w:t>(E)</w:t>
      </w:r>
      <w:r>
        <w:rPr>
          <w:sz w:val="20"/>
          <w:szCs w:val="20"/>
          <w:color w:val="auto"/>
        </w:rPr>
        <w:tab/>
      </w:r>
      <w:r>
        <w:rPr>
          <w:rFonts w:ascii="Arial" w:cs="Arial" w:eastAsia="Arial" w:hAnsi="Arial"/>
          <w:sz w:val="15"/>
          <w:szCs w:val="15"/>
          <w:u w:val="single" w:color="auto"/>
          <w:color w:val="auto"/>
        </w:rPr>
        <w:t>Testing of Values</w:t>
      </w:r>
      <w:r>
        <w:rPr>
          <w:rFonts w:ascii="Arial" w:cs="Arial" w:eastAsia="Arial" w:hAnsi="Arial"/>
          <w:sz w:val="15"/>
          <w:szCs w:val="15"/>
          <w:color w:val="auto"/>
        </w:rPr>
        <w:t>.</w:t>
      </w:r>
    </w:p>
    <w:p>
      <w:pPr>
        <w:spacing w:after="0" w:line="149" w:lineRule="exact"/>
        <w:rPr>
          <w:sz w:val="20"/>
          <w:szCs w:val="20"/>
          <w:color w:val="auto"/>
        </w:rPr>
      </w:pPr>
    </w:p>
    <w:p>
      <w:pPr>
        <w:jc w:val="both"/>
        <w:ind w:left="1460" w:firstLine="671"/>
        <w:spacing w:after="0" w:line="241" w:lineRule="auto"/>
        <w:tabs>
          <w:tab w:leader="none" w:pos="2815" w:val="left"/>
        </w:tabs>
        <w:numPr>
          <w:ilvl w:val="0"/>
          <w:numId w:val="125"/>
        </w:numPr>
        <w:rPr>
          <w:rFonts w:ascii="Arial" w:cs="Arial" w:eastAsia="Arial" w:hAnsi="Arial"/>
          <w:sz w:val="15"/>
          <w:szCs w:val="15"/>
          <w:color w:val="auto"/>
        </w:rPr>
      </w:pPr>
      <w:r>
        <w:rPr>
          <w:rFonts w:ascii="Arial" w:cs="Arial" w:eastAsia="Arial" w:hAnsi="Arial"/>
          <w:sz w:val="15"/>
          <w:szCs w:val="15"/>
          <w:color w:val="auto"/>
        </w:rPr>
        <w:t>For the second calendar month immediately following the end of each fiscal quarter (the last such fiscal quarter is referred to herein as, the “</w:t>
      </w:r>
      <w:r>
        <w:rPr>
          <w:rFonts w:ascii="Arial" w:cs="Arial" w:eastAsia="Arial" w:hAnsi="Arial"/>
          <w:sz w:val="15"/>
          <w:szCs w:val="15"/>
          <w:u w:val="single" w:color="auto"/>
          <w:color w:val="auto"/>
        </w:rPr>
        <w:t>Testing Period</w:t>
      </w:r>
      <w:r>
        <w:rPr>
          <w:rFonts w:ascii="Arial" w:cs="Arial" w:eastAsia="Arial" w:hAnsi="Arial"/>
          <w:sz w:val="15"/>
          <w:szCs w:val="15"/>
          <w:color w:val="auto"/>
        </w:rPr>
        <w:t xml:space="preserve">”), the Administrative Agent shall cause an Approved Third-Party Appraiser selected by the Administrative Agent to value such number of Unquoted Investments (selected by the Administrative Agent) that collectively have an aggregate Value approximately equal to the Calculation Amount. The Administrative Agent agrees to notify the Borrower of the Unquoted Investments selected by the Administrative Agent to be tested in each Testing Period. If there is a difference between the Borrower’s valuation and the Approved Third-Party Appraiser’s valuation of any Unquoted Investment, the Value of such Unquoted Investment for Borrowing Base purposes shall be established as set forth in </w:t>
      </w:r>
      <w:r>
        <w:rPr>
          <w:rFonts w:ascii="Arial" w:cs="Arial" w:eastAsia="Arial" w:hAnsi="Arial"/>
          <w:sz w:val="15"/>
          <w:szCs w:val="15"/>
          <w:u w:val="single" w:color="auto"/>
          <w:color w:val="auto"/>
        </w:rPr>
        <w:t>sub-clause (F)</w:t>
      </w:r>
      <w:r>
        <w:rPr>
          <w:rFonts w:ascii="Arial" w:cs="Arial" w:eastAsia="Arial" w:hAnsi="Arial"/>
          <w:sz w:val="15"/>
          <w:szCs w:val="15"/>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222885</wp:posOffset>
            </wp:positionV>
            <wp:extent cx="721106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160"/>
          </w:cols>
          <w:pgMar w:left="1440" w:top="295" w:right="299" w:bottom="1440" w:gutter="0" w:footer="0" w:header="0"/>
        </w:sectPr>
      </w:pPr>
    </w:p>
    <w:bookmarkStart w:id="214" w:name="page215"/>
    <w:bookmarkEnd w:id="214"/>
    <w:p>
      <w:pPr>
        <w:jc w:val="both"/>
        <w:ind w:left="1460" w:firstLine="671"/>
        <w:spacing w:after="0" w:line="238" w:lineRule="auto"/>
        <w:tabs>
          <w:tab w:leader="none" w:pos="2758" w:val="left"/>
        </w:tabs>
        <w:numPr>
          <w:ilvl w:val="0"/>
          <w:numId w:val="126"/>
        </w:numPr>
        <w:rPr>
          <w:rFonts w:ascii="Arial" w:cs="Arial" w:eastAsia="Arial" w:hAnsi="Arial"/>
          <w:sz w:val="15"/>
          <w:szCs w:val="15"/>
          <w:color w:val="auto"/>
        </w:rPr>
      </w:pPr>
      <w:r>
        <w:rPr>
          <w:rFonts w:ascii="Arial" w:cs="Arial" w:eastAsia="Arial" w:hAnsi="Arial"/>
          <w:sz w:val="15"/>
          <w:szCs w:val="15"/>
          <w:color w:val="auto"/>
        </w:rPr>
        <w:t>For the avoidance of doubt, the valuation of any Approved Third-Party Appraiser selected by the Administrative Agent would not be as of, or delivered at, the end of any fiscal quarter. Any such valuation would be as of the end of the second month immediately following any fiscal quarter (the “</w:t>
      </w:r>
      <w:r>
        <w:rPr>
          <w:rFonts w:ascii="Arial" w:cs="Arial" w:eastAsia="Arial" w:hAnsi="Arial"/>
          <w:sz w:val="15"/>
          <w:szCs w:val="15"/>
          <w:u w:val="single" w:color="auto"/>
          <w:color w:val="auto"/>
        </w:rPr>
        <w:t>Administrative Agent Appraisal Testing Period</w:t>
      </w:r>
      <w:r>
        <w:rPr>
          <w:rFonts w:ascii="Arial" w:cs="Arial" w:eastAsia="Arial" w:hAnsi="Arial"/>
          <w:sz w:val="15"/>
          <w:szCs w:val="15"/>
          <w:color w:val="auto"/>
        </w:rPr>
        <w:t>”) and would be reflected in the Borrowing Base Certificate for such month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Approved Third-Party Appraiser delivers such valuation at least seven (7) Business Days before the 20</w:t>
      </w:r>
      <w:r>
        <w:rPr>
          <w:rFonts w:ascii="Arial" w:cs="Arial" w:eastAsia="Arial" w:hAnsi="Arial"/>
          <w:sz w:val="12"/>
          <w:szCs w:val="12"/>
          <w:color w:val="auto"/>
        </w:rPr>
        <w:t>th</w:t>
      </w:r>
      <w:r>
        <w:rPr>
          <w:rFonts w:ascii="Arial" w:cs="Arial" w:eastAsia="Arial" w:hAnsi="Arial"/>
          <w:sz w:val="15"/>
          <w:szCs w:val="15"/>
          <w:color w:val="auto"/>
        </w:rPr>
        <w:t xml:space="preserve"> day after the end of the applicable monthly accounting period and, if such valuation is delivered after such time, it shall be included in the Borrowing Base Certificate for the following monthly period and applied to the then applicable balance of the related Portfolio Investment). For illustrative purposes, if the given fiscal quarter is the fourth quarter ending on December 31, 2012, then (A) the Administrative Agent would initiate the testing of Values (using the December 31, 2012 Calculation Values for purposes of determining the scope of the testing under clauses (E)(x) during the month of February with the anticipation of receiving the valuations from the applicable Approved Third-Party Appraiser(s) on or after February 28, 2013 and (B)(xx) if such valuations were received before the 7th Business Day before March 20, 2013, such valuations would be included in the March 20, 2013 Borrowing Base Certificate covering the month of February, or (yy) if such valuations were received after such time, they would be included in the April 20, 2013 Borrowing Base Certificate for the month of March.</w:t>
      </w:r>
    </w:p>
    <w:p>
      <w:pPr>
        <w:spacing w:after="0" w:line="140" w:lineRule="exact"/>
        <w:rPr>
          <w:sz w:val="20"/>
          <w:szCs w:val="20"/>
          <w:color w:val="auto"/>
        </w:rPr>
      </w:pPr>
    </w:p>
    <w:p>
      <w:pPr>
        <w:ind w:left="1460"/>
        <w:spacing w:after="0" w:line="262" w:lineRule="auto"/>
        <w:rPr>
          <w:sz w:val="20"/>
          <w:szCs w:val="20"/>
          <w:color w:val="auto"/>
        </w:rPr>
      </w:pPr>
      <w:r>
        <w:rPr>
          <w:rFonts w:ascii="Arial" w:cs="Arial" w:eastAsia="Arial" w:hAnsi="Arial"/>
          <w:sz w:val="15"/>
          <w:szCs w:val="15"/>
          <w:color w:val="auto"/>
        </w:rPr>
        <w:t xml:space="preserve">For the avoidance of doubt, all calculations of value pursuant to this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shall be determined without application of the Advance Rates.</w:t>
      </w:r>
    </w:p>
    <w:p>
      <w:pPr>
        <w:spacing w:after="0" w:line="115" w:lineRule="exact"/>
        <w:rPr>
          <w:sz w:val="20"/>
          <w:szCs w:val="20"/>
          <w:color w:val="auto"/>
        </w:rPr>
      </w:pPr>
    </w:p>
    <w:p>
      <w:pPr>
        <w:jc w:val="both"/>
        <w:ind w:left="600" w:firstLine="735"/>
        <w:spacing w:after="0" w:line="239"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Valuation Dispute Resolution</w:t>
      </w:r>
      <w:r>
        <w:rPr>
          <w:rFonts w:ascii="Arial" w:cs="Arial" w:eastAsia="Arial" w:hAnsi="Arial"/>
          <w:sz w:val="15"/>
          <w:szCs w:val="15"/>
          <w:color w:val="auto"/>
        </w:rPr>
        <w:t xml:space="preserve">. Notwithstanding the foregoing, the Administrative Agent shall at any time have the right to request any Unquoted Investment be independently valued by an Approved Third-Party Appraiser selected by the Administrative Agent. There shall be no limit on the number of such appraisals requested by the Administrative Agent and the costs of any such valuation shall be at the expense of the Borrower. If the difference between the Borrower’s valuation pursuant to </w:t>
      </w:r>
      <w:r>
        <w:rPr>
          <w:rFonts w:ascii="Arial" w:cs="Arial" w:eastAsia="Arial" w:hAnsi="Arial"/>
          <w:sz w:val="15"/>
          <w:szCs w:val="15"/>
          <w:u w:val="single" w:color="auto"/>
          <w:color w:val="auto"/>
        </w:rPr>
        <w:t>Section 5.12(b)(ii)(B)</w:t>
      </w:r>
      <w:r>
        <w:rPr>
          <w:rFonts w:ascii="Arial" w:cs="Arial" w:eastAsia="Arial" w:hAnsi="Arial"/>
          <w:sz w:val="15"/>
          <w:szCs w:val="15"/>
          <w:color w:val="auto"/>
        </w:rPr>
        <w:t xml:space="preserve"> and the valuation of any Approved Third-Party Appraiser selected by the Administrative Agent pursuant to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(F)</w:t>
      </w:r>
      <w:r>
        <w:rPr>
          <w:rFonts w:ascii="Arial" w:cs="Arial" w:eastAsia="Arial" w:hAnsi="Arial"/>
          <w:sz w:val="15"/>
          <w:szCs w:val="15"/>
          <w:color w:val="auto"/>
        </w:rPr>
        <w:t xml:space="preserve"> is (1) less than 5% of the value thereof, then the Borrower’s valuation shall be used, (2) between 5% and 20% of the value thereof, then the valuation of such Portfolio Investment shall be the average of the value determined by the Borrower and the value determined by the Approved Third-Party Appraiser retained by the Administrative Agent and (3) greater than 20% of the value thereof, then the Borrower and the Administrative Agent shall select an additional Approved Third-Party Appraiser and the valuation of such Portfolio Investment shall be the average of the three valuations (with the Administrative Agent’s Approved Third-Party Appraiser’s valuation to be used until the third valuation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226695</wp:posOffset>
            </wp:positionV>
            <wp:extent cx="721106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160"/>
          </w:cols>
          <w:pgMar w:left="1440" w:top="295" w:right="299" w:bottom="1440" w:gutter="0" w:footer="0" w:header="0"/>
        </w:sectPr>
      </w:pPr>
    </w:p>
    <w:bookmarkStart w:id="215" w:name="page216"/>
    <w:bookmarkEnd w:id="215"/>
    <w:p>
      <w:pPr>
        <w:jc w:val="both"/>
        <w:ind w:left="4" w:right="20" w:firstLine="1737"/>
        <w:spacing w:after="0" w:line="249"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RIC Diversification Requirements</w:t>
      </w:r>
      <w:r>
        <w:rPr>
          <w:rFonts w:ascii="Arial" w:cs="Arial" w:eastAsia="Arial" w:hAnsi="Arial"/>
          <w:sz w:val="15"/>
          <w:szCs w:val="15"/>
          <w:color w:val="auto"/>
        </w:rPr>
        <w:t>. The Borrower will, and will cause its Subsidiaries (other than Financing Subsidiaries that are exempt from the Investment Company Act) at all times to, subject to applicable grace periods set forth in the Code, comply with the portfolio diversification requirements set forth in the Code applicable to RICs, to the extent applicable.</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5.13.</w:t>
      </w:r>
      <w:r>
        <w:rPr>
          <w:sz w:val="20"/>
          <w:szCs w:val="20"/>
          <w:color w:val="auto"/>
        </w:rPr>
        <w:tab/>
      </w:r>
      <w:r>
        <w:rPr>
          <w:rFonts w:ascii="Arial" w:cs="Arial" w:eastAsia="Arial" w:hAnsi="Arial"/>
          <w:sz w:val="14"/>
          <w:szCs w:val="14"/>
          <w:u w:val="single" w:color="auto"/>
          <w:color w:val="auto"/>
        </w:rPr>
        <w:t>Calculation of Borrowing Base</w:t>
      </w:r>
    </w:p>
    <w:p>
      <w:pPr>
        <w:spacing w:after="0" w:line="149" w:lineRule="exact"/>
        <w:rPr>
          <w:sz w:val="20"/>
          <w:szCs w:val="20"/>
          <w:color w:val="auto"/>
        </w:rPr>
      </w:pPr>
    </w:p>
    <w:p>
      <w:pPr>
        <w:ind w:left="4" w:right="40" w:hanging="4"/>
        <w:spacing w:after="0" w:line="262" w:lineRule="auto"/>
        <w:tabs>
          <w:tab w:leader="none" w:pos="8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For purposes of this Agreement, the “Borrowing Base” shall be determined, as at any date of determination, as the sum of the Advance Rates of the Value of each Portfolio Investment (excluding any Cash Collateral held by the Administrative Agent pursuant to </w:t>
      </w:r>
      <w:r>
        <w:rPr>
          <w:rFonts w:ascii="Arial" w:cs="Arial" w:eastAsia="Arial" w:hAnsi="Arial"/>
          <w:sz w:val="15"/>
          <w:szCs w:val="15"/>
          <w:u w:val="single" w:color="auto"/>
          <w:color w:val="auto"/>
        </w:rPr>
        <w:t>Section 2.05(k)</w:t>
      </w:r>
      <w:r>
        <w:rPr>
          <w:rFonts w:ascii="Arial" w:cs="Arial" w:eastAsia="Arial" w:hAnsi="Arial"/>
          <w:sz w:val="15"/>
          <w:szCs w:val="15"/>
          <w:color w:val="auto"/>
        </w:rPr>
        <w:t xml:space="preserve"> or the last paragraph of </w:t>
      </w:r>
      <w:r>
        <w:rPr>
          <w:rFonts w:ascii="Arial" w:cs="Arial" w:eastAsia="Arial" w:hAnsi="Arial"/>
          <w:sz w:val="15"/>
          <w:szCs w:val="15"/>
          <w:u w:val="single" w:color="auto"/>
          <w:color w:val="auto"/>
        </w:rPr>
        <w:t>Section 2.09(a)</w:t>
      </w:r>
      <w:r>
        <w:rPr>
          <w:rFonts w:ascii="Arial" w:cs="Arial" w:eastAsia="Arial" w:hAnsi="Arial"/>
          <w:sz w:val="15"/>
          <w:szCs w:val="15"/>
          <w:color w:val="auto"/>
        </w:rPr>
        <w:t>); provided that:</w:t>
      </w:r>
    </w:p>
    <w:p>
      <w:pPr>
        <w:spacing w:after="0" w:line="115" w:lineRule="exact"/>
        <w:rPr>
          <w:sz w:val="20"/>
          <w:szCs w:val="20"/>
          <w:color w:val="auto"/>
        </w:rPr>
      </w:pPr>
    </w:p>
    <w:p>
      <w:pPr>
        <w:jc w:val="both"/>
        <w:ind w:left="4" w:right="20" w:firstLine="1737"/>
        <w:spacing w:after="0" w:line="249" w:lineRule="auto"/>
        <w:rPr>
          <w:sz w:val="20"/>
          <w:szCs w:val="20"/>
          <w:color w:val="auto"/>
        </w:rPr>
      </w:pPr>
      <w:r>
        <w:rPr>
          <w:rFonts w:ascii="Arial" w:cs="Arial" w:eastAsia="Arial" w:hAnsi="Arial"/>
          <w:sz w:val="15"/>
          <w:szCs w:val="15"/>
          <w:color w:val="auto"/>
        </w:rPr>
        <w:t>(a) the Advance Rate applicable to that portion of the aggregate Value of the Portfolio Investments of all issuers in a consolidated group of corporations or other entities (collectively, a “</w:t>
      </w:r>
      <w:r>
        <w:rPr>
          <w:rFonts w:ascii="Arial" w:cs="Arial" w:eastAsia="Arial" w:hAnsi="Arial"/>
          <w:sz w:val="15"/>
          <w:szCs w:val="15"/>
          <w:u w:val="single" w:color="auto"/>
          <w:color w:val="auto"/>
        </w:rPr>
        <w:t>Consolidated Group</w:t>
      </w:r>
      <w:r>
        <w:rPr>
          <w:rFonts w:ascii="Arial" w:cs="Arial" w:eastAsia="Arial" w:hAnsi="Arial"/>
          <w:sz w:val="15"/>
          <w:szCs w:val="15"/>
          <w:color w:val="auto"/>
        </w:rPr>
        <w:t>”), in accordance with GAAP, that exceeds 6% of the aggregate Value of all Portfolio Investments in the Collateral Pool as of the end of the most recent quarter shall be 50% of the Advance Rate otherwise applicable;</w:t>
      </w:r>
    </w:p>
    <w:p>
      <w:pPr>
        <w:spacing w:after="0" w:line="125" w:lineRule="exact"/>
        <w:rPr>
          <w:sz w:val="20"/>
          <w:szCs w:val="20"/>
          <w:color w:val="auto"/>
        </w:rPr>
      </w:pPr>
    </w:p>
    <w:p>
      <w:pPr>
        <w:jc w:val="both"/>
        <w:ind w:left="4" w:right="20" w:firstLine="1737"/>
        <w:spacing w:after="0" w:line="262" w:lineRule="auto"/>
        <w:rPr>
          <w:sz w:val="20"/>
          <w:szCs w:val="20"/>
          <w:color w:val="auto"/>
        </w:rPr>
      </w:pPr>
      <w:r>
        <w:rPr>
          <w:rFonts w:ascii="Arial" w:cs="Arial" w:eastAsia="Arial" w:hAnsi="Arial"/>
          <w:sz w:val="15"/>
          <w:szCs w:val="15"/>
          <w:color w:val="auto"/>
        </w:rPr>
        <w:t>(b) the Advance Rate applicable to that portion of the aggregate Value of the Portfolio Investments of all issuers in a Consolidated Group exceeding 12% of the aggregate Value of all Portfolio Investments in the Collateral Pool as of the end of the most recent quarter shall be 0%;</w:t>
      </w:r>
    </w:p>
    <w:p>
      <w:pPr>
        <w:spacing w:after="0" w:line="115" w:lineRule="exact"/>
        <w:rPr>
          <w:sz w:val="20"/>
          <w:szCs w:val="20"/>
          <w:color w:val="auto"/>
        </w:rPr>
      </w:pPr>
    </w:p>
    <w:p>
      <w:pPr>
        <w:ind w:left="1744"/>
        <w:spacing w:after="0"/>
        <w:tabs>
          <w:tab w:leader="none" w:pos="3244"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the Advance Rate applicable to that portion of the aggregate Value of the Portfolio Investments in any single Industry Classification</w:t>
      </w:r>
    </w:p>
    <w:p>
      <w:pPr>
        <w:spacing w:after="0" w:line="33" w:lineRule="exact"/>
        <w:rPr>
          <w:sz w:val="20"/>
          <w:szCs w:val="20"/>
          <w:color w:val="auto"/>
        </w:rPr>
      </w:pPr>
    </w:p>
    <w:p>
      <w:pPr>
        <w:jc w:val="both"/>
        <w:ind w:left="4" w:right="20"/>
        <w:spacing w:after="0" w:line="239" w:lineRule="auto"/>
        <w:rPr>
          <w:sz w:val="20"/>
          <w:szCs w:val="20"/>
          <w:color w:val="auto"/>
        </w:rPr>
      </w:pPr>
      <w:r>
        <w:rPr>
          <w:rFonts w:ascii="Arial" w:cs="Arial" w:eastAsia="Arial" w:hAnsi="Arial"/>
          <w:sz w:val="15"/>
          <w:szCs w:val="15"/>
          <w:color w:val="auto"/>
        </w:rPr>
        <w:t xml:space="preserve">Group that exceeds 25% of the aggregate Value of all Portfolio Investments in the Collateral Pool as of the end of the most recent quarter shall be 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the Portfolio Investments in a single Industry Classification Group from time to time designated by the Borrower to the Administrative Agent such 25% figure shall be increased to 30% and, accordingly, only to the extent that the Value for such single Industry Classification Group exceeds 30% of the aggregate Value of all Portfolio Investments in the Collateral Pool as of the end of the most recent quarter shall the Advance Rate applicable to such excess Value be 0%;</w:t>
      </w:r>
    </w:p>
    <w:p>
      <w:pPr>
        <w:spacing w:after="0" w:line="133" w:lineRule="exact"/>
        <w:rPr>
          <w:sz w:val="20"/>
          <w:szCs w:val="20"/>
          <w:color w:val="auto"/>
        </w:rPr>
      </w:pPr>
    </w:p>
    <w:p>
      <w:pPr>
        <w:jc w:val="both"/>
        <w:ind w:left="4" w:right="20" w:firstLine="1737"/>
        <w:spacing w:after="0" w:line="249" w:lineRule="auto"/>
        <w:rPr>
          <w:sz w:val="20"/>
          <w:szCs w:val="20"/>
          <w:color w:val="auto"/>
        </w:rPr>
      </w:pPr>
      <w:r>
        <w:rPr>
          <w:rFonts w:ascii="Arial" w:cs="Arial" w:eastAsia="Arial" w:hAnsi="Arial"/>
          <w:sz w:val="15"/>
          <w:szCs w:val="15"/>
          <w:color w:val="auto"/>
        </w:rPr>
        <w:t>(d) no Portfolio Investment may be included in the Borrowing Base unless the Collateral Agent maintains a first priority, perfected Lien (subject to Permitted Liens) on such Portfolio Investment and such Portfolio Investment has been Delivered (as defined in the Guarantee and Security Agreement) to the Collateral Agent, and then only for so long as such Portfolio Investment continues to be Delivered as contemplated therein;</w:t>
      </w:r>
    </w:p>
    <w:p>
      <w:pPr>
        <w:spacing w:after="0" w:line="123"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2840" w:type="dxa"/>
            <w:vAlign w:val="bottom"/>
          </w:tcPr>
          <w:p>
            <w:pPr>
              <w:ind w:left="1740"/>
              <w:spacing w:after="0"/>
              <w:rPr>
                <w:sz w:val="20"/>
                <w:szCs w:val="20"/>
                <w:color w:val="auto"/>
              </w:rPr>
            </w:pPr>
            <w:r>
              <w:rPr>
                <w:rFonts w:ascii="Arial" w:cs="Arial" w:eastAsia="Arial" w:hAnsi="Arial"/>
                <w:sz w:val="15"/>
                <w:szCs w:val="15"/>
                <w:color w:val="auto"/>
              </w:rPr>
              <w:t>(e)</w:t>
            </w:r>
          </w:p>
        </w:tc>
        <w:tc>
          <w:tcPr>
            <w:tcW w:w="8480" w:type="dxa"/>
            <w:vAlign w:val="bottom"/>
          </w:tcPr>
          <w:p>
            <w:pPr>
              <w:ind w:left="420"/>
              <w:spacing w:after="0"/>
              <w:rPr>
                <w:sz w:val="20"/>
                <w:szCs w:val="20"/>
                <w:color w:val="auto"/>
              </w:rPr>
            </w:pPr>
            <w:r>
              <w:rPr>
                <w:rFonts w:ascii="Arial" w:cs="Arial" w:eastAsia="Arial" w:hAnsi="Arial"/>
                <w:sz w:val="15"/>
                <w:szCs w:val="15"/>
                <w:color w:val="auto"/>
                <w:w w:val="97"/>
              </w:rPr>
              <w:t>the portion of the Borrowing Base attributable to Performing Non-Cash Pay High Yield Securities, Performing Non-Cash Pay</w:t>
            </w:r>
          </w:p>
        </w:tc>
      </w:tr>
      <w:tr>
        <w:trPr>
          <w:trHeight w:val="191"/>
        </w:trPr>
        <w:tc>
          <w:tcPr>
            <w:tcW w:w="11320" w:type="dxa"/>
            <w:vAlign w:val="bottom"/>
            <w:gridSpan w:val="2"/>
          </w:tcPr>
          <w:p>
            <w:pPr>
              <w:spacing w:after="0"/>
              <w:rPr>
                <w:sz w:val="20"/>
                <w:szCs w:val="20"/>
                <w:color w:val="auto"/>
              </w:rPr>
            </w:pPr>
            <w:r>
              <w:rPr>
                <w:rFonts w:ascii="Arial" w:cs="Arial" w:eastAsia="Arial" w:hAnsi="Arial"/>
                <w:sz w:val="15"/>
                <w:szCs w:val="15"/>
                <w:color w:val="auto"/>
              </w:rPr>
              <w:t>Mezzanine Investments, Equity Interests and Non-Performing Portfolio Investments shall not exceed 20%;</w:t>
            </w:r>
          </w:p>
        </w:tc>
      </w:tr>
      <w:tr>
        <w:trPr>
          <w:trHeight w:val="301"/>
        </w:trPr>
        <w:tc>
          <w:tcPr>
            <w:tcW w:w="2840" w:type="dxa"/>
            <w:vAlign w:val="bottom"/>
          </w:tcPr>
          <w:p>
            <w:pPr>
              <w:ind w:left="1740"/>
              <w:spacing w:after="0"/>
              <w:rPr>
                <w:sz w:val="20"/>
                <w:szCs w:val="20"/>
                <w:color w:val="auto"/>
              </w:rPr>
            </w:pPr>
            <w:r>
              <w:rPr>
                <w:rFonts w:ascii="Arial" w:cs="Arial" w:eastAsia="Arial" w:hAnsi="Arial"/>
                <w:sz w:val="15"/>
                <w:szCs w:val="15"/>
                <w:color w:val="auto"/>
              </w:rPr>
              <w:t>(f)</w:t>
            </w:r>
          </w:p>
        </w:tc>
        <w:tc>
          <w:tcPr>
            <w:tcW w:w="8480" w:type="dxa"/>
            <w:vAlign w:val="bottom"/>
          </w:tcPr>
          <w:p>
            <w:pPr>
              <w:ind w:left="400"/>
              <w:spacing w:after="0"/>
              <w:rPr>
                <w:sz w:val="20"/>
                <w:szCs w:val="20"/>
                <w:color w:val="auto"/>
              </w:rPr>
            </w:pPr>
            <w:r>
              <w:rPr>
                <w:rFonts w:ascii="Arial" w:cs="Arial" w:eastAsia="Arial" w:hAnsi="Arial"/>
                <w:sz w:val="15"/>
                <w:szCs w:val="15"/>
                <w:color w:val="auto"/>
                <w:w w:val="94"/>
              </w:rPr>
              <w:t>the portion of the Borrowing Base attributable to Equity Interests shall not exceed 10% (it being understood that in no event shall</w:t>
            </w:r>
          </w:p>
        </w:tc>
      </w:tr>
      <w:tr>
        <w:trPr>
          <w:trHeight w:val="191"/>
        </w:trPr>
        <w:tc>
          <w:tcPr>
            <w:tcW w:w="11320" w:type="dxa"/>
            <w:vAlign w:val="bottom"/>
            <w:gridSpan w:val="2"/>
          </w:tcPr>
          <w:p>
            <w:pPr>
              <w:spacing w:after="0"/>
              <w:rPr>
                <w:sz w:val="20"/>
                <w:szCs w:val="20"/>
                <w:color w:val="auto"/>
              </w:rPr>
            </w:pPr>
            <w:r>
              <w:rPr>
                <w:rFonts w:ascii="Arial" w:cs="Arial" w:eastAsia="Arial" w:hAnsi="Arial"/>
                <w:sz w:val="15"/>
                <w:szCs w:val="15"/>
                <w:color w:val="auto"/>
              </w:rPr>
              <w:t>Equity Interests of Financing Subsidiaries be included in the Borrowing Base);</w:t>
            </w:r>
          </w:p>
        </w:tc>
      </w:tr>
      <w:tr>
        <w:trPr>
          <w:trHeight w:val="301"/>
        </w:trPr>
        <w:tc>
          <w:tcPr>
            <w:tcW w:w="2840" w:type="dxa"/>
            <w:vAlign w:val="bottom"/>
          </w:tcPr>
          <w:p>
            <w:pPr>
              <w:ind w:left="1740"/>
              <w:spacing w:after="0"/>
              <w:rPr>
                <w:sz w:val="20"/>
                <w:szCs w:val="20"/>
                <w:color w:val="auto"/>
              </w:rPr>
            </w:pPr>
            <w:r>
              <w:rPr>
                <w:rFonts w:ascii="Arial" w:cs="Arial" w:eastAsia="Arial" w:hAnsi="Arial"/>
                <w:sz w:val="15"/>
                <w:szCs w:val="15"/>
                <w:color w:val="auto"/>
              </w:rPr>
              <w:t>(g)</w:t>
            </w:r>
          </w:p>
        </w:tc>
        <w:tc>
          <w:tcPr>
            <w:tcW w:w="8480" w:type="dxa"/>
            <w:vAlign w:val="bottom"/>
          </w:tcPr>
          <w:p>
            <w:pPr>
              <w:ind w:left="440"/>
              <w:spacing w:after="0"/>
              <w:rPr>
                <w:sz w:val="20"/>
                <w:szCs w:val="20"/>
                <w:color w:val="auto"/>
              </w:rPr>
            </w:pPr>
            <w:r>
              <w:rPr>
                <w:rFonts w:ascii="Arial" w:cs="Arial" w:eastAsia="Arial" w:hAnsi="Arial"/>
                <w:sz w:val="15"/>
                <w:szCs w:val="15"/>
                <w:color w:val="auto"/>
                <w:w w:val="92"/>
              </w:rPr>
              <w:t>the portion of the Borrowing Base attributable to Non-Performing Portfolio Investments shall not exceed 15% and the portion of the</w:t>
            </w:r>
          </w:p>
        </w:tc>
      </w:tr>
      <w:tr>
        <w:trPr>
          <w:trHeight w:val="191"/>
        </w:trPr>
        <w:tc>
          <w:tcPr>
            <w:tcW w:w="2840" w:type="dxa"/>
            <w:vAlign w:val="bottom"/>
          </w:tcPr>
          <w:p>
            <w:pPr>
              <w:spacing w:after="0"/>
              <w:rPr>
                <w:sz w:val="20"/>
                <w:szCs w:val="20"/>
                <w:color w:val="auto"/>
              </w:rPr>
            </w:pPr>
            <w:r>
              <w:rPr>
                <w:rFonts w:ascii="Arial" w:cs="Arial" w:eastAsia="Arial" w:hAnsi="Arial"/>
                <w:sz w:val="15"/>
                <w:szCs w:val="15"/>
                <w:color w:val="auto"/>
              </w:rPr>
              <w:t>Borrowing Base attributable to Portfolio</w:t>
            </w:r>
          </w:p>
        </w:tc>
        <w:tc>
          <w:tcPr>
            <w:tcW w:w="8480" w:type="dxa"/>
            <w:vAlign w:val="bottom"/>
          </w:tcPr>
          <w:p>
            <w:pPr>
              <w:spacing w:after="0"/>
              <w:rPr>
                <w:sz w:val="16"/>
                <w:szCs w:val="16"/>
                <w:color w:val="auto"/>
              </w:rPr>
            </w:pPr>
          </w:p>
        </w:tc>
      </w:tr>
      <w:tr>
        <w:trPr>
          <w:trHeight w:val="372"/>
        </w:trPr>
        <w:tc>
          <w:tcPr>
            <w:tcW w:w="2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-24130</wp:posOffset>
            </wp:positionV>
            <wp:extent cx="3111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-24130</wp:posOffset>
            </wp:positionV>
            <wp:extent cx="3111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4"/>
          </w:cols>
          <w:pgMar w:left="296" w:top="295" w:right="279" w:bottom="1440" w:gutter="0" w:footer="0" w:header="0"/>
        </w:sectPr>
      </w:pPr>
    </w:p>
    <w:bookmarkStart w:id="216" w:name="page217"/>
    <w:bookmarkEnd w:id="216"/>
    <w:p>
      <w:pPr>
        <w:spacing w:after="0"/>
        <w:rPr>
          <w:sz w:val="20"/>
          <w:szCs w:val="20"/>
          <w:color w:val="auto"/>
        </w:rPr>
      </w:pPr>
      <w:r>
        <w:rPr>
          <w:rFonts w:ascii="Arial" w:cs="Arial" w:eastAsia="Arial" w:hAnsi="Arial"/>
          <w:sz w:val="15"/>
          <w:szCs w:val="15"/>
          <w:color w:val="auto"/>
        </w:rPr>
        <w:t>Investments that were Non-Performing Portfolio Investments at the time such Portfolio Investments were acquired shall not exceed 5%;</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(h) the portion of the Borrowing Base attributable to Portfolio Investments invested outside the United States, Canada, the United Kingdom, Australia, Germany, France, Belgium, the Netherlands, Luxembourg, Switzerland, Denmark, Finland, Norway and Sweden shall not exceed 5% without the consent of the Administrative Agent and JPMorgan Chase Bank, N.A.;</w:t>
      </w:r>
    </w:p>
    <w:p>
      <w:pPr>
        <w:spacing w:after="0" w:line="125" w:lineRule="exact"/>
        <w:rPr>
          <w:sz w:val="20"/>
          <w:szCs w:val="20"/>
          <w:color w:val="auto"/>
        </w:rPr>
      </w:pPr>
    </w:p>
    <w:p>
      <w:pPr>
        <w:ind w:right="40" w:firstLine="1737"/>
        <w:spacing w:after="0" w:line="262" w:lineRule="auto"/>
        <w:rPr>
          <w:sz w:val="20"/>
          <w:szCs w:val="20"/>
          <w:color w:val="auto"/>
        </w:rPr>
      </w:pPr>
      <w:r>
        <w:rPr>
          <w:rFonts w:ascii="Arial" w:cs="Arial" w:eastAsia="Arial" w:hAnsi="Arial"/>
          <w:sz w:val="15"/>
          <w:szCs w:val="15"/>
          <w:color w:val="auto"/>
        </w:rPr>
        <w:t>(i) at any time the Borrower Asset Coverage Ratio as of the end of the most recent fiscal quarter is greater than or equal to 2.00 to 1:00, but less than 2.25 to 1.00, the portion of the Borrowing Base attributable to Portfolio Investments other than Performing First Lien Bank Loans shall not exceed 62.5%; and</w:t>
      </w:r>
    </w:p>
    <w:p>
      <w:pPr>
        <w:spacing w:after="0" w:line="115" w:lineRule="exact"/>
        <w:rPr>
          <w:sz w:val="20"/>
          <w:szCs w:val="20"/>
          <w:color w:val="auto"/>
        </w:rPr>
      </w:pPr>
    </w:p>
    <w:p>
      <w:pPr>
        <w:ind w:left="1740"/>
        <w:spacing w:after="0"/>
        <w:tabs>
          <w:tab w:leader="none" w:pos="3220" w:val="left"/>
        </w:tabs>
        <w:rPr>
          <w:sz w:val="20"/>
          <w:szCs w:val="20"/>
          <w:color w:val="auto"/>
        </w:rPr>
      </w:pPr>
      <w:r>
        <w:rPr>
          <w:rFonts w:ascii="Arial" w:cs="Arial" w:eastAsia="Arial" w:hAnsi="Arial"/>
          <w:sz w:val="13"/>
          <w:szCs w:val="13"/>
          <w:color w:val="auto"/>
        </w:rPr>
        <w:t>(j)</w:t>
      </w:r>
      <w:r>
        <w:rPr>
          <w:sz w:val="20"/>
          <w:szCs w:val="20"/>
          <w:color w:val="auto"/>
        </w:rPr>
        <w:tab/>
      </w:r>
      <w:r>
        <w:rPr>
          <w:rFonts w:ascii="Arial" w:cs="Arial" w:eastAsia="Arial" w:hAnsi="Arial"/>
          <w:sz w:val="13"/>
          <w:szCs w:val="13"/>
          <w:color w:val="auto"/>
        </w:rPr>
        <w:t>at any time the Borrower Asset Coverage Ratio as of the end of the most recent fiscal quarter is greater than or equal to 2.25 to 1:00,</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the portion of the Borrowing Base attributable to Portfolio Investments other than Performing First Lien Bank Loans shall not exceed 67.5%.</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As used herein, the following terms have the following meanings:</w:t>
      </w:r>
    </w:p>
    <w:p>
      <w:pPr>
        <w:spacing w:after="0" w:line="149" w:lineRule="exact"/>
        <w:rPr>
          <w:sz w:val="20"/>
          <w:szCs w:val="20"/>
          <w:color w:val="auto"/>
        </w:rPr>
      </w:pPr>
    </w:p>
    <w:p>
      <w:pPr>
        <w:ind w:right="4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Advance Rate</w:t>
      </w:r>
      <w:r>
        <w:rPr>
          <w:rFonts w:ascii="Arial" w:cs="Arial" w:eastAsia="Arial" w:hAnsi="Arial"/>
          <w:sz w:val="15"/>
          <w:szCs w:val="15"/>
          <w:color w:val="auto"/>
        </w:rPr>
        <w:t xml:space="preserve">” means, as to any Portfolio Investment and subject to adjustment as provided in </w:t>
      </w:r>
      <w:r>
        <w:rPr>
          <w:rFonts w:ascii="Arial" w:cs="Arial" w:eastAsia="Arial" w:hAnsi="Arial"/>
          <w:sz w:val="15"/>
          <w:szCs w:val="15"/>
          <w:u w:val="single" w:color="auto"/>
          <w:color w:val="auto"/>
        </w:rPr>
        <w:t>Section 5.13(a)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(c)</w:t>
      </w:r>
      <w:r>
        <w:rPr>
          <w:rFonts w:ascii="Arial" w:cs="Arial" w:eastAsia="Arial" w:hAnsi="Arial"/>
          <w:sz w:val="15"/>
          <w:szCs w:val="15"/>
          <w:color w:val="auto"/>
        </w:rPr>
        <w:t>, the following percentages with respect to such Portfolio Investment: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gridSpan w:val="3"/>
          </w:tcPr>
          <w:p>
            <w:pPr>
              <w:ind w:left="3760"/>
              <w:spacing w:after="0"/>
              <w:rPr>
                <w:sz w:val="20"/>
                <w:szCs w:val="20"/>
                <w:color w:val="auto"/>
              </w:rPr>
            </w:pPr>
            <w:r>
              <w:rPr>
                <w:rFonts w:ascii="Arial" w:cs="Arial" w:eastAsia="Arial" w:hAnsi="Arial"/>
                <w:sz w:val="15"/>
                <w:szCs w:val="15"/>
                <w:color w:val="auto"/>
              </w:rPr>
              <w:t>Portfolio Investment</w:t>
            </w:r>
          </w:p>
        </w:tc>
        <w:tc>
          <w:tcPr>
            <w:tcW w:w="1140" w:type="dxa"/>
            <w:vAlign w:val="bottom"/>
            <w:gridSpan w:val="2"/>
          </w:tcPr>
          <w:p>
            <w:pPr>
              <w:spacing w:after="0"/>
              <w:rPr>
                <w:sz w:val="20"/>
                <w:szCs w:val="20"/>
                <w:color w:val="auto"/>
              </w:rPr>
            </w:pPr>
            <w:r>
              <w:rPr>
                <w:rFonts w:ascii="Arial" w:cs="Arial" w:eastAsia="Arial" w:hAnsi="Arial"/>
                <w:sz w:val="15"/>
                <w:szCs w:val="15"/>
                <w:color w:val="auto"/>
              </w:rPr>
              <w:t>Quoted</w:t>
            </w:r>
          </w:p>
        </w:tc>
        <w:tc>
          <w:tcPr>
            <w:tcW w:w="2160" w:type="dxa"/>
            <w:vAlign w:val="bottom"/>
            <w:gridSpan w:val="3"/>
          </w:tcPr>
          <w:p>
            <w:pPr>
              <w:ind w:left="700"/>
              <w:spacing w:after="0"/>
              <w:rPr>
                <w:sz w:val="20"/>
                <w:szCs w:val="20"/>
                <w:color w:val="auto"/>
              </w:rPr>
            </w:pPr>
            <w:r>
              <w:rPr>
                <w:rFonts w:ascii="Arial" w:cs="Arial" w:eastAsia="Arial" w:hAnsi="Arial"/>
                <w:sz w:val="15"/>
                <w:szCs w:val="15"/>
                <w:color w:val="auto"/>
              </w:rPr>
              <w:t>Unquoted</w:t>
            </w:r>
          </w:p>
        </w:tc>
      </w:tr>
      <w:tr>
        <w:trPr>
          <w:trHeight w:val="164"/>
        </w:trPr>
        <w:tc>
          <w:tcPr>
            <w:tcW w:w="3760" w:type="dxa"/>
            <w:vAlign w:val="bottom"/>
          </w:tcPr>
          <w:p>
            <w:pPr>
              <w:ind w:left="1280"/>
              <w:spacing w:after="0" w:line="164" w:lineRule="exact"/>
              <w:rPr>
                <w:sz w:val="20"/>
                <w:szCs w:val="20"/>
                <w:color w:val="auto"/>
              </w:rPr>
            </w:pPr>
            <w:r>
              <w:rPr>
                <w:rFonts w:ascii="Arial" w:cs="Arial" w:eastAsia="Arial" w:hAnsi="Arial"/>
                <w:sz w:val="15"/>
                <w:szCs w:val="15"/>
                <w:color w:val="auto"/>
              </w:rPr>
              <w:t>Cash, Cash Equivalents and</w:t>
            </w:r>
          </w:p>
        </w:tc>
        <w:tc>
          <w:tcPr>
            <w:tcW w:w="1240" w:type="dxa"/>
            <w:vAlign w:val="bottom"/>
            <w:tcBorders>
              <w:top w:val="single" w:sz="8" w:color="auto"/>
            </w:tcBorders>
          </w:tcPr>
          <w:p>
            <w:pPr>
              <w:spacing w:after="0"/>
              <w:rPr>
                <w:sz w:val="14"/>
                <w:szCs w:val="14"/>
                <w:color w:val="auto"/>
              </w:rPr>
            </w:pPr>
          </w:p>
        </w:tc>
        <w:tc>
          <w:tcPr>
            <w:tcW w:w="30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400"/>
              <w:spacing w:after="0" w:line="170" w:lineRule="exact"/>
              <w:rPr>
                <w:sz w:val="20"/>
                <w:szCs w:val="20"/>
                <w:color w:val="auto"/>
              </w:rPr>
            </w:pPr>
            <w:r>
              <w:rPr>
                <w:rFonts w:ascii="Arial" w:cs="Arial" w:eastAsia="Arial" w:hAnsi="Arial"/>
                <w:sz w:val="15"/>
                <w:szCs w:val="15"/>
                <w:color w:val="auto"/>
              </w:rPr>
              <w:t>Short-Term U.S. Government Securities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88"/>
              </w:rPr>
              <w:t>100%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2"/>
              </w:rPr>
              <w:t>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Long-Term U.S. Government Securities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95%</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2"/>
              </w:rPr>
              <w:t>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First Lien Bank Loans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85%</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75%</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Unitranche Loans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80%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70%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Second Lien Bank Loans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75%</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65%</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Cash Pay High Yield Securities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70%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60%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Cash Pay Mezzanine Investments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65%</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55%</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Non-Cash Pay High Yield Securities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60%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50%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Non-Cash Pay Mezzanine Investments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55%</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45%</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Non-Performing First Lien Bank Loans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45%</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45%</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Non-Performing Unitranche Loans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40%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40%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Non-Performing Second Lien Bank Loans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40%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30%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Non-Performing High Yield Securities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30%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30%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Non-Performing Cash Pay Mezzanine Investments</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30%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25%</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Performing Common Equity (and zero cost or</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3"/>
              </w:rPr>
              <w:t>30%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3"/>
              </w:rPr>
              <w:t>20%</w:t>
            </w: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400"/>
              <w:spacing w:after="0" w:line="170" w:lineRule="exact"/>
              <w:rPr>
                <w:sz w:val="20"/>
                <w:szCs w:val="20"/>
                <w:color w:val="auto"/>
              </w:rPr>
            </w:pPr>
            <w:r>
              <w:rPr>
                <w:rFonts w:ascii="Arial" w:cs="Arial" w:eastAsia="Arial" w:hAnsi="Arial"/>
                <w:sz w:val="15"/>
                <w:szCs w:val="15"/>
                <w:color w:val="auto"/>
              </w:rPr>
              <w:t>penny warrants with performing debt)</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8020" w:type="dxa"/>
            <w:vAlign w:val="bottom"/>
            <w:gridSpan w:val="3"/>
          </w:tcPr>
          <w:p>
            <w:pPr>
              <w:ind w:left="1280"/>
              <w:spacing w:after="0" w:line="170" w:lineRule="exact"/>
              <w:rPr>
                <w:sz w:val="20"/>
                <w:szCs w:val="20"/>
                <w:color w:val="auto"/>
              </w:rPr>
            </w:pPr>
            <w:r>
              <w:rPr>
                <w:rFonts w:ascii="Arial" w:cs="Arial" w:eastAsia="Arial" w:hAnsi="Arial"/>
                <w:sz w:val="15"/>
                <w:szCs w:val="15"/>
                <w:color w:val="auto"/>
              </w:rPr>
              <w:t>Non-Performing Common Equity</w:t>
            </w:r>
          </w:p>
        </w:tc>
        <w:tc>
          <w:tcPr>
            <w:tcW w:w="440" w:type="dxa"/>
            <w:vAlign w:val="bottom"/>
          </w:tcPr>
          <w:p>
            <w:pPr>
              <w:jc w:val="center"/>
              <w:spacing w:after="0" w:line="170" w:lineRule="exact"/>
              <w:rPr>
                <w:sz w:val="20"/>
                <w:szCs w:val="20"/>
                <w:color w:val="auto"/>
              </w:rPr>
            </w:pPr>
            <w:r>
              <w:rPr>
                <w:rFonts w:ascii="Arial" w:cs="Arial" w:eastAsia="Arial" w:hAnsi="Arial"/>
                <w:sz w:val="15"/>
                <w:szCs w:val="15"/>
                <w:color w:val="auto"/>
                <w:w w:val="92"/>
              </w:rPr>
              <w:t>0%</w:t>
            </w:r>
          </w:p>
        </w:tc>
        <w:tc>
          <w:tcPr>
            <w:tcW w:w="700" w:type="dxa"/>
            <w:vAlign w:val="bottom"/>
          </w:tcPr>
          <w:p>
            <w:pPr>
              <w:spacing w:after="0"/>
              <w:rPr>
                <w:sz w:val="14"/>
                <w:szCs w:val="14"/>
                <w:color w:val="auto"/>
              </w:rPr>
            </w:pPr>
          </w:p>
        </w:tc>
        <w:tc>
          <w:tcPr>
            <w:tcW w:w="1300" w:type="dxa"/>
            <w:vAlign w:val="bottom"/>
            <w:gridSpan w:val="2"/>
          </w:tcPr>
          <w:p>
            <w:pPr>
              <w:jc w:val="center"/>
              <w:ind w:left="624"/>
              <w:spacing w:after="0" w:line="170" w:lineRule="exact"/>
              <w:rPr>
                <w:sz w:val="20"/>
                <w:szCs w:val="20"/>
                <w:color w:val="auto"/>
              </w:rPr>
            </w:pPr>
            <w:r>
              <w:rPr>
                <w:rFonts w:ascii="Arial" w:cs="Arial" w:eastAsia="Arial" w:hAnsi="Arial"/>
                <w:sz w:val="15"/>
                <w:szCs w:val="15"/>
                <w:color w:val="auto"/>
                <w:w w:val="92"/>
              </w:rPr>
              <w:t>0%</w:t>
            </w:r>
          </w:p>
        </w:tc>
        <w:tc>
          <w:tcPr>
            <w:tcW w:w="860" w:type="dxa"/>
            <w:vAlign w:val="bottom"/>
          </w:tcPr>
          <w:p>
            <w:pPr>
              <w:spacing w:after="0"/>
              <w:rPr>
                <w:sz w:val="14"/>
                <w:szCs w:val="14"/>
                <w:color w:val="auto"/>
              </w:rPr>
            </w:pPr>
          </w:p>
        </w:tc>
      </w:tr>
      <w:tr>
        <w:trPr>
          <w:trHeight w:val="191"/>
        </w:trPr>
        <w:tc>
          <w:tcPr>
            <w:tcW w:w="8020" w:type="dxa"/>
            <w:vAlign w:val="bottom"/>
            <w:gridSpan w:val="3"/>
          </w:tcPr>
          <w:p>
            <w:pPr>
              <w:ind w:left="1280"/>
              <w:spacing w:after="0"/>
              <w:rPr>
                <w:sz w:val="20"/>
                <w:szCs w:val="20"/>
                <w:color w:val="auto"/>
              </w:rPr>
            </w:pPr>
            <w:r>
              <w:rPr>
                <w:rFonts w:ascii="Arial" w:cs="Arial" w:eastAsia="Arial" w:hAnsi="Arial"/>
                <w:sz w:val="15"/>
                <w:szCs w:val="15"/>
                <w:color w:val="auto"/>
              </w:rPr>
              <w:t>Structured Finance Obligations and Finance Leases</w:t>
            </w:r>
          </w:p>
        </w:tc>
        <w:tc>
          <w:tcPr>
            <w:tcW w:w="440" w:type="dxa"/>
            <w:vAlign w:val="bottom"/>
          </w:tcPr>
          <w:p>
            <w:pPr>
              <w:jc w:val="center"/>
              <w:spacing w:after="0"/>
              <w:rPr>
                <w:sz w:val="20"/>
                <w:szCs w:val="20"/>
                <w:color w:val="auto"/>
              </w:rPr>
            </w:pPr>
            <w:r>
              <w:rPr>
                <w:rFonts w:ascii="Arial" w:cs="Arial" w:eastAsia="Arial" w:hAnsi="Arial"/>
                <w:sz w:val="15"/>
                <w:szCs w:val="15"/>
                <w:color w:val="auto"/>
                <w:w w:val="92"/>
              </w:rPr>
              <w:t>0%</w:t>
            </w:r>
          </w:p>
        </w:tc>
        <w:tc>
          <w:tcPr>
            <w:tcW w:w="700" w:type="dxa"/>
            <w:vAlign w:val="bottom"/>
          </w:tcPr>
          <w:p>
            <w:pPr>
              <w:spacing w:after="0"/>
              <w:rPr>
                <w:sz w:val="16"/>
                <w:szCs w:val="16"/>
                <w:color w:val="auto"/>
              </w:rPr>
            </w:pPr>
          </w:p>
        </w:tc>
        <w:tc>
          <w:tcPr>
            <w:tcW w:w="1300" w:type="dxa"/>
            <w:vAlign w:val="bottom"/>
            <w:gridSpan w:val="2"/>
          </w:tcPr>
          <w:p>
            <w:pPr>
              <w:jc w:val="center"/>
              <w:ind w:left="624"/>
              <w:spacing w:after="0"/>
              <w:rPr>
                <w:sz w:val="20"/>
                <w:szCs w:val="20"/>
                <w:color w:val="auto"/>
              </w:rPr>
            </w:pPr>
            <w:r>
              <w:rPr>
                <w:rFonts w:ascii="Arial" w:cs="Arial" w:eastAsia="Arial" w:hAnsi="Arial"/>
                <w:sz w:val="15"/>
                <w:szCs w:val="15"/>
                <w:color w:val="auto"/>
                <w:w w:val="92"/>
              </w:rPr>
              <w:t>0%</w:t>
            </w:r>
          </w:p>
        </w:tc>
        <w:tc>
          <w:tcPr>
            <w:tcW w:w="860" w:type="dxa"/>
            <w:vAlign w:val="bottom"/>
          </w:tcPr>
          <w:p>
            <w:pPr>
              <w:spacing w:after="0"/>
              <w:rPr>
                <w:sz w:val="16"/>
                <w:szCs w:val="16"/>
                <w:color w:val="auto"/>
              </w:rPr>
            </w:pPr>
          </w:p>
        </w:tc>
      </w:tr>
      <w:tr>
        <w:trPr>
          <w:trHeight w:val="523"/>
        </w:trPr>
        <w:tc>
          <w:tcPr>
            <w:tcW w:w="3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95" w:right="279" w:bottom="1440" w:gutter="0" w:footer="0" w:header="0"/>
        </w:sectPr>
      </w:pPr>
    </w:p>
    <w:bookmarkStart w:id="217" w:name="page218"/>
    <w:bookmarkEnd w:id="217"/>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 Loans</w:t>
      </w:r>
      <w:r>
        <w:rPr>
          <w:rFonts w:ascii="Arial" w:cs="Arial" w:eastAsia="Arial" w:hAnsi="Arial"/>
          <w:sz w:val="15"/>
          <w:szCs w:val="15"/>
          <w:color w:val="auto"/>
        </w:rPr>
        <w:t>” means debt obligations (including term loans, notes, revolving loans, debtor-in-possession financings, the funded and unfunded portion of revolving credit lines and letter of credit facilities and other similar loans and investments including interim loans and senior subordinated loans) which are generally under a loan or credit facility (whether or not syndicated) or note purchase agreement.</w:t>
      </w:r>
    </w:p>
    <w:p>
      <w:pPr>
        <w:spacing w:after="0" w:line="125"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Stock</w:t>
      </w:r>
      <w:r>
        <w:rPr>
          <w:rFonts w:ascii="Arial" w:cs="Arial" w:eastAsia="Arial" w:hAnsi="Arial"/>
          <w:sz w:val="15"/>
          <w:szCs w:val="15"/>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of the Credit Agreement.</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Equivalents</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1.01</w:t>
      </w:r>
      <w:r>
        <w:rPr>
          <w:rFonts w:ascii="Arial" w:cs="Arial" w:eastAsia="Arial" w:hAnsi="Arial"/>
          <w:sz w:val="15"/>
          <w:szCs w:val="15"/>
          <w:color w:val="auto"/>
        </w:rPr>
        <w:t xml:space="preserve"> of the Credit Agreement.</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Finance Lease</w:t>
      </w:r>
      <w:r>
        <w:rPr>
          <w:rFonts w:ascii="Arial" w:cs="Arial" w:eastAsia="Arial" w:hAnsi="Arial"/>
          <w:sz w:val="15"/>
          <w:szCs w:val="15"/>
          <w:color w:val="auto"/>
        </w:rPr>
        <w:t>” means any transaction representing the obligation of a lessee to pay rent or other amounts under a lease which is required to be classified and accounted for as a capital lease on the balance sheet of such lessee under GAAP.</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First Lien Bank Loan</w:t>
      </w:r>
      <w:r>
        <w:rPr>
          <w:rFonts w:ascii="Arial" w:cs="Arial" w:eastAsia="Arial" w:hAnsi="Arial"/>
          <w:sz w:val="15"/>
          <w:szCs w:val="15"/>
          <w:color w:val="auto"/>
        </w:rPr>
        <w:t>” means a Bank Loan that is entitled to the benefit of a first lien and first priority perfected security interest (subject to Liens for “ABL” revolvers and customary encumbrances) on a substantial portion of the assets of the respective borrower and guarantors obligated in respect thereof.</w:t>
      </w:r>
    </w:p>
    <w:p>
      <w:pPr>
        <w:spacing w:after="0" w:line="115"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High Yield Securities</w:t>
      </w:r>
      <w:r>
        <w:rPr>
          <w:rFonts w:ascii="Arial" w:cs="Arial" w:eastAsia="Arial" w:hAnsi="Arial"/>
          <w:sz w:val="15"/>
          <w:szCs w:val="15"/>
          <w:color w:val="auto"/>
        </w:rPr>
        <w:t>” means debt Securities and Preferred Stock, in each case (a) issued by public or private issuers, (b) issued pursuant to an effective registration statement or pursuant to Rule 144A under the Securities Act (or any successor provision thereunder) or other exemption to the Securities Act and (c) that are not Cash Equivalents, Mezzanine Investments or Bank Loans.</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Long-Term U.S. Government Securities</w:t>
      </w:r>
      <w:r>
        <w:rPr>
          <w:rFonts w:ascii="Arial" w:cs="Arial" w:eastAsia="Arial" w:hAnsi="Arial"/>
          <w:sz w:val="14"/>
          <w:szCs w:val="14"/>
          <w:color w:val="auto"/>
        </w:rPr>
        <w:t>” means U.S. Government Securities maturing more than one year from the applicable date of determination.</w:t>
      </w:r>
    </w:p>
    <w:p>
      <w:pPr>
        <w:spacing w:after="0" w:line="160" w:lineRule="exact"/>
        <w:rPr>
          <w:sz w:val="20"/>
          <w:szCs w:val="20"/>
          <w:color w:val="auto"/>
        </w:rPr>
      </w:pPr>
    </w:p>
    <w:p>
      <w:pPr>
        <w:jc w:val="both"/>
        <w:ind w:right="20"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Mezzanine Investments</w:t>
      </w:r>
      <w:r>
        <w:rPr>
          <w:rFonts w:ascii="Arial" w:cs="Arial" w:eastAsia="Arial" w:hAnsi="Arial"/>
          <w:sz w:val="14"/>
          <w:szCs w:val="14"/>
          <w:color w:val="auto"/>
        </w:rPr>
        <w:t>” means debt Securities (including convertible debt Securities (other than the “in-the-money” equity component thereof)) and Preferred Stock in each case (a) issued by public or private issuers, (b) issued without registration under the Securities Act, (c) not issued pursuant to Rule 144A under the Securities Act (or any successor provision thereunder), (d) that are not Cash Equivalents and (e) contractually subordinated in right of payment to other debt of the same issuer.</w:t>
      </w:r>
    </w:p>
    <w:p>
      <w:pPr>
        <w:spacing w:after="0" w:line="108"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Non-Performing Common Equity</w:t>
      </w:r>
      <w:r>
        <w:rPr>
          <w:rFonts w:ascii="Arial" w:cs="Arial" w:eastAsia="Arial" w:hAnsi="Arial"/>
          <w:sz w:val="14"/>
          <w:szCs w:val="14"/>
          <w:color w:val="auto"/>
        </w:rPr>
        <w:t>” means Capital Stock (other than Preferred Stock) and warrants of an issuer having any debt outstanding that is non-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Performing.</w:t>
      </w:r>
    </w:p>
    <w:p>
      <w:pPr>
        <w:spacing w:after="0" w:line="137"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Non-Performing First Lien Bank Loans</w:t>
      </w:r>
      <w:r>
        <w:rPr>
          <w:rFonts w:ascii="Arial" w:cs="Arial" w:eastAsia="Arial" w:hAnsi="Arial"/>
          <w:sz w:val="15"/>
          <w:szCs w:val="15"/>
          <w:color w:val="auto"/>
        </w:rPr>
        <w:t>” means First Lien Bank Loans other than Performing First Lien 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18" w:name="page219"/>
    <w:bookmarkEnd w:id="218"/>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Non-Performing High Yield Securities</w:t>
      </w:r>
      <w:r>
        <w:rPr>
          <w:rFonts w:ascii="Arial" w:cs="Arial" w:eastAsia="Arial" w:hAnsi="Arial"/>
          <w:sz w:val="15"/>
          <w:szCs w:val="15"/>
          <w:color w:val="auto"/>
        </w:rPr>
        <w:t>” means High Yield Securities other than Performing High Yield Securities.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Non-Performing Mezzanine Investments</w:t>
      </w:r>
      <w:r>
        <w:rPr>
          <w:rFonts w:ascii="Arial" w:cs="Arial" w:eastAsia="Arial" w:hAnsi="Arial"/>
          <w:sz w:val="15"/>
          <w:szCs w:val="15"/>
          <w:color w:val="auto"/>
        </w:rPr>
        <w:t>” means Mezzanine Investments other than Performing Mezzanine Investments.</w:t>
      </w:r>
    </w:p>
    <w:p>
      <w:pPr>
        <w:spacing w:after="0" w:line="149"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Non-Performing Portfolio Investment</w:t>
      </w:r>
      <w:r>
        <w:rPr>
          <w:rFonts w:ascii="Arial" w:cs="Arial" w:eastAsia="Arial" w:hAnsi="Arial"/>
          <w:sz w:val="15"/>
          <w:szCs w:val="15"/>
          <w:color w:val="auto"/>
        </w:rPr>
        <w:t>” means Portfolio Investments for which the issuer is in default of any payment obligations of principal or interest in respect thereof after the expiration of any applicable grace period.</w:t>
      </w: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Non-Performing Second Lien Bank Loans</w:t>
      </w:r>
      <w:r>
        <w:rPr>
          <w:rFonts w:ascii="Arial" w:cs="Arial" w:eastAsia="Arial" w:hAnsi="Arial"/>
          <w:sz w:val="15"/>
          <w:szCs w:val="15"/>
          <w:color w:val="auto"/>
        </w:rPr>
        <w:t>” means Second Lien Bank Loans other than Performing Second Lien Bank Loans.</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Non-Performing Unitranche Loans</w:t>
      </w:r>
      <w:r>
        <w:rPr>
          <w:rFonts w:ascii="Arial" w:cs="Arial" w:eastAsia="Arial" w:hAnsi="Arial"/>
          <w:sz w:val="15"/>
          <w:szCs w:val="15"/>
          <w:color w:val="auto"/>
        </w:rPr>
        <w:t>” means Unitranche Loans other than Performing Unitranche Loans.</w:t>
      </w:r>
    </w:p>
    <w:p>
      <w:pPr>
        <w:spacing w:after="0" w:line="149"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w:t>
      </w:r>
      <w:r>
        <w:rPr>
          <w:rFonts w:ascii="Arial" w:cs="Arial" w:eastAsia="Arial" w:hAnsi="Arial"/>
          <w:sz w:val="14"/>
          <w:szCs w:val="14"/>
          <w:color w:val="auto"/>
        </w:rPr>
        <w:t>” means (a) with respect to any Portfolio Investment that is debt, the issuer of such Portfolio Investment is not in default of any payment obligations in respect thereof after the expiration of any applicable grace period and (b) with respect to any Portfolio Investment that is Preferred Stock, the issuer of such Portfolio Investment has not failed to meet any scheduled redemption obligations or to pay its latest declared cash dividend, after the expiration of any applicable grace period.</w:t>
      </w:r>
    </w:p>
    <w:p>
      <w:pPr>
        <w:spacing w:after="0" w:line="108" w:lineRule="exact"/>
        <w:rPr>
          <w:sz w:val="20"/>
          <w:szCs w:val="20"/>
          <w:color w:val="auto"/>
        </w:rPr>
      </w:pPr>
    </w:p>
    <w:p>
      <w:pPr>
        <w:jc w:val="both"/>
        <w:ind w:right="20" w:firstLine="1737"/>
        <w:spacing w:after="0" w:line="29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Cash Pay High Yield Securities</w:t>
      </w:r>
      <w:r>
        <w:rPr>
          <w:rFonts w:ascii="Arial" w:cs="Arial" w:eastAsia="Arial" w:hAnsi="Arial"/>
          <w:sz w:val="14"/>
          <w:szCs w:val="14"/>
          <w:color w:val="auto"/>
        </w:rPr>
        <w:t>” means High Yield Securities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92" w:lineRule="exact"/>
        <w:rPr>
          <w:sz w:val="20"/>
          <w:szCs w:val="20"/>
          <w:color w:val="auto"/>
        </w:rPr>
      </w:pPr>
    </w:p>
    <w:p>
      <w:pPr>
        <w:jc w:val="both"/>
        <w:ind w:firstLine="1737"/>
        <w:spacing w:after="0" w:line="33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Performing Cash Pay Mezzanine Investments</w:t>
      </w:r>
      <w:r>
        <w:rPr>
          <w:rFonts w:ascii="Arial" w:cs="Arial" w:eastAsia="Arial" w:hAnsi="Arial"/>
          <w:sz w:val="13"/>
          <w:szCs w:val="13"/>
          <w:color w:val="auto"/>
        </w:rPr>
        <w:t>” means Mezzanine Investments (a) as to which, at the time of determination, not less than 2/3rds of the interest (including accretions and “pay-in-kind” interest) for the current monthly, quarterly, semi-annual or annual period (as applicable) is payable in cash and (b) which are Performing.</w:t>
      </w:r>
    </w:p>
    <w:p>
      <w:pPr>
        <w:spacing w:after="0" w:line="6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Common Equity</w:t>
      </w:r>
      <w:r>
        <w:rPr>
          <w:rFonts w:ascii="Arial" w:cs="Arial" w:eastAsia="Arial" w:hAnsi="Arial"/>
          <w:sz w:val="14"/>
          <w:szCs w:val="14"/>
          <w:color w:val="auto"/>
        </w:rPr>
        <w:t>” means Capital Stock (other than Preferred Stock) and warrants of an issuer all of whose outstanding debt is Performing.</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Performing First Lien Bank Loans</w:t>
      </w:r>
      <w:r>
        <w:rPr>
          <w:rFonts w:ascii="Arial" w:cs="Arial" w:eastAsia="Arial" w:hAnsi="Arial"/>
          <w:sz w:val="15"/>
          <w:szCs w:val="15"/>
          <w:color w:val="auto"/>
        </w:rPr>
        <w:t>” means First Lien Bank Loans which are Performing.</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Non-Cash Pay High Yield Securities</w:t>
      </w:r>
      <w:r>
        <w:rPr>
          <w:rFonts w:ascii="Arial" w:cs="Arial" w:eastAsia="Arial" w:hAnsi="Arial"/>
          <w:sz w:val="14"/>
          <w:szCs w:val="14"/>
          <w:color w:val="auto"/>
        </w:rPr>
        <w:t>” means Performing High Yield Securities other than Performing Cash Pay High Yield Securities.</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Performing Non-Cash Pay Mezzanine Investments</w:t>
      </w:r>
      <w:r>
        <w:rPr>
          <w:rFonts w:ascii="Arial" w:cs="Arial" w:eastAsia="Arial" w:hAnsi="Arial"/>
          <w:sz w:val="14"/>
          <w:szCs w:val="14"/>
          <w:color w:val="auto"/>
        </w:rPr>
        <w:t>” means Performing Mezzanine Investments other than Performing Cash Pay Mezzanine Investments.</w:t>
      </w:r>
    </w:p>
    <w:p>
      <w:pPr>
        <w:spacing w:after="0" w:line="16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Performing Second Lien Bank Loans</w:t>
      </w:r>
      <w:r>
        <w:rPr>
          <w:rFonts w:ascii="Arial" w:cs="Arial" w:eastAsia="Arial" w:hAnsi="Arial"/>
          <w:sz w:val="15"/>
          <w:szCs w:val="15"/>
          <w:color w:val="auto"/>
        </w:rPr>
        <w:t>” means Second Lien Bank Loans which are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234950</wp:posOffset>
            </wp:positionV>
            <wp:extent cx="721106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19" w:name="page220"/>
    <w:bookmarkEnd w:id="219"/>
    <w:p>
      <w:pPr>
        <w:jc w:val="both"/>
        <w:ind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Preferred Stock</w:t>
      </w:r>
      <w:r>
        <w:rPr>
          <w:rFonts w:ascii="Arial" w:cs="Arial" w:eastAsia="Arial" w:hAnsi="Arial"/>
          <w:sz w:val="15"/>
          <w:szCs w:val="15"/>
          <w:color w:val="auto"/>
        </w:rPr>
        <w:t>,”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w:t>
      </w:r>
    </w:p>
    <w:p>
      <w:pPr>
        <w:spacing w:after="0" w:line="128" w:lineRule="exact"/>
        <w:rPr>
          <w:sz w:val="20"/>
          <w:szCs w:val="20"/>
          <w:color w:val="auto"/>
        </w:rPr>
      </w:pPr>
    </w:p>
    <w:p>
      <w:pPr>
        <w:jc w:val="both"/>
        <w:ind w:right="40" w:firstLine="1737"/>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Second Lien Bank Loan</w:t>
      </w:r>
      <w:r>
        <w:rPr>
          <w:rFonts w:ascii="Arial" w:cs="Arial" w:eastAsia="Arial" w:hAnsi="Arial"/>
          <w:sz w:val="15"/>
          <w:szCs w:val="15"/>
          <w:color w:val="auto"/>
        </w:rPr>
        <w:t>” means a Bank Loan that is entitled to the benefit of a second lien and second priority perfected security interest (subject to customary encumbrances) on specified assets of the respective Borrower and guarantors obligated in respect thereof.</w:t>
      </w:r>
    </w:p>
    <w:p>
      <w:pPr>
        <w:spacing w:after="0" w:line="115"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w:t>
      </w:r>
      <w:r>
        <w:rPr>
          <w:rFonts w:ascii="Arial" w:cs="Arial" w:eastAsia="Arial" w:hAnsi="Arial"/>
          <w:sz w:val="15"/>
          <w:szCs w:val="15"/>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2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United States Securities Act of 1933, as amended.</w:t>
      </w:r>
    </w:p>
    <w:p>
      <w:pPr>
        <w:spacing w:after="0" w:line="149"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Short-Term U.S. Government Securities</w:t>
      </w:r>
      <w:r>
        <w:rPr>
          <w:rFonts w:ascii="Arial" w:cs="Arial" w:eastAsia="Arial" w:hAnsi="Arial"/>
          <w:sz w:val="15"/>
          <w:szCs w:val="15"/>
          <w:color w:val="auto"/>
        </w:rPr>
        <w:t>” means U.S. Government Securities maturing within one year of the applicable date of determination.</w:t>
      </w:r>
    </w:p>
    <w:p>
      <w:pPr>
        <w:spacing w:after="0" w:line="149" w:lineRule="exact"/>
        <w:rPr>
          <w:sz w:val="20"/>
          <w:szCs w:val="20"/>
          <w:color w:val="auto"/>
        </w:rPr>
      </w:pPr>
    </w:p>
    <w:p>
      <w:pPr>
        <w:jc w:val="both"/>
        <w:ind w:right="40" w:firstLine="1737"/>
        <w:spacing w:after="0" w:line="30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Structured Finance Obligation</w:t>
      </w:r>
      <w:r>
        <w:rPr>
          <w:rFonts w:ascii="Arial" w:cs="Arial" w:eastAsia="Arial" w:hAnsi="Arial"/>
          <w:sz w:val="13"/>
          <w:szCs w:val="13"/>
          <w:color w:val="auto"/>
        </w:rPr>
        <w:t>” means any obligation issued by a special purpose vehicle and secured directly by, referenced to, or representing ownership of, a pool of receivables or other financial assets of any obligor, including collateralized debt obligations and mortgaged-backed securities. For the avoidance of doubt, if an obligation satisfies the definition of “Structured Finance Obligation”, such obligation shall not (a) qualify as any other category of Portfolio Investment and (b) be included in the Borrowing Base.</w:t>
      </w:r>
    </w:p>
    <w:p>
      <w:pPr>
        <w:spacing w:after="0" w:line="9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U.S. Government Securities</w:t>
      </w:r>
      <w:r>
        <w:rPr>
          <w:rFonts w:ascii="Arial" w:cs="Arial" w:eastAsia="Arial" w:hAnsi="Arial"/>
          <w:sz w:val="15"/>
          <w:szCs w:val="15"/>
          <w:color w:val="auto"/>
        </w:rPr>
        <w:t xml:space="preserve">” has the meaning assigned to such term in </w:t>
      </w:r>
      <w:r>
        <w:rPr>
          <w:rFonts w:ascii="Arial" w:cs="Arial" w:eastAsia="Arial" w:hAnsi="Arial"/>
          <w:sz w:val="15"/>
          <w:szCs w:val="15"/>
          <w:u w:val="single" w:color="auto"/>
          <w:color w:val="auto"/>
        </w:rPr>
        <w:t>Section 1.01</w:t>
      </w:r>
      <w:r>
        <w:rPr>
          <w:rFonts w:ascii="Arial" w:cs="Arial" w:eastAsia="Arial" w:hAnsi="Arial"/>
          <w:sz w:val="15"/>
          <w:szCs w:val="15"/>
          <w:color w:val="auto"/>
        </w:rPr>
        <w:t>.</w:t>
      </w:r>
    </w:p>
    <w:p>
      <w:pPr>
        <w:spacing w:after="0" w:line="149"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Unitranche Loan</w:t>
      </w:r>
      <w:r>
        <w:rPr>
          <w:rFonts w:ascii="Arial" w:cs="Arial" w:eastAsia="Arial" w:hAnsi="Arial"/>
          <w:sz w:val="15"/>
          <w:szCs w:val="15"/>
          <w:color w:val="auto"/>
        </w:rPr>
        <w:t>” means a Bank Loan that is a First Lien Bank Loan, a portion of which is, in effect, subject to superpriority rights of other lenders following an event of default (such portion, a “second out” portion). The Borrower’s investment in the second out portion shall be treated as a Unitranche Loan for purposes of determining the applicable Advance Rate for such Portfolio Investment under the Facility.</w:t>
      </w:r>
    </w:p>
    <w:p>
      <w:pPr>
        <w:spacing w:after="0" w:line="12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Value</w:t>
      </w:r>
      <w:r>
        <w:rPr>
          <w:rFonts w:ascii="Arial" w:cs="Arial" w:eastAsia="Arial" w:hAnsi="Arial"/>
          <w:sz w:val="15"/>
          <w:szCs w:val="15"/>
          <w:color w:val="auto"/>
        </w:rPr>
        <w:t>” means, with respect to any Portfolio Investment, the lower 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tcPr>
          <w:p>
            <w:pPr>
              <w:ind w:left="1660"/>
              <w:spacing w:after="0"/>
              <w:rPr>
                <w:sz w:val="20"/>
                <w:szCs w:val="20"/>
                <w:color w:val="auto"/>
              </w:rPr>
            </w:pPr>
            <w:r>
              <w:rPr>
                <w:rFonts w:ascii="Arial" w:cs="Arial" w:eastAsia="Arial" w:hAnsi="Arial"/>
                <w:sz w:val="15"/>
                <w:szCs w:val="15"/>
                <w:color w:val="auto"/>
              </w:rPr>
              <w:t>(i)</w:t>
            </w:r>
          </w:p>
        </w:tc>
        <w:tc>
          <w:tcPr>
            <w:tcW w:w="8800" w:type="dxa"/>
            <w:vAlign w:val="bottom"/>
            <w:gridSpan w:val="6"/>
          </w:tcPr>
          <w:p>
            <w:pPr>
              <w:ind w:left="660"/>
              <w:spacing w:after="0"/>
              <w:rPr>
                <w:sz w:val="20"/>
                <w:szCs w:val="20"/>
                <w:color w:val="auto"/>
              </w:rPr>
            </w:pPr>
            <w:r>
              <w:rPr>
                <w:rFonts w:ascii="Arial" w:cs="Arial" w:eastAsia="Arial" w:hAnsi="Arial"/>
                <w:sz w:val="15"/>
                <w:szCs w:val="15"/>
                <w:color w:val="auto"/>
              </w:rPr>
              <w:t>the most recent internal market value as determined pursuant to Section 5.12(b)(ii)(C) and</w:t>
            </w:r>
          </w:p>
        </w:tc>
      </w:tr>
      <w:tr>
        <w:trPr>
          <w:trHeight w:val="20"/>
        </w:trPr>
        <w:tc>
          <w:tcPr>
            <w:tcW w:w="2520" w:type="dxa"/>
            <w:vAlign w:val="bottom"/>
          </w:tcPr>
          <w:p>
            <w:pPr>
              <w:spacing w:after="0" w:line="20" w:lineRule="exact"/>
              <w:rPr>
                <w:sz w:val="1"/>
                <w:szCs w:val="1"/>
                <w:color w:val="auto"/>
              </w:rPr>
            </w:pPr>
          </w:p>
        </w:tc>
        <w:tc>
          <w:tcPr>
            <w:tcW w:w="4600" w:type="dxa"/>
            <w:vAlign w:val="bottom"/>
            <w:tcBorders>
              <w:righ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01"/>
        </w:trPr>
        <w:tc>
          <w:tcPr>
            <w:tcW w:w="2520" w:type="dxa"/>
            <w:vAlign w:val="bottom"/>
          </w:tcPr>
          <w:p>
            <w:pPr>
              <w:ind w:left="1660"/>
              <w:spacing w:after="0"/>
              <w:rPr>
                <w:sz w:val="20"/>
                <w:szCs w:val="20"/>
                <w:color w:val="auto"/>
              </w:rPr>
            </w:pPr>
            <w:r>
              <w:rPr>
                <w:rFonts w:ascii="Arial" w:cs="Arial" w:eastAsia="Arial" w:hAnsi="Arial"/>
                <w:sz w:val="15"/>
                <w:szCs w:val="15"/>
                <w:color w:val="auto"/>
              </w:rPr>
              <w:t>(ii)</w:t>
            </w:r>
          </w:p>
        </w:tc>
        <w:tc>
          <w:tcPr>
            <w:tcW w:w="8800" w:type="dxa"/>
            <w:vAlign w:val="bottom"/>
            <w:gridSpan w:val="6"/>
          </w:tcPr>
          <w:p>
            <w:pPr>
              <w:ind w:left="700"/>
              <w:spacing w:after="0"/>
              <w:rPr>
                <w:sz w:val="20"/>
                <w:szCs w:val="20"/>
                <w:color w:val="auto"/>
              </w:rPr>
            </w:pPr>
            <w:r>
              <w:rPr>
                <w:rFonts w:ascii="Arial" w:cs="Arial" w:eastAsia="Arial" w:hAnsi="Arial"/>
                <w:sz w:val="15"/>
                <w:szCs w:val="15"/>
                <w:color w:val="auto"/>
              </w:rPr>
              <w:t>the most recent external market value as determined pursuant to Section 5.12(b)(ii)(A) and (B).</w:t>
            </w:r>
          </w:p>
        </w:tc>
      </w:tr>
      <w:tr>
        <w:trPr>
          <w:trHeight w:val="386"/>
        </w:trPr>
        <w:tc>
          <w:tcPr>
            <w:tcW w:w="25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95" w:right="279" w:bottom="1440" w:gutter="0" w:footer="0" w:header="0"/>
        </w:sectPr>
      </w:pPr>
    </w:p>
    <w:bookmarkStart w:id="220" w:name="page221"/>
    <w:bookmarkEnd w:id="220"/>
    <w:p>
      <w:pPr>
        <w:jc w:val="center"/>
        <w:ind w:right="16"/>
        <w:spacing w:after="0"/>
        <w:rPr>
          <w:sz w:val="20"/>
          <w:szCs w:val="20"/>
          <w:color w:val="auto"/>
        </w:rPr>
      </w:pPr>
      <w:r>
        <w:rPr>
          <w:rFonts w:ascii="Arial" w:cs="Arial" w:eastAsia="Arial" w:hAnsi="Arial"/>
          <w:sz w:val="15"/>
          <w:szCs w:val="15"/>
          <w:color w:val="auto"/>
        </w:rPr>
        <w:t>ARTICLE VI</w:t>
      </w:r>
    </w:p>
    <w:p>
      <w:pPr>
        <w:spacing w:after="0" w:line="168" w:lineRule="exact"/>
        <w:rPr>
          <w:sz w:val="20"/>
          <w:szCs w:val="20"/>
          <w:color w:val="auto"/>
        </w:rPr>
      </w:pPr>
    </w:p>
    <w:p>
      <w:pPr>
        <w:jc w:val="center"/>
        <w:ind w:right="16"/>
        <w:spacing w:after="0"/>
        <w:rPr>
          <w:sz w:val="20"/>
          <w:szCs w:val="20"/>
          <w:color w:val="auto"/>
        </w:rPr>
      </w:pPr>
      <w:r>
        <w:rPr>
          <w:rFonts w:ascii="Arial" w:cs="Arial" w:eastAsia="Arial" w:hAnsi="Arial"/>
          <w:sz w:val="15"/>
          <w:szCs w:val="15"/>
          <w:u w:val="single" w:color="auto"/>
          <w:color w:val="auto"/>
        </w:rPr>
        <w:t>NEGATIVE COVENANTS</w:t>
      </w:r>
    </w:p>
    <w:p>
      <w:pPr>
        <w:spacing w:after="0" w:line="149" w:lineRule="exact"/>
        <w:rPr>
          <w:sz w:val="20"/>
          <w:szCs w:val="20"/>
          <w:color w:val="auto"/>
        </w:rPr>
      </w:pPr>
    </w:p>
    <w:p>
      <w:pPr>
        <w:jc w:val="both"/>
        <w:ind w:left="4" w:right="20" w:firstLine="1737"/>
        <w:spacing w:after="0" w:line="249" w:lineRule="auto"/>
        <w:rPr>
          <w:sz w:val="20"/>
          <w:szCs w:val="20"/>
          <w:color w:val="auto"/>
        </w:rPr>
      </w:pPr>
      <w:r>
        <w:rPr>
          <w:rFonts w:ascii="Arial" w:cs="Arial" w:eastAsia="Arial" w:hAnsi="Arial"/>
          <w:sz w:val="15"/>
          <w:szCs w:val="15"/>
          <w:color w:val="auto"/>
        </w:rPr>
        <w:t>Until the Commitments have expired or terminated and the principal of and interest on each Loan and all fees payable hereunder have been paid in full and all Letters of Credit have expired, been terminated, Cash Collateralized or backstopped and all LC Disbursements shall have been reimbursed, the Borrower covenants and agrees with the Lenders that:</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6.01.</w:t>
      </w:r>
      <w:r>
        <w:rPr>
          <w:sz w:val="20"/>
          <w:szCs w:val="20"/>
          <w:color w:val="auto"/>
        </w:rPr>
        <w:tab/>
      </w:r>
      <w:r>
        <w:rPr>
          <w:rFonts w:ascii="Arial" w:cs="Arial" w:eastAsia="Arial" w:hAnsi="Arial"/>
          <w:sz w:val="13"/>
          <w:szCs w:val="13"/>
          <w:u w:val="single" w:color="auto"/>
          <w:color w:val="auto"/>
        </w:rPr>
        <w:t>Indebtedness</w:t>
      </w:r>
    </w:p>
    <w:p>
      <w:pPr>
        <w:spacing w:after="0" w:line="149" w:lineRule="exact"/>
        <w:rPr>
          <w:sz w:val="20"/>
          <w:szCs w:val="20"/>
          <w:color w:val="auto"/>
        </w:rPr>
      </w:pPr>
    </w:p>
    <w:p>
      <w:pPr>
        <w:ind w:left="4" w:right="20" w:hanging="4"/>
        <w:spacing w:after="0" w:line="262" w:lineRule="auto"/>
        <w:tabs>
          <w:tab w:leader="none" w:pos="12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Subject to the last sentence of this </w:t>
      </w:r>
      <w:r>
        <w:rPr>
          <w:rFonts w:ascii="Arial" w:cs="Arial" w:eastAsia="Arial" w:hAnsi="Arial"/>
          <w:sz w:val="15"/>
          <w:szCs w:val="15"/>
          <w:u w:val="single" w:color="auto"/>
          <w:color w:val="auto"/>
        </w:rPr>
        <w:t>Section 6.01</w:t>
      </w:r>
      <w:r>
        <w:rPr>
          <w:rFonts w:ascii="Arial" w:cs="Arial" w:eastAsia="Arial" w:hAnsi="Arial"/>
          <w:sz w:val="15"/>
          <w:szCs w:val="15"/>
          <w:color w:val="auto"/>
        </w:rPr>
        <w:t>, the Borrower will not, nor will it permit any of the Subsidiary Guarantors to, create, incur, assume or permit to exist any Indebtedness, except:</w:t>
      </w:r>
    </w:p>
    <w:p>
      <w:pPr>
        <w:sectPr>
          <w:pgSz w:w="11900" w:h="16838" w:orient="portrait"/>
          <w:cols w:equalWidth="0" w:num="1">
            <w:col w:w="11304"/>
          </w:cols>
          <w:pgMar w:left="296" w:top="295" w:right="299" w:bottom="1440" w:gutter="0" w:footer="0" w:header="0"/>
        </w:sectPr>
      </w:pPr>
    </w:p>
    <w:p>
      <w:pPr>
        <w:spacing w:after="0" w:line="115" w:lineRule="exact"/>
        <w:rPr>
          <w:sz w:val="20"/>
          <w:szCs w:val="20"/>
          <w:color w:val="auto"/>
        </w:rPr>
      </w:pPr>
    </w:p>
    <w:p>
      <w:pPr>
        <w:ind w:left="1744"/>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Indebtedness created hereunder or under any other Loan Document;</w:t>
      </w:r>
    </w:p>
    <w:p>
      <w:pPr>
        <w:spacing w:after="0" w:line="172" w:lineRule="exact"/>
        <w:rPr>
          <w:sz w:val="20"/>
          <w:szCs w:val="20"/>
          <w:color w:val="auto"/>
        </w:rPr>
      </w:pPr>
    </w:p>
    <w:p>
      <w:pPr>
        <w:sectPr>
          <w:pgSz w:w="11900" w:h="16838" w:orient="portrait"/>
          <w:cols w:equalWidth="0" w:num="2">
            <w:col w:w="2544" w:space="720"/>
            <w:col w:w="8040"/>
          </w:cols>
          <w:pgMar w:left="296" w:top="295" w:right="299" w:bottom="1440" w:gutter="0" w:footer="0" w:header="0"/>
          <w:type w:val="continuous"/>
        </w:sectPr>
      </w:pPr>
    </w:p>
    <w:p>
      <w:pPr>
        <w:ind w:left="1744"/>
        <w:spacing w:after="0"/>
        <w:tabs>
          <w:tab w:leader="none" w:pos="3264"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Secured Longer-Term Indebtedness and Unsecured Longer-Term Indebtedness so long as (i) no Default exists at the time of the</w:t>
      </w:r>
    </w:p>
    <w:p>
      <w:pPr>
        <w:sectPr>
          <w:pgSz w:w="11900" w:h="16838" w:orient="portrait"/>
          <w:cols w:equalWidth="0" w:num="1">
            <w:col w:w="11304"/>
          </w:cols>
          <w:pgMar w:left="296" w:top="295" w:right="299" w:bottom="1440" w:gutter="0" w:footer="0" w:header="0"/>
          <w:type w:val="continuous"/>
        </w:sectPr>
      </w:pPr>
    </w:p>
    <w:p>
      <w:pPr>
        <w:spacing w:after="0" w:line="30"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5"/>
          <w:szCs w:val="15"/>
          <w:color w:val="auto"/>
        </w:rPr>
        <w:t xml:space="preserve">incurrence thereof, (ii) the aggregate amount of such Secured Longer-Term Indebtedness and Unsecured Longer-Term Indebtedness, taken together with other then-outstanding Indebtedness, does not exceed the amount required to comply with the provisions of </w:t>
      </w:r>
      <w:r>
        <w:rPr>
          <w:rFonts w:ascii="Arial" w:cs="Arial" w:eastAsia="Arial" w:hAnsi="Arial"/>
          <w:sz w:val="15"/>
          <w:szCs w:val="15"/>
          <w:u w:val="single" w:color="auto"/>
          <w:color w:val="auto"/>
        </w:rPr>
        <w:t>Sections 6.07(c)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xml:space="preserve"> , and (iii) prior to and immediately after giving effect to the incurrence of any Secured Longer-Term Indebtedness, the Covered Debt Amount does not or would not exceed the Borrowing Base then in effect;</w:t>
      </w:r>
    </w:p>
    <w:p>
      <w:pPr>
        <w:sectPr>
          <w:pgSz w:w="11900" w:h="16838" w:orient="portrait"/>
          <w:cols w:equalWidth="0" w:num="1">
            <w:col w:w="11304"/>
          </w:cols>
          <w:pgMar w:left="296" w:top="295" w:right="299" w:bottom="1440" w:gutter="0" w:footer="0" w:header="0"/>
          <w:type w:val="continuous"/>
        </w:sectPr>
      </w:pPr>
    </w:p>
    <w:p>
      <w:pPr>
        <w:spacing w:after="0" w:line="132" w:lineRule="exact"/>
        <w:rPr>
          <w:sz w:val="20"/>
          <w:szCs w:val="20"/>
          <w:color w:val="auto"/>
        </w:rPr>
      </w:pPr>
    </w:p>
    <w:p>
      <w:pPr>
        <w:ind w:left="1744"/>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Other Permitted Indebtedness;</w:t>
      </w:r>
    </w:p>
    <w:p>
      <w:pPr>
        <w:spacing w:after="0" w:line="172" w:lineRule="exact"/>
        <w:rPr>
          <w:sz w:val="20"/>
          <w:szCs w:val="20"/>
          <w:color w:val="auto"/>
        </w:rPr>
      </w:pPr>
    </w:p>
    <w:p>
      <w:pPr>
        <w:sectPr>
          <w:pgSz w:w="11900" w:h="16838" w:orient="portrait"/>
          <w:cols w:equalWidth="0" w:num="2">
            <w:col w:w="2544" w:space="720"/>
            <w:col w:w="8040"/>
          </w:cols>
          <w:pgMar w:left="296" w:top="295" w:right="299" w:bottom="1440" w:gutter="0" w:footer="0" w:header="0"/>
          <w:type w:val="continuous"/>
        </w:sectPr>
      </w:pPr>
    </w:p>
    <w:p>
      <w:pPr>
        <w:ind w:left="1744"/>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Guarantees of Indebtedness otherwise permitted hereunder;</w:t>
      </w:r>
    </w:p>
    <w:p>
      <w:pPr>
        <w:spacing w:after="0" w:line="172" w:lineRule="exact"/>
        <w:rPr>
          <w:sz w:val="20"/>
          <w:szCs w:val="20"/>
          <w:color w:val="auto"/>
        </w:rPr>
      </w:pPr>
    </w:p>
    <w:p>
      <w:pPr>
        <w:sectPr>
          <w:pgSz w:w="11900" w:h="16838" w:orient="portrait"/>
          <w:cols w:equalWidth="0" w:num="2">
            <w:col w:w="2564" w:space="720"/>
            <w:col w:w="8020"/>
          </w:cols>
          <w:pgMar w:left="296" w:top="295" w:right="299" w:bottom="1440" w:gutter="0" w:footer="0" w:header="0"/>
          <w:type w:val="continuous"/>
        </w:sectPr>
      </w:pPr>
    </w:p>
    <w:p>
      <w:pPr>
        <w:ind w:left="4" w:right="20" w:firstLine="1737"/>
        <w:spacing w:after="0" w:line="262" w:lineRule="auto"/>
        <w:rPr>
          <w:sz w:val="20"/>
          <w:szCs w:val="20"/>
          <w:color w:val="auto"/>
        </w:rPr>
      </w:pPr>
      <w:r>
        <w:rPr>
          <w:rFonts w:ascii="Arial" w:cs="Arial" w:eastAsia="Arial" w:hAnsi="Arial"/>
          <w:sz w:val="15"/>
          <w:szCs w:val="15"/>
          <w:color w:val="auto"/>
        </w:rPr>
        <w:t>(e) Indebtedness of any Obligor owing to any other Obligor or, if such Indebtedness is subject to subordination terms and conditions that are satisfactory to the Administrative Agent, any other Subsidiary of the Borrower;</w:t>
      </w:r>
    </w:p>
    <w:p>
      <w:pPr>
        <w:sectPr>
          <w:pgSz w:w="11900" w:h="16838" w:orient="portrait"/>
          <w:cols w:equalWidth="0" w:num="1">
            <w:col w:w="11304"/>
          </w:cols>
          <w:pgMar w:left="296" w:top="295" w:right="299" w:bottom="1440" w:gutter="0" w:footer="0" w:header="0"/>
          <w:type w:val="continuous"/>
        </w:sectPr>
      </w:pPr>
    </w:p>
    <w:p>
      <w:pPr>
        <w:spacing w:after="0" w:line="115" w:lineRule="exact"/>
        <w:rPr>
          <w:sz w:val="20"/>
          <w:szCs w:val="20"/>
          <w:color w:val="auto"/>
        </w:rPr>
      </w:pPr>
    </w:p>
    <w:p>
      <w:pPr>
        <w:ind w:left="1744"/>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Indebtedness of Financing Subsidiaries;</w:t>
      </w:r>
    </w:p>
    <w:p>
      <w:pPr>
        <w:spacing w:after="0" w:line="171" w:lineRule="exact"/>
        <w:rPr>
          <w:sz w:val="20"/>
          <w:szCs w:val="20"/>
          <w:color w:val="auto"/>
        </w:rPr>
      </w:pPr>
    </w:p>
    <w:p>
      <w:pPr>
        <w:sectPr>
          <w:pgSz w:w="11900" w:h="16838" w:orient="portrait"/>
          <w:cols w:equalWidth="0" w:num="2">
            <w:col w:w="2524" w:space="720"/>
            <w:col w:w="8060"/>
          </w:cols>
          <w:pgMar w:left="296" w:top="295" w:right="299" w:bottom="1440" w:gutter="0" w:footer="0" w:header="0"/>
          <w:type w:val="continuous"/>
        </w:sectPr>
      </w:pPr>
    </w:p>
    <w:p>
      <w:pPr>
        <w:ind w:left="1744"/>
        <w:spacing w:after="0"/>
        <w:rPr>
          <w:sz w:val="20"/>
          <w:szCs w:val="20"/>
          <w:color w:val="auto"/>
        </w:rPr>
      </w:pPr>
      <w:r>
        <w:rPr>
          <w:rFonts w:ascii="Arial" w:cs="Arial" w:eastAsia="Arial" w:hAnsi="Arial"/>
          <w:sz w:val="13"/>
          <w:szCs w:val="13"/>
          <w:color w:val="auto"/>
        </w:rPr>
        <w:t>(g)</w:t>
      </w:r>
    </w:p>
    <w:p>
      <w:pPr>
        <w:spacing w:after="0" w:line="20" w:lineRule="exact"/>
        <w:rPr>
          <w:sz w:val="20"/>
          <w:szCs w:val="20"/>
          <w:color w:val="auto"/>
        </w:rPr>
      </w:pPr>
      <w:r>
        <w:rPr>
          <w:sz w:val="20"/>
          <w:szCs w:val="20"/>
          <w:color w:val="auto"/>
        </w:rPr>
        <w:br w:type="column"/>
      </w:r>
    </w:p>
    <w:p>
      <w:pPr>
        <w:jc w:val="center"/>
        <w:ind w:right="1440"/>
        <w:spacing w:after="0"/>
        <w:rPr>
          <w:sz w:val="20"/>
          <w:szCs w:val="20"/>
          <w:color w:val="auto"/>
        </w:rPr>
      </w:pPr>
      <w:r>
        <w:rPr>
          <w:rFonts w:ascii="Arial" w:cs="Arial" w:eastAsia="Arial" w:hAnsi="Arial"/>
          <w:sz w:val="13"/>
          <w:szCs w:val="13"/>
          <w:color w:val="auto"/>
        </w:rPr>
        <w:t>repurchase obligations arising in the ordinary course of business with respect to U.S. Government Securities;</w:t>
      </w:r>
    </w:p>
    <w:p>
      <w:pPr>
        <w:spacing w:after="0" w:line="172" w:lineRule="exact"/>
        <w:rPr>
          <w:sz w:val="20"/>
          <w:szCs w:val="20"/>
          <w:color w:val="auto"/>
        </w:rPr>
      </w:pPr>
    </w:p>
    <w:p>
      <w:pPr>
        <w:sectPr>
          <w:pgSz w:w="11900" w:h="16838" w:orient="portrait"/>
          <w:cols w:equalWidth="0" w:num="2">
            <w:col w:w="2564" w:space="720"/>
            <w:col w:w="8020"/>
          </w:cols>
          <w:pgMar w:left="296" w:top="295" w:right="299" w:bottom="1440" w:gutter="0" w:footer="0" w:header="0"/>
          <w:type w:val="continuous"/>
        </w:sectPr>
      </w:pPr>
    </w:p>
    <w:p>
      <w:pPr>
        <w:ind w:left="1744"/>
        <w:spacing w:after="0"/>
        <w:rPr>
          <w:sz w:val="20"/>
          <w:szCs w:val="20"/>
          <w:color w:val="auto"/>
        </w:rPr>
      </w:pPr>
      <w:r>
        <w:rPr>
          <w:rFonts w:ascii="Arial" w:cs="Arial" w:eastAsia="Arial" w:hAnsi="Arial"/>
          <w:sz w:val="13"/>
          <w:szCs w:val="13"/>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obligations payable to clearing agencies, brokers or dealers in connection with the purchase or sale of securities in the ordinary</w:t>
      </w:r>
    </w:p>
    <w:p>
      <w:pPr>
        <w:spacing w:after="0" w:line="27" w:lineRule="exact"/>
        <w:rPr>
          <w:sz w:val="20"/>
          <w:szCs w:val="20"/>
          <w:color w:val="auto"/>
        </w:rPr>
      </w:pPr>
    </w:p>
    <w:p>
      <w:pPr>
        <w:sectPr>
          <w:pgSz w:w="11900" w:h="16838" w:orient="portrait"/>
          <w:cols w:equalWidth="0" w:num="2">
            <w:col w:w="2564" w:space="720"/>
            <w:col w:w="8020"/>
          </w:cols>
          <w:pgMar w:left="296" w:top="295" w:right="299" w:bottom="1440" w:gutter="0" w:footer="0" w:header="0"/>
          <w:type w:val="continuous"/>
        </w:sectPr>
      </w:pPr>
    </w:p>
    <w:p>
      <w:pPr>
        <w:ind w:left="4"/>
        <w:spacing w:after="0"/>
        <w:rPr>
          <w:sz w:val="20"/>
          <w:szCs w:val="20"/>
          <w:color w:val="auto"/>
        </w:rPr>
      </w:pPr>
      <w:r>
        <w:rPr>
          <w:rFonts w:ascii="Arial" w:cs="Arial" w:eastAsia="Arial" w:hAnsi="Arial"/>
          <w:sz w:val="15"/>
          <w:szCs w:val="15"/>
          <w:color w:val="auto"/>
        </w:rPr>
        <w:t>course of business;</w:t>
      </w:r>
    </w:p>
    <w:p>
      <w:pPr>
        <w:spacing w:after="0" w:line="131" w:lineRule="exact"/>
        <w:rPr>
          <w:sz w:val="20"/>
          <w:szCs w:val="20"/>
          <w:color w:val="auto"/>
        </w:rPr>
      </w:pPr>
    </w:p>
    <w:p>
      <w:pPr>
        <w:ind w:left="1744"/>
        <w:spacing w:after="0"/>
        <w:tabs>
          <w:tab w:leader="none" w:pos="3224" w:val="left"/>
        </w:tabs>
        <w:rPr>
          <w:sz w:val="20"/>
          <w:szCs w:val="20"/>
          <w:color w:val="auto"/>
        </w:rPr>
      </w:pPr>
      <w:r>
        <w:rPr>
          <w:rFonts w:ascii="Arial" w:cs="Arial" w:eastAsia="Arial" w:hAnsi="Arial"/>
          <w:sz w:val="13"/>
          <w:szCs w:val="13"/>
          <w:color w:val="auto"/>
        </w:rPr>
        <w:t>(i)</w:t>
      </w:r>
      <w:r>
        <w:rPr>
          <w:sz w:val="20"/>
          <w:szCs w:val="20"/>
          <w:color w:val="auto"/>
        </w:rPr>
        <w:tab/>
      </w:r>
      <w:r>
        <w:rPr>
          <w:rFonts w:ascii="Arial" w:cs="Arial" w:eastAsia="Arial" w:hAnsi="Arial"/>
          <w:sz w:val="13"/>
          <w:szCs w:val="13"/>
          <w:color w:val="auto"/>
        </w:rPr>
        <w:t>Secured Shorter-Term Indebtedness so long as (i) no Default exists at the time of the incurrence thereof, (ii) the aggregate amount</w:t>
      </w:r>
    </w:p>
    <w:p>
      <w:pPr>
        <w:sectPr>
          <w:pgSz w:w="11900" w:h="16838" w:orient="portrait"/>
          <w:cols w:equalWidth="0" w:num="1">
            <w:col w:w="11304"/>
          </w:cols>
          <w:pgMar w:left="296" w:top="295" w:right="299" w:bottom="1440" w:gutter="0" w:footer="0" w:header="0"/>
          <w:type w:val="continuous"/>
        </w:sectPr>
      </w:pPr>
    </w:p>
    <w:p>
      <w:pPr>
        <w:spacing w:after="0" w:line="41"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5"/>
          <w:szCs w:val="15"/>
          <w:color w:val="auto"/>
        </w:rPr>
        <w:t xml:space="preserve">(determined at the time of the incurrence of such Indebtedness) of such Indebtedness does not exceed the greater of (A) $20,000,000 and (B) 5% of Shareholders’ Equity, (iii) the aggregate amount of such Indebtedness, taken together with other then-outstanding Indebtedness, does not exceed the amount required to comply with the provisions of </w:t>
      </w:r>
      <w:r>
        <w:rPr>
          <w:rFonts w:ascii="Arial" w:cs="Arial" w:eastAsia="Arial" w:hAnsi="Arial"/>
          <w:sz w:val="15"/>
          <w:szCs w:val="15"/>
          <w:u w:val="single" w:color="auto"/>
          <w:color w:val="auto"/>
        </w:rPr>
        <w:t>Sections 6.07(c)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and (iv) prior to and immediately after giving effect to the incurrence of any such Indebtedness, the Covered Debt Amount does not or would not exceed the Borrowing Base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21106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type w:val="continuous"/>
        </w:sectPr>
      </w:pPr>
    </w:p>
    <w:bookmarkStart w:id="221" w:name="page222"/>
    <w:bookmarkEnd w:id="221"/>
    <w:p>
      <w:pPr>
        <w:ind w:left="1744"/>
        <w:spacing w:after="0"/>
        <w:rPr>
          <w:sz w:val="20"/>
          <w:szCs w:val="20"/>
          <w:color w:val="auto"/>
        </w:rPr>
      </w:pPr>
      <w:r>
        <w:rPr>
          <w:rFonts w:ascii="Arial" w:cs="Arial" w:eastAsia="Arial" w:hAnsi="Arial"/>
          <w:sz w:val="15"/>
          <w:szCs w:val="15"/>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obligations (including Guarantees) in respect of Standard Securitization Undertakings;</w:t>
      </w:r>
    </w:p>
    <w:p>
      <w:pPr>
        <w:spacing w:after="0" w:line="171" w:lineRule="exact"/>
        <w:rPr>
          <w:sz w:val="20"/>
          <w:szCs w:val="20"/>
          <w:color w:val="auto"/>
        </w:rPr>
      </w:pPr>
    </w:p>
    <w:p>
      <w:pPr>
        <w:sectPr>
          <w:pgSz w:w="11900" w:h="16838" w:orient="portrait"/>
          <w:cols w:equalWidth="0" w:num="2">
            <w:col w:w="2524" w:space="720"/>
            <w:col w:w="8060"/>
          </w:cols>
          <w:pgMar w:left="296" w:top="295" w:right="299" w:bottom="1440" w:gutter="0" w:footer="0" w:header="0"/>
        </w:sectPr>
      </w:pPr>
    </w:p>
    <w:p>
      <w:pPr>
        <w:ind w:left="1744"/>
        <w:spacing w:after="0"/>
        <w:rPr>
          <w:sz w:val="20"/>
          <w:szCs w:val="20"/>
          <w:color w:val="auto"/>
        </w:rPr>
      </w:pPr>
      <w:r>
        <w:rPr>
          <w:rFonts w:ascii="Arial" w:cs="Arial" w:eastAsia="Arial" w:hAnsi="Arial"/>
          <w:sz w:val="13"/>
          <w:szCs w:val="13"/>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Permitted SBIC Guarantees;</w:t>
      </w:r>
    </w:p>
    <w:p>
      <w:pPr>
        <w:spacing w:after="0" w:line="172" w:lineRule="exact"/>
        <w:rPr>
          <w:sz w:val="20"/>
          <w:szCs w:val="20"/>
          <w:color w:val="auto"/>
        </w:rPr>
      </w:pPr>
    </w:p>
    <w:p>
      <w:pPr>
        <w:sectPr>
          <w:pgSz w:w="11900" w:h="16838" w:orient="portrait"/>
          <w:cols w:equalWidth="0" w:num="2">
            <w:col w:w="2564" w:space="720"/>
            <w:col w:w="8020"/>
          </w:cols>
          <w:pgMar w:left="296" w:top="295" w:right="299" w:bottom="1440" w:gutter="0" w:footer="0" w:header="0"/>
          <w:type w:val="continuous"/>
        </w:sectPr>
      </w:pPr>
    </w:p>
    <w:p>
      <w:pPr>
        <w:ind w:left="1744"/>
        <w:spacing w:after="0"/>
        <w:rPr>
          <w:sz w:val="20"/>
          <w:szCs w:val="20"/>
          <w:color w:val="auto"/>
        </w:rPr>
      </w:pPr>
      <w:r>
        <w:rPr>
          <w:rFonts w:ascii="Arial" w:cs="Arial" w:eastAsia="Arial" w:hAnsi="Arial"/>
          <w:sz w:val="15"/>
          <w:szCs w:val="15"/>
          <w:color w:val="auto"/>
        </w:rPr>
        <w:t>(l)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Indebtedness incurred pursuant to the 2022 Convertible Notes, the 2023 Notes, the 2024 Notes or the 2026 Notes;</w:t>
      </w:r>
    </w:p>
    <w:p>
      <w:pPr>
        <w:spacing w:after="0" w:line="171" w:lineRule="exact"/>
        <w:rPr>
          <w:sz w:val="20"/>
          <w:szCs w:val="20"/>
          <w:color w:val="auto"/>
        </w:rPr>
      </w:pPr>
    </w:p>
    <w:p>
      <w:pPr>
        <w:sectPr>
          <w:pgSz w:w="11900" w:h="16838" w:orient="portrait"/>
          <w:cols w:equalWidth="0" w:num="2">
            <w:col w:w="2524" w:space="720"/>
            <w:col w:w="8060"/>
          </w:cols>
          <w:pgMar w:left="296" w:top="295" w:right="299" w:bottom="1440" w:gutter="0" w:footer="0" w:header="0"/>
          <w:type w:val="continuous"/>
        </w:sectPr>
      </w:pPr>
    </w:p>
    <w:p>
      <w:pPr>
        <w:ind w:left="1744"/>
        <w:spacing w:after="0"/>
        <w:tabs>
          <w:tab w:leader="none" w:pos="3304" w:val="left"/>
        </w:tabs>
        <w:rPr>
          <w:sz w:val="20"/>
          <w:szCs w:val="20"/>
          <w:color w:val="auto"/>
        </w:rPr>
      </w:pPr>
      <w:r>
        <w:rPr>
          <w:rFonts w:ascii="Arial" w:cs="Arial" w:eastAsia="Arial" w:hAnsi="Arial"/>
          <w:sz w:val="14"/>
          <w:szCs w:val="14"/>
          <w:color w:val="auto"/>
        </w:rPr>
        <w:t>(m)</w:t>
      </w:r>
      <w:r>
        <w:rPr>
          <w:sz w:val="20"/>
          <w:szCs w:val="20"/>
          <w:color w:val="auto"/>
        </w:rPr>
        <w:tab/>
      </w:r>
      <w:r>
        <w:rPr>
          <w:rFonts w:ascii="Arial" w:cs="Arial" w:eastAsia="Arial" w:hAnsi="Arial"/>
          <w:sz w:val="14"/>
          <w:szCs w:val="14"/>
          <w:color w:val="auto"/>
        </w:rPr>
        <w:t>Unsecured Shorter-Term Indebtedness (other than Special Unsecured Indebtedness that would otherwise constitute Unsecured</w:t>
      </w:r>
    </w:p>
    <w:p>
      <w:pPr>
        <w:sectPr>
          <w:pgSz w:w="11900" w:h="16838" w:orient="portrait"/>
          <w:cols w:equalWidth="0" w:num="1">
            <w:col w:w="11304"/>
          </w:cols>
          <w:pgMar w:left="296" w:top="295" w:right="299" w:bottom="1440" w:gutter="0" w:footer="0" w:header="0"/>
          <w:type w:val="continuous"/>
        </w:sectPr>
      </w:pPr>
    </w:p>
    <w:p>
      <w:pPr>
        <w:spacing w:after="0" w:line="30" w:lineRule="exact"/>
        <w:rPr>
          <w:sz w:val="20"/>
          <w:szCs w:val="20"/>
          <w:color w:val="auto"/>
        </w:rPr>
      </w:pPr>
    </w:p>
    <w:p>
      <w:pPr>
        <w:jc w:val="both"/>
        <w:ind w:left="4"/>
        <w:spacing w:after="0" w:line="257" w:lineRule="auto"/>
        <w:rPr>
          <w:sz w:val="20"/>
          <w:szCs w:val="20"/>
          <w:color w:val="auto"/>
        </w:rPr>
      </w:pPr>
      <w:r>
        <w:rPr>
          <w:rFonts w:ascii="Arial" w:cs="Arial" w:eastAsia="Arial" w:hAnsi="Arial"/>
          <w:sz w:val="14"/>
          <w:szCs w:val="14"/>
          <w:color w:val="auto"/>
        </w:rPr>
        <w:t xml:space="preserve">Shorter-Term Indebtedness) so long as (i) no Default exists at the time of the incurrence thereof, (ii) the aggregate amount (determined at the time of the incurrence of such Indebtedness) of such Indebtedness does not exceed $150,000,000, (iii) the aggregate amount (determined at the time of the incurrence of such Indebtedness) of such Indebtedness, taken together with then-outstanding Special Unsecured Indebtedness incurred pursuant to </w:t>
      </w:r>
      <w:r>
        <w:rPr>
          <w:rFonts w:ascii="Arial" w:cs="Arial" w:eastAsia="Arial" w:hAnsi="Arial"/>
          <w:sz w:val="14"/>
          <w:szCs w:val="14"/>
          <w:u w:val="single" w:color="auto"/>
          <w:color w:val="auto"/>
        </w:rPr>
        <w:t>Section 6.01(n)</w:t>
      </w:r>
      <w:r>
        <w:rPr>
          <w:rFonts w:ascii="Arial" w:cs="Arial" w:eastAsia="Arial" w:hAnsi="Arial"/>
          <w:sz w:val="14"/>
          <w:szCs w:val="14"/>
          <w:color w:val="auto"/>
        </w:rPr>
        <w:t xml:space="preserve">, does not exceed $500,000,000, (iv) the aggregate amount of such Indebtedness, taken together with other then-outstanding Indebtedness, does not exceed the amount required to comply with the provisions of </w:t>
      </w:r>
      <w:r>
        <w:rPr>
          <w:rFonts w:ascii="Arial" w:cs="Arial" w:eastAsia="Arial" w:hAnsi="Arial"/>
          <w:sz w:val="14"/>
          <w:szCs w:val="14"/>
          <w:u w:val="single" w:color="auto"/>
          <w:color w:val="auto"/>
        </w:rPr>
        <w:t>Sections 6.07(c)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(d)</w:t>
      </w:r>
      <w:r>
        <w:rPr>
          <w:rFonts w:ascii="Arial" w:cs="Arial" w:eastAsia="Arial" w:hAnsi="Arial"/>
          <w:sz w:val="14"/>
          <w:szCs w:val="14"/>
          <w:color w:val="auto"/>
        </w:rPr>
        <w:t>, and (v) prior to and immediately after giving effect to the incurrence of any such Indebtedness, the Covered Debt Amount does not or would not exceed the Borrowing Base then in effect;</w:t>
      </w:r>
    </w:p>
    <w:p>
      <w:pPr>
        <w:spacing w:after="0" w:line="119" w:lineRule="exact"/>
        <w:rPr>
          <w:sz w:val="20"/>
          <w:szCs w:val="20"/>
          <w:color w:val="auto"/>
        </w:rPr>
      </w:pPr>
    </w:p>
    <w:p>
      <w:pPr>
        <w:jc w:val="both"/>
        <w:ind w:left="4" w:right="20" w:firstLine="1737"/>
        <w:spacing w:after="0" w:line="259" w:lineRule="auto"/>
        <w:rPr>
          <w:sz w:val="20"/>
          <w:szCs w:val="20"/>
          <w:color w:val="auto"/>
        </w:rPr>
      </w:pPr>
      <w:r>
        <w:rPr>
          <w:rFonts w:ascii="Arial" w:cs="Arial" w:eastAsia="Arial" w:hAnsi="Arial"/>
          <w:sz w:val="14"/>
          <w:szCs w:val="14"/>
          <w:color w:val="auto"/>
        </w:rPr>
        <w:t>(n) Special Unsecured Indebtedness so long as (i) no Default exists at the time of the incurrence thereof, (ii) the aggregate amount (determined at the time of the incurrence of such Indebtedness) of such Indebtedness does not exceed $400,000,000, (iii) the aggregate amount (determined at the time of the incurrence of such Indebtedness) of such Indebtedness, taken together with then-outstanding Unsecured Shorter-Term Indebtedness incurred pursuant to Section 6.01(m), does not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-15240</wp:posOffset>
            </wp:positionV>
            <wp:extent cx="68516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165" cy="5715"/>
                    </a:xfrm>
                    <a:prstGeom prst="rect">
                      <a:avLst/>
                    </a:prstGeom>
                    <a:noFill/>
                  </pic:spPr>
                </pic:pic>
              </a:graphicData>
            </a:graphic>
          </wp:anchor>
        </w:drawing>
      </w:r>
    </w:p>
    <w:p>
      <w:pPr>
        <w:jc w:val="both"/>
        <w:ind w:left="4"/>
        <w:spacing w:after="0" w:line="241" w:lineRule="auto"/>
        <w:rPr>
          <w:sz w:val="20"/>
          <w:szCs w:val="20"/>
          <w:color w:val="auto"/>
        </w:rPr>
      </w:pPr>
      <w:r>
        <w:rPr>
          <w:rFonts w:ascii="Arial" w:cs="Arial" w:eastAsia="Arial" w:hAnsi="Arial"/>
          <w:sz w:val="15"/>
          <w:szCs w:val="15"/>
          <w:color w:val="auto"/>
        </w:rPr>
        <w:t xml:space="preserve">$500,000,000, (iv) the aggregate amount of such Indebtedness, taken together with other then-outstanding Indebtedness, does not exceed the amount required to comply with the provisions of </w:t>
      </w:r>
      <w:r>
        <w:rPr>
          <w:rFonts w:ascii="Arial" w:cs="Arial" w:eastAsia="Arial" w:hAnsi="Arial"/>
          <w:sz w:val="15"/>
          <w:szCs w:val="15"/>
          <w:u w:val="single" w:color="auto"/>
          <w:color w:val="auto"/>
        </w:rPr>
        <w:t>Sections 6.07(c)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 and (v) prior to and immediately after giving effect to the incurrence of any such Indebtedness, the Covered Debt Amount does not or would not exceed the Borrowing Base then in effect; and</w:t>
      </w:r>
    </w:p>
    <w:p>
      <w:pPr>
        <w:spacing w:after="0" w:line="130" w:lineRule="exact"/>
        <w:rPr>
          <w:sz w:val="20"/>
          <w:szCs w:val="20"/>
          <w:color w:val="auto"/>
        </w:rPr>
      </w:pPr>
    </w:p>
    <w:tbl>
      <w:tblPr>
        <w:tblLayout w:type="fixed"/>
        <w:tblInd w:w="1744" w:type="dxa"/>
        <w:tblCellMar>
          <w:top w:w="0" w:type="dxa"/>
          <w:left w:w="0" w:type="dxa"/>
          <w:bottom w:w="0" w:type="dxa"/>
          <w:right w:w="0" w:type="dxa"/>
        </w:tblCellMar>
      </w:tblPr>
      <w:tr>
        <w:trPr>
          <w:trHeight w:val="191"/>
        </w:trPr>
        <w:tc>
          <w:tcPr>
            <w:tcW w:w="1260" w:type="dxa"/>
            <w:vAlign w:val="bottom"/>
          </w:tcPr>
          <w:p>
            <w:pPr>
              <w:spacing w:after="0"/>
              <w:rPr>
                <w:sz w:val="20"/>
                <w:szCs w:val="20"/>
                <w:color w:val="auto"/>
              </w:rPr>
            </w:pPr>
            <w:r>
              <w:rPr>
                <w:rFonts w:ascii="Arial" w:cs="Arial" w:eastAsia="Arial" w:hAnsi="Arial"/>
                <w:sz w:val="15"/>
                <w:szCs w:val="15"/>
                <w:color w:val="auto"/>
              </w:rPr>
              <w:t>(o)</w:t>
            </w:r>
          </w:p>
        </w:tc>
        <w:tc>
          <w:tcPr>
            <w:tcW w:w="7760" w:type="dxa"/>
            <w:vAlign w:val="bottom"/>
            <w:gridSpan w:val="3"/>
          </w:tcPr>
          <w:p>
            <w:pPr>
              <w:ind w:left="280"/>
              <w:spacing w:after="0"/>
              <w:rPr>
                <w:sz w:val="20"/>
                <w:szCs w:val="20"/>
                <w:color w:val="auto"/>
              </w:rPr>
            </w:pPr>
            <w:r>
              <w:rPr>
                <w:rFonts w:ascii="Arial" w:cs="Arial" w:eastAsia="Arial" w:hAnsi="Arial"/>
                <w:sz w:val="15"/>
                <w:szCs w:val="15"/>
                <w:color w:val="auto"/>
                <w:w w:val="91"/>
              </w:rPr>
              <w:t>other Indebtedness not to exceed the greater of (i) $25,000,000 and (ii) 5% of Shareholders’ Equity at any time outstanding.</w:t>
            </w:r>
          </w:p>
        </w:tc>
      </w:tr>
      <w:tr>
        <w:trPr>
          <w:trHeight w:val="287"/>
        </w:trPr>
        <w:tc>
          <w:tcPr>
            <w:tcW w:w="1260" w:type="dxa"/>
            <w:vAlign w:val="bottom"/>
          </w:tcPr>
          <w:p>
            <w:pPr>
              <w:spacing w:after="0"/>
              <w:rPr>
                <w:sz w:val="20"/>
                <w:szCs w:val="20"/>
                <w:color w:val="auto"/>
              </w:rPr>
            </w:pPr>
            <w:r>
              <w:rPr>
                <w:rFonts w:ascii="Arial" w:cs="Arial" w:eastAsia="Arial" w:hAnsi="Arial"/>
                <w:sz w:val="15"/>
                <w:szCs w:val="15"/>
                <w:color w:val="auto"/>
              </w:rPr>
              <w:t>SECTION 6.02.</w:t>
            </w:r>
          </w:p>
        </w:tc>
        <w:tc>
          <w:tcPr>
            <w:tcW w:w="1860" w:type="dxa"/>
            <w:vAlign w:val="bottom"/>
          </w:tcPr>
          <w:p>
            <w:pPr>
              <w:spacing w:after="0"/>
              <w:rPr>
                <w:sz w:val="24"/>
                <w:szCs w:val="24"/>
                <w:color w:val="auto"/>
              </w:rPr>
            </w:pPr>
          </w:p>
        </w:tc>
        <w:tc>
          <w:tcPr>
            <w:tcW w:w="5900" w:type="dxa"/>
            <w:vAlign w:val="bottom"/>
            <w:gridSpan w:val="2"/>
          </w:tcPr>
          <w:p>
            <w:pPr>
              <w:spacing w:after="0"/>
              <w:rPr>
                <w:sz w:val="20"/>
                <w:szCs w:val="20"/>
                <w:color w:val="auto"/>
              </w:rPr>
            </w:pPr>
            <w:r>
              <w:rPr>
                <w:rFonts w:ascii="Arial" w:cs="Arial" w:eastAsia="Arial" w:hAnsi="Arial"/>
                <w:sz w:val="15"/>
                <w:szCs w:val="15"/>
                <w:color w:val="auto"/>
              </w:rPr>
              <w:t>Liens</w:t>
            </w:r>
          </w:p>
        </w:tc>
      </w:tr>
      <w:tr>
        <w:trPr>
          <w:trHeight w:val="20"/>
        </w:trPr>
        <w:tc>
          <w:tcPr>
            <w:tcW w:w="1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bl>
    <w:p>
      <w:pPr>
        <w:spacing w:after="0" w:line="156" w:lineRule="exact"/>
        <w:rPr>
          <w:sz w:val="20"/>
          <w:szCs w:val="20"/>
          <w:color w:val="auto"/>
        </w:rPr>
      </w:pPr>
    </w:p>
    <w:p>
      <w:pPr>
        <w:ind w:left="4" w:hanging="4"/>
        <w:spacing w:after="0" w:line="262" w:lineRule="auto"/>
        <w:tabs>
          <w:tab w:leader="none" w:pos="116"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Borrower will not, nor will it permit any of the Subsidiary Guarantors to, create, incur, assume or permit to exist any Lien on any property or asset now owned or hereafter acquired by it, or assign or sell any income or revenues (including accounts receivable) or rights in respect of any thereof except:</w:t>
      </w:r>
    </w:p>
    <w:p>
      <w:pPr>
        <w:spacing w:after="0" w:line="115" w:lineRule="exact"/>
        <w:rPr>
          <w:sz w:val="20"/>
          <w:szCs w:val="20"/>
          <w:color w:val="auto"/>
        </w:rPr>
      </w:pPr>
    </w:p>
    <w:p>
      <w:pPr>
        <w:jc w:val="both"/>
        <w:ind w:left="4" w:right="20" w:firstLine="1737"/>
        <w:spacing w:after="0" w:line="275" w:lineRule="auto"/>
        <w:rPr>
          <w:sz w:val="20"/>
          <w:szCs w:val="20"/>
          <w:color w:val="auto"/>
        </w:rPr>
      </w:pPr>
      <w:r>
        <w:rPr>
          <w:rFonts w:ascii="Arial" w:cs="Arial" w:eastAsia="Arial" w:hAnsi="Arial"/>
          <w:sz w:val="14"/>
          <w:szCs w:val="14"/>
          <w:color w:val="auto"/>
        </w:rPr>
        <w:t xml:space="preserve">(a) any Lien on any property or asset of the Borrower existing on the Original Effective Date and set forth in </w:t>
      </w:r>
      <w:r>
        <w:rPr>
          <w:rFonts w:ascii="Arial" w:cs="Arial" w:eastAsia="Arial" w:hAnsi="Arial"/>
          <w:sz w:val="14"/>
          <w:szCs w:val="14"/>
          <w:u w:val="single" w:color="auto"/>
          <w:color w:val="auto"/>
        </w:rPr>
        <w:t>Part B</w:t>
      </w:r>
      <w:r>
        <w:rPr>
          <w:rFonts w:ascii="Arial" w:cs="Arial" w:eastAsia="Arial" w:hAnsi="Arial"/>
          <w:sz w:val="14"/>
          <w:szCs w:val="14"/>
          <w:color w:val="auto"/>
        </w:rPr>
        <w:t xml:space="preserve"> of </w:t>
      </w:r>
      <w:r>
        <w:rPr>
          <w:rFonts w:ascii="Arial" w:cs="Arial" w:eastAsia="Arial" w:hAnsi="Arial"/>
          <w:sz w:val="14"/>
          <w:szCs w:val="14"/>
          <w:u w:val="single" w:color="auto"/>
          <w:color w:val="auto"/>
        </w:rPr>
        <w:t>Schedule 3.11</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no such Lien shall extend to any other property or asset of the Borrower or any of the Subsidiary Guarantors, and (ii) any such Lien shall secure only those obligations which it secures on the Original Effective Date and extensions, renewals and replacements thereof that do not increase the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21106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type w:val="continuous"/>
        </w:sectPr>
      </w:pPr>
    </w:p>
    <w:bookmarkStart w:id="222" w:name="page223"/>
    <w:bookmarkEnd w:id="222"/>
    <w:tbl>
      <w:tblPr>
        <w:tblLayout w:type="fixed"/>
        <w:tblInd w:w="4" w:type="dxa"/>
        <w:tblCellMar>
          <w:top w:w="0" w:type="dxa"/>
          <w:left w:w="0" w:type="dxa"/>
          <w:bottom w:w="0" w:type="dxa"/>
          <w:right w:w="0" w:type="dxa"/>
        </w:tblCellMar>
      </w:tblPr>
      <w:tr>
        <w:trPr>
          <w:trHeight w:val="172"/>
        </w:trPr>
        <w:tc>
          <w:tcPr>
            <w:tcW w:w="2680" w:type="dxa"/>
            <w:vAlign w:val="bottom"/>
          </w:tcPr>
          <w:p>
            <w:pPr>
              <w:ind w:left="1740"/>
              <w:spacing w:after="0"/>
              <w:rPr>
                <w:sz w:val="20"/>
                <w:szCs w:val="20"/>
                <w:color w:val="auto"/>
              </w:rPr>
            </w:pPr>
            <w:r>
              <w:rPr>
                <w:rFonts w:ascii="Arial" w:cs="Arial" w:eastAsia="Arial" w:hAnsi="Arial"/>
                <w:sz w:val="15"/>
                <w:szCs w:val="15"/>
                <w:color w:val="auto"/>
              </w:rPr>
              <w:t>(b)</w:t>
            </w:r>
          </w:p>
        </w:tc>
        <w:tc>
          <w:tcPr>
            <w:tcW w:w="8620" w:type="dxa"/>
            <w:vAlign w:val="bottom"/>
            <w:gridSpan w:val="6"/>
          </w:tcPr>
          <w:p>
            <w:pPr>
              <w:ind w:left="600"/>
              <w:spacing w:after="0"/>
              <w:rPr>
                <w:sz w:val="20"/>
                <w:szCs w:val="20"/>
                <w:color w:val="auto"/>
              </w:rPr>
            </w:pPr>
            <w:r>
              <w:rPr>
                <w:rFonts w:ascii="Arial" w:cs="Arial" w:eastAsia="Arial" w:hAnsi="Arial"/>
                <w:sz w:val="15"/>
                <w:szCs w:val="15"/>
                <w:color w:val="auto"/>
                <w:w w:val="92"/>
              </w:rPr>
              <w:t>Liens created pursuant to this Agreement (including Section 2.19) or any of the Security Documents (including Liens in favor of the</w:t>
            </w:r>
          </w:p>
        </w:tc>
      </w:tr>
      <w:tr>
        <w:trPr>
          <w:trHeight w:val="185"/>
        </w:trPr>
        <w:tc>
          <w:tcPr>
            <w:tcW w:w="6460" w:type="dxa"/>
            <w:vAlign w:val="bottom"/>
            <w:gridSpan w:val="5"/>
          </w:tcPr>
          <w:p>
            <w:pPr>
              <w:spacing w:after="0"/>
              <w:rPr>
                <w:sz w:val="20"/>
                <w:szCs w:val="20"/>
                <w:color w:val="auto"/>
              </w:rPr>
            </w:pPr>
            <w:r>
              <w:rPr>
                <w:rFonts w:ascii="Arial" w:cs="Arial" w:eastAsia="Arial" w:hAnsi="Arial"/>
                <w:sz w:val="15"/>
                <w:szCs w:val="15"/>
                <w:color w:val="auto"/>
              </w:rPr>
              <w:t>Designated Indebtedness Holders (as defined in the Guarantee and Security Agreement));</w:t>
            </w:r>
          </w:p>
        </w:tc>
        <w:tc>
          <w:tcPr>
            <w:tcW w:w="760" w:type="dxa"/>
            <w:vAlign w:val="bottom"/>
            <w:tcBorders>
              <w:top w:val="single" w:sz="8" w:color="auto"/>
            </w:tcBorders>
          </w:tcPr>
          <w:p>
            <w:pPr>
              <w:spacing w:after="0"/>
              <w:rPr>
                <w:sz w:val="16"/>
                <w:szCs w:val="16"/>
                <w:color w:val="auto"/>
              </w:rPr>
            </w:pPr>
          </w:p>
        </w:tc>
        <w:tc>
          <w:tcPr>
            <w:tcW w:w="4080" w:type="dxa"/>
            <w:vAlign w:val="bottom"/>
          </w:tcPr>
          <w:p>
            <w:pPr>
              <w:spacing w:after="0"/>
              <w:rPr>
                <w:sz w:val="16"/>
                <w:szCs w:val="16"/>
                <w:color w:val="auto"/>
              </w:rPr>
            </w:pPr>
          </w:p>
        </w:tc>
      </w:tr>
      <w:tr>
        <w:trPr>
          <w:trHeight w:val="321"/>
        </w:trPr>
        <w:tc>
          <w:tcPr>
            <w:tcW w:w="2680" w:type="dxa"/>
            <w:vAlign w:val="bottom"/>
          </w:tcPr>
          <w:p>
            <w:pPr>
              <w:ind w:left="1740"/>
              <w:spacing w:after="0"/>
              <w:rPr>
                <w:sz w:val="20"/>
                <w:szCs w:val="20"/>
                <w:color w:val="auto"/>
              </w:rPr>
            </w:pPr>
            <w:r>
              <w:rPr>
                <w:rFonts w:ascii="Arial" w:cs="Arial" w:eastAsia="Arial" w:hAnsi="Arial"/>
                <w:sz w:val="15"/>
                <w:szCs w:val="15"/>
                <w:color w:val="auto"/>
              </w:rPr>
              <w:t>(c)</w:t>
            </w:r>
          </w:p>
        </w:tc>
        <w:tc>
          <w:tcPr>
            <w:tcW w:w="8620" w:type="dxa"/>
            <w:vAlign w:val="bottom"/>
            <w:gridSpan w:val="6"/>
          </w:tcPr>
          <w:p>
            <w:pPr>
              <w:ind w:left="580"/>
              <w:spacing w:after="0"/>
              <w:rPr>
                <w:sz w:val="20"/>
                <w:szCs w:val="20"/>
                <w:color w:val="auto"/>
              </w:rPr>
            </w:pPr>
            <w:r>
              <w:rPr>
                <w:rFonts w:ascii="Arial" w:cs="Arial" w:eastAsia="Arial" w:hAnsi="Arial"/>
                <w:sz w:val="15"/>
                <w:szCs w:val="15"/>
                <w:color w:val="auto"/>
              </w:rPr>
              <w:t>Liens on the assets of a Financing Subsidiary securing obligations of such Financing Subsidiary;</w:t>
            </w:r>
          </w:p>
        </w:tc>
      </w:tr>
      <w:tr>
        <w:trPr>
          <w:trHeight w:val="301"/>
        </w:trPr>
        <w:tc>
          <w:tcPr>
            <w:tcW w:w="2680" w:type="dxa"/>
            <w:vAlign w:val="bottom"/>
          </w:tcPr>
          <w:p>
            <w:pPr>
              <w:ind w:left="1740"/>
              <w:spacing w:after="0"/>
              <w:rPr>
                <w:sz w:val="20"/>
                <w:szCs w:val="20"/>
                <w:color w:val="auto"/>
              </w:rPr>
            </w:pPr>
            <w:r>
              <w:rPr>
                <w:rFonts w:ascii="Arial" w:cs="Arial" w:eastAsia="Arial" w:hAnsi="Arial"/>
                <w:sz w:val="15"/>
                <w:szCs w:val="15"/>
                <w:color w:val="auto"/>
              </w:rPr>
              <w:t>(d)</w:t>
            </w:r>
          </w:p>
        </w:tc>
        <w:tc>
          <w:tcPr>
            <w:tcW w:w="8620" w:type="dxa"/>
            <w:vAlign w:val="bottom"/>
            <w:gridSpan w:val="6"/>
          </w:tcPr>
          <w:p>
            <w:pPr>
              <w:ind w:left="600"/>
              <w:spacing w:after="0"/>
              <w:rPr>
                <w:sz w:val="20"/>
                <w:szCs w:val="20"/>
                <w:color w:val="auto"/>
              </w:rPr>
            </w:pPr>
            <w:r>
              <w:rPr>
                <w:rFonts w:ascii="Arial" w:cs="Arial" w:eastAsia="Arial" w:hAnsi="Arial"/>
                <w:sz w:val="15"/>
                <w:szCs w:val="15"/>
                <w:color w:val="auto"/>
                <w:w w:val="94"/>
              </w:rPr>
              <w:t>Liens on Special Equity Interests included in the Portfolio Investments of the Borrower but only to the extent securing obligations</w:t>
            </w:r>
          </w:p>
        </w:tc>
      </w:tr>
      <w:tr>
        <w:trPr>
          <w:trHeight w:val="156"/>
        </w:trPr>
        <w:tc>
          <w:tcPr>
            <w:tcW w:w="11300" w:type="dxa"/>
            <w:vAlign w:val="bottom"/>
            <w:gridSpan w:val="7"/>
          </w:tcPr>
          <w:p>
            <w:pPr>
              <w:spacing w:after="0" w:line="156" w:lineRule="exact"/>
              <w:rPr>
                <w:sz w:val="20"/>
                <w:szCs w:val="20"/>
                <w:color w:val="auto"/>
              </w:rPr>
            </w:pPr>
            <w:r>
              <w:rPr>
                <w:rFonts w:ascii="Arial" w:cs="Arial" w:eastAsia="Arial" w:hAnsi="Arial"/>
                <w:sz w:val="15"/>
                <w:szCs w:val="15"/>
                <w:color w:val="auto"/>
              </w:rPr>
              <w:t>in the manner provided in the definition of “Special Equity Interests” in Section 1.01;</w:t>
            </w:r>
          </w:p>
        </w:tc>
      </w:tr>
      <w:tr>
        <w:trPr>
          <w:trHeight w:val="20"/>
        </w:trPr>
        <w:tc>
          <w:tcPr>
            <w:tcW w:w="26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r>
      <w:tr>
        <w:trPr>
          <w:trHeight w:val="327"/>
        </w:trPr>
        <w:tc>
          <w:tcPr>
            <w:tcW w:w="2680" w:type="dxa"/>
            <w:vAlign w:val="bottom"/>
          </w:tcPr>
          <w:p>
            <w:pPr>
              <w:ind w:left="1740"/>
              <w:spacing w:after="0"/>
              <w:rPr>
                <w:sz w:val="20"/>
                <w:szCs w:val="20"/>
                <w:color w:val="auto"/>
              </w:rPr>
            </w:pPr>
            <w:r>
              <w:rPr>
                <w:rFonts w:ascii="Arial" w:cs="Arial" w:eastAsia="Arial" w:hAnsi="Arial"/>
                <w:sz w:val="15"/>
                <w:szCs w:val="15"/>
                <w:color w:val="auto"/>
              </w:rPr>
              <w:t>(e)</w:t>
            </w:r>
          </w:p>
        </w:tc>
        <w:tc>
          <w:tcPr>
            <w:tcW w:w="8620" w:type="dxa"/>
            <w:vAlign w:val="bottom"/>
            <w:gridSpan w:val="6"/>
          </w:tcPr>
          <w:p>
            <w:pPr>
              <w:ind w:left="580"/>
              <w:spacing w:after="0"/>
              <w:rPr>
                <w:sz w:val="20"/>
                <w:szCs w:val="20"/>
                <w:color w:val="auto"/>
              </w:rPr>
            </w:pPr>
            <w:r>
              <w:rPr>
                <w:rFonts w:ascii="Arial" w:cs="Arial" w:eastAsia="Arial" w:hAnsi="Arial"/>
                <w:sz w:val="15"/>
                <w:szCs w:val="15"/>
                <w:color w:val="auto"/>
                <w:w w:val="92"/>
              </w:rPr>
              <w:t>Liens securing Indebtedness or other obligations in an aggregate principal amount not exceeding the greater of (i) $25,000,000 and</w:t>
            </w:r>
          </w:p>
        </w:tc>
      </w:tr>
    </w:tbl>
    <w:p>
      <w:pPr>
        <w:jc w:val="both"/>
        <w:ind w:left="4" w:hanging="4"/>
        <w:spacing w:after="0" w:line="239" w:lineRule="auto"/>
        <w:tabs>
          <w:tab w:leader="none" w:pos="24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 xml:space="preserve">5% of Shareholders’ Equity at any one time outstanding (which may cover Portfolio Investments, but only to the extent released from the Lien in favor of the Collateral Agent pursuant to </w:t>
      </w:r>
      <w:r>
        <w:rPr>
          <w:rFonts w:ascii="Arial" w:cs="Arial" w:eastAsia="Arial" w:hAnsi="Arial"/>
          <w:sz w:val="15"/>
          <w:szCs w:val="15"/>
          <w:u w:val="single" w:color="auto"/>
          <w:color w:val="auto"/>
        </w:rPr>
        <w:t>Section 10.03</w:t>
      </w:r>
      <w:r>
        <w:rPr>
          <w:rFonts w:ascii="Arial" w:cs="Arial" w:eastAsia="Arial" w:hAnsi="Arial"/>
          <w:sz w:val="15"/>
          <w:szCs w:val="15"/>
          <w:color w:val="auto"/>
        </w:rPr>
        <w:t xml:space="preserve"> of the Guarantee and Security Agreement), so long as at the time of incurrence of such Indebtedness or other obligations, the aggregate amount of Indebtedness permitted under </w:t>
      </w:r>
      <w:r>
        <w:rPr>
          <w:rFonts w:ascii="Arial" w:cs="Arial" w:eastAsia="Arial" w:hAnsi="Arial"/>
          <w:sz w:val="15"/>
          <w:szCs w:val="15"/>
          <w:u w:val="single" w:color="auto"/>
          <w:color w:val="auto"/>
        </w:rPr>
        <w:t>clauses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(i)</w:t>
      </w:r>
      <w:r>
        <w:rPr>
          <w:rFonts w:ascii="Arial" w:cs="Arial" w:eastAsia="Arial" w:hAnsi="Arial"/>
          <w:sz w:val="15"/>
          <w:szCs w:val="15"/>
          <w:color w:val="auto"/>
        </w:rPr>
        <w:t xml:space="preserve">, </w:t>
      </w:r>
      <w:r>
        <w:rPr>
          <w:rFonts w:ascii="Arial" w:cs="Arial" w:eastAsia="Arial" w:hAnsi="Arial"/>
          <w:sz w:val="15"/>
          <w:szCs w:val="15"/>
          <w:u w:val="single" w:color="auto"/>
          <w:color w:val="auto"/>
        </w:rPr>
        <w:t>(m)</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(n)</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does not exceed the lesser of (i) the Borrowing Base and (ii) the amount required to comply with the provisions of </w:t>
      </w:r>
      <w:r>
        <w:rPr>
          <w:rFonts w:ascii="Arial" w:cs="Arial" w:eastAsia="Arial" w:hAnsi="Arial"/>
          <w:sz w:val="15"/>
          <w:szCs w:val="15"/>
          <w:u w:val="single" w:color="auto"/>
          <w:color w:val="auto"/>
        </w:rPr>
        <w:t>Sections 6.07(c)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(d)</w:t>
      </w:r>
      <w:r>
        <w:rPr>
          <w:rFonts w:ascii="Arial" w:cs="Arial" w:eastAsia="Arial" w:hAnsi="Arial"/>
          <w:sz w:val="15"/>
          <w:szCs w:val="15"/>
          <w:color w:val="auto"/>
        </w:rPr>
        <w:t>;</w:t>
      </w:r>
    </w:p>
    <w:p>
      <w:pPr>
        <w:spacing w:after="0" w:line="133" w:lineRule="exact"/>
        <w:rPr>
          <w:sz w:val="20"/>
          <w:szCs w:val="20"/>
          <w:color w:val="auto"/>
        </w:rPr>
      </w:pPr>
    </w:p>
    <w:tbl>
      <w:tblPr>
        <w:tblLayout w:type="fixed"/>
        <w:tblInd w:w="1744" w:type="dxa"/>
        <w:tblCellMar>
          <w:top w:w="0" w:type="dxa"/>
          <w:left w:w="0" w:type="dxa"/>
          <w:bottom w:w="0" w:type="dxa"/>
          <w:right w:w="0" w:type="dxa"/>
        </w:tblCellMar>
      </w:tblPr>
      <w:tr>
        <w:trPr>
          <w:trHeight w:val="191"/>
        </w:trPr>
        <w:tc>
          <w:tcPr>
            <w:tcW w:w="840" w:type="dxa"/>
            <w:vAlign w:val="bottom"/>
          </w:tcPr>
          <w:p>
            <w:pPr>
              <w:spacing w:after="0"/>
              <w:rPr>
                <w:sz w:val="20"/>
                <w:szCs w:val="20"/>
                <w:color w:val="auto"/>
              </w:rPr>
            </w:pPr>
            <w:r>
              <w:rPr>
                <w:rFonts w:ascii="Arial" w:cs="Arial" w:eastAsia="Arial" w:hAnsi="Arial"/>
                <w:sz w:val="15"/>
                <w:szCs w:val="15"/>
                <w:color w:val="auto"/>
              </w:rPr>
              <w:t>(f)</w:t>
            </w:r>
          </w:p>
        </w:tc>
        <w:tc>
          <w:tcPr>
            <w:tcW w:w="8700" w:type="dxa"/>
            <w:vAlign w:val="bottom"/>
            <w:gridSpan w:val="5"/>
          </w:tcPr>
          <w:p>
            <w:pPr>
              <w:ind w:left="660"/>
              <w:spacing w:after="0"/>
              <w:rPr>
                <w:sz w:val="20"/>
                <w:szCs w:val="20"/>
                <w:color w:val="auto"/>
              </w:rPr>
            </w:pPr>
            <w:r>
              <w:rPr>
                <w:rFonts w:ascii="Arial" w:cs="Arial" w:eastAsia="Arial" w:hAnsi="Arial"/>
                <w:sz w:val="15"/>
                <w:szCs w:val="15"/>
                <w:color w:val="auto"/>
              </w:rPr>
              <w:t>Permitted Liens;</w:t>
            </w:r>
          </w:p>
        </w:tc>
      </w:tr>
      <w:tr>
        <w:trPr>
          <w:trHeight w:val="321"/>
        </w:trPr>
        <w:tc>
          <w:tcPr>
            <w:tcW w:w="840" w:type="dxa"/>
            <w:vAlign w:val="bottom"/>
          </w:tcPr>
          <w:p>
            <w:pPr>
              <w:spacing w:after="0"/>
              <w:rPr>
                <w:sz w:val="20"/>
                <w:szCs w:val="20"/>
                <w:color w:val="auto"/>
              </w:rPr>
            </w:pPr>
            <w:r>
              <w:rPr>
                <w:rFonts w:ascii="Arial" w:cs="Arial" w:eastAsia="Arial" w:hAnsi="Arial"/>
                <w:sz w:val="15"/>
                <w:szCs w:val="15"/>
                <w:color w:val="auto"/>
              </w:rPr>
              <w:t>(g)</w:t>
            </w:r>
          </w:p>
        </w:tc>
        <w:tc>
          <w:tcPr>
            <w:tcW w:w="8700" w:type="dxa"/>
            <w:vAlign w:val="bottom"/>
            <w:gridSpan w:val="5"/>
          </w:tcPr>
          <w:p>
            <w:pPr>
              <w:ind w:left="700"/>
              <w:spacing w:after="0"/>
              <w:rPr>
                <w:sz w:val="20"/>
                <w:szCs w:val="20"/>
                <w:color w:val="auto"/>
              </w:rPr>
            </w:pPr>
            <w:r>
              <w:rPr>
                <w:rFonts w:ascii="Arial" w:cs="Arial" w:eastAsia="Arial" w:hAnsi="Arial"/>
                <w:sz w:val="15"/>
                <w:szCs w:val="15"/>
                <w:color w:val="auto"/>
              </w:rPr>
              <w:t>Liens on Equity Interests in any SBIC Subsidiary created in favor of the SBA;</w:t>
            </w:r>
          </w:p>
        </w:tc>
      </w:tr>
      <w:tr>
        <w:trPr>
          <w:trHeight w:val="321"/>
        </w:trPr>
        <w:tc>
          <w:tcPr>
            <w:tcW w:w="840" w:type="dxa"/>
            <w:vAlign w:val="bottom"/>
          </w:tcPr>
          <w:p>
            <w:pPr>
              <w:spacing w:after="0"/>
              <w:rPr>
                <w:sz w:val="20"/>
                <w:szCs w:val="20"/>
                <w:color w:val="auto"/>
              </w:rPr>
            </w:pPr>
            <w:r>
              <w:rPr>
                <w:rFonts w:ascii="Arial" w:cs="Arial" w:eastAsia="Arial" w:hAnsi="Arial"/>
                <w:sz w:val="15"/>
                <w:szCs w:val="15"/>
                <w:color w:val="auto"/>
              </w:rPr>
              <w:t>(h)</w:t>
            </w:r>
          </w:p>
        </w:tc>
        <w:tc>
          <w:tcPr>
            <w:tcW w:w="8700" w:type="dxa"/>
            <w:vAlign w:val="bottom"/>
            <w:gridSpan w:val="5"/>
          </w:tcPr>
          <w:p>
            <w:pPr>
              <w:ind w:left="700"/>
              <w:spacing w:after="0"/>
              <w:rPr>
                <w:sz w:val="20"/>
                <w:szCs w:val="20"/>
                <w:color w:val="auto"/>
              </w:rPr>
            </w:pPr>
            <w:r>
              <w:rPr>
                <w:rFonts w:ascii="Arial" w:cs="Arial" w:eastAsia="Arial" w:hAnsi="Arial"/>
                <w:sz w:val="15"/>
                <w:szCs w:val="15"/>
                <w:color w:val="auto"/>
              </w:rPr>
              <w:t>[Reserved];</w:t>
            </w:r>
          </w:p>
        </w:tc>
      </w:tr>
      <w:tr>
        <w:trPr>
          <w:trHeight w:val="287"/>
        </w:trPr>
        <w:tc>
          <w:tcPr>
            <w:tcW w:w="840" w:type="dxa"/>
            <w:vAlign w:val="bottom"/>
          </w:tcPr>
          <w:p>
            <w:pPr>
              <w:spacing w:after="0"/>
              <w:rPr>
                <w:sz w:val="20"/>
                <w:szCs w:val="20"/>
                <w:color w:val="auto"/>
              </w:rPr>
            </w:pPr>
            <w:r>
              <w:rPr>
                <w:rFonts w:ascii="Arial" w:cs="Arial" w:eastAsia="Arial" w:hAnsi="Arial"/>
                <w:sz w:val="15"/>
                <w:szCs w:val="15"/>
                <w:color w:val="auto"/>
              </w:rPr>
              <w:t>(i)</w:t>
            </w:r>
          </w:p>
        </w:tc>
        <w:tc>
          <w:tcPr>
            <w:tcW w:w="8700" w:type="dxa"/>
            <w:vAlign w:val="bottom"/>
            <w:gridSpan w:val="5"/>
          </w:tcPr>
          <w:p>
            <w:pPr>
              <w:ind w:left="660"/>
              <w:spacing w:after="0"/>
              <w:rPr>
                <w:sz w:val="20"/>
                <w:szCs w:val="20"/>
                <w:color w:val="auto"/>
              </w:rPr>
            </w:pPr>
            <w:r>
              <w:rPr>
                <w:rFonts w:ascii="Arial" w:cs="Arial" w:eastAsia="Arial" w:hAnsi="Arial"/>
                <w:sz w:val="15"/>
                <w:szCs w:val="15"/>
                <w:color w:val="auto"/>
                <w:w w:val="93"/>
              </w:rPr>
              <w:t>(x) Liens securing Hedging Agreements permitted under Section 6.04(c) and not otherwise permitted under clause (b) above in an</w:t>
            </w:r>
          </w:p>
        </w:tc>
      </w:tr>
      <w:tr>
        <w:trPr>
          <w:trHeight w:val="20"/>
        </w:trPr>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41" w:lineRule="auto"/>
        <w:rPr>
          <w:sz w:val="20"/>
          <w:szCs w:val="20"/>
          <w:color w:val="auto"/>
        </w:rPr>
      </w:pPr>
      <w:r>
        <w:rPr>
          <w:rFonts w:ascii="Arial" w:cs="Arial" w:eastAsia="Arial" w:hAnsi="Arial"/>
          <w:sz w:val="15"/>
          <w:szCs w:val="15"/>
          <w:color w:val="auto"/>
        </w:rPr>
        <w:t xml:space="preserve">aggregate amount not to exceed $15,000,000 at any time and (y) Liens incurred in connection with any Hedging Agreement either entered into with a Lender (or an Affiliate of a Lender) on an uncleared basis or cleared through a Lender (or Affiliate of a Lender) as futures commission merchant in the ordinary course of business and not for speculative purposes (it being understood that such Lien shall continue to be permitted pursuant to this </w:t>
      </w:r>
      <w:r>
        <w:rPr>
          <w:rFonts w:ascii="Arial" w:cs="Arial" w:eastAsia="Arial" w:hAnsi="Arial"/>
          <w:sz w:val="15"/>
          <w:szCs w:val="15"/>
          <w:u w:val="single" w:color="auto"/>
          <w:color w:val="auto"/>
        </w:rPr>
        <w:t>sub-clause (y)</w:t>
      </w:r>
      <w:r>
        <w:rPr>
          <w:rFonts w:ascii="Arial" w:cs="Arial" w:eastAsia="Arial" w:hAnsi="Arial"/>
          <w:sz w:val="15"/>
          <w:szCs w:val="15"/>
          <w:color w:val="auto"/>
        </w:rPr>
        <w:t xml:space="preserve"> even if such Lender has assigned all of its Loans and other interests in this Agreement and thus has ceased to be a Lender 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no event shall any Obligor be permitted to create, incur or assume any Lien pursuant to this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increase the aggregate amount of collateral securing any Liens previously permitted under this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unless both before and after giving effect to the creation, incurrence or assumption of such Lien or such increase in the aggregate amount of collateral securing such Lien the Covered Debt Amount does not exceed the Borrowing Base (after giving effect to the exclusion of all such collateral from the Borrowing Base); and</w:t>
      </w:r>
    </w:p>
    <w:p>
      <w:pPr>
        <w:spacing w:after="0" w:line="130" w:lineRule="exact"/>
        <w:rPr>
          <w:sz w:val="20"/>
          <w:szCs w:val="20"/>
          <w:color w:val="auto"/>
        </w:rPr>
      </w:pPr>
    </w:p>
    <w:tbl>
      <w:tblPr>
        <w:tblLayout w:type="fixed"/>
        <w:tblInd w:w="1744" w:type="dxa"/>
        <w:tblCellMar>
          <w:top w:w="0" w:type="dxa"/>
          <w:left w:w="0" w:type="dxa"/>
          <w:bottom w:w="0" w:type="dxa"/>
          <w:right w:w="0" w:type="dxa"/>
        </w:tblCellMar>
      </w:tblPr>
      <w:tr>
        <w:trPr>
          <w:trHeight w:val="191"/>
        </w:trPr>
        <w:tc>
          <w:tcPr>
            <w:tcW w:w="1240" w:type="dxa"/>
            <w:vAlign w:val="bottom"/>
          </w:tcPr>
          <w:p>
            <w:pPr>
              <w:spacing w:after="0"/>
              <w:rPr>
                <w:sz w:val="20"/>
                <w:szCs w:val="20"/>
                <w:color w:val="auto"/>
              </w:rPr>
            </w:pPr>
            <w:r>
              <w:rPr>
                <w:rFonts w:ascii="Arial" w:cs="Arial" w:eastAsia="Arial" w:hAnsi="Arial"/>
                <w:sz w:val="15"/>
                <w:szCs w:val="15"/>
                <w:color w:val="auto"/>
              </w:rPr>
              <w:t>(j)</w:t>
            </w:r>
          </w:p>
        </w:tc>
        <w:tc>
          <w:tcPr>
            <w:tcW w:w="7780" w:type="dxa"/>
            <w:vAlign w:val="bottom"/>
            <w:gridSpan w:val="3"/>
          </w:tcPr>
          <w:p>
            <w:pPr>
              <w:ind w:left="260"/>
              <w:spacing w:after="0"/>
              <w:rPr>
                <w:sz w:val="20"/>
                <w:szCs w:val="20"/>
                <w:color w:val="auto"/>
              </w:rPr>
            </w:pPr>
            <w:r>
              <w:rPr>
                <w:rFonts w:ascii="Arial" w:cs="Arial" w:eastAsia="Arial" w:hAnsi="Arial"/>
                <w:sz w:val="15"/>
                <w:szCs w:val="15"/>
                <w:color w:val="auto"/>
                <w:w w:val="91"/>
              </w:rPr>
              <w:t>Liens securing repurchase obligations arising in the ordinary course of business with respect to U.S. Government Securities.</w:t>
            </w:r>
          </w:p>
        </w:tc>
      </w:tr>
      <w:tr>
        <w:trPr>
          <w:trHeight w:val="287"/>
        </w:trPr>
        <w:tc>
          <w:tcPr>
            <w:tcW w:w="1240" w:type="dxa"/>
            <w:vAlign w:val="bottom"/>
          </w:tcPr>
          <w:p>
            <w:pPr>
              <w:spacing w:after="0"/>
              <w:rPr>
                <w:sz w:val="20"/>
                <w:szCs w:val="20"/>
                <w:color w:val="auto"/>
              </w:rPr>
            </w:pPr>
            <w:r>
              <w:rPr>
                <w:rFonts w:ascii="Arial" w:cs="Arial" w:eastAsia="Arial" w:hAnsi="Arial"/>
                <w:sz w:val="15"/>
                <w:szCs w:val="15"/>
                <w:color w:val="auto"/>
              </w:rPr>
              <w:t>SECTION 6.03.</w:t>
            </w:r>
          </w:p>
        </w:tc>
        <w:tc>
          <w:tcPr>
            <w:tcW w:w="188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8"/>
              </w:rPr>
              <w:t>Fundamental Changes</w:t>
            </w:r>
          </w:p>
        </w:tc>
        <w:tc>
          <w:tcPr>
            <w:tcW w:w="4540" w:type="dxa"/>
            <w:vAlign w:val="bottom"/>
          </w:tcPr>
          <w:p>
            <w:pPr>
              <w:spacing w:after="0"/>
              <w:rPr>
                <w:sz w:val="24"/>
                <w:szCs w:val="24"/>
                <w:color w:val="auto"/>
              </w:rPr>
            </w:pPr>
          </w:p>
        </w:tc>
      </w:tr>
    </w:tbl>
    <w:p>
      <w:pPr>
        <w:spacing w:after="0" w:line="156" w:lineRule="exact"/>
        <w:rPr>
          <w:sz w:val="20"/>
          <w:szCs w:val="20"/>
          <w:color w:val="auto"/>
        </w:rPr>
      </w:pPr>
    </w:p>
    <w:p>
      <w:pPr>
        <w:ind w:left="4" w:right="20" w:hanging="4"/>
        <w:spacing w:after="0" w:line="262" w:lineRule="auto"/>
        <w:tabs>
          <w:tab w:leader="none" w:pos="127"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The Borrower will not, nor will it permit any of the Subsidiary Guarantors to, enter into any transaction of merger or consolidation or amalgamation, or liquidate, wind up or dissolve itself (or suffer any liquidation or dissolution).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79" w:right="299" w:bottom="1440" w:gutter="0" w:footer="0" w:header="0"/>
        </w:sectPr>
      </w:pPr>
    </w:p>
    <w:bookmarkStart w:id="223" w:name="page224"/>
    <w:bookmarkEnd w:id="223"/>
    <w:p>
      <w:pPr>
        <w:jc w:val="both"/>
        <w:spacing w:after="0" w:line="262" w:lineRule="auto"/>
        <w:rPr>
          <w:sz w:val="20"/>
          <w:szCs w:val="20"/>
          <w:color w:val="auto"/>
        </w:rPr>
      </w:pPr>
      <w:r>
        <w:rPr>
          <w:rFonts w:ascii="Arial" w:cs="Arial" w:eastAsia="Arial" w:hAnsi="Arial"/>
          <w:sz w:val="14"/>
          <w:szCs w:val="14"/>
          <w:color w:val="auto"/>
        </w:rPr>
        <w:t>The Borrower will not, nor will it permit any of the Subsidiary Guarantors to, acquire any business or property from, or capital stock of, or be a party to any acquisition of, any Person, except for purchases or acquisitions of Portfolio Investments and other assets in the normal course of the day-to-day business activities of the Borrower and its Subsidiaries and not in violation of the terms and conditions of this Agreement or any other Loan Document. The Borrower will not, nor will it permit any of the Subsidiary Guarantors to, convey, sell, lease, transfer or otherwise dispose of, in one transaction or a series of transactions, any part of its assets, whether now owned or hereafter acquired, but excluding (x) assets (other than Portfolio Investments) sold or disposed of in the ordinary course of business (including to make expenditures of cash in the normal course of the day-to-day business activities of the Borrower and its Subsidiaries) and (y) subject to the provisions of clauses (d) and (e) below, Portfolio Investments.</w:t>
      </w:r>
    </w:p>
    <w:p>
      <w:pPr>
        <w:spacing w:after="0" w:line="118"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Notwithstanding the foregoing provisions of this Section:</w:t>
      </w:r>
    </w:p>
    <w:p>
      <w:pPr>
        <w:spacing w:after="0" w:line="14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 xml:space="preserve">(a) any Subsidiary Guarantor of the Borrower may be merged or consolidated with or into the Borrower or any other Subsidiary Guarantor;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any such transaction shall be between a Subsidiary Guarantor and a wholly owned Subsidiary Guarantor, the wholly owned Subsidiary Guarantor shall be the continuing or surviving entity;</w:t>
      </w:r>
    </w:p>
    <w:p>
      <w:pPr>
        <w:spacing w:after="0" w:line="125" w:lineRule="exact"/>
        <w:rPr>
          <w:sz w:val="20"/>
          <w:szCs w:val="20"/>
          <w:color w:val="auto"/>
        </w:rPr>
      </w:pPr>
    </w:p>
    <w:p>
      <w:pPr>
        <w:ind w:right="20" w:firstLine="1737"/>
        <w:spacing w:after="0" w:line="262" w:lineRule="auto"/>
        <w:rPr>
          <w:sz w:val="20"/>
          <w:szCs w:val="20"/>
          <w:color w:val="auto"/>
        </w:rPr>
      </w:pPr>
      <w:r>
        <w:rPr>
          <w:rFonts w:ascii="Arial" w:cs="Arial" w:eastAsia="Arial" w:hAnsi="Arial"/>
          <w:sz w:val="15"/>
          <w:szCs w:val="15"/>
          <w:color w:val="auto"/>
        </w:rPr>
        <w:t>(b) any Subsidiary Guarantor of the Borrower may sell, lease, transfer or otherwise dispose of any or all of its assets (upon voluntary liquidation or otherwise) to the Borrower or any wholly owned Subsidiary Guarantor of the Borrower;</w:t>
      </w:r>
    </w:p>
    <w:p>
      <w:pPr>
        <w:sectPr>
          <w:pgSz w:w="11900" w:h="16838" w:orient="portrait"/>
          <w:cols w:equalWidth="0" w:num="1">
            <w:col w:w="11300"/>
          </w:cols>
          <w:pgMar w:left="300" w:top="295" w:right="299" w:bottom="1440" w:gutter="0" w:footer="0" w:header="0"/>
        </w:sectPr>
      </w:pPr>
    </w:p>
    <w:p>
      <w:pPr>
        <w:spacing w:after="0" w:line="115"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(c)</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owned Subsidiary Guarantor of the Borrower;</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the capital stock of any Subsidiary of the Borrower may be sold, transferred or otherwise disposed of to the Borrower or any wholly</w:t>
      </w:r>
    </w:p>
    <w:p>
      <w:pPr>
        <w:spacing w:after="0" w:line="342" w:lineRule="exact"/>
        <w:rPr>
          <w:sz w:val="20"/>
          <w:szCs w:val="20"/>
          <w:color w:val="auto"/>
        </w:rPr>
      </w:pPr>
    </w:p>
    <w:p>
      <w:pPr>
        <w:sectPr>
          <w:pgSz w:w="11900" w:h="16838" w:orient="portrait"/>
          <w:cols w:equalWidth="0" w:num="2">
            <w:col w:w="2780" w:space="480"/>
            <w:col w:w="8040"/>
          </w:cols>
          <w:pgMar w:left="300" w:top="295" w:right="299" w:bottom="1440" w:gutter="0" w:footer="0" w:header="0"/>
          <w:type w:val="continuous"/>
        </w:sectPr>
      </w:pPr>
    </w:p>
    <w:p>
      <w:pPr>
        <w:ind w:left="1740"/>
        <w:spacing w:after="0"/>
        <w:tabs>
          <w:tab w:leader="none" w:pos="3260" w:val="left"/>
        </w:tabs>
        <w:rPr>
          <w:sz w:val="20"/>
          <w:szCs w:val="20"/>
          <w:color w:val="auto"/>
        </w:rPr>
      </w:pPr>
      <w:r>
        <w:rPr>
          <w:rFonts w:ascii="Arial" w:cs="Arial" w:eastAsia="Arial" w:hAnsi="Arial"/>
          <w:sz w:val="13"/>
          <w:szCs w:val="13"/>
          <w:color w:val="auto"/>
        </w:rPr>
        <w:t>(d)</w:t>
      </w:r>
      <w:r>
        <w:rPr>
          <w:sz w:val="20"/>
          <w:szCs w:val="20"/>
          <w:color w:val="auto"/>
        </w:rPr>
        <w:tab/>
      </w:r>
      <w:r>
        <w:rPr>
          <w:rFonts w:ascii="Arial" w:cs="Arial" w:eastAsia="Arial" w:hAnsi="Arial"/>
          <w:sz w:val="13"/>
          <w:szCs w:val="13"/>
          <w:color w:val="auto"/>
        </w:rPr>
        <w:t>the Obligors may sell, transfer or otherwise dispose of Portfolio Investments (other than to a Financing Subsidiary) so long as after</w:t>
      </w:r>
    </w:p>
    <w:p>
      <w:pPr>
        <w:sectPr>
          <w:pgSz w:w="11900" w:h="16838" w:orient="portrait"/>
          <w:cols w:equalWidth="0" w:num="1">
            <w:col w:w="11300"/>
          </w:cols>
          <w:pgMar w:left="300" w:top="295" w:right="299" w:bottom="1440" w:gutter="0" w:footer="0" w:header="0"/>
          <w:type w:val="continuous"/>
        </w:sectPr>
      </w:pPr>
    </w:p>
    <w:p>
      <w:pPr>
        <w:spacing w:after="0" w:line="41" w:lineRule="exact"/>
        <w:rPr>
          <w:sz w:val="20"/>
          <w:szCs w:val="20"/>
          <w:color w:val="auto"/>
        </w:rPr>
      </w:pPr>
    </w:p>
    <w:p>
      <w:pPr>
        <w:jc w:val="both"/>
        <w:ind w:right="20"/>
        <w:spacing w:after="0" w:line="236" w:lineRule="auto"/>
        <w:rPr>
          <w:sz w:val="20"/>
          <w:szCs w:val="20"/>
          <w:color w:val="auto"/>
        </w:rPr>
      </w:pPr>
      <w:r>
        <w:rPr>
          <w:rFonts w:ascii="Arial" w:cs="Arial" w:eastAsia="Arial" w:hAnsi="Arial"/>
          <w:sz w:val="15"/>
          <w:szCs w:val="15"/>
          <w:color w:val="auto"/>
        </w:rPr>
        <w:t>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w:t>
      </w:r>
    </w:p>
    <w:p>
      <w:pPr>
        <w:spacing w:after="0" w:line="132" w:lineRule="exact"/>
        <w:rPr>
          <w:sz w:val="20"/>
          <w:szCs w:val="20"/>
          <w:color w:val="auto"/>
        </w:rPr>
      </w:pPr>
    </w:p>
    <w:p>
      <w:pPr>
        <w:jc w:val="both"/>
        <w:ind w:right="20" w:firstLine="1737"/>
        <w:spacing w:after="0" w:line="264" w:lineRule="auto"/>
        <w:rPr>
          <w:sz w:val="20"/>
          <w:szCs w:val="20"/>
          <w:color w:val="auto"/>
        </w:rPr>
      </w:pPr>
      <w:r>
        <w:rPr>
          <w:rFonts w:ascii="Arial" w:cs="Arial" w:eastAsia="Arial" w:hAnsi="Arial"/>
          <w:sz w:val="14"/>
          <w:szCs w:val="14"/>
          <w:color w:val="auto"/>
        </w:rPr>
        <w:t>(e) the Obligors may sell, transfer or otherwise dispose of Portfolio Investments to a Financing Subsidiary so long as (i) after giving effect to such sale, transfer or other disposition (and any concurrent acquisitions of Portfolio Investments or payment of outstanding Loans or Other Covered Indebtedness or any other Indebtedness that is included in the Covered Debt Amount at such time) the Covered Debt Amount does not exceed the Borrowing Base and the Borrower delivers to the Administrative Agent a certificate of a Financial Officer to such effect and (ii) either (x) the amount by which the Borrowing Base exceeds the Covered Debt Amount immediately prior to such release is not diminished as a result of such release or (y) the Borrowing Base immediately after giving effect to such release is at least 110% of the Covered Debt Amount;</w:t>
      </w:r>
    </w:p>
    <w:p>
      <w:pPr>
        <w:spacing w:after="0" w:line="117"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(f) the Borrower may merge or consolidate with, or acquire all or substantially all of the assets of, any other Person so long as (i) the Borrower is the continuing or surviving entity in such transaction and (ii) at the time thereof and after giving effect thereto, no Default shall have occurred or be continuing;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type w:val="continuous"/>
        </w:sectPr>
      </w:pPr>
    </w:p>
    <w:bookmarkStart w:id="224" w:name="page225"/>
    <w:bookmarkEnd w:id="224"/>
    <w:p>
      <w:pPr>
        <w:ind w:left="4" w:firstLine="1737"/>
        <w:spacing w:after="0" w:line="298" w:lineRule="auto"/>
        <w:rPr>
          <w:sz w:val="20"/>
          <w:szCs w:val="20"/>
          <w:color w:val="auto"/>
        </w:rPr>
      </w:pPr>
      <w:r>
        <w:rPr>
          <w:rFonts w:ascii="Arial" w:cs="Arial" w:eastAsia="Arial" w:hAnsi="Arial"/>
          <w:sz w:val="14"/>
          <w:szCs w:val="14"/>
          <w:color w:val="auto"/>
        </w:rPr>
        <w:t>(g) the Borrower and each of the Subsidiary Guarantors may sell, lease, transfer or otherwise dispose of equipment or other property or assets that do not consist of Portfolio Investments so long as the aggregate amount of all such sales, leases, transfer and dispositions does not exceed $5,000,000 in any fiscal year.</w:t>
      </w:r>
    </w:p>
    <w:p>
      <w:pPr>
        <w:spacing w:after="0" w:line="92"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6.04.</w:t>
      </w:r>
      <w:r>
        <w:rPr>
          <w:sz w:val="20"/>
          <w:szCs w:val="20"/>
          <w:color w:val="auto"/>
        </w:rPr>
        <w:tab/>
      </w:r>
      <w:r>
        <w:rPr>
          <w:rFonts w:ascii="Arial" w:cs="Arial" w:eastAsia="Arial" w:hAnsi="Arial"/>
          <w:sz w:val="13"/>
          <w:szCs w:val="13"/>
          <w:u w:val="single" w:color="auto"/>
          <w:color w:val="auto"/>
        </w:rPr>
        <w:t>Investments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5"/>
          <w:szCs w:val="15"/>
          <w:color w:val="auto"/>
        </w:rPr>
        <w:t>. The Borrower will not, nor will it permit any of the Subsidiary Guarantors to, acquire, make or enter into, or hold, any Investments except:</w:t>
      </w:r>
    </w:p>
    <w:p>
      <w:pPr>
        <w:sectPr>
          <w:pgSz w:w="11900" w:h="16838" w:orient="portrait"/>
          <w:cols w:equalWidth="0" w:num="1">
            <w:col w:w="11304"/>
          </w:cols>
          <w:pgMar w:left="296" w:top="295" w:right="299" w:bottom="1440" w:gutter="0" w:footer="0" w:header="0"/>
        </w:sectPr>
      </w:pP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operating deposit accounts with banks;</w:t>
      </w:r>
    </w:p>
    <w:p>
      <w:pPr>
        <w:spacing w:after="0" w:line="172" w:lineRule="exact"/>
        <w:rPr>
          <w:sz w:val="20"/>
          <w:szCs w:val="20"/>
          <w:color w:val="auto"/>
        </w:rPr>
      </w:pPr>
    </w:p>
    <w:p>
      <w:pPr>
        <w:sectPr>
          <w:pgSz w:w="11900" w:h="16838" w:orient="portrait"/>
          <w:cols w:equalWidth="0" w:num="2">
            <w:col w:w="2544" w:space="720"/>
            <w:col w:w="8040"/>
          </w:cols>
          <w:pgMar w:left="296" w:top="295" w:right="299" w:bottom="1440" w:gutter="0" w:footer="0" w:header="0"/>
          <w:type w:val="continuous"/>
        </w:sectPr>
      </w:pPr>
    </w:p>
    <w:p>
      <w:pPr>
        <w:ind w:left="1744"/>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jc w:val="center"/>
        <w:ind w:right="1480"/>
        <w:spacing w:after="0"/>
        <w:rPr>
          <w:sz w:val="20"/>
          <w:szCs w:val="20"/>
          <w:color w:val="auto"/>
        </w:rPr>
      </w:pPr>
      <w:r>
        <w:rPr>
          <w:rFonts w:ascii="Arial" w:cs="Arial" w:eastAsia="Arial" w:hAnsi="Arial"/>
          <w:sz w:val="13"/>
          <w:szCs w:val="13"/>
          <w:color w:val="auto"/>
        </w:rPr>
        <w:t>Investments by the Borrower and the Subsidiary Guarantors in the Borrower and the Subsidiary Guarantors;</w:t>
      </w:r>
    </w:p>
    <w:p>
      <w:pPr>
        <w:spacing w:after="0" w:line="172" w:lineRule="exact"/>
        <w:rPr>
          <w:sz w:val="20"/>
          <w:szCs w:val="20"/>
          <w:color w:val="auto"/>
        </w:rPr>
      </w:pPr>
    </w:p>
    <w:p>
      <w:pPr>
        <w:sectPr>
          <w:pgSz w:w="11900" w:h="16838" w:orient="portrait"/>
          <w:cols w:equalWidth="0" w:num="2">
            <w:col w:w="2564" w:space="720"/>
            <w:col w:w="8020"/>
          </w:cols>
          <w:pgMar w:left="296" w:top="295" w:right="299" w:bottom="1440" w:gutter="0" w:footer="0" w:header="0"/>
          <w:type w:val="continuous"/>
        </w:sectPr>
      </w:pPr>
    </w:p>
    <w:p>
      <w:pPr>
        <w:ind w:left="1744"/>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Hedging Agreements entered into in the ordinary course of the Borrower’s financial planning and not for speculative purposes;</w:t>
      </w:r>
    </w:p>
    <w:p>
      <w:pPr>
        <w:spacing w:after="0" w:line="172" w:lineRule="exact"/>
        <w:rPr>
          <w:sz w:val="20"/>
          <w:szCs w:val="20"/>
          <w:color w:val="auto"/>
        </w:rPr>
      </w:pPr>
    </w:p>
    <w:p>
      <w:pPr>
        <w:sectPr>
          <w:pgSz w:w="11900" w:h="16838" w:orient="portrait"/>
          <w:cols w:equalWidth="0" w:num="2">
            <w:col w:w="2544" w:space="720"/>
            <w:col w:w="8040"/>
          </w:cols>
          <w:pgMar w:left="296" w:top="295" w:right="299" w:bottom="1440" w:gutter="0" w:footer="0" w:header="0"/>
          <w:type w:val="continuous"/>
        </w:sectPr>
      </w:pPr>
    </w:p>
    <w:p>
      <w:pPr>
        <w:ind w:left="4" w:right="20" w:firstLine="1737"/>
        <w:spacing w:after="0" w:line="262" w:lineRule="auto"/>
        <w:rPr>
          <w:sz w:val="20"/>
          <w:szCs w:val="20"/>
          <w:color w:val="auto"/>
        </w:rPr>
      </w:pPr>
      <w:r>
        <w:rPr>
          <w:rFonts w:ascii="Arial" w:cs="Arial" w:eastAsia="Arial" w:hAnsi="Arial"/>
          <w:sz w:val="15"/>
          <w:szCs w:val="15"/>
          <w:color w:val="auto"/>
        </w:rPr>
        <w:t>(d) Portfolio Investments by the Borrower and its Subsidiaries to the extent such Portfolio Investments are permitted under the Investment Company Act and the Borrower’s Investment Policies as in effect as of the date such Portfolio Investments are acquired;</w:t>
      </w:r>
    </w:p>
    <w:p>
      <w:pPr>
        <w:spacing w:after="0" w:line="115" w:lineRule="exact"/>
        <w:rPr>
          <w:sz w:val="20"/>
          <w:szCs w:val="20"/>
          <w:color w:val="auto"/>
        </w:rPr>
      </w:pPr>
    </w:p>
    <w:p>
      <w:pPr>
        <w:ind w:left="1744"/>
        <w:spacing w:after="0"/>
        <w:tabs>
          <w:tab w:leader="none" w:pos="3244"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4"/>
          <w:szCs w:val="14"/>
          <w:color w:val="auto"/>
        </w:rPr>
        <w:t>Investments in Financing Subsidiaries so long as, (i) after giving effect to such Investment, the Covered Debt Amount does not</w:t>
      </w:r>
    </w:p>
    <w:p>
      <w:pPr>
        <w:sectPr>
          <w:pgSz w:w="11900" w:h="16838" w:orient="portrait"/>
          <w:cols w:equalWidth="0" w:num="1">
            <w:col w:w="11304"/>
          </w:cols>
          <w:pgMar w:left="296" w:top="295" w:right="299" w:bottom="1440" w:gutter="0" w:footer="0" w:header="0"/>
          <w:type w:val="continuous"/>
        </w:sectPr>
      </w:pPr>
    </w:p>
    <w:p>
      <w:pPr>
        <w:spacing w:after="0" w:line="30" w:lineRule="exact"/>
        <w:rPr>
          <w:sz w:val="20"/>
          <w:szCs w:val="20"/>
          <w:color w:val="auto"/>
        </w:rPr>
      </w:pPr>
    </w:p>
    <w:p>
      <w:pPr>
        <w:ind w:left="4"/>
        <w:spacing w:after="0"/>
        <w:rPr>
          <w:sz w:val="20"/>
          <w:szCs w:val="20"/>
          <w:color w:val="auto"/>
        </w:rPr>
      </w:pPr>
      <w:r>
        <w:rPr>
          <w:rFonts w:ascii="Arial" w:cs="Arial" w:eastAsia="Arial" w:hAnsi="Arial"/>
          <w:sz w:val="13"/>
          <w:szCs w:val="13"/>
          <w:color w:val="auto"/>
        </w:rPr>
        <w:t xml:space="preserve">exceed the Borrowing Base and (ii) the sum of (x) all Investments under this </w:t>
      </w:r>
      <w:r>
        <w:rPr>
          <w:rFonts w:ascii="Arial" w:cs="Arial" w:eastAsia="Arial" w:hAnsi="Arial"/>
          <w:sz w:val="13"/>
          <w:szCs w:val="13"/>
          <w:u w:val="single" w:color="auto"/>
          <w:color w:val="auto"/>
        </w:rPr>
        <w:t>clause (e)</w:t>
      </w:r>
      <w:r>
        <w:rPr>
          <w:rFonts w:ascii="Arial" w:cs="Arial" w:eastAsia="Arial" w:hAnsi="Arial"/>
          <w:sz w:val="13"/>
          <w:szCs w:val="13"/>
          <w:color w:val="auto"/>
        </w:rPr>
        <w:t xml:space="preserve"> that occur after the Extended Commitment Termination Date and (y) all Investments under </w:t>
      </w:r>
      <w:r>
        <w:rPr>
          <w:rFonts w:ascii="Arial" w:cs="Arial" w:eastAsia="Arial" w:hAnsi="Arial"/>
          <w:sz w:val="13"/>
          <w:szCs w:val="13"/>
          <w:u w:val="single" w:color="auto"/>
          <w:color w:val="auto"/>
        </w:rPr>
        <w:t>clause</w:t>
      </w:r>
    </w:p>
    <w:p>
      <w:pPr>
        <w:spacing w:after="0" w:line="12" w:lineRule="exact"/>
        <w:rPr>
          <w:sz w:val="20"/>
          <w:szCs w:val="20"/>
          <w:color w:val="auto"/>
        </w:rPr>
      </w:pPr>
    </w:p>
    <w:p>
      <w:pPr>
        <w:ind w:left="184" w:hanging="184"/>
        <w:spacing w:after="0"/>
        <w:tabs>
          <w:tab w:leader="none" w:pos="184" w:val="left"/>
        </w:tabs>
        <w:numPr>
          <w:ilvl w:val="0"/>
          <w:numId w:val="132"/>
        </w:numPr>
        <w:rPr>
          <w:rFonts w:ascii="Arial" w:cs="Arial" w:eastAsia="Arial" w:hAnsi="Arial"/>
          <w:sz w:val="15"/>
          <w:szCs w:val="15"/>
          <w:u w:val="single" w:color="auto"/>
          <w:color w:val="auto"/>
        </w:rPr>
      </w:pPr>
      <w:r>
        <w:rPr>
          <w:rFonts w:ascii="Arial" w:cs="Arial" w:eastAsia="Arial" w:hAnsi="Arial"/>
          <w:sz w:val="15"/>
          <w:szCs w:val="15"/>
          <w:color w:val="auto"/>
        </w:rPr>
        <w:t>below that occur after the Extended Commitment Termination Date, shall not exceed $10,000,000 in the aggregate;</w:t>
      </w:r>
    </w:p>
    <w:p>
      <w:pPr>
        <w:spacing w:after="0" w:line="137" w:lineRule="exact"/>
        <w:rPr>
          <w:sz w:val="20"/>
          <w:szCs w:val="20"/>
          <w:color w:val="auto"/>
        </w:rPr>
      </w:pPr>
    </w:p>
    <w:p>
      <w:pPr>
        <w:jc w:val="both"/>
        <w:ind w:left="4" w:firstLine="1737"/>
        <w:spacing w:after="0" w:line="249" w:lineRule="auto"/>
        <w:rPr>
          <w:sz w:val="20"/>
          <w:szCs w:val="20"/>
          <w:color w:val="auto"/>
        </w:rPr>
      </w:pPr>
      <w:r>
        <w:rPr>
          <w:rFonts w:ascii="Arial" w:cs="Arial" w:eastAsia="Arial" w:hAnsi="Arial"/>
          <w:sz w:val="15"/>
          <w:szCs w:val="15"/>
          <w:color w:val="auto"/>
        </w:rPr>
        <w:t xml:space="preserve">(f) additional Investments up to but not exceeding $15,000,000 in the aggregate;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sum of (x) all Investments under this </w:t>
      </w:r>
      <w:r>
        <w:rPr>
          <w:rFonts w:ascii="Arial" w:cs="Arial" w:eastAsia="Arial" w:hAnsi="Arial"/>
          <w:sz w:val="15"/>
          <w:szCs w:val="15"/>
          <w:u w:val="single" w:color="auto"/>
          <w:color w:val="auto"/>
        </w:rPr>
        <w:t>clause (f)</w:t>
      </w:r>
      <w:r>
        <w:rPr>
          <w:rFonts w:ascii="Arial" w:cs="Arial" w:eastAsia="Arial" w:hAnsi="Arial"/>
          <w:sz w:val="15"/>
          <w:szCs w:val="15"/>
          <w:color w:val="auto"/>
        </w:rPr>
        <w:t xml:space="preserve"> that occur after the Extended Commitment Termination Date and (y) all Investments under </w:t>
      </w:r>
      <w:r>
        <w:rPr>
          <w:rFonts w:ascii="Arial" w:cs="Arial" w:eastAsia="Arial" w:hAnsi="Arial"/>
          <w:sz w:val="15"/>
          <w:szCs w:val="15"/>
          <w:u w:val="single" w:color="auto"/>
          <w:color w:val="auto"/>
        </w:rPr>
        <w:t>clause (e)</w:t>
      </w:r>
      <w:r>
        <w:rPr>
          <w:rFonts w:ascii="Arial" w:cs="Arial" w:eastAsia="Arial" w:hAnsi="Arial"/>
          <w:sz w:val="15"/>
          <w:szCs w:val="15"/>
          <w:color w:val="auto"/>
        </w:rPr>
        <w:t xml:space="preserve"> above that occur after the Extended Commitment Termination Date, shall not exceed $10,000,000 in the aggregate;</w:t>
      </w:r>
    </w:p>
    <w:p>
      <w:pPr>
        <w:spacing w:after="0" w:line="125" w:lineRule="exact"/>
        <w:rPr>
          <w:sz w:val="20"/>
          <w:szCs w:val="20"/>
          <w:color w:val="auto"/>
        </w:rPr>
      </w:pPr>
    </w:p>
    <w:tbl>
      <w:tblPr>
        <w:tblLayout w:type="fixed"/>
        <w:tblInd w:w="1744" w:type="dxa"/>
        <w:tblCellMar>
          <w:top w:w="0" w:type="dxa"/>
          <w:left w:w="0" w:type="dxa"/>
          <w:bottom w:w="0" w:type="dxa"/>
          <w:right w:w="0" w:type="dxa"/>
        </w:tblCellMar>
      </w:tblPr>
      <w:tr>
        <w:trPr>
          <w:trHeight w:val="191"/>
        </w:trPr>
        <w:tc>
          <w:tcPr>
            <w:tcW w:w="840" w:type="dxa"/>
            <w:vAlign w:val="bottom"/>
          </w:tcPr>
          <w:p>
            <w:pPr>
              <w:spacing w:after="0"/>
              <w:rPr>
                <w:sz w:val="20"/>
                <w:szCs w:val="20"/>
                <w:color w:val="auto"/>
              </w:rPr>
            </w:pPr>
            <w:r>
              <w:rPr>
                <w:rFonts w:ascii="Arial" w:cs="Arial" w:eastAsia="Arial" w:hAnsi="Arial"/>
                <w:sz w:val="15"/>
                <w:szCs w:val="15"/>
                <w:color w:val="auto"/>
              </w:rPr>
              <w:t>(g)</w:t>
            </w:r>
          </w:p>
        </w:tc>
        <w:tc>
          <w:tcPr>
            <w:tcW w:w="5140" w:type="dxa"/>
            <w:vAlign w:val="bottom"/>
            <w:gridSpan w:val="5"/>
          </w:tcPr>
          <w:p>
            <w:pPr>
              <w:jc w:val="center"/>
              <w:ind w:right="1140"/>
              <w:spacing w:after="0"/>
              <w:rPr>
                <w:sz w:val="20"/>
                <w:szCs w:val="20"/>
                <w:color w:val="auto"/>
              </w:rPr>
            </w:pPr>
            <w:r>
              <w:rPr>
                <w:rFonts w:ascii="Arial" w:cs="Arial" w:eastAsia="Arial" w:hAnsi="Arial"/>
                <w:sz w:val="15"/>
                <w:szCs w:val="15"/>
                <w:color w:val="auto"/>
                <w:w w:val="89"/>
              </w:rPr>
              <w:t>Investments in Cash and Cash Equivalents;</w:t>
            </w:r>
          </w:p>
        </w:tc>
      </w:tr>
      <w:tr>
        <w:trPr>
          <w:trHeight w:val="287"/>
        </w:trPr>
        <w:tc>
          <w:tcPr>
            <w:tcW w:w="840" w:type="dxa"/>
            <w:vAlign w:val="bottom"/>
          </w:tcPr>
          <w:p>
            <w:pPr>
              <w:spacing w:after="0"/>
              <w:rPr>
                <w:sz w:val="20"/>
                <w:szCs w:val="20"/>
                <w:color w:val="auto"/>
              </w:rPr>
            </w:pPr>
            <w:r>
              <w:rPr>
                <w:rFonts w:ascii="Arial" w:cs="Arial" w:eastAsia="Arial" w:hAnsi="Arial"/>
                <w:sz w:val="15"/>
                <w:szCs w:val="15"/>
                <w:color w:val="auto"/>
              </w:rPr>
              <w:t>(h)</w:t>
            </w:r>
          </w:p>
        </w:tc>
        <w:tc>
          <w:tcPr>
            <w:tcW w:w="5140" w:type="dxa"/>
            <w:vAlign w:val="bottom"/>
            <w:gridSpan w:val="5"/>
          </w:tcPr>
          <w:p>
            <w:pPr>
              <w:jc w:val="center"/>
              <w:ind w:right="1100"/>
              <w:spacing w:after="0"/>
              <w:rPr>
                <w:sz w:val="20"/>
                <w:szCs w:val="20"/>
                <w:color w:val="auto"/>
              </w:rPr>
            </w:pPr>
            <w:r>
              <w:rPr>
                <w:rFonts w:ascii="Arial" w:cs="Arial" w:eastAsia="Arial" w:hAnsi="Arial"/>
                <w:sz w:val="15"/>
                <w:szCs w:val="15"/>
                <w:color w:val="auto"/>
                <w:w w:val="89"/>
              </w:rPr>
              <w:t>Investments described on Schedule 3.12(b);</w:t>
            </w:r>
          </w:p>
        </w:tc>
      </w:tr>
      <w:tr>
        <w:trPr>
          <w:trHeight w:val="20"/>
        </w:trPr>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6"/>
        </w:trPr>
        <w:tc>
          <w:tcPr>
            <w:tcW w:w="840" w:type="dxa"/>
            <w:vAlign w:val="bottom"/>
          </w:tcPr>
          <w:p>
            <w:pPr>
              <w:spacing w:after="0"/>
              <w:rPr>
                <w:sz w:val="20"/>
                <w:szCs w:val="20"/>
                <w:color w:val="auto"/>
              </w:rPr>
            </w:pPr>
            <w:r>
              <w:rPr>
                <w:rFonts w:ascii="Arial" w:cs="Arial" w:eastAsia="Arial" w:hAnsi="Arial"/>
                <w:sz w:val="15"/>
                <w:szCs w:val="15"/>
                <w:color w:val="auto"/>
              </w:rPr>
              <w:t>(i)</w:t>
            </w:r>
          </w:p>
        </w:tc>
        <w:tc>
          <w:tcPr>
            <w:tcW w:w="5140" w:type="dxa"/>
            <w:vAlign w:val="bottom"/>
            <w:gridSpan w:val="5"/>
          </w:tcPr>
          <w:p>
            <w:pPr>
              <w:jc w:val="center"/>
              <w:ind w:right="1180"/>
              <w:spacing w:after="0"/>
              <w:rPr>
                <w:sz w:val="20"/>
                <w:szCs w:val="20"/>
                <w:color w:val="auto"/>
              </w:rPr>
            </w:pPr>
            <w:r>
              <w:rPr>
                <w:rFonts w:ascii="Arial" w:cs="Arial" w:eastAsia="Arial" w:hAnsi="Arial"/>
                <w:sz w:val="15"/>
                <w:szCs w:val="15"/>
                <w:color w:val="auto"/>
                <w:w w:val="90"/>
              </w:rPr>
              <w:t>Investments by a Financing Subsidiary; and</w:t>
            </w:r>
          </w:p>
        </w:tc>
      </w:tr>
      <w:tr>
        <w:trPr>
          <w:trHeight w:val="287"/>
        </w:trPr>
        <w:tc>
          <w:tcPr>
            <w:tcW w:w="840" w:type="dxa"/>
            <w:vAlign w:val="bottom"/>
          </w:tcPr>
          <w:p>
            <w:pPr>
              <w:spacing w:after="0"/>
              <w:rPr>
                <w:sz w:val="20"/>
                <w:szCs w:val="20"/>
                <w:color w:val="auto"/>
              </w:rPr>
            </w:pPr>
            <w:r>
              <w:rPr>
                <w:rFonts w:ascii="Arial" w:cs="Arial" w:eastAsia="Arial" w:hAnsi="Arial"/>
                <w:sz w:val="15"/>
                <w:szCs w:val="15"/>
                <w:color w:val="auto"/>
              </w:rPr>
              <w:t>(j)</w:t>
            </w:r>
          </w:p>
        </w:tc>
        <w:tc>
          <w:tcPr>
            <w:tcW w:w="5140" w:type="dxa"/>
            <w:vAlign w:val="bottom"/>
            <w:gridSpan w:val="5"/>
          </w:tcPr>
          <w:p>
            <w:pPr>
              <w:ind w:left="660"/>
              <w:spacing w:after="0"/>
              <w:rPr>
                <w:sz w:val="20"/>
                <w:szCs w:val="20"/>
                <w:color w:val="auto"/>
              </w:rPr>
            </w:pPr>
            <w:r>
              <w:rPr>
                <w:rFonts w:ascii="Arial" w:cs="Arial" w:eastAsia="Arial" w:hAnsi="Arial"/>
                <w:sz w:val="15"/>
                <w:szCs w:val="15"/>
                <w:color w:val="auto"/>
                <w:w w:val="90"/>
              </w:rPr>
              <w:t>Investments in the form of Guarantees permitted pursuant to Section 6.01.</w:t>
            </w:r>
          </w:p>
        </w:tc>
      </w:tr>
      <w:tr>
        <w:trPr>
          <w:trHeight w:val="20"/>
        </w:trPr>
        <w:tc>
          <w:tcPr>
            <w:tcW w:w="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6" w:lineRule="exact"/>
        <w:rPr>
          <w:sz w:val="20"/>
          <w:szCs w:val="20"/>
          <w:color w:val="auto"/>
        </w:rPr>
      </w:pPr>
    </w:p>
    <w:p>
      <w:pPr>
        <w:jc w:val="both"/>
        <w:ind w:left="4" w:firstLine="1737"/>
        <w:spacing w:after="0" w:line="264" w:lineRule="auto"/>
        <w:rPr>
          <w:sz w:val="20"/>
          <w:szCs w:val="20"/>
          <w:color w:val="auto"/>
        </w:rPr>
      </w:pPr>
      <w:r>
        <w:rPr>
          <w:rFonts w:ascii="Arial" w:cs="Arial" w:eastAsia="Arial" w:hAnsi="Arial"/>
          <w:sz w:val="14"/>
          <w:szCs w:val="14"/>
          <w:color w:val="auto"/>
        </w:rPr>
        <w:t xml:space="preserve">For purposes of </w:t>
      </w:r>
      <w:r>
        <w:rPr>
          <w:rFonts w:ascii="Arial" w:cs="Arial" w:eastAsia="Arial" w:hAnsi="Arial"/>
          <w:sz w:val="14"/>
          <w:szCs w:val="14"/>
          <w:u w:val="single" w:color="auto"/>
          <w:color w:val="auto"/>
        </w:rPr>
        <w:t>clause (f)</w:t>
      </w:r>
      <w:r>
        <w:rPr>
          <w:rFonts w:ascii="Arial" w:cs="Arial" w:eastAsia="Arial" w:hAnsi="Arial"/>
          <w:sz w:val="14"/>
          <w:szCs w:val="14"/>
          <w:color w:val="auto"/>
        </w:rPr>
        <w:t xml:space="preserve"> of this Section, the aggregate amount of an Investment at any time shall be deemed to be equal to (A) the aggregate amount of cash, together with the aggregate fair market value of property, loaned, advanced, contributed, transferred or otherwise invested that gives rise to such Investment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(B) the aggregate amount of dividends, distributions or other payments received in cash in respect of such Investment;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no event shall the aggregate amount of such Investment be deemed to be less than zero; the amount of an Investment shall not in any event be reduced by reason of any write-off of such Investment nor increased by any increase in the amount of earnings retained in the Person in which such Investment is made that have not been dividended, distributed or otherwise paid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214630</wp:posOffset>
            </wp:positionV>
            <wp:extent cx="721106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type w:val="continuous"/>
        </w:sectPr>
      </w:pPr>
    </w:p>
    <w:bookmarkStart w:id="225" w:name="page226"/>
    <w:bookmarkEnd w:id="225"/>
    <w:p>
      <w:pPr>
        <w:ind w:left="1744"/>
        <w:spacing w:after="0"/>
        <w:tabs>
          <w:tab w:leader="none" w:pos="4844" w:val="left"/>
        </w:tabs>
        <w:rPr>
          <w:sz w:val="20"/>
          <w:szCs w:val="20"/>
          <w:color w:val="auto"/>
        </w:rPr>
      </w:pPr>
      <w:r>
        <w:rPr>
          <w:rFonts w:ascii="Arial" w:cs="Arial" w:eastAsia="Arial" w:hAnsi="Arial"/>
          <w:sz w:val="15"/>
          <w:szCs w:val="15"/>
          <w:color w:val="auto"/>
        </w:rPr>
        <w:t>SECTION 6.05.</w:t>
      </w:r>
      <w:r>
        <w:rPr>
          <w:sz w:val="20"/>
          <w:szCs w:val="20"/>
          <w:color w:val="auto"/>
        </w:rPr>
        <w:tab/>
      </w:r>
      <w:r>
        <w:rPr>
          <w:rFonts w:ascii="Arial" w:cs="Arial" w:eastAsia="Arial" w:hAnsi="Arial"/>
          <w:sz w:val="13"/>
          <w:szCs w:val="13"/>
          <w:u w:val="single" w:color="auto"/>
          <w:color w:val="auto"/>
        </w:rPr>
        <w:t>Restricted Payments</w:t>
      </w:r>
    </w:p>
    <w:p>
      <w:pPr>
        <w:spacing w:after="0" w:line="149" w:lineRule="exact"/>
        <w:rPr>
          <w:sz w:val="20"/>
          <w:szCs w:val="20"/>
          <w:color w:val="auto"/>
        </w:rPr>
      </w:pPr>
    </w:p>
    <w:p>
      <w:pPr>
        <w:ind w:left="4" w:right="20" w:hanging="4"/>
        <w:spacing w:after="0" w:line="262" w:lineRule="auto"/>
        <w:tabs>
          <w:tab w:leader="none" w:pos="127"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Borrower will not, nor will it permit any of the Subsidiary Guarantors to, declare or make, or agree to pay or make, directly or indirectly, any Restricted Payment, except that the Borrower may declare and pay:</w:t>
      </w:r>
    </w:p>
    <w:p>
      <w:pPr>
        <w:sectPr>
          <w:pgSz w:w="11900" w:h="16838" w:orient="portrait"/>
          <w:cols w:equalWidth="0" w:num="1">
            <w:col w:w="11304"/>
          </w:cols>
          <w:pgMar w:left="296" w:top="295" w:right="299" w:bottom="1440" w:gutter="0" w:footer="0" w:header="0"/>
        </w:sectPr>
      </w:pPr>
    </w:p>
    <w:p>
      <w:pPr>
        <w:spacing w:after="0" w:line="115" w:lineRule="exact"/>
        <w:rPr>
          <w:sz w:val="20"/>
          <w:szCs w:val="20"/>
          <w:color w:val="auto"/>
        </w:rPr>
      </w:pPr>
    </w:p>
    <w:p>
      <w:pPr>
        <w:ind w:left="1744"/>
        <w:spacing w:after="0"/>
        <w:rPr>
          <w:sz w:val="20"/>
          <w:szCs w:val="20"/>
          <w:color w:val="auto"/>
        </w:rPr>
      </w:pPr>
      <w:r>
        <w:rPr>
          <w:rFonts w:ascii="Arial" w:cs="Arial" w:eastAsia="Arial" w:hAnsi="Arial"/>
          <w:sz w:val="13"/>
          <w:szCs w:val="13"/>
          <w:color w:val="auto"/>
        </w:rPr>
        <w:t>(a)</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dividends with respect to the capital stock of the Borrower payable solely in additional shares of the Borrower’s common stock;</w:t>
      </w:r>
    </w:p>
    <w:p>
      <w:pPr>
        <w:spacing w:after="0" w:line="172" w:lineRule="exact"/>
        <w:rPr>
          <w:sz w:val="20"/>
          <w:szCs w:val="20"/>
          <w:color w:val="auto"/>
        </w:rPr>
      </w:pPr>
    </w:p>
    <w:p>
      <w:pPr>
        <w:sectPr>
          <w:pgSz w:w="11900" w:h="16838" w:orient="portrait"/>
          <w:cols w:equalWidth="0" w:num="2">
            <w:col w:w="2544" w:space="720"/>
            <w:col w:w="8040"/>
          </w:cols>
          <w:pgMar w:left="296" w:top="295" w:right="299" w:bottom="1440" w:gutter="0" w:footer="0" w:header="0"/>
          <w:type w:val="continuous"/>
        </w:sectPr>
      </w:pPr>
    </w:p>
    <w:p>
      <w:pPr>
        <w:ind w:left="1744"/>
        <w:spacing w:after="0"/>
        <w:tabs>
          <w:tab w:leader="none" w:pos="3264" w:val="left"/>
        </w:tabs>
        <w:rPr>
          <w:sz w:val="20"/>
          <w:szCs w:val="20"/>
          <w:color w:val="auto"/>
        </w:rPr>
      </w:pPr>
      <w:r>
        <w:rPr>
          <w:rFonts w:ascii="Arial" w:cs="Arial" w:eastAsia="Arial" w:hAnsi="Arial"/>
          <w:sz w:val="13"/>
          <w:szCs w:val="13"/>
          <w:color w:val="auto"/>
        </w:rPr>
        <w:t>(b)</w:t>
      </w:r>
      <w:r>
        <w:rPr>
          <w:sz w:val="20"/>
          <w:szCs w:val="20"/>
          <w:color w:val="auto"/>
        </w:rPr>
        <w:tab/>
      </w:r>
      <w:r>
        <w:rPr>
          <w:rFonts w:ascii="Arial" w:cs="Arial" w:eastAsia="Arial" w:hAnsi="Arial"/>
          <w:sz w:val="13"/>
          <w:szCs w:val="13"/>
          <w:color w:val="auto"/>
        </w:rPr>
        <w:t>dividends and distributions in either case in cash or other property (excluding for this purpose the Borrower’s common stock) in any</w:t>
      </w:r>
    </w:p>
    <w:p>
      <w:pPr>
        <w:sectPr>
          <w:pgSz w:w="11900" w:h="16838" w:orient="portrait"/>
          <w:cols w:equalWidth="0" w:num="1">
            <w:col w:w="11304"/>
          </w:cols>
          <w:pgMar w:left="296" w:top="295" w:right="299" w:bottom="1440" w:gutter="0" w:footer="0" w:header="0"/>
          <w:type w:val="continuous"/>
        </w:sectPr>
      </w:pPr>
    </w:p>
    <w:p>
      <w:pPr>
        <w:spacing w:after="0" w:line="41" w:lineRule="exact"/>
        <w:rPr>
          <w:sz w:val="20"/>
          <w:szCs w:val="20"/>
          <w:color w:val="auto"/>
        </w:rPr>
      </w:pPr>
    </w:p>
    <w:p>
      <w:pPr>
        <w:ind w:left="4" w:right="20"/>
        <w:spacing w:after="0" w:line="236" w:lineRule="auto"/>
        <w:rPr>
          <w:sz w:val="20"/>
          <w:szCs w:val="20"/>
          <w:color w:val="auto"/>
        </w:rPr>
      </w:pPr>
      <w:r>
        <w:rPr>
          <w:rFonts w:ascii="Arial" w:cs="Arial" w:eastAsia="Arial" w:hAnsi="Arial"/>
          <w:sz w:val="15"/>
          <w:szCs w:val="15"/>
          <w:color w:val="auto"/>
        </w:rPr>
        <w:t>taxable year of the Borrower in amounts not to exceed the amount that is determined in good faith by the Borrower to be required to (i) maintain the status of the Borrower as a RIC, and (ii) avoid federal excise taxes for such taxable year imposed by Section 4982 of the Code;</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2540" w:type="dxa"/>
            <w:vAlign w:val="bottom"/>
          </w:tcPr>
          <w:p>
            <w:pPr>
              <w:ind w:left="1740"/>
              <w:spacing w:after="0"/>
              <w:rPr>
                <w:sz w:val="20"/>
                <w:szCs w:val="20"/>
                <w:color w:val="auto"/>
              </w:rPr>
            </w:pPr>
            <w:r>
              <w:rPr>
                <w:rFonts w:ascii="Arial" w:cs="Arial" w:eastAsia="Arial" w:hAnsi="Arial"/>
                <w:sz w:val="15"/>
                <w:szCs w:val="15"/>
                <w:color w:val="auto"/>
              </w:rPr>
              <w:t>(c)</w:t>
            </w:r>
          </w:p>
        </w:tc>
        <w:tc>
          <w:tcPr>
            <w:tcW w:w="8760" w:type="dxa"/>
            <w:vAlign w:val="bottom"/>
            <w:gridSpan w:val="7"/>
          </w:tcPr>
          <w:p>
            <w:pPr>
              <w:jc w:val="right"/>
              <w:spacing w:after="0"/>
              <w:rPr>
                <w:sz w:val="20"/>
                <w:szCs w:val="20"/>
                <w:color w:val="auto"/>
              </w:rPr>
            </w:pPr>
            <w:r>
              <w:rPr>
                <w:rFonts w:ascii="Arial" w:cs="Arial" w:eastAsia="Arial" w:hAnsi="Arial"/>
                <w:sz w:val="15"/>
                <w:szCs w:val="15"/>
                <w:color w:val="auto"/>
              </w:rPr>
              <w:t>dividends and distributions in each case in cash or other property (excluding for this purpose the Borrower’s common stock) in</w:t>
            </w:r>
          </w:p>
        </w:tc>
      </w:tr>
      <w:tr>
        <w:trPr>
          <w:trHeight w:val="156"/>
        </w:trPr>
        <w:tc>
          <w:tcPr>
            <w:tcW w:w="11300" w:type="dxa"/>
            <w:vAlign w:val="bottom"/>
            <w:gridSpan w:val="8"/>
          </w:tcPr>
          <w:p>
            <w:pPr>
              <w:spacing w:after="0" w:line="156" w:lineRule="exact"/>
              <w:rPr>
                <w:sz w:val="20"/>
                <w:szCs w:val="20"/>
                <w:color w:val="auto"/>
              </w:rPr>
            </w:pPr>
            <w:r>
              <w:rPr>
                <w:rFonts w:ascii="Arial" w:cs="Arial" w:eastAsia="Arial" w:hAnsi="Arial"/>
                <w:sz w:val="15"/>
                <w:szCs w:val="15"/>
                <w:color w:val="auto"/>
                <w:w w:val="97"/>
              </w:rPr>
              <w:t>addition to the dividends and distributions permitted under the foregoing clauses (a) and (b), so long as on the date of such Restricted Payment and after giving effect thereto:</w:t>
            </w:r>
          </w:p>
        </w:tc>
      </w:tr>
      <w:tr>
        <w:trPr>
          <w:trHeight w:val="20"/>
        </w:trPr>
        <w:tc>
          <w:tcPr>
            <w:tcW w:w="2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6"/>
        </w:trPr>
        <w:tc>
          <w:tcPr>
            <w:tcW w:w="2540" w:type="dxa"/>
            <w:vAlign w:val="bottom"/>
          </w:tcPr>
          <w:p>
            <w:pPr>
              <w:ind w:left="1660"/>
              <w:spacing w:after="0"/>
              <w:rPr>
                <w:sz w:val="20"/>
                <w:szCs w:val="20"/>
                <w:color w:val="auto"/>
              </w:rPr>
            </w:pPr>
            <w:r>
              <w:rPr>
                <w:rFonts w:ascii="Arial" w:cs="Arial" w:eastAsia="Arial" w:hAnsi="Arial"/>
                <w:sz w:val="15"/>
                <w:szCs w:val="15"/>
                <w:color w:val="auto"/>
              </w:rPr>
              <w:t>(i)</w:t>
            </w:r>
          </w:p>
        </w:tc>
        <w:tc>
          <w:tcPr>
            <w:tcW w:w="8760" w:type="dxa"/>
            <w:vAlign w:val="bottom"/>
            <w:gridSpan w:val="7"/>
          </w:tcPr>
          <w:p>
            <w:pPr>
              <w:jc w:val="right"/>
              <w:ind w:right="3260"/>
              <w:spacing w:after="0"/>
              <w:rPr>
                <w:sz w:val="20"/>
                <w:szCs w:val="20"/>
                <w:color w:val="auto"/>
              </w:rPr>
            </w:pPr>
            <w:r>
              <w:rPr>
                <w:rFonts w:ascii="Arial" w:cs="Arial" w:eastAsia="Arial" w:hAnsi="Arial"/>
                <w:sz w:val="15"/>
                <w:szCs w:val="15"/>
                <w:color w:val="auto"/>
              </w:rPr>
              <w:t>no Default shall have occurred and be continuing or would result therefrom; and</w:t>
            </w:r>
          </w:p>
        </w:tc>
      </w:tr>
      <w:tr>
        <w:trPr>
          <w:trHeight w:val="287"/>
        </w:trPr>
        <w:tc>
          <w:tcPr>
            <w:tcW w:w="2540" w:type="dxa"/>
            <w:vAlign w:val="bottom"/>
          </w:tcPr>
          <w:p>
            <w:pPr>
              <w:ind w:left="1660"/>
              <w:spacing w:after="0"/>
              <w:rPr>
                <w:sz w:val="20"/>
                <w:szCs w:val="20"/>
                <w:color w:val="auto"/>
              </w:rPr>
            </w:pPr>
            <w:r>
              <w:rPr>
                <w:rFonts w:ascii="Arial" w:cs="Arial" w:eastAsia="Arial" w:hAnsi="Arial"/>
                <w:sz w:val="15"/>
                <w:szCs w:val="15"/>
                <w:color w:val="auto"/>
              </w:rPr>
              <w:t>(ii)</w:t>
            </w:r>
          </w:p>
        </w:tc>
        <w:tc>
          <w:tcPr>
            <w:tcW w:w="8760" w:type="dxa"/>
            <w:vAlign w:val="bottom"/>
            <w:gridSpan w:val="7"/>
          </w:tcPr>
          <w:p>
            <w:pPr>
              <w:jc w:val="right"/>
              <w:ind w:right="20"/>
              <w:spacing w:after="0"/>
              <w:rPr>
                <w:sz w:val="20"/>
                <w:szCs w:val="20"/>
                <w:color w:val="auto"/>
              </w:rPr>
            </w:pPr>
            <w:r>
              <w:rPr>
                <w:rFonts w:ascii="Arial" w:cs="Arial" w:eastAsia="Arial" w:hAnsi="Arial"/>
                <w:sz w:val="15"/>
                <w:szCs w:val="15"/>
                <w:color w:val="auto"/>
              </w:rPr>
              <w:t>the aggregate amount of Restricted Payments made during any taxable year of the Borrower after the date hereof under this clause</w:t>
            </w:r>
          </w:p>
        </w:tc>
      </w:tr>
      <w:tr>
        <w:trPr>
          <w:trHeight w:val="20"/>
        </w:trPr>
        <w:tc>
          <w:tcPr>
            <w:tcW w:w="2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4" w:firstLine="4"/>
        <w:spacing w:after="0" w:line="245" w:lineRule="auto"/>
        <w:tabs>
          <w:tab w:leader="none" w:pos="1079" w:val="left"/>
        </w:tabs>
        <w:numPr>
          <w:ilvl w:val="0"/>
          <w:numId w:val="134"/>
        </w:numPr>
        <w:rPr>
          <w:rFonts w:ascii="Arial" w:cs="Arial" w:eastAsia="Arial" w:hAnsi="Arial"/>
          <w:sz w:val="15"/>
          <w:szCs w:val="15"/>
          <w:u w:val="single" w:color="auto"/>
          <w:color w:val="auto"/>
        </w:rPr>
      </w:pPr>
      <w:r>
        <w:rPr>
          <w:rFonts w:ascii="Arial" w:cs="Arial" w:eastAsia="Arial" w:hAnsi="Arial"/>
          <w:sz w:val="15"/>
          <w:szCs w:val="15"/>
          <w:color w:val="auto"/>
        </w:rPr>
        <w:t xml:space="preserve">shall not exceed the difference of (x) an amount equal to 10% of the taxable income of the Borrower for such taxable year determined under section 852(b)(2) of the Code, but without regard to </w:t>
      </w:r>
      <w:r>
        <w:rPr>
          <w:rFonts w:ascii="Arial" w:cs="Arial" w:eastAsia="Arial" w:hAnsi="Arial"/>
          <w:sz w:val="15"/>
          <w:szCs w:val="15"/>
          <w:u w:val="single" w:color="auto"/>
          <w:color w:val="auto"/>
        </w:rPr>
        <w:t>subparagraphs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(D)</w:t>
      </w:r>
      <w:r>
        <w:rPr>
          <w:rFonts w:ascii="Arial" w:cs="Arial" w:eastAsia="Arial" w:hAnsi="Arial"/>
          <w:sz w:val="15"/>
          <w:szCs w:val="15"/>
          <w:color w:val="auto"/>
        </w:rPr>
        <w:t xml:space="preserve"> thereof,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(y) the amount, if any, by which dividends and distributions made during such taxable year pursuant to the foregoing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(whether in respect of such taxable year or the previous taxable year) based upon the Borrower’s estimate of taxable income exceeded the actual amounts specified in </w:t>
      </w:r>
      <w:r>
        <w:rPr>
          <w:rFonts w:ascii="Arial" w:cs="Arial" w:eastAsia="Arial" w:hAnsi="Arial"/>
          <w:sz w:val="15"/>
          <w:szCs w:val="15"/>
          <w:u w:val="single" w:color="auto"/>
          <w:color w:val="auto"/>
        </w:rPr>
        <w:t>subclauses (i)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of such foregoing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for such taxable year.</w:t>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000" w:type="dxa"/>
            <w:vAlign w:val="bottom"/>
          </w:tcPr>
          <w:p>
            <w:pPr>
              <w:ind w:left="1740"/>
              <w:spacing w:after="0"/>
              <w:rPr>
                <w:sz w:val="20"/>
                <w:szCs w:val="20"/>
                <w:color w:val="auto"/>
              </w:rPr>
            </w:pPr>
            <w:r>
              <w:rPr>
                <w:rFonts w:ascii="Arial" w:cs="Arial" w:eastAsia="Arial" w:hAnsi="Arial"/>
                <w:sz w:val="15"/>
                <w:szCs w:val="15"/>
                <w:color w:val="auto"/>
              </w:rPr>
              <w:t>(d)</w:t>
            </w:r>
          </w:p>
        </w:tc>
        <w:tc>
          <w:tcPr>
            <w:tcW w:w="8300" w:type="dxa"/>
            <w:vAlign w:val="bottom"/>
            <w:gridSpan w:val="3"/>
          </w:tcPr>
          <w:p>
            <w:pPr>
              <w:ind w:left="280"/>
              <w:spacing w:after="0"/>
              <w:rPr>
                <w:sz w:val="20"/>
                <w:szCs w:val="20"/>
                <w:color w:val="auto"/>
              </w:rPr>
            </w:pPr>
            <w:r>
              <w:rPr>
                <w:rFonts w:ascii="Arial" w:cs="Arial" w:eastAsia="Arial" w:hAnsi="Arial"/>
                <w:sz w:val="15"/>
                <w:szCs w:val="15"/>
                <w:color w:val="auto"/>
                <w:w w:val="92"/>
              </w:rPr>
              <w:t>other Restricted Payments so long as on the date of such other Restricted Payment and after giving effect thereto (x) the Covered</w:t>
            </w:r>
          </w:p>
        </w:tc>
      </w:tr>
      <w:tr>
        <w:trPr>
          <w:trHeight w:val="191"/>
        </w:trPr>
        <w:tc>
          <w:tcPr>
            <w:tcW w:w="11300" w:type="dxa"/>
            <w:vAlign w:val="bottom"/>
            <w:gridSpan w:val="4"/>
          </w:tcPr>
          <w:p>
            <w:pPr>
              <w:spacing w:after="0"/>
              <w:rPr>
                <w:sz w:val="20"/>
                <w:szCs w:val="20"/>
                <w:color w:val="auto"/>
              </w:rPr>
            </w:pPr>
            <w:r>
              <w:rPr>
                <w:rFonts w:ascii="Arial" w:cs="Arial" w:eastAsia="Arial" w:hAnsi="Arial"/>
                <w:sz w:val="15"/>
                <w:szCs w:val="15"/>
                <w:color w:val="auto"/>
              </w:rPr>
              <w:t>Debt Amount does not exceed 90% of the Borrowing Base and (y) no Default shall have occurred and be continuing or would result therefrom.</w:t>
            </w:r>
          </w:p>
        </w:tc>
      </w:tr>
      <w:tr>
        <w:trPr>
          <w:trHeight w:val="301"/>
        </w:trPr>
        <w:tc>
          <w:tcPr>
            <w:tcW w:w="11300" w:type="dxa"/>
            <w:vAlign w:val="bottom"/>
            <w:gridSpan w:val="4"/>
          </w:tcPr>
          <w:p>
            <w:pPr>
              <w:ind w:left="1740"/>
              <w:spacing w:after="0"/>
              <w:rPr>
                <w:sz w:val="20"/>
                <w:szCs w:val="20"/>
                <w:color w:val="auto"/>
              </w:rPr>
            </w:pPr>
            <w:r>
              <w:rPr>
                <w:rFonts w:ascii="Arial" w:cs="Arial" w:eastAsia="Arial" w:hAnsi="Arial"/>
                <w:sz w:val="15"/>
                <w:szCs w:val="15"/>
                <w:color w:val="auto"/>
                <w:w w:val="91"/>
              </w:rPr>
              <w:t>Nothing herein shall be deemed to prohibit the payment of Restricted Payments by any Subsidiary of the Borrower to the Borrower or to any other Subsidiary</w:t>
            </w:r>
          </w:p>
        </w:tc>
      </w:tr>
      <w:tr>
        <w:trPr>
          <w:trHeight w:val="191"/>
        </w:trPr>
        <w:tc>
          <w:tcPr>
            <w:tcW w:w="3000" w:type="dxa"/>
            <w:vAlign w:val="bottom"/>
          </w:tcPr>
          <w:p>
            <w:pPr>
              <w:spacing w:after="0"/>
              <w:rPr>
                <w:sz w:val="20"/>
                <w:szCs w:val="20"/>
                <w:color w:val="auto"/>
              </w:rPr>
            </w:pPr>
            <w:r>
              <w:rPr>
                <w:rFonts w:ascii="Arial" w:cs="Arial" w:eastAsia="Arial" w:hAnsi="Arial"/>
                <w:sz w:val="15"/>
                <w:szCs w:val="15"/>
                <w:color w:val="auto"/>
              </w:rPr>
              <w:t>Guarantor.</w:t>
            </w:r>
          </w:p>
        </w:tc>
        <w:tc>
          <w:tcPr>
            <w:tcW w:w="1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60" w:type="dxa"/>
            <w:vAlign w:val="bottom"/>
          </w:tcPr>
          <w:p>
            <w:pPr>
              <w:spacing w:after="0"/>
              <w:rPr>
                <w:sz w:val="16"/>
                <w:szCs w:val="16"/>
                <w:color w:val="auto"/>
              </w:rPr>
            </w:pPr>
          </w:p>
        </w:tc>
      </w:tr>
      <w:tr>
        <w:trPr>
          <w:trHeight w:val="287"/>
        </w:trPr>
        <w:tc>
          <w:tcPr>
            <w:tcW w:w="3000" w:type="dxa"/>
            <w:vAlign w:val="bottom"/>
          </w:tcPr>
          <w:p>
            <w:pPr>
              <w:ind w:left="1740"/>
              <w:spacing w:after="0"/>
              <w:rPr>
                <w:sz w:val="20"/>
                <w:szCs w:val="20"/>
                <w:color w:val="auto"/>
              </w:rPr>
            </w:pPr>
            <w:r>
              <w:rPr>
                <w:rFonts w:ascii="Arial" w:cs="Arial" w:eastAsia="Arial" w:hAnsi="Arial"/>
                <w:sz w:val="15"/>
                <w:szCs w:val="15"/>
                <w:color w:val="auto"/>
              </w:rPr>
              <w:t>SECTION 6.06.</w:t>
            </w:r>
          </w:p>
        </w:tc>
        <w:tc>
          <w:tcPr>
            <w:tcW w:w="186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90"/>
              </w:rPr>
              <w:t>Certain Restrictions on Subsidiaries</w:t>
            </w:r>
          </w:p>
        </w:tc>
        <w:tc>
          <w:tcPr>
            <w:tcW w:w="4260" w:type="dxa"/>
            <w:vAlign w:val="bottom"/>
          </w:tcPr>
          <w:p>
            <w:pPr>
              <w:spacing w:after="0"/>
              <w:rPr>
                <w:sz w:val="24"/>
                <w:szCs w:val="24"/>
                <w:color w:val="auto"/>
              </w:rPr>
            </w:pPr>
          </w:p>
        </w:tc>
      </w:tr>
    </w:tbl>
    <w:p>
      <w:pPr>
        <w:spacing w:after="0" w:line="156" w:lineRule="exact"/>
        <w:rPr>
          <w:sz w:val="20"/>
          <w:szCs w:val="20"/>
          <w:color w:val="auto"/>
        </w:rPr>
      </w:pPr>
    </w:p>
    <w:p>
      <w:pPr>
        <w:jc w:val="both"/>
        <w:ind w:left="4" w:right="20" w:hanging="4"/>
        <w:spacing w:after="0" w:line="243" w:lineRule="auto"/>
        <w:tabs>
          <w:tab w:leader="none" w:pos="118"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Borrower will not permit any of its Subsidiaries (other than Financing Subsidiaries) to enter into or suffer to exist any indenture, agreement, instrument or other arrangement (other than the Loan Documents) that prohibits or restrains, in each case in any material respect, or imposes materially adverse conditions upon, the incurrence or payment of Indebtedness, the declaration or payment of dividends, the making of loans, advances, guarantees or Investments or the sale, assignment, transfer or other disposition of property to the Borrower by any Subsidiary; provided that the foregoing shall not apply to (i) indentures, agreements, instruments or other arrangements pertaining to other Indebtedness permitted hereby (provided that such restrictions would not adversely affect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222250</wp:posOffset>
            </wp:positionV>
            <wp:extent cx="721106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type w:val="continuous"/>
        </w:sectPr>
      </w:pPr>
    </w:p>
    <w:bookmarkStart w:id="226" w:name="page227"/>
    <w:bookmarkEnd w:id="226"/>
    <w:p>
      <w:pPr>
        <w:jc w:val="both"/>
        <w:ind w:left="4" w:right="20"/>
        <w:spacing w:after="0" w:line="306" w:lineRule="auto"/>
        <w:rPr>
          <w:sz w:val="20"/>
          <w:szCs w:val="20"/>
          <w:color w:val="auto"/>
        </w:rPr>
      </w:pPr>
      <w:r>
        <w:rPr>
          <w:rFonts w:ascii="Arial" w:cs="Arial" w:eastAsia="Arial" w:hAnsi="Arial"/>
          <w:sz w:val="13"/>
          <w:szCs w:val="13"/>
          <w:color w:val="auto"/>
        </w:rPr>
        <w:t>exercise of rights or remedies of the Administrative Agent or the Lenders hereunder or under the Security Documents or restrict any Subsidiary in any manner from performing its obligations under the Loan Documents) and (ii) indentures, agreements, instruments or other arrangements pertaining to any lease, sale or other disposition of any asset permitted by this Agreement or any Lien permitted by this Agreement on such asset so long as the applicable restrictions only apply to the assets subject to such lease, sale, other disposition or Lien.</w:t>
      </w:r>
    </w:p>
    <w:p>
      <w:pPr>
        <w:spacing w:after="0" w:line="7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6.07.</w:t>
            </w:r>
          </w:p>
        </w:tc>
        <w:tc>
          <w:tcPr>
            <w:tcW w:w="8020" w:type="dxa"/>
            <w:vAlign w:val="bottom"/>
            <w:gridSpan w:val="4"/>
          </w:tcPr>
          <w:p>
            <w:pPr>
              <w:ind w:left="1600"/>
              <w:spacing w:after="0"/>
              <w:rPr>
                <w:sz w:val="20"/>
                <w:szCs w:val="20"/>
                <w:color w:val="auto"/>
              </w:rPr>
            </w:pPr>
            <w:r>
              <w:rPr>
                <w:rFonts w:ascii="Arial" w:cs="Arial" w:eastAsia="Arial" w:hAnsi="Arial"/>
                <w:sz w:val="15"/>
                <w:szCs w:val="15"/>
                <w:color w:val="auto"/>
              </w:rPr>
              <w:t>Certain Financial Covenants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7"/>
              </w:rPr>
              <w:t>Minimum Shareholders’ Equity.  The Borrower will not permit Shareholders’ Equity at the last day of any fiscal quarter of the</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5"/>
          <w:szCs w:val="15"/>
          <w:color w:val="auto"/>
        </w:rPr>
        <w:t>Borrower to be less than $500,000,000 plus 25% of the net proceeds of the sale of Equity Interests by the Borrower and its Subsidiaries after the Ninth Amendment Effective Date (other than proceeds of sales of Equity Interests by and among the Borrower and its Subsidiaries).</w:t>
      </w:r>
    </w:p>
    <w:p>
      <w:pPr>
        <w:spacing w:after="0" w:line="115"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280" w:type="dxa"/>
            <w:vAlign w:val="bottom"/>
          </w:tcPr>
          <w:p>
            <w:pPr>
              <w:ind w:left="1740"/>
              <w:spacing w:after="0"/>
              <w:rPr>
                <w:sz w:val="20"/>
                <w:szCs w:val="20"/>
                <w:color w:val="auto"/>
              </w:rPr>
            </w:pPr>
            <w:r>
              <w:rPr>
                <w:rFonts w:ascii="Arial" w:cs="Arial" w:eastAsia="Arial" w:hAnsi="Arial"/>
                <w:sz w:val="15"/>
                <w:szCs w:val="15"/>
                <w:color w:val="auto"/>
              </w:rPr>
              <w:t>(b)</w:t>
            </w:r>
          </w:p>
        </w:tc>
        <w:tc>
          <w:tcPr>
            <w:tcW w:w="8020" w:type="dxa"/>
            <w:vAlign w:val="bottom"/>
            <w:gridSpan w:val="5"/>
          </w:tcPr>
          <w:p>
            <w:pPr>
              <w:spacing w:after="0"/>
              <w:rPr>
                <w:sz w:val="20"/>
                <w:szCs w:val="20"/>
                <w:color w:val="auto"/>
              </w:rPr>
            </w:pPr>
            <w:r>
              <w:rPr>
                <w:rFonts w:ascii="Arial" w:cs="Arial" w:eastAsia="Arial" w:hAnsi="Arial"/>
                <w:sz w:val="15"/>
                <w:szCs w:val="15"/>
                <w:color w:val="auto"/>
              </w:rPr>
              <w:t>[Reserved].</w:t>
            </w: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(c)</w:t>
            </w:r>
          </w:p>
        </w:tc>
        <w:tc>
          <w:tcPr>
            <w:tcW w:w="8020" w:type="dxa"/>
            <w:vAlign w:val="bottom"/>
            <w:gridSpan w:val="5"/>
          </w:tcPr>
          <w:p>
            <w:pPr>
              <w:spacing w:after="0"/>
              <w:rPr>
                <w:sz w:val="20"/>
                <w:szCs w:val="20"/>
                <w:color w:val="auto"/>
              </w:rPr>
            </w:pPr>
            <w:r>
              <w:rPr>
                <w:rFonts w:ascii="Arial" w:cs="Arial" w:eastAsia="Arial" w:hAnsi="Arial"/>
                <w:sz w:val="15"/>
                <w:szCs w:val="15"/>
                <w:color w:val="auto"/>
                <w:w w:val="96"/>
              </w:rPr>
              <w:t>Borrower Asset Coverage Ratio.  The Borrower will not permit the Borrower Asset Coverage Ratio at the last day of any fiscal</w:t>
            </w:r>
          </w:p>
        </w:tc>
      </w:tr>
      <w:tr>
        <w:trPr>
          <w:trHeight w:val="20"/>
        </w:trPr>
        <w:tc>
          <w:tcPr>
            <w:tcW w:w="328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5"/>
        </w:trPr>
        <w:tc>
          <w:tcPr>
            <w:tcW w:w="11300" w:type="dxa"/>
            <w:vAlign w:val="bottom"/>
            <w:gridSpan w:val="6"/>
          </w:tcPr>
          <w:p>
            <w:pPr>
              <w:spacing w:after="0"/>
              <w:rPr>
                <w:sz w:val="20"/>
                <w:szCs w:val="20"/>
                <w:color w:val="auto"/>
              </w:rPr>
            </w:pPr>
            <w:r>
              <w:rPr>
                <w:rFonts w:ascii="Arial" w:cs="Arial" w:eastAsia="Arial" w:hAnsi="Arial"/>
                <w:sz w:val="15"/>
                <w:szCs w:val="15"/>
                <w:color w:val="auto"/>
              </w:rPr>
              <w:t>quarter of the Borrower to be less than 2.00 to 1 at any time.</w:t>
            </w: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(d)</w:t>
            </w:r>
          </w:p>
        </w:tc>
        <w:tc>
          <w:tcPr>
            <w:tcW w:w="8020" w:type="dxa"/>
            <w:vAlign w:val="bottom"/>
            <w:gridSpan w:val="5"/>
          </w:tcPr>
          <w:p>
            <w:pPr>
              <w:spacing w:after="0"/>
              <w:rPr>
                <w:sz w:val="20"/>
                <w:szCs w:val="20"/>
                <w:color w:val="auto"/>
              </w:rPr>
            </w:pPr>
            <w:r>
              <w:rPr>
                <w:rFonts w:ascii="Arial" w:cs="Arial" w:eastAsia="Arial" w:hAnsi="Arial"/>
                <w:sz w:val="15"/>
                <w:szCs w:val="15"/>
                <w:color w:val="auto"/>
                <w:w w:val="94"/>
              </w:rPr>
              <w:t>Consolidated Asset Coverage Ratio.  The Borrower will not permit the Consolidated Asset Coverage Ratio at the last day of any</w:t>
            </w:r>
          </w:p>
        </w:tc>
      </w:tr>
      <w:tr>
        <w:trPr>
          <w:trHeight w:val="20"/>
        </w:trPr>
        <w:tc>
          <w:tcPr>
            <w:tcW w:w="3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185"/>
        </w:trPr>
        <w:tc>
          <w:tcPr>
            <w:tcW w:w="11300" w:type="dxa"/>
            <w:vAlign w:val="bottom"/>
            <w:gridSpan w:val="6"/>
          </w:tcPr>
          <w:p>
            <w:pPr>
              <w:spacing w:after="0"/>
              <w:rPr>
                <w:sz w:val="20"/>
                <w:szCs w:val="20"/>
                <w:color w:val="auto"/>
              </w:rPr>
            </w:pPr>
            <w:r>
              <w:rPr>
                <w:rFonts w:ascii="Arial" w:cs="Arial" w:eastAsia="Arial" w:hAnsi="Arial"/>
                <w:sz w:val="15"/>
                <w:szCs w:val="15"/>
                <w:color w:val="auto"/>
              </w:rPr>
              <w:t>fiscal quarter of the Borrower to be less than 1.50 to 1 at any time.</w:t>
            </w:r>
          </w:p>
        </w:tc>
      </w:tr>
      <w:tr>
        <w:trPr>
          <w:trHeight w:val="287"/>
        </w:trPr>
        <w:tc>
          <w:tcPr>
            <w:tcW w:w="3280" w:type="dxa"/>
            <w:vAlign w:val="bottom"/>
          </w:tcPr>
          <w:p>
            <w:pPr>
              <w:ind w:left="1740"/>
              <w:spacing w:after="0"/>
              <w:rPr>
                <w:sz w:val="20"/>
                <w:szCs w:val="20"/>
                <w:color w:val="auto"/>
              </w:rPr>
            </w:pPr>
            <w:r>
              <w:rPr>
                <w:rFonts w:ascii="Arial" w:cs="Arial" w:eastAsia="Arial" w:hAnsi="Arial"/>
                <w:sz w:val="15"/>
                <w:szCs w:val="15"/>
                <w:color w:val="auto"/>
              </w:rPr>
              <w:t>SECTION 6.08.</w:t>
            </w:r>
          </w:p>
        </w:tc>
        <w:tc>
          <w:tcPr>
            <w:tcW w:w="1580" w:type="dxa"/>
            <w:vAlign w:val="bottom"/>
          </w:tcPr>
          <w:p>
            <w:pPr>
              <w:spacing w:after="0"/>
              <w:rPr>
                <w:sz w:val="24"/>
                <w:szCs w:val="24"/>
                <w:color w:val="auto"/>
              </w:rPr>
            </w:pPr>
          </w:p>
        </w:tc>
        <w:tc>
          <w:tcPr>
            <w:tcW w:w="6440" w:type="dxa"/>
            <w:vAlign w:val="bottom"/>
            <w:gridSpan w:val="4"/>
          </w:tcPr>
          <w:p>
            <w:pPr>
              <w:spacing w:after="0"/>
              <w:rPr>
                <w:sz w:val="20"/>
                <w:szCs w:val="20"/>
                <w:color w:val="auto"/>
              </w:rPr>
            </w:pPr>
            <w:r>
              <w:rPr>
                <w:rFonts w:ascii="Arial" w:cs="Arial" w:eastAsia="Arial" w:hAnsi="Arial"/>
                <w:sz w:val="15"/>
                <w:szCs w:val="15"/>
                <w:color w:val="auto"/>
              </w:rPr>
              <w:t>Transactions with Affiliates</w:t>
            </w:r>
          </w:p>
        </w:tc>
      </w:tr>
      <w:tr>
        <w:trPr>
          <w:trHeight w:val="20"/>
        </w:trPr>
        <w:tc>
          <w:tcPr>
            <w:tcW w:w="3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56" w:lineRule="exact"/>
        <w:rPr>
          <w:sz w:val="20"/>
          <w:szCs w:val="20"/>
          <w:color w:val="auto"/>
        </w:rPr>
      </w:pPr>
    </w:p>
    <w:p>
      <w:pPr>
        <w:ind w:left="124" w:hanging="124"/>
        <w:spacing w:after="0"/>
        <w:tabs>
          <w:tab w:leader="none" w:pos="124" w:val="left"/>
        </w:tabs>
        <w:numPr>
          <w:ilvl w:val="0"/>
          <w:numId w:val="136"/>
        </w:numPr>
        <w:rPr>
          <w:rFonts w:ascii="Arial" w:cs="Arial" w:eastAsia="Arial" w:hAnsi="Arial"/>
          <w:sz w:val="14"/>
          <w:szCs w:val="14"/>
          <w:color w:val="auto"/>
        </w:rPr>
      </w:pPr>
      <w:r>
        <w:rPr>
          <w:rFonts w:ascii="Arial" w:cs="Arial" w:eastAsia="Arial" w:hAnsi="Arial"/>
          <w:sz w:val="14"/>
          <w:szCs w:val="14"/>
          <w:color w:val="auto"/>
        </w:rPr>
        <w:t>The Borrower will not, and will not permit any of its Subsidiaries to enter into any transactions with any of its Affiliates, even if otherwise permitted under this Agreement, except</w:t>
      </w:r>
    </w:p>
    <w:p>
      <w:pPr>
        <w:spacing w:after="0" w:line="21" w:lineRule="exact"/>
        <w:rPr>
          <w:rFonts w:ascii="Arial" w:cs="Arial" w:eastAsia="Arial" w:hAnsi="Arial"/>
          <w:sz w:val="14"/>
          <w:szCs w:val="14"/>
          <w:color w:val="auto"/>
        </w:rPr>
      </w:pPr>
    </w:p>
    <w:p>
      <w:pPr>
        <w:jc w:val="both"/>
        <w:ind w:left="4"/>
        <w:spacing w:after="0" w:line="238" w:lineRule="auto"/>
        <w:rPr>
          <w:rFonts w:ascii="Arial" w:cs="Arial" w:eastAsia="Arial" w:hAnsi="Arial"/>
          <w:sz w:val="14"/>
          <w:szCs w:val="14"/>
          <w:color w:val="auto"/>
        </w:rPr>
      </w:pPr>
      <w:r>
        <w:rPr>
          <w:rFonts w:ascii="Arial" w:cs="Arial" w:eastAsia="Arial" w:hAnsi="Arial"/>
          <w:sz w:val="15"/>
          <w:szCs w:val="15"/>
          <w:color w:val="auto"/>
        </w:rPr>
        <w:t xml:space="preserve">(a) transactions in the ordinary course of business at prices and on terms and conditions not less favorable to the Borrower or such Subsidiary (other than a SBIC Subsidiary) than could be obtained on an arm’s-length basis from unrelated third parties, (b) transactions between or among the Borrower and its Subsidiaries not involving any other Affiliate, (c) Restricted Payments permitted by </w:t>
      </w:r>
      <w:r>
        <w:rPr>
          <w:rFonts w:ascii="Arial" w:cs="Arial" w:eastAsia="Arial" w:hAnsi="Arial"/>
          <w:sz w:val="15"/>
          <w:szCs w:val="15"/>
          <w:u w:val="single" w:color="auto"/>
          <w:color w:val="auto"/>
        </w:rPr>
        <w:t>Section 6.05</w:t>
      </w:r>
      <w:r>
        <w:rPr>
          <w:rFonts w:ascii="Arial" w:cs="Arial" w:eastAsia="Arial" w:hAnsi="Arial"/>
          <w:sz w:val="15"/>
          <w:szCs w:val="15"/>
          <w:color w:val="auto"/>
        </w:rPr>
        <w:t>, (d) the transactions provided in the Affiliate Agreements, (e) transactions described on Schedule 6.08, (f) any Investment that results in the creation of an Affiliate or (g) transactions between or among the Obligors and any SBIC Subsidiary or any “downstream affiliate” (as such term is used under the rules promulgated under the Investment Company Act) company of an Obligor at prices and on terms and conditions, taken as a whole, not materially less favorable to the Obligors than could be obtained at the time on an arm’s-length basis from unrelated third parties.</w:t>
      </w:r>
    </w:p>
    <w:p>
      <w:pPr>
        <w:spacing w:after="0" w:line="134"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6.09.</w:t>
      </w:r>
      <w:r>
        <w:rPr>
          <w:sz w:val="20"/>
          <w:szCs w:val="20"/>
          <w:color w:val="auto"/>
        </w:rPr>
        <w:tab/>
      </w:r>
      <w:r>
        <w:rPr>
          <w:rFonts w:ascii="Arial" w:cs="Arial" w:eastAsia="Arial" w:hAnsi="Arial"/>
          <w:sz w:val="13"/>
          <w:szCs w:val="13"/>
          <w:u w:val="single" w:color="auto"/>
          <w:color w:val="auto"/>
        </w:rPr>
        <w:t>Lines of Business</w:t>
      </w:r>
    </w:p>
    <w:p>
      <w:pPr>
        <w:spacing w:after="0" w:line="149" w:lineRule="exact"/>
        <w:rPr>
          <w:sz w:val="20"/>
          <w:szCs w:val="20"/>
          <w:color w:val="auto"/>
        </w:rPr>
      </w:pPr>
    </w:p>
    <w:p>
      <w:pPr>
        <w:ind w:left="4" w:right="20" w:hanging="4"/>
        <w:spacing w:after="0" w:line="298" w:lineRule="auto"/>
        <w:tabs>
          <w:tab w:leader="none" w:pos="123"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Borrower will not, nor will it permit any of its Subsidiaries (other than Immaterial Subsidiaries) to, engage to any material extent in any business other than in accordance with its Investment Policies. The Borrower will not, nor will it permit any of its Subsidiaries to amend or modify the Investment Policies (other than a Permitted Policy Amendment).</w:t>
      </w:r>
    </w:p>
    <w:p>
      <w:pPr>
        <w:spacing w:after="0" w:line="92"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6.10.</w:t>
      </w:r>
      <w:r>
        <w:rPr>
          <w:sz w:val="20"/>
          <w:szCs w:val="20"/>
          <w:color w:val="auto"/>
        </w:rPr>
        <w:tab/>
      </w:r>
      <w:r>
        <w:rPr>
          <w:rFonts w:ascii="Arial" w:cs="Arial" w:eastAsia="Arial" w:hAnsi="Arial"/>
          <w:sz w:val="13"/>
          <w:szCs w:val="13"/>
          <w:u w:val="single" w:color="auto"/>
          <w:color w:val="auto"/>
        </w:rPr>
        <w:t>No Further Negative Pledge</w:t>
      </w:r>
    </w:p>
    <w:p>
      <w:pPr>
        <w:spacing w:after="0" w:line="149" w:lineRule="exact"/>
        <w:rPr>
          <w:sz w:val="20"/>
          <w:szCs w:val="20"/>
          <w:color w:val="auto"/>
        </w:rPr>
      </w:pPr>
    </w:p>
    <w:p>
      <w:pPr>
        <w:ind w:left="4" w:right="20" w:hanging="4"/>
        <w:spacing w:after="0" w:line="262" w:lineRule="auto"/>
        <w:tabs>
          <w:tab w:leader="none" w:pos="123" w:val="left"/>
        </w:tabs>
        <w:numPr>
          <w:ilvl w:val="0"/>
          <w:numId w:val="138"/>
        </w:numPr>
        <w:rPr>
          <w:rFonts w:ascii="Arial" w:cs="Arial" w:eastAsia="Arial" w:hAnsi="Arial"/>
          <w:sz w:val="15"/>
          <w:szCs w:val="15"/>
          <w:color w:val="auto"/>
        </w:rPr>
      </w:pPr>
      <w:r>
        <w:rPr>
          <w:rFonts w:ascii="Arial" w:cs="Arial" w:eastAsia="Arial" w:hAnsi="Arial"/>
          <w:sz w:val="15"/>
          <w:szCs w:val="15"/>
          <w:color w:val="auto"/>
        </w:rPr>
        <w:t>The Borrower will not, and will not permit any of the Subsidiary Guarantors to, enter into any agreement, instrument, deed or lease which prohibits or limits the ability of any Obligor to create, incur, assume or suffer to exist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27" w:name="page228"/>
    <w:bookmarkEnd w:id="227"/>
    <w:p>
      <w:pPr>
        <w:jc w:val="both"/>
        <w:ind w:left="4" w:right="20"/>
        <w:spacing w:after="0" w:line="262" w:lineRule="auto"/>
        <w:rPr>
          <w:sz w:val="20"/>
          <w:szCs w:val="20"/>
          <w:color w:val="auto"/>
        </w:rPr>
      </w:pPr>
      <w:r>
        <w:rPr>
          <w:rFonts w:ascii="Arial" w:cs="Arial" w:eastAsia="Arial" w:hAnsi="Arial"/>
          <w:sz w:val="14"/>
          <w:szCs w:val="14"/>
          <w:color w:val="auto"/>
        </w:rPr>
        <w:t xml:space="preserve">Lien upon any of its properties, assets or revenues, whether now owned or hereafter acquired, or which requires the grant of any security for an obligation if security is granted for another obligation, except the following: (a) this Agreement, the other Loan Documents and documents with respect to Indebtedness permitted under </w:t>
      </w:r>
      <w:r>
        <w:rPr>
          <w:rFonts w:ascii="Arial" w:cs="Arial" w:eastAsia="Arial" w:hAnsi="Arial"/>
          <w:sz w:val="14"/>
          <w:szCs w:val="14"/>
          <w:u w:val="single" w:color="auto"/>
          <w:color w:val="auto"/>
        </w:rPr>
        <w:t>Section 6.01(b)</w:t>
      </w:r>
      <w:r>
        <w:rPr>
          <w:rFonts w:ascii="Arial" w:cs="Arial" w:eastAsia="Arial" w:hAnsi="Arial"/>
          <w:sz w:val="14"/>
          <w:szCs w:val="14"/>
          <w:color w:val="auto"/>
        </w:rPr>
        <w:t xml:space="preserve">, </w:t>
      </w:r>
      <w:r>
        <w:rPr>
          <w:rFonts w:ascii="Arial" w:cs="Arial" w:eastAsia="Arial" w:hAnsi="Arial"/>
          <w:sz w:val="14"/>
          <w:szCs w:val="14"/>
          <w:u w:val="single" w:color="auto"/>
          <w:color w:val="auto"/>
        </w:rPr>
        <w:t>(i)</w:t>
      </w:r>
      <w:r>
        <w:rPr>
          <w:rFonts w:ascii="Arial" w:cs="Arial" w:eastAsia="Arial" w:hAnsi="Arial"/>
          <w:sz w:val="14"/>
          <w:szCs w:val="14"/>
          <w:color w:val="auto"/>
        </w:rPr>
        <w:t xml:space="preserve">, </w:t>
      </w:r>
      <w:r>
        <w:rPr>
          <w:rFonts w:ascii="Arial" w:cs="Arial" w:eastAsia="Arial" w:hAnsi="Arial"/>
          <w:sz w:val="14"/>
          <w:szCs w:val="14"/>
          <w:u w:val="single" w:color="auto"/>
          <w:color w:val="auto"/>
        </w:rPr>
        <w:t>(m)</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(n)</w:t>
      </w:r>
      <w:r>
        <w:rPr>
          <w:rFonts w:ascii="Arial" w:cs="Arial" w:eastAsia="Arial" w:hAnsi="Arial"/>
          <w:sz w:val="14"/>
          <w:szCs w:val="14"/>
          <w:color w:val="auto"/>
        </w:rPr>
        <w:t>;</w:t>
      </w:r>
    </w:p>
    <w:p>
      <w:pPr>
        <w:spacing w:after="0" w:line="1" w:lineRule="exact"/>
        <w:rPr>
          <w:sz w:val="20"/>
          <w:szCs w:val="20"/>
          <w:color w:val="auto"/>
        </w:rPr>
      </w:pPr>
    </w:p>
    <w:p>
      <w:pPr>
        <w:jc w:val="both"/>
        <w:ind w:left="4" w:hanging="4"/>
        <w:spacing w:after="0" w:line="238" w:lineRule="auto"/>
        <w:tabs>
          <w:tab w:leader="none" w:pos="222" w:val="left"/>
        </w:tabs>
        <w:numPr>
          <w:ilvl w:val="0"/>
          <w:numId w:val="139"/>
        </w:numPr>
        <w:rPr>
          <w:rFonts w:ascii="Arial" w:cs="Arial" w:eastAsia="Arial" w:hAnsi="Arial"/>
          <w:sz w:val="15"/>
          <w:szCs w:val="15"/>
          <w:color w:val="auto"/>
        </w:rPr>
      </w:pPr>
      <w:r>
        <w:rPr>
          <w:rFonts w:ascii="Arial" w:cs="Arial" w:eastAsia="Arial" w:hAnsi="Arial"/>
          <w:sz w:val="15"/>
          <w:szCs w:val="15"/>
          <w:color w:val="auto"/>
        </w:rPr>
        <w:t xml:space="preserve">covenants in documents creating Liens permitted by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(including covenants with respect to the Designated Obligations or Designated Indebtedness Holders under (and, in each case, as defined in) the Security Documents) prohibiting further Liens on the assets encumbered thereby; (c) customary restrictions contained in leases not subject to a waiver; (d) any such agreement that imposes restrictions on investments or other interests in Financing Subsidiaries (but no other assets of any Obligor); and (e) any other agreement that does not restrict in any manner (directly or indirectly) Liens created pursuant to the Loan Documents on any Collateral securing the “Secured Obligations” under and as defined in the Guarantee and Security Agreement and does not require the direct or indirect granting of any Lien securing any Indebtedness or other obligation by virtue of the granting of Liens on or pledge of property of any Obligor to secure the Loans or any Hedging Agreement.</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2980" w:type="dxa"/>
            <w:vAlign w:val="bottom"/>
          </w:tcPr>
          <w:p>
            <w:pPr>
              <w:ind w:left="1740"/>
              <w:spacing w:after="0"/>
              <w:rPr>
                <w:sz w:val="20"/>
                <w:szCs w:val="20"/>
                <w:color w:val="auto"/>
              </w:rPr>
            </w:pPr>
            <w:r>
              <w:rPr>
                <w:rFonts w:ascii="Arial" w:cs="Arial" w:eastAsia="Arial" w:hAnsi="Arial"/>
                <w:sz w:val="15"/>
                <w:szCs w:val="15"/>
                <w:color w:val="auto"/>
              </w:rPr>
              <w:t>SECTION 6.11.</w:t>
            </w:r>
          </w:p>
        </w:tc>
        <w:tc>
          <w:tcPr>
            <w:tcW w:w="188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5"/>
                <w:szCs w:val="15"/>
                <w:color w:val="auto"/>
              </w:rPr>
              <w:t>Modifications of Longer-Term Indebtedness Documents</w:t>
            </w:r>
          </w:p>
        </w:tc>
      </w:tr>
      <w:tr>
        <w:trPr>
          <w:trHeight w:val="336"/>
        </w:trPr>
        <w:tc>
          <w:tcPr>
            <w:tcW w:w="4860" w:type="dxa"/>
            <w:vAlign w:val="bottom"/>
            <w:gridSpan w:val="2"/>
          </w:tcPr>
          <w:p>
            <w:pPr>
              <w:spacing w:after="0"/>
              <w:rPr>
                <w:sz w:val="20"/>
                <w:szCs w:val="20"/>
                <w:color w:val="auto"/>
              </w:rPr>
            </w:pPr>
            <w:r>
              <w:rPr>
                <w:rFonts w:ascii="Arial" w:cs="Arial" w:eastAsia="Arial" w:hAnsi="Arial"/>
                <w:sz w:val="15"/>
                <w:szCs w:val="15"/>
                <w:color w:val="auto"/>
                <w:w w:val="95"/>
              </w:rPr>
              <w:t>. The Borrower will not consent to any modification, supplement or waiver of:</w:t>
            </w:r>
          </w:p>
        </w:tc>
        <w:tc>
          <w:tcPr>
            <w:tcW w:w="340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313"/>
        </w:trPr>
        <w:tc>
          <w:tcPr>
            <w:tcW w:w="2980" w:type="dxa"/>
            <w:vAlign w:val="bottom"/>
          </w:tcPr>
          <w:p>
            <w:pPr>
              <w:ind w:left="1740"/>
              <w:spacing w:after="0"/>
              <w:rPr>
                <w:sz w:val="20"/>
                <w:szCs w:val="20"/>
                <w:color w:val="auto"/>
              </w:rPr>
            </w:pPr>
            <w:r>
              <w:rPr>
                <w:rFonts w:ascii="Arial" w:cs="Arial" w:eastAsia="Arial" w:hAnsi="Arial"/>
                <w:sz w:val="15"/>
                <w:szCs w:val="15"/>
                <w:color w:val="auto"/>
              </w:rPr>
              <w:t>(a)</w:t>
            </w:r>
          </w:p>
        </w:tc>
        <w:tc>
          <w:tcPr>
            <w:tcW w:w="1880" w:type="dxa"/>
            <w:vAlign w:val="bottom"/>
          </w:tcPr>
          <w:p>
            <w:pPr>
              <w:ind w:left="280"/>
              <w:spacing w:after="0"/>
              <w:rPr>
                <w:sz w:val="20"/>
                <w:szCs w:val="20"/>
                <w:color w:val="auto"/>
              </w:rPr>
            </w:pPr>
            <w:r>
              <w:rPr>
                <w:rFonts w:ascii="Arial" w:cs="Arial" w:eastAsia="Arial" w:hAnsi="Arial"/>
                <w:sz w:val="15"/>
                <w:szCs w:val="15"/>
                <w:color w:val="auto"/>
              </w:rPr>
              <w:t>any of the provisions of</w:t>
            </w:r>
          </w:p>
        </w:tc>
        <w:tc>
          <w:tcPr>
            <w:tcW w:w="6420" w:type="dxa"/>
            <w:vAlign w:val="bottom"/>
            <w:gridSpan w:val="2"/>
          </w:tcPr>
          <w:p>
            <w:pPr>
              <w:ind w:left="60"/>
              <w:spacing w:after="0"/>
              <w:rPr>
                <w:sz w:val="20"/>
                <w:szCs w:val="20"/>
                <w:color w:val="auto"/>
              </w:rPr>
            </w:pPr>
            <w:r>
              <w:rPr>
                <w:rFonts w:ascii="Arial" w:cs="Arial" w:eastAsia="Arial" w:hAnsi="Arial"/>
                <w:sz w:val="15"/>
                <w:szCs w:val="15"/>
                <w:color w:val="auto"/>
                <w:w w:val="97"/>
              </w:rPr>
              <w:t>any agreement, instrument or other document evidencing or relating to any Secured Longer-Term</w:t>
            </w:r>
          </w:p>
        </w:tc>
      </w:tr>
    </w:tbl>
    <w:p>
      <w:pPr>
        <w:jc w:val="both"/>
        <w:ind w:left="4"/>
        <w:spacing w:after="0" w:line="258" w:lineRule="auto"/>
        <w:rPr>
          <w:sz w:val="20"/>
          <w:szCs w:val="20"/>
          <w:color w:val="auto"/>
        </w:rPr>
      </w:pPr>
      <w:r>
        <w:rPr>
          <w:rFonts w:ascii="Arial" w:cs="Arial" w:eastAsia="Arial" w:hAnsi="Arial"/>
          <w:sz w:val="14"/>
          <w:szCs w:val="14"/>
          <w:color w:val="auto"/>
        </w:rPr>
        <w:t xml:space="preserve">Indebtedness or Unsecured Longer-Term Indebtedness that would result in such Indebtedness not meeting the requirements of the definition of “Secured Longer-Term Secured Indebtedness” and “Unsecured Longer-Term Indebtedness”, as applicable, set forth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of this Agreement, unless (i) in the case of Secured Longer-Term Indebtedness, such Indebtedness would have been permitted to be incurred as Secured Shorter-Term Indebtedness at the time of such modification, supplement or waiver and the Borrower so designates such Indebtedness as “Secured Shorter-Term Indebtedness” (whereupon such Indebtedness shall be deemed to constitute “Secured Shorter-Term Indebtedness” for all purposes of this Agreement) and (ii) in the case of Unsecured Longer-Term Indebtedness, such Indebtedness would have been permitted to be incurred as Unsecured Shorter-Term Indebtedness at the time of such modification, supplement or waiver and the Borrower so designates such Indebtedness as “Unsecured Shorter-Term Indebtedness” (whereupon such Indebtedness shall be deemed to constitute “Unsecured Shorter-Term Indebtedness” for all purposes of this Agreement); or</w:t>
      </w:r>
    </w:p>
    <w:p>
      <w:pPr>
        <w:spacing w:after="0" w:line="119" w:lineRule="exact"/>
        <w:rPr>
          <w:sz w:val="20"/>
          <w:szCs w:val="20"/>
          <w:color w:val="auto"/>
        </w:rPr>
      </w:pPr>
    </w:p>
    <w:p>
      <w:pPr>
        <w:jc w:val="both"/>
        <w:ind w:left="4" w:right="20" w:firstLine="1737"/>
        <w:spacing w:after="0" w:line="249" w:lineRule="auto"/>
        <w:rPr>
          <w:sz w:val="20"/>
          <w:szCs w:val="20"/>
          <w:color w:val="auto"/>
        </w:rPr>
      </w:pPr>
      <w:r>
        <w:rPr>
          <w:rFonts w:ascii="Arial" w:cs="Arial" w:eastAsia="Arial" w:hAnsi="Arial"/>
          <w:sz w:val="15"/>
          <w:szCs w:val="15"/>
          <w:color w:val="auto"/>
        </w:rPr>
        <w:t>(b) any of the Affiliate Agreements, unless such modification, supplement or waiver is not materially less favorable to the Borrower than could be obtained on an arm’s-length basis from unrelated third parties, in each case, without the prior consent of the Administrative Agent (with the approval of the Required Lenders).</w:t>
      </w:r>
    </w:p>
    <w:p>
      <w:pPr>
        <w:spacing w:after="0" w:line="109"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2860" w:type="dxa"/>
            <w:vAlign w:val="bottom"/>
          </w:tcPr>
          <w:p>
            <w:pPr>
              <w:ind w:left="820"/>
              <w:spacing w:after="0"/>
              <w:rPr>
                <w:sz w:val="20"/>
                <w:szCs w:val="20"/>
                <w:color w:val="auto"/>
              </w:rPr>
            </w:pPr>
            <w:r>
              <w:rPr>
                <w:rFonts w:ascii="Arial" w:cs="Arial" w:eastAsia="Arial" w:hAnsi="Arial"/>
                <w:sz w:val="15"/>
                <w:szCs w:val="15"/>
                <w:color w:val="auto"/>
              </w:rPr>
              <w:t>SECTION 6.12.</w:t>
            </w:r>
          </w:p>
        </w:tc>
        <w:tc>
          <w:tcPr>
            <w:tcW w:w="7500" w:type="dxa"/>
            <w:vAlign w:val="bottom"/>
            <w:gridSpan w:val="2"/>
          </w:tcPr>
          <w:p>
            <w:pPr>
              <w:ind w:left="1080"/>
              <w:spacing w:after="0"/>
              <w:rPr>
                <w:sz w:val="20"/>
                <w:szCs w:val="20"/>
                <w:color w:val="auto"/>
              </w:rPr>
            </w:pPr>
            <w:r>
              <w:rPr>
                <w:rFonts w:ascii="Arial" w:cs="Arial" w:eastAsia="Arial" w:hAnsi="Arial"/>
                <w:sz w:val="15"/>
                <w:szCs w:val="15"/>
                <w:color w:val="auto"/>
                <w:w w:val="90"/>
              </w:rPr>
              <w:t>Payments of Longer-Term Indebtedness, the 2022 Convertible Notes, the 2023 Notes, the 2024 Notes and</w:t>
            </w:r>
          </w:p>
        </w:tc>
      </w:tr>
      <w:tr>
        <w:trPr>
          <w:trHeight w:val="150"/>
        </w:trPr>
        <w:tc>
          <w:tcPr>
            <w:tcW w:w="920" w:type="dxa"/>
            <w:vAlign w:val="bottom"/>
            <w:tcBorders>
              <w:bottom w:val="single" w:sz="8" w:color="auto"/>
            </w:tcBorders>
          </w:tcPr>
          <w:p>
            <w:pPr>
              <w:spacing w:after="0" w:line="150" w:lineRule="exact"/>
              <w:rPr>
                <w:sz w:val="20"/>
                <w:szCs w:val="20"/>
                <w:color w:val="auto"/>
              </w:rPr>
            </w:pPr>
            <w:r>
              <w:rPr>
                <w:rFonts w:ascii="Arial" w:cs="Arial" w:eastAsia="Arial" w:hAnsi="Arial"/>
                <w:sz w:val="15"/>
                <w:szCs w:val="15"/>
                <w:color w:val="auto"/>
                <w:w w:val="88"/>
              </w:rPr>
              <w:t>the 2026 Notes</w:t>
            </w:r>
          </w:p>
        </w:tc>
        <w:tc>
          <w:tcPr>
            <w:tcW w:w="2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20" w:type="dxa"/>
            <w:vAlign w:val="bottom"/>
            <w:tcBorders>
              <w:top w:val="single" w:sz="8" w:color="auto"/>
            </w:tcBorders>
          </w:tcPr>
          <w:p>
            <w:pPr>
              <w:spacing w:after="0"/>
              <w:rPr>
                <w:sz w:val="13"/>
                <w:szCs w:val="13"/>
                <w:color w:val="auto"/>
              </w:rPr>
            </w:pPr>
          </w:p>
        </w:tc>
      </w:tr>
    </w:tbl>
    <w:p>
      <w:pPr>
        <w:spacing w:after="0" w:line="156" w:lineRule="exact"/>
        <w:rPr>
          <w:sz w:val="20"/>
          <w:szCs w:val="20"/>
          <w:color w:val="auto"/>
        </w:rPr>
      </w:pPr>
    </w:p>
    <w:p>
      <w:pPr>
        <w:jc w:val="both"/>
        <w:ind w:left="4" w:hanging="4"/>
        <w:spacing w:after="0" w:line="275" w:lineRule="auto"/>
        <w:tabs>
          <w:tab w:leader="none" w:pos="125"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Borrower will not, nor will it permit any of the Subsidiary Guarantors to, purchase, redeem, retire or otherwise acquire for value, or set apart any money for a sinking, defeasance or other analogous fund for the purchase, redemption, retirement or other acquisition of or make any voluntary payment or prepayment of the principal of or interest on, or any other amount owing in respect of, any Secured Longer-Term Indebtedness, Unsecured Longer-Term Indebtedness, Special Unsecured Indebtedness, the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21106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28" w:name="page229"/>
    <w:bookmarkEnd w:id="228"/>
    <w:p>
      <w:pPr>
        <w:jc w:val="both"/>
        <w:ind w:left="4"/>
        <w:spacing w:after="0" w:line="279" w:lineRule="auto"/>
        <w:rPr>
          <w:sz w:val="20"/>
          <w:szCs w:val="20"/>
          <w:color w:val="auto"/>
        </w:rPr>
      </w:pPr>
      <w:r>
        <w:rPr>
          <w:rFonts w:ascii="Arial" w:cs="Arial" w:eastAsia="Arial" w:hAnsi="Arial"/>
          <w:sz w:val="13"/>
          <w:szCs w:val="13"/>
          <w:color w:val="auto"/>
        </w:rPr>
        <w:t xml:space="preserve">Convertible Notes, the 2023 Notes, the 2024 Notes or the 2026 Notes (other than the refinancing of Secured Longer-Term Indebtedness, Unsecured Longer-Term Indebtedness, Special Unsecured Indebtedness, the 2022 Convertible Notes, the 2023 Notes, the 2024 Notes or the 2026 Notes with Indebtedness permitted under </w:t>
      </w:r>
      <w:r>
        <w:rPr>
          <w:rFonts w:ascii="Arial" w:cs="Arial" w:eastAsia="Arial" w:hAnsi="Arial"/>
          <w:sz w:val="13"/>
          <w:szCs w:val="13"/>
          <w:u w:val="single" w:color="auto"/>
          <w:color w:val="auto"/>
        </w:rPr>
        <w:t>Section 6.01</w:t>
      </w:r>
      <w:r>
        <w:rPr>
          <w:rFonts w:ascii="Arial" w:cs="Arial" w:eastAsia="Arial" w:hAnsi="Arial"/>
          <w:sz w:val="13"/>
          <w:szCs w:val="13"/>
          <w:color w:val="auto"/>
        </w:rPr>
        <w:t>), except for (a) regularly scheduled payments, prepayments or redemptions of principal and interest in respect thereof required pursuant to the instruments evidencing such Indebtedness (it being understood that:</w:t>
      </w:r>
    </w:p>
    <w:p>
      <w:pPr>
        <w:spacing w:after="0" w:line="1" w:lineRule="exact"/>
        <w:rPr>
          <w:sz w:val="20"/>
          <w:szCs w:val="20"/>
          <w:color w:val="auto"/>
        </w:rPr>
      </w:pPr>
    </w:p>
    <w:p>
      <w:pPr>
        <w:jc w:val="both"/>
        <w:ind w:left="4" w:hanging="4"/>
        <w:spacing w:after="0" w:line="256" w:lineRule="auto"/>
        <w:tabs>
          <w:tab w:leader="none" w:pos="256"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the conversion features into Permitted Equity Interests under convertible notes; (x) the triggering of such conversion and/or settlement thereof solely with Permitted Equity Interests; and (y) any cash payment on account of interest or expenses on such convertible notes made by the Borrower in respect of such triggering and/or settlement thereof shall be permitted under this clause (a)); (b) so long as no Default shall exist or be continuing, any payment that, if treated as a Restricted Payment for purposes of </w:t>
      </w:r>
      <w:r>
        <w:rPr>
          <w:rFonts w:ascii="Arial" w:cs="Arial" w:eastAsia="Arial" w:hAnsi="Arial"/>
          <w:sz w:val="14"/>
          <w:szCs w:val="14"/>
          <w:u w:val="single" w:color="auto"/>
          <w:color w:val="auto"/>
        </w:rPr>
        <w:t>Section 6.05(d)</w:t>
      </w:r>
      <w:r>
        <w:rPr>
          <w:rFonts w:ascii="Arial" w:cs="Arial" w:eastAsia="Arial" w:hAnsi="Arial"/>
          <w:sz w:val="14"/>
          <w:szCs w:val="14"/>
          <w:color w:val="auto"/>
        </w:rPr>
        <w:t xml:space="preserve">, would be permitted to be made pursuant to the provisions set forth in </w:t>
      </w:r>
      <w:r>
        <w:rPr>
          <w:rFonts w:ascii="Arial" w:cs="Arial" w:eastAsia="Arial" w:hAnsi="Arial"/>
          <w:sz w:val="14"/>
          <w:szCs w:val="14"/>
          <w:u w:val="single" w:color="auto"/>
          <w:color w:val="auto"/>
        </w:rPr>
        <w:t>Section 6.05(d)</w:t>
      </w:r>
      <w:r>
        <w:rPr>
          <w:rFonts w:ascii="Arial" w:cs="Arial" w:eastAsia="Arial" w:hAnsi="Arial"/>
          <w:sz w:val="14"/>
          <w:szCs w:val="14"/>
          <w:color w:val="auto"/>
        </w:rPr>
        <w:t xml:space="preserve">; (c) voluntary payments or prepayments of Secured Longer-Term Indebtedness, so long as both before and after giving effect to such voluntary payment or prepayment (i) the Borrower is in pro forma compliance with the financial covenants set forth in </w:t>
      </w:r>
      <w:r>
        <w:rPr>
          <w:rFonts w:ascii="Arial" w:cs="Arial" w:eastAsia="Arial" w:hAnsi="Arial"/>
          <w:sz w:val="14"/>
          <w:szCs w:val="14"/>
          <w:u w:val="single" w:color="auto"/>
          <w:color w:val="auto"/>
        </w:rPr>
        <w:t>Section 6.07</w:t>
      </w:r>
      <w:r>
        <w:rPr>
          <w:rFonts w:ascii="Arial" w:cs="Arial" w:eastAsia="Arial" w:hAnsi="Arial"/>
          <w:sz w:val="14"/>
          <w:szCs w:val="14"/>
          <w:color w:val="auto"/>
        </w:rPr>
        <w:t xml:space="preserve"> and (ii) no Default shall exist or be continuing; (d) mandatory payments, required prepayments or mandatory redemptions of the 2022 Convertible Notes, any other convertible notes constituting Unsecured Longer-Term Indebtedness or Special Unsecured Indebtedness in Cash (including any cash payment elected to be paid in connection with the settlement by the Borrower of any conversion at the option of any holder of such 2022 Convertible Notes or other convertible notes pursuant to the conversion features thereunder), the 2023 Notes, the 2024 Notes and the 2026 Notes, so long as both before and after giving effect to such payment (i) no Event of Default shall exist or be continuing and (ii) the Covered Debt Amount does not exceed the Borrowing Base; and (e) payments or prepayments of Secured Longer-Term Indebtedness, Unsecured Longer-Term Indebtedness or Special Unsecured Indebtedness solely from the proceeds of any issuance of Equity Interests, so long as both before and after giving effect to such payment (i) no Default shall exist or be continuing and (ii) the Covered Debt Amount does not exceed the Borrowing Base.</w:t>
      </w:r>
    </w:p>
    <w:p>
      <w:pPr>
        <w:spacing w:after="0" w:line="120"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6.13.</w:t>
      </w:r>
      <w:r>
        <w:rPr>
          <w:sz w:val="20"/>
          <w:szCs w:val="20"/>
          <w:color w:val="auto"/>
        </w:rPr>
        <w:tab/>
      </w:r>
      <w:r>
        <w:rPr>
          <w:rFonts w:ascii="Arial" w:cs="Arial" w:eastAsia="Arial" w:hAnsi="Arial"/>
          <w:sz w:val="13"/>
          <w:szCs w:val="13"/>
          <w:u w:val="single" w:color="auto"/>
          <w:color w:val="auto"/>
        </w:rPr>
        <w:t>Accounting Changes</w:t>
      </w:r>
    </w:p>
    <w:p>
      <w:pPr>
        <w:spacing w:after="0" w:line="149" w:lineRule="exact"/>
        <w:rPr>
          <w:sz w:val="20"/>
          <w:szCs w:val="20"/>
          <w:color w:val="auto"/>
        </w:rPr>
      </w:pPr>
    </w:p>
    <w:p>
      <w:pPr>
        <w:ind w:left="4" w:right="20" w:firstLine="647"/>
        <w:spacing w:after="0" w:line="262" w:lineRule="auto"/>
        <w:tabs>
          <w:tab w:leader="none" w:pos="78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Borrower will not, nor will it permit any of its Subsidiaries to, make any change in (a) accounting policies or reporting practices, except as permitted under GAAP or required by law or rule or regulation of any Governmental Authority, or (b) its fiscal year.</w:t>
      </w:r>
    </w:p>
    <w:p>
      <w:pPr>
        <w:spacing w:after="0" w:line="11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6.14.</w:t>
      </w:r>
      <w:r>
        <w:rPr>
          <w:sz w:val="20"/>
          <w:szCs w:val="20"/>
          <w:color w:val="auto"/>
        </w:rPr>
        <w:tab/>
      </w:r>
      <w:r>
        <w:rPr>
          <w:rFonts w:ascii="Arial" w:cs="Arial" w:eastAsia="Arial" w:hAnsi="Arial"/>
          <w:sz w:val="13"/>
          <w:szCs w:val="13"/>
          <w:u w:val="single" w:color="auto"/>
          <w:color w:val="auto"/>
        </w:rPr>
        <w:t>SBIC Guarantee</w:t>
      </w:r>
    </w:p>
    <w:p>
      <w:pPr>
        <w:spacing w:after="0" w:line="149" w:lineRule="exact"/>
        <w:rPr>
          <w:sz w:val="20"/>
          <w:szCs w:val="20"/>
          <w:color w:val="auto"/>
        </w:rPr>
      </w:pPr>
    </w:p>
    <w:p>
      <w:pPr>
        <w:ind w:left="4" w:right="20" w:firstLine="647"/>
        <w:spacing w:after="0" w:line="262" w:lineRule="auto"/>
        <w:tabs>
          <w:tab w:leader="none" w:pos="773"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Borrower will not, nor will it permit any of its Subsidiaries to, cause or permit the occurrence of any event or condition that would result in any recourse to any Obligor under any Permitted SBIC Guarantee.</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ARTICLE VII</w:t>
      </w:r>
    </w:p>
    <w:p>
      <w:pPr>
        <w:spacing w:after="0" w:line="168" w:lineRule="exact"/>
        <w:rPr>
          <w:sz w:val="20"/>
          <w:szCs w:val="20"/>
          <w:color w:val="auto"/>
        </w:rPr>
      </w:pPr>
    </w:p>
    <w:p>
      <w:pPr>
        <w:ind w:left="4884"/>
        <w:spacing w:after="0"/>
        <w:rPr>
          <w:sz w:val="20"/>
          <w:szCs w:val="20"/>
          <w:color w:val="auto"/>
        </w:rPr>
      </w:pPr>
      <w:r>
        <w:rPr>
          <w:rFonts w:ascii="Arial" w:cs="Arial" w:eastAsia="Arial" w:hAnsi="Arial"/>
          <w:sz w:val="15"/>
          <w:szCs w:val="15"/>
          <w:u w:val="single" w:color="auto"/>
          <w:color w:val="auto"/>
        </w:rPr>
        <w:t>EVENTS OF DEFAULT</w:t>
      </w:r>
    </w:p>
    <w:p>
      <w:pPr>
        <w:spacing w:after="0" w:line="149"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If any of the following events (“</w:t>
      </w:r>
      <w:r>
        <w:rPr>
          <w:rFonts w:ascii="Arial" w:cs="Arial" w:eastAsia="Arial" w:hAnsi="Arial"/>
          <w:sz w:val="15"/>
          <w:szCs w:val="15"/>
          <w:u w:val="single" w:color="auto"/>
          <w:color w:val="auto"/>
        </w:rPr>
        <w:t>Events of Default</w:t>
      </w:r>
      <w:r>
        <w:rPr>
          <w:rFonts w:ascii="Arial" w:cs="Arial" w:eastAsia="Arial" w:hAnsi="Arial"/>
          <w:sz w:val="15"/>
          <w:szCs w:val="15"/>
          <w:color w:val="auto"/>
        </w:rPr>
        <w:t>”) shall occur and be continuing:</w:t>
      </w:r>
    </w:p>
    <w:p>
      <w:pPr>
        <w:spacing w:after="0" w:line="149" w:lineRule="exact"/>
        <w:rPr>
          <w:sz w:val="20"/>
          <w:szCs w:val="20"/>
          <w:color w:val="auto"/>
        </w:rPr>
      </w:pPr>
    </w:p>
    <w:p>
      <w:pPr>
        <w:ind w:left="1744"/>
        <w:spacing w:after="0"/>
        <w:tabs>
          <w:tab w:leader="none" w:pos="3244"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the Borrower shall (i) fail to pay any principal of any Loan or any reimbursement obligation in respect of any LC Disbursement</w:t>
      </w:r>
    </w:p>
    <w:p>
      <w:pPr>
        <w:spacing w:after="0" w:line="21" w:lineRule="exact"/>
        <w:rPr>
          <w:sz w:val="20"/>
          <w:szCs w:val="20"/>
          <w:color w:val="auto"/>
        </w:rPr>
      </w:pPr>
    </w:p>
    <w:p>
      <w:pPr>
        <w:ind w:left="4" w:right="20"/>
        <w:spacing w:after="0" w:line="245" w:lineRule="auto"/>
        <w:rPr>
          <w:sz w:val="20"/>
          <w:szCs w:val="20"/>
          <w:color w:val="auto"/>
        </w:rPr>
      </w:pPr>
      <w:r>
        <w:rPr>
          <w:rFonts w:ascii="Arial" w:cs="Arial" w:eastAsia="Arial" w:hAnsi="Arial"/>
          <w:sz w:val="15"/>
          <w:szCs w:val="15"/>
          <w:color w:val="auto"/>
        </w:rPr>
        <w:t>when and as the same shall become due and payable, whether at the due date thereof or at a date fixed for prepayment thereof or otherwise or (ii) fail to deposit any amount into the Letter of Credit Collateral Account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221615</wp:posOffset>
            </wp:positionV>
            <wp:extent cx="721106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29" w:name="page230"/>
    <w:bookmarkEnd w:id="229"/>
    <w:p>
      <w:pPr>
        <w:ind w:left="4"/>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Section 2.09(a)</w:t>
      </w:r>
      <w:r>
        <w:rPr>
          <w:rFonts w:ascii="Arial" w:cs="Arial" w:eastAsia="Arial" w:hAnsi="Arial"/>
          <w:sz w:val="15"/>
          <w:szCs w:val="15"/>
          <w:color w:val="auto"/>
        </w:rPr>
        <w:t xml:space="preserve"> on the Extended Commitment Termination Date or as required by </w:t>
      </w:r>
      <w:r>
        <w:rPr>
          <w:rFonts w:ascii="Arial" w:cs="Arial" w:eastAsia="Arial" w:hAnsi="Arial"/>
          <w:sz w:val="15"/>
          <w:szCs w:val="15"/>
          <w:u w:val="single" w:color="auto"/>
          <w:color w:val="auto"/>
        </w:rPr>
        <w:t>Section 2.20(b)</w:t>
      </w:r>
      <w:r>
        <w:rPr>
          <w:rFonts w:ascii="Arial" w:cs="Arial" w:eastAsia="Arial" w:hAnsi="Arial"/>
          <w:sz w:val="15"/>
          <w:szCs w:val="15"/>
          <w:color w:val="auto"/>
        </w:rPr>
        <w:t xml:space="preserve"> on the date so required;</w:t>
      </w:r>
    </w:p>
    <w:p>
      <w:pPr>
        <w:spacing w:after="0" w:line="149" w:lineRule="exact"/>
        <w:rPr>
          <w:sz w:val="20"/>
          <w:szCs w:val="20"/>
          <w:color w:val="auto"/>
        </w:rPr>
      </w:pPr>
    </w:p>
    <w:p>
      <w:pPr>
        <w:ind w:left="1744"/>
        <w:spacing w:after="0"/>
        <w:tabs>
          <w:tab w:leader="none" w:pos="3264"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 xml:space="preserve">the Borrower shall fail to pay any interest on any Loan or any fee or any other amount (other than an amount referred to in </w:t>
      </w:r>
      <w:r>
        <w:rPr>
          <w:rFonts w:ascii="Arial" w:cs="Arial" w:eastAsia="Arial" w:hAnsi="Arial"/>
          <w:sz w:val="14"/>
          <w:szCs w:val="14"/>
          <w:u w:val="single" w:color="auto"/>
          <w:color w:val="auto"/>
        </w:rPr>
        <w:t>clause</w:t>
      </w:r>
    </w:p>
    <w:p>
      <w:pPr>
        <w:spacing w:after="0" w:line="21" w:lineRule="exact"/>
        <w:rPr>
          <w:sz w:val="20"/>
          <w:szCs w:val="20"/>
          <w:color w:val="auto"/>
        </w:rPr>
      </w:pPr>
    </w:p>
    <w:p>
      <w:pPr>
        <w:ind w:left="4" w:right="20" w:hanging="4"/>
        <w:spacing w:after="0" w:line="245" w:lineRule="auto"/>
        <w:tabs>
          <w:tab w:leader="none" w:pos="211" w:val="left"/>
        </w:tabs>
        <w:numPr>
          <w:ilvl w:val="0"/>
          <w:numId w:val="144"/>
        </w:numPr>
        <w:rPr>
          <w:rFonts w:ascii="Arial" w:cs="Arial" w:eastAsia="Arial" w:hAnsi="Arial"/>
          <w:sz w:val="15"/>
          <w:szCs w:val="15"/>
          <w:u w:val="single" w:color="auto"/>
          <w:color w:val="auto"/>
        </w:rPr>
      </w:pPr>
      <w:r>
        <w:rPr>
          <w:rFonts w:ascii="Arial" w:cs="Arial" w:eastAsia="Arial" w:hAnsi="Arial"/>
          <w:sz w:val="15"/>
          <w:szCs w:val="15"/>
          <w:color w:val="auto"/>
        </w:rPr>
        <w:t>of this Article) payable under this Agreement or under any other Loan Document, when and as the same shall become due and payable, and such failure shall continue unremedied for a period of five or more Business Days;</w:t>
      </w:r>
    </w:p>
    <w:p>
      <w:pPr>
        <w:spacing w:after="0" w:line="127" w:lineRule="exact"/>
        <w:rPr>
          <w:sz w:val="20"/>
          <w:szCs w:val="20"/>
          <w:color w:val="auto"/>
        </w:rPr>
      </w:pPr>
    </w:p>
    <w:p>
      <w:pPr>
        <w:jc w:val="both"/>
        <w:ind w:left="4" w:right="20" w:firstLine="1737"/>
        <w:spacing w:after="0" w:line="245" w:lineRule="auto"/>
        <w:rPr>
          <w:sz w:val="20"/>
          <w:szCs w:val="20"/>
          <w:color w:val="auto"/>
        </w:rPr>
      </w:pPr>
      <w:r>
        <w:rPr>
          <w:rFonts w:ascii="Arial" w:cs="Arial" w:eastAsia="Arial" w:hAnsi="Arial"/>
          <w:sz w:val="15"/>
          <w:szCs w:val="15"/>
          <w:color w:val="auto"/>
        </w:rPr>
        <w:t>(c) any representation, warranty or certification made or deemed made by or on behalf of the Borrower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prove to have been incorrect when made or deemed made in any material respect;</w:t>
      </w:r>
    </w:p>
    <w:p>
      <w:pPr>
        <w:spacing w:after="0" w:line="128" w:lineRule="exact"/>
        <w:rPr>
          <w:sz w:val="20"/>
          <w:szCs w:val="20"/>
          <w:color w:val="auto"/>
        </w:rPr>
      </w:pPr>
    </w:p>
    <w:p>
      <w:pPr>
        <w:jc w:val="both"/>
        <w:ind w:left="4" w:firstLine="1737"/>
        <w:spacing w:after="0" w:line="245" w:lineRule="auto"/>
        <w:rPr>
          <w:sz w:val="20"/>
          <w:szCs w:val="20"/>
          <w:color w:val="auto"/>
        </w:rPr>
      </w:pPr>
      <w:r>
        <w:rPr>
          <w:rFonts w:ascii="Arial" w:cs="Arial" w:eastAsia="Arial" w:hAnsi="Arial"/>
          <w:sz w:val="15"/>
          <w:szCs w:val="15"/>
          <w:color w:val="auto"/>
        </w:rPr>
        <w:t xml:space="preserve">(d) the Borrower shall fail to observe or perform any covenant, condition or agreement contained in (i) </w:t>
      </w:r>
      <w:r>
        <w:rPr>
          <w:rFonts w:ascii="Arial" w:cs="Arial" w:eastAsia="Arial" w:hAnsi="Arial"/>
          <w:sz w:val="15"/>
          <w:szCs w:val="15"/>
          <w:u w:val="single" w:color="auto"/>
          <w:color w:val="auto"/>
        </w:rPr>
        <w:t>Section 5.03</w:t>
      </w:r>
      <w:r>
        <w:rPr>
          <w:rFonts w:ascii="Arial" w:cs="Arial" w:eastAsia="Arial" w:hAnsi="Arial"/>
          <w:sz w:val="15"/>
          <w:szCs w:val="15"/>
          <w:color w:val="auto"/>
        </w:rPr>
        <w:t xml:space="preserve"> (with respect to the Borrower’s existence) or </w:t>
      </w:r>
      <w:r>
        <w:rPr>
          <w:rFonts w:ascii="Arial" w:cs="Arial" w:eastAsia="Arial" w:hAnsi="Arial"/>
          <w:sz w:val="15"/>
          <w:szCs w:val="15"/>
          <w:u w:val="single" w:color="auto"/>
          <w:color w:val="auto"/>
        </w:rPr>
        <w:t>Sections 5.08(a)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or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or any Obligor shall default in the performance of any of its obligations contained in Sections 3 and 7 of the Guarantee and Security Agreement or (ii) </w:t>
      </w:r>
      <w:r>
        <w:rPr>
          <w:rFonts w:ascii="Arial" w:cs="Arial" w:eastAsia="Arial" w:hAnsi="Arial"/>
          <w:sz w:val="15"/>
          <w:szCs w:val="15"/>
          <w:u w:val="single" w:color="auto"/>
          <w:color w:val="auto"/>
        </w:rPr>
        <w:t>Sections 5.01(e)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(f)</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5.02</w:t>
      </w:r>
      <w:r>
        <w:rPr>
          <w:rFonts w:ascii="Arial" w:cs="Arial" w:eastAsia="Arial" w:hAnsi="Arial"/>
          <w:sz w:val="15"/>
          <w:szCs w:val="15"/>
          <w:color w:val="auto"/>
        </w:rPr>
        <w:t xml:space="preserve"> and such failure shall continue unremedied for a period of five or more days after notice thereof by the Administrative Agent (given at the request of any Lender) to the Borrower;</w:t>
      </w:r>
    </w:p>
    <w:p>
      <w:pPr>
        <w:spacing w:after="0" w:line="128" w:lineRule="exact"/>
        <w:rPr>
          <w:sz w:val="20"/>
          <w:szCs w:val="20"/>
          <w:color w:val="auto"/>
        </w:rPr>
      </w:pPr>
    </w:p>
    <w:p>
      <w:pPr>
        <w:jc w:val="both"/>
        <w:ind w:left="4" w:right="20" w:firstLine="1737"/>
        <w:spacing w:after="0" w:line="243" w:lineRule="auto"/>
        <w:rPr>
          <w:sz w:val="20"/>
          <w:szCs w:val="20"/>
          <w:color w:val="auto"/>
        </w:rPr>
      </w:pPr>
      <w:r>
        <w:rPr>
          <w:rFonts w:ascii="Arial" w:cs="Arial" w:eastAsia="Arial" w:hAnsi="Arial"/>
          <w:sz w:val="15"/>
          <w:szCs w:val="15"/>
          <w:color w:val="auto"/>
        </w:rPr>
        <w:t xml:space="preserve">(e) a Borrowing Base Deficiency shall occur and continue unremedied for a period of five or more Business Days after delivery of a Borrowing Base Certificate demonstrating such Borrowing Base Deficiency pursuant to </w:t>
      </w:r>
      <w:r>
        <w:rPr>
          <w:rFonts w:ascii="Arial" w:cs="Arial" w:eastAsia="Arial" w:hAnsi="Arial"/>
          <w:sz w:val="15"/>
          <w:szCs w:val="15"/>
          <w:u w:val="single" w:color="auto"/>
          <w:color w:val="auto"/>
        </w:rPr>
        <w:t>Section 5.01(e)</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it shall not be an Event of Default hereunder if the Borrower shall present the Administrative Agent with a reasonably feasible plan acceptable to the Required Lenders in their sole discretion to enable such Borrowing Base Deficiency to be cured within 30 Business Days (which 30-Business Day period shall include the five Business Days permitted for delivery of such plan), so long as such Borrowing Base Deficiency is cured within such 30-Business Day period;</w:t>
      </w:r>
    </w:p>
    <w:p>
      <w:pPr>
        <w:spacing w:after="0" w:line="129" w:lineRule="exact"/>
        <w:rPr>
          <w:sz w:val="20"/>
          <w:szCs w:val="20"/>
          <w:color w:val="auto"/>
        </w:rPr>
      </w:pPr>
    </w:p>
    <w:p>
      <w:pPr>
        <w:jc w:val="both"/>
        <w:ind w:left="4" w:firstLine="1737"/>
        <w:spacing w:after="0" w:line="249" w:lineRule="auto"/>
        <w:rPr>
          <w:sz w:val="20"/>
          <w:szCs w:val="20"/>
          <w:color w:val="auto"/>
        </w:rPr>
      </w:pPr>
      <w:r>
        <w:rPr>
          <w:rFonts w:ascii="Arial" w:cs="Arial" w:eastAsia="Arial" w:hAnsi="Arial"/>
          <w:sz w:val="15"/>
          <w:szCs w:val="15"/>
          <w:color w:val="auto"/>
        </w:rPr>
        <w:t xml:space="preserve">(f) the Borrower or any Obligor, as applicable, shall fail to observe or perform any covenant, condition or agreement contained in this Agreement (other than those specified in </w:t>
      </w:r>
      <w:r>
        <w:rPr>
          <w:rFonts w:ascii="Arial" w:cs="Arial" w:eastAsia="Arial" w:hAnsi="Arial"/>
          <w:sz w:val="15"/>
          <w:szCs w:val="15"/>
          <w:u w:val="single" w:color="auto"/>
          <w:color w:val="auto"/>
        </w:rPr>
        <w:t>clause (a)</w:t>
      </w:r>
      <w:r>
        <w:rPr>
          <w:rFonts w:ascii="Arial" w:cs="Arial" w:eastAsia="Arial" w:hAnsi="Arial"/>
          <w:sz w:val="15"/>
          <w:szCs w:val="15"/>
          <w:color w:val="auto"/>
        </w:rPr>
        <w:t xml:space="preserve">, </w:t>
      </w:r>
      <w:r>
        <w:rPr>
          <w:rFonts w:ascii="Arial" w:cs="Arial" w:eastAsia="Arial" w:hAnsi="Arial"/>
          <w:sz w:val="15"/>
          <w:szCs w:val="15"/>
          <w:u w:val="single" w:color="auto"/>
          <w:color w:val="auto"/>
        </w:rPr>
        <w:t>(b)</w:t>
      </w:r>
      <w:r>
        <w:rPr>
          <w:rFonts w:ascii="Arial" w:cs="Arial" w:eastAsia="Arial" w:hAnsi="Arial"/>
          <w:sz w:val="15"/>
          <w:szCs w:val="15"/>
          <w:color w:val="auto"/>
        </w:rPr>
        <w:t xml:space="preserve">, </w:t>
      </w:r>
      <w:r>
        <w:rPr>
          <w:rFonts w:ascii="Arial" w:cs="Arial" w:eastAsia="Arial" w:hAnsi="Arial"/>
          <w:sz w:val="15"/>
          <w:szCs w:val="15"/>
          <w:u w:val="single" w:color="auto"/>
          <w:color w:val="auto"/>
        </w:rPr>
        <w:t>(d)</w:t>
      </w:r>
      <w:r>
        <w:rPr>
          <w:rFonts w:ascii="Arial" w:cs="Arial" w:eastAsia="Arial" w:hAnsi="Arial"/>
          <w:sz w:val="15"/>
          <w:szCs w:val="15"/>
          <w:color w:val="auto"/>
        </w:rPr>
        <w:t xml:space="preserve">, </w:t>
      </w:r>
      <w:r>
        <w:rPr>
          <w:rFonts w:ascii="Arial" w:cs="Arial" w:eastAsia="Arial" w:hAnsi="Arial"/>
          <w:sz w:val="15"/>
          <w:szCs w:val="15"/>
          <w:u w:val="single" w:color="auto"/>
          <w:color w:val="auto"/>
        </w:rPr>
        <w:t>(e)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w:t>
      </w:r>
      <w:r>
        <w:rPr>
          <w:rFonts w:ascii="Arial" w:cs="Arial" w:eastAsia="Arial" w:hAnsi="Arial"/>
          <w:sz w:val="15"/>
          <w:szCs w:val="15"/>
          <w:color w:val="auto"/>
        </w:rPr>
        <w:t xml:space="preserve"> of this Article) or any other Loan Document and such failure shall continue unremedied for a period of 30 or more days after notice thereof from the Administrative Agent (given at the request of any Lender) to the Borrower;</w:t>
      </w:r>
    </w:p>
    <w:p>
      <w:pPr>
        <w:spacing w:after="0" w:line="125" w:lineRule="exact"/>
        <w:rPr>
          <w:sz w:val="20"/>
          <w:szCs w:val="20"/>
          <w:color w:val="auto"/>
        </w:rPr>
      </w:pPr>
    </w:p>
    <w:p>
      <w:pPr>
        <w:ind w:left="4" w:firstLine="1737"/>
        <w:spacing w:after="0" w:line="262" w:lineRule="auto"/>
        <w:rPr>
          <w:sz w:val="20"/>
          <w:szCs w:val="20"/>
          <w:color w:val="auto"/>
        </w:rPr>
      </w:pPr>
      <w:r>
        <w:rPr>
          <w:rFonts w:ascii="Arial" w:cs="Arial" w:eastAsia="Arial" w:hAnsi="Arial"/>
          <w:sz w:val="15"/>
          <w:szCs w:val="15"/>
          <w:color w:val="auto"/>
        </w:rPr>
        <w:t>(g) the Borrower or any of its Subsidiaries shall fail to make any payment (whether of principal or interest and regardless of amount) in respect of any Material Indebtedness, when and as the same shall become due and payable, taking into account any applicable grace period;</w:t>
      </w:r>
    </w:p>
    <w:p>
      <w:pPr>
        <w:spacing w:after="0" w:line="115" w:lineRule="exact"/>
        <w:rPr>
          <w:sz w:val="20"/>
          <w:szCs w:val="20"/>
          <w:color w:val="auto"/>
        </w:rPr>
      </w:pPr>
    </w:p>
    <w:p>
      <w:pPr>
        <w:ind w:left="1744"/>
        <w:spacing w:after="0"/>
        <w:tabs>
          <w:tab w:leader="none" w:pos="3264" w:val="left"/>
        </w:tabs>
        <w:rPr>
          <w:sz w:val="20"/>
          <w:szCs w:val="20"/>
          <w:color w:val="auto"/>
        </w:rPr>
      </w:pPr>
      <w:r>
        <w:rPr>
          <w:rFonts w:ascii="Arial" w:cs="Arial" w:eastAsia="Arial" w:hAnsi="Arial"/>
          <w:sz w:val="14"/>
          <w:szCs w:val="14"/>
          <w:color w:val="auto"/>
        </w:rPr>
        <w:t>(h)</w:t>
      </w:r>
      <w:r>
        <w:rPr>
          <w:sz w:val="20"/>
          <w:szCs w:val="20"/>
          <w:color w:val="auto"/>
        </w:rPr>
        <w:tab/>
      </w:r>
      <w:r>
        <w:rPr>
          <w:rFonts w:ascii="Arial" w:cs="Arial" w:eastAsia="Arial" w:hAnsi="Arial"/>
          <w:sz w:val="14"/>
          <w:szCs w:val="14"/>
          <w:color w:val="auto"/>
        </w:rPr>
        <w:t>any event or condition occurs that results in any Material Indebtedness becoming due prior to its scheduled maturity or shall</w:t>
      </w:r>
    </w:p>
    <w:p>
      <w:pPr>
        <w:spacing w:after="0" w:line="21" w:lineRule="exact"/>
        <w:rPr>
          <w:sz w:val="20"/>
          <w:szCs w:val="20"/>
          <w:color w:val="auto"/>
        </w:rPr>
      </w:pPr>
    </w:p>
    <w:p>
      <w:pPr>
        <w:ind w:left="4" w:right="20"/>
        <w:spacing w:after="0" w:line="245" w:lineRule="auto"/>
        <w:rPr>
          <w:sz w:val="20"/>
          <w:szCs w:val="20"/>
          <w:color w:val="auto"/>
        </w:rPr>
      </w:pPr>
      <w:r>
        <w:rPr>
          <w:rFonts w:ascii="Arial" w:cs="Arial" w:eastAsia="Arial" w:hAnsi="Arial"/>
          <w:sz w:val="15"/>
          <w:szCs w:val="15"/>
          <w:color w:val="auto"/>
        </w:rPr>
        <w:t>continue unremedied for any applicable period of time sufficient to enable or permit the holder or holders of any Material Indebtedness or any trustee or agent on its or their behalf to cause any Material Indebtedness to become due,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221615</wp:posOffset>
            </wp:positionV>
            <wp:extent cx="721106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30" w:name="page231"/>
    <w:bookmarkEnd w:id="230"/>
    <w:p>
      <w:pPr>
        <w:jc w:val="both"/>
        <w:ind w:left="4" w:right="20"/>
        <w:spacing w:after="0" w:line="243" w:lineRule="auto"/>
        <w:rPr>
          <w:sz w:val="20"/>
          <w:szCs w:val="20"/>
          <w:color w:val="auto"/>
        </w:rPr>
      </w:pPr>
      <w:r>
        <w:rPr>
          <w:rFonts w:ascii="Arial" w:cs="Arial" w:eastAsia="Arial" w:hAnsi="Arial"/>
          <w:sz w:val="15"/>
          <w:szCs w:val="15"/>
          <w:color w:val="auto"/>
        </w:rPr>
        <w:t xml:space="preserve">require the prepayment, repurchase, redemption or defeasance thereof, prior to its scheduled maturity (for the avoidance of doubt, other than as permitted under </w:t>
      </w:r>
      <w:r>
        <w:rPr>
          <w:rFonts w:ascii="Arial" w:cs="Arial" w:eastAsia="Arial" w:hAnsi="Arial"/>
          <w:sz w:val="15"/>
          <w:szCs w:val="15"/>
          <w:u w:val="single" w:color="auto"/>
          <w:color w:val="auto"/>
        </w:rPr>
        <w:t>Section 6.12</w:t>
      </w:r>
      <w:r>
        <w:rPr>
          <w:rFonts w:ascii="Arial" w:cs="Arial" w:eastAsia="Arial" w:hAnsi="Arial"/>
          <w:sz w:val="15"/>
          <w:szCs w:val="15"/>
          <w:color w:val="auto"/>
        </w:rPr>
        <w:t xml:space="preserve"> and that is not a result of a breach, default or other violation or failure in respect of such Material Indebtedness by the Borrower or any of its Subsidiaries after giving effect to any applicable grace period);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clause (h)</w:t>
      </w:r>
      <w:r>
        <w:rPr>
          <w:rFonts w:ascii="Arial" w:cs="Arial" w:eastAsia="Arial" w:hAnsi="Arial"/>
          <w:sz w:val="15"/>
          <w:szCs w:val="15"/>
          <w:color w:val="auto"/>
        </w:rPr>
        <w:t xml:space="preserve"> shall not apply to (1) secured Indebtedness that becomes due as a result of the voluntary sale or transfer of the property or assets securing such Indebtedness; or (2) convertible debt that becomes due as a result of a conversion or redemption event, other than as a result of an “event of default” (as defined in the documents governing such convertible Material Indebtedness);</w:t>
      </w:r>
    </w:p>
    <w:p>
      <w:pPr>
        <w:spacing w:after="0" w:line="129" w:lineRule="exact"/>
        <w:rPr>
          <w:sz w:val="20"/>
          <w:szCs w:val="20"/>
          <w:color w:val="auto"/>
        </w:rPr>
      </w:pPr>
    </w:p>
    <w:p>
      <w:pPr>
        <w:jc w:val="both"/>
        <w:ind w:left="4" w:firstLine="1737"/>
        <w:spacing w:after="0" w:line="243" w:lineRule="auto"/>
        <w:rPr>
          <w:sz w:val="20"/>
          <w:szCs w:val="20"/>
          <w:color w:val="auto"/>
        </w:rPr>
      </w:pPr>
      <w:r>
        <w:rPr>
          <w:rFonts w:ascii="Arial" w:cs="Arial" w:eastAsia="Arial" w:hAnsi="Arial"/>
          <w:sz w:val="15"/>
          <w:szCs w:val="15"/>
          <w:color w:val="auto"/>
        </w:rPr>
        <w:t>(i) an involuntary proceeding shall be commenced or an involuntary petition shall be filed seeking (i) liquidation, reorganization or other relief in respect of the Borrower or any of its Subsidiaries (other than Immaterial Subsidiaries)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of its Subsidiaries (other than Immaterial Subsidiaries) or for a substantial part of its assets, and, in any such case, such proceeding or petition shall continue undismissed and unstayed for a period of 60 or more days or an order or decree approving or ordering any of the foregoing shall be entered;</w:t>
      </w:r>
    </w:p>
    <w:p>
      <w:pPr>
        <w:spacing w:after="0" w:line="129" w:lineRule="exact"/>
        <w:rPr>
          <w:sz w:val="20"/>
          <w:szCs w:val="20"/>
          <w:color w:val="auto"/>
        </w:rPr>
      </w:pPr>
    </w:p>
    <w:p>
      <w:pPr>
        <w:jc w:val="both"/>
        <w:ind w:left="4" w:firstLine="1737"/>
        <w:spacing w:after="0" w:line="245" w:lineRule="auto"/>
        <w:rPr>
          <w:sz w:val="20"/>
          <w:szCs w:val="20"/>
          <w:color w:val="auto"/>
        </w:rPr>
      </w:pPr>
      <w:r>
        <w:rPr>
          <w:rFonts w:ascii="Arial" w:cs="Arial" w:eastAsia="Arial" w:hAnsi="Arial"/>
          <w:sz w:val="15"/>
          <w:szCs w:val="15"/>
          <w:color w:val="auto"/>
        </w:rPr>
        <w:t>(j) the Borrower or any of its Subsidiaries (other than Immaterial Subsidiaries) shall (i) voluntarily commence any proceeding or file any petition seeking liquidation, reorganization or other relief under any Federal, state or foreign bankruptcy, insolvency, receivership or similar law now or hereafter in effect,</w:t>
      </w:r>
    </w:p>
    <w:p>
      <w:pPr>
        <w:jc w:val="both"/>
        <w:ind w:left="4" w:hanging="4"/>
        <w:spacing w:after="0" w:line="239" w:lineRule="auto"/>
        <w:tabs>
          <w:tab w:leader="none" w:pos="238"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consent to the institution of, or fail to contest in a timely and appropriate manner, any proceeding or petition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of this Article, (iii) apply for or consent to the appointment of a receiver, trustee, custodian, sequestrator, conservator or similar official for the Borrower or any of its Subsidiaries (other than Immaterial Subsidiaries)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ectPr>
          <w:pgSz w:w="11900" w:h="16838" w:orient="portrait"/>
          <w:cols w:equalWidth="0" w:num="1">
            <w:col w:w="11304"/>
          </w:cols>
          <w:pgMar w:left="296" w:top="295" w:right="299" w:bottom="1440" w:gutter="0" w:footer="0" w:header="0"/>
        </w:sectPr>
      </w:pPr>
    </w:p>
    <w:p>
      <w:pPr>
        <w:spacing w:after="0" w:line="133" w:lineRule="exact"/>
        <w:rPr>
          <w:sz w:val="20"/>
          <w:szCs w:val="20"/>
          <w:color w:val="auto"/>
        </w:rPr>
      </w:pPr>
    </w:p>
    <w:p>
      <w:pPr>
        <w:ind w:left="1744"/>
        <w:spacing w:after="0"/>
        <w:rPr>
          <w:sz w:val="20"/>
          <w:szCs w:val="20"/>
          <w:color w:val="auto"/>
        </w:rPr>
      </w:pPr>
      <w:r>
        <w:rPr>
          <w:rFonts w:ascii="Arial" w:cs="Arial" w:eastAsia="Arial" w:hAnsi="Arial"/>
          <w:sz w:val="15"/>
          <w:szCs w:val="15"/>
          <w:color w:val="auto"/>
        </w:rPr>
        <w:t>(k)</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3"/>
          <w:szCs w:val="13"/>
          <w:color w:val="auto"/>
        </w:rPr>
        <w:t>generally to pay its debts as they become due;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Borrower or any of its Subsidiaries (other than Immaterial Subsidiaries) shall become unable, admit in writing its inability or fail</w:t>
      </w:r>
    </w:p>
    <w:p>
      <w:pPr>
        <w:spacing w:after="0" w:line="342" w:lineRule="exact"/>
        <w:rPr>
          <w:sz w:val="20"/>
          <w:szCs w:val="20"/>
          <w:color w:val="auto"/>
        </w:rPr>
      </w:pPr>
    </w:p>
    <w:p>
      <w:pPr>
        <w:sectPr>
          <w:pgSz w:w="11900" w:h="16838" w:orient="portrait"/>
          <w:cols w:equalWidth="0" w:num="2">
            <w:col w:w="2784" w:space="500"/>
            <w:col w:w="8020"/>
          </w:cols>
          <w:pgMar w:left="296" w:top="295" w:right="299" w:bottom="1440" w:gutter="0" w:footer="0" w:header="0"/>
          <w:type w:val="continuous"/>
        </w:sectPr>
      </w:pPr>
    </w:p>
    <w:p>
      <w:pPr>
        <w:ind w:left="1744"/>
        <w:spacing w:after="0"/>
        <w:tabs>
          <w:tab w:leader="none" w:pos="3224" w:val="left"/>
        </w:tabs>
        <w:rPr>
          <w:sz w:val="20"/>
          <w:szCs w:val="20"/>
          <w:color w:val="auto"/>
        </w:rPr>
      </w:pPr>
      <w:r>
        <w:rPr>
          <w:rFonts w:ascii="Arial" w:cs="Arial" w:eastAsia="Arial" w:hAnsi="Arial"/>
          <w:sz w:val="14"/>
          <w:szCs w:val="14"/>
          <w:color w:val="auto"/>
        </w:rPr>
        <w:t>(l)</w:t>
      </w:r>
      <w:r>
        <w:rPr>
          <w:sz w:val="20"/>
          <w:szCs w:val="20"/>
          <w:color w:val="auto"/>
        </w:rPr>
        <w:tab/>
      </w:r>
      <w:r>
        <w:rPr>
          <w:rFonts w:ascii="Arial" w:cs="Arial" w:eastAsia="Arial" w:hAnsi="Arial"/>
          <w:sz w:val="14"/>
          <w:szCs w:val="14"/>
          <w:color w:val="auto"/>
        </w:rPr>
        <w:t>one or more judgments for the payment of money in an aggregate amount in excess of $25,000,000 shall be rendered against the</w:t>
      </w:r>
    </w:p>
    <w:p>
      <w:pPr>
        <w:sectPr>
          <w:pgSz w:w="11900" w:h="16838" w:orient="portrait"/>
          <w:cols w:equalWidth="0" w:num="1">
            <w:col w:w="11304"/>
          </w:cols>
          <w:pgMar w:left="296" w:top="295" w:right="299" w:bottom="1440" w:gutter="0" w:footer="0" w:header="0"/>
          <w:type w:val="continuous"/>
        </w:sectPr>
      </w:pPr>
    </w:p>
    <w:p>
      <w:pPr>
        <w:spacing w:after="0" w:line="30" w:lineRule="exact"/>
        <w:rPr>
          <w:sz w:val="20"/>
          <w:szCs w:val="20"/>
          <w:color w:val="auto"/>
        </w:rPr>
      </w:pPr>
    </w:p>
    <w:p>
      <w:pPr>
        <w:jc w:val="both"/>
        <w:ind w:left="4" w:right="20"/>
        <w:spacing w:after="0" w:line="236" w:lineRule="auto"/>
        <w:rPr>
          <w:sz w:val="20"/>
          <w:szCs w:val="20"/>
          <w:color w:val="auto"/>
        </w:rPr>
      </w:pPr>
      <w:r>
        <w:rPr>
          <w:rFonts w:ascii="Arial" w:cs="Arial" w:eastAsia="Arial" w:hAnsi="Arial"/>
          <w:sz w:val="15"/>
          <w:szCs w:val="15"/>
          <w:color w:val="auto"/>
        </w:rPr>
        <w:t>Borrower or any of its Subsidiaries (other than Immaterial Subsidiaries) or any combination thereof and the same shall remain undischarged for a period of 30 consecutive days during which execution shall not be effectively stayed, or any action shall be legally taken by a judgment creditor to attach or levy upon any assets of the Borrower or any of its Subsidiaries (other than Immaterial Subsidiaries) to enforce any such judgment;</w:t>
      </w:r>
    </w:p>
    <w:p>
      <w:pPr>
        <w:spacing w:after="0" w:line="132"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5"/>
          <w:szCs w:val="15"/>
          <w:color w:val="auto"/>
        </w:rPr>
        <w:t>(m) an ERISA Event shall have occurred that, in the opinion of the Required Lenders, when taken together with all other ERISA Events that have occurred, would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type w:val="continuous"/>
        </w:sectPr>
      </w:pPr>
    </w:p>
    <w:bookmarkStart w:id="231" w:name="page232"/>
    <w:bookmarkEnd w:id="231"/>
    <w:p>
      <w:pPr>
        <w:ind w:left="1740"/>
        <w:spacing w:after="0"/>
        <w:rPr>
          <w:sz w:val="20"/>
          <w:szCs w:val="20"/>
          <w:color w:val="auto"/>
        </w:rPr>
      </w:pPr>
      <w:r>
        <w:rPr>
          <w:rFonts w:ascii="Arial" w:cs="Arial" w:eastAsia="Arial" w:hAnsi="Arial"/>
          <w:sz w:val="13"/>
          <w:szCs w:val="13"/>
          <w:color w:val="auto"/>
        </w:rPr>
        <w: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 Change in Control shall occur;</w:t>
      </w:r>
    </w:p>
    <w:p>
      <w:pPr>
        <w:spacing w:after="0" w:line="172" w:lineRule="exact"/>
        <w:rPr>
          <w:sz w:val="20"/>
          <w:szCs w:val="20"/>
          <w:color w:val="auto"/>
        </w:rPr>
      </w:pPr>
    </w:p>
    <w:p>
      <w:pPr>
        <w:sectPr>
          <w:pgSz w:w="11900" w:h="16838" w:orient="portrait"/>
          <w:cols w:equalWidth="0" w:num="2">
            <w:col w:w="2560" w:space="720"/>
            <w:col w:w="8020"/>
          </w:cols>
          <w:pgMar w:left="300" w:top="295" w:right="299" w:bottom="1440" w:gutter="0" w:footer="0" w:header="0"/>
        </w:sectPr>
      </w:pPr>
    </w:p>
    <w:p>
      <w:pPr>
        <w:ind w:left="1740"/>
        <w:spacing w:after="0"/>
        <w:rPr>
          <w:sz w:val="20"/>
          <w:szCs w:val="20"/>
          <w:color w:val="auto"/>
        </w:rPr>
      </w:pPr>
      <w:r>
        <w:rPr>
          <w:rFonts w:ascii="Arial" w:cs="Arial" w:eastAsia="Arial" w:hAnsi="Arial"/>
          <w:sz w:val="13"/>
          <w:szCs w:val="13"/>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Borrower shall cease to be managed by the External Manager or an Affiliate thereof;</w:t>
      </w:r>
    </w:p>
    <w:p>
      <w:pPr>
        <w:spacing w:after="0" w:line="172" w:lineRule="exact"/>
        <w:rPr>
          <w:sz w:val="20"/>
          <w:szCs w:val="20"/>
          <w:color w:val="auto"/>
        </w:rPr>
      </w:pPr>
    </w:p>
    <w:p>
      <w:pPr>
        <w:sectPr>
          <w:pgSz w:w="11900" w:h="16838" w:orient="portrait"/>
          <w:cols w:equalWidth="0" w:num="2">
            <w:col w:w="2560" w:space="720"/>
            <w:col w:w="8020"/>
          </w:cols>
          <w:pgMar w:left="300" w:top="295" w:right="299" w:bottom="1440" w:gutter="0" w:footer="0" w:header="0"/>
          <w:type w:val="continuous"/>
        </w:sectPr>
      </w:pPr>
    </w:p>
    <w:p>
      <w:pPr>
        <w:ind w:left="1740"/>
        <w:spacing w:after="0"/>
        <w:tabs>
          <w:tab w:leader="none" w:pos="3260" w:val="left"/>
        </w:tabs>
        <w:rPr>
          <w:sz w:val="20"/>
          <w:szCs w:val="20"/>
          <w:color w:val="auto"/>
        </w:rPr>
      </w:pPr>
      <w:r>
        <w:rPr>
          <w:rFonts w:ascii="Arial" w:cs="Arial" w:eastAsia="Arial" w:hAnsi="Arial"/>
          <w:sz w:val="14"/>
          <w:szCs w:val="14"/>
          <w:color w:val="auto"/>
        </w:rPr>
        <w:t>(p)</w:t>
      </w:r>
      <w:r>
        <w:rPr>
          <w:sz w:val="20"/>
          <w:szCs w:val="20"/>
          <w:color w:val="auto"/>
        </w:rPr>
        <w:tab/>
      </w:r>
      <w:r>
        <w:rPr>
          <w:rFonts w:ascii="Arial" w:cs="Arial" w:eastAsia="Arial" w:hAnsi="Arial"/>
          <w:sz w:val="14"/>
          <w:szCs w:val="14"/>
          <w:color w:val="auto"/>
        </w:rPr>
        <w:t>if, prior to the Extended Final Maturity Date, both of the principals of the External Manager (who initially will be Alan Waxman</w:t>
      </w:r>
    </w:p>
    <w:p>
      <w:pPr>
        <w:sectPr>
          <w:pgSz w:w="11900" w:h="16838" w:orient="portrait"/>
          <w:cols w:equalWidth="0" w:num="1">
            <w:col w:w="11300"/>
          </w:cols>
          <w:pgMar w:left="300" w:top="295" w:right="299" w:bottom="1440" w:gutter="0" w:footer="0" w:header="0"/>
          <w:type w:val="continuous"/>
        </w:sectPr>
      </w:pPr>
    </w:p>
    <w:p>
      <w:pPr>
        <w:spacing w:after="0" w:line="30"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and Joshua Easterly) fail to remain actively involved in the investment activities of the Borrower and the other investment vehicles managed by TSSP Management Holdings, L.P.; provided that the External Manager is permitted at any time to replace any person designated as a “principal” with a senior professional selected by the External Manager so long as such replacement has either been approved by a majority of the Borrower’s independent directors or by a majority of the Borrower’s shareholders;</w:t>
      </w:r>
    </w:p>
    <w:p>
      <w:pPr>
        <w:spacing w:after="0" w:line="118" w:lineRule="exact"/>
        <w:rPr>
          <w:sz w:val="20"/>
          <w:szCs w:val="20"/>
          <w:color w:val="auto"/>
        </w:rPr>
      </w:pPr>
    </w:p>
    <w:p>
      <w:pPr>
        <w:jc w:val="both"/>
        <w:ind w:firstLine="1737"/>
        <w:spacing w:after="0" w:line="243" w:lineRule="auto"/>
        <w:rPr>
          <w:sz w:val="20"/>
          <w:szCs w:val="20"/>
          <w:color w:val="auto"/>
        </w:rPr>
      </w:pPr>
      <w:r>
        <w:rPr>
          <w:rFonts w:ascii="Arial" w:cs="Arial" w:eastAsia="Arial" w:hAnsi="Arial"/>
          <w:sz w:val="15"/>
          <w:szCs w:val="15"/>
          <w:color w:val="auto"/>
        </w:rPr>
        <w:t xml:space="preserve">(q) the Liens created by the Security Documents shall, at any time with respect to Portfolio Investments having an aggregate Value in excess of 5% of the aggregate Value of all Portfolio Investments, not be valid and perfected (to the extent perfection by filing, registration, recordation, possession or control is required herein or therein) in favor of the Collateral Agent, free and clear of all other Liens (other than Liens permitted under </w:t>
      </w:r>
      <w:r>
        <w:rPr>
          <w:rFonts w:ascii="Arial" w:cs="Arial" w:eastAsia="Arial" w:hAnsi="Arial"/>
          <w:sz w:val="15"/>
          <w:szCs w:val="15"/>
          <w:u w:val="single" w:color="auto"/>
          <w:color w:val="auto"/>
        </w:rPr>
        <w:t>Section 6.02</w:t>
      </w:r>
      <w:r>
        <w:rPr>
          <w:rFonts w:ascii="Arial" w:cs="Arial" w:eastAsia="Arial" w:hAnsi="Arial"/>
          <w:sz w:val="15"/>
          <w:szCs w:val="15"/>
          <w:color w:val="auto"/>
        </w:rPr>
        <w:t xml:space="preserve"> or under the respective Security Documents) except to the extent that any such loss of perfection results from the failure of the Collateral Agent to maintain possession of the certificates representing the securities pledged under the Loan Documents;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60" w:type="dxa"/>
            <w:vAlign w:val="bottom"/>
          </w:tcPr>
          <w:p>
            <w:pPr>
              <w:ind w:left="1740"/>
              <w:spacing w:after="0"/>
              <w:rPr>
                <w:sz w:val="20"/>
                <w:szCs w:val="20"/>
                <w:color w:val="auto"/>
              </w:rPr>
            </w:pPr>
            <w:r>
              <w:rPr>
                <w:rFonts w:ascii="Arial" w:cs="Arial" w:eastAsia="Arial" w:hAnsi="Arial"/>
                <w:sz w:val="15"/>
                <w:szCs w:val="15"/>
                <w:color w:val="auto"/>
              </w:rPr>
              <w:t>(r)</w:t>
            </w:r>
          </w:p>
        </w:tc>
        <w:tc>
          <w:tcPr>
            <w:tcW w:w="8740" w:type="dxa"/>
            <w:vAlign w:val="bottom"/>
            <w:gridSpan w:val="2"/>
          </w:tcPr>
          <w:p>
            <w:pPr>
              <w:jc w:val="right"/>
              <w:ind w:right="20"/>
              <w:spacing w:after="0"/>
              <w:rPr>
                <w:sz w:val="20"/>
                <w:szCs w:val="20"/>
                <w:color w:val="auto"/>
              </w:rPr>
            </w:pPr>
            <w:r>
              <w:rPr>
                <w:rFonts w:ascii="Arial" w:cs="Arial" w:eastAsia="Arial" w:hAnsi="Arial"/>
                <w:sz w:val="15"/>
                <w:szCs w:val="15"/>
                <w:color w:val="auto"/>
                <w:w w:val="98"/>
              </w:rPr>
              <w:t>except for expiration in accordance with its terms, any of the Loan Documents shall for whatever reason be terminated or cease to be</w:t>
            </w:r>
          </w:p>
        </w:tc>
      </w:tr>
      <w:tr>
        <w:trPr>
          <w:trHeight w:val="191"/>
        </w:trPr>
        <w:tc>
          <w:tcPr>
            <w:tcW w:w="11300" w:type="dxa"/>
            <w:vAlign w:val="bottom"/>
            <w:gridSpan w:val="3"/>
          </w:tcPr>
          <w:p>
            <w:pPr>
              <w:spacing w:after="0"/>
              <w:rPr>
                <w:sz w:val="20"/>
                <w:szCs w:val="20"/>
                <w:color w:val="auto"/>
              </w:rPr>
            </w:pPr>
            <w:r>
              <w:rPr>
                <w:rFonts w:ascii="Arial" w:cs="Arial" w:eastAsia="Arial" w:hAnsi="Arial"/>
                <w:sz w:val="15"/>
                <w:szCs w:val="15"/>
                <w:color w:val="auto"/>
              </w:rPr>
              <w:t>in full force and effect in any material respect, or the enforceability thereof shall be contested by the Borrower or any other Obligor;</w:t>
            </w:r>
          </w:p>
        </w:tc>
      </w:tr>
      <w:tr>
        <w:trPr>
          <w:trHeight w:val="287"/>
        </w:trPr>
        <w:tc>
          <w:tcPr>
            <w:tcW w:w="2560" w:type="dxa"/>
            <w:vAlign w:val="bottom"/>
          </w:tcPr>
          <w:p>
            <w:pPr>
              <w:ind w:left="1740"/>
              <w:spacing w:after="0"/>
              <w:rPr>
                <w:sz w:val="20"/>
                <w:szCs w:val="20"/>
                <w:color w:val="auto"/>
              </w:rPr>
            </w:pPr>
            <w:r>
              <w:rPr>
                <w:rFonts w:ascii="Arial" w:cs="Arial" w:eastAsia="Arial" w:hAnsi="Arial"/>
                <w:sz w:val="15"/>
                <w:szCs w:val="15"/>
                <w:color w:val="auto"/>
              </w:rPr>
              <w:t>(s)</w:t>
            </w:r>
          </w:p>
        </w:tc>
        <w:tc>
          <w:tcPr>
            <w:tcW w:w="8740" w:type="dxa"/>
            <w:vAlign w:val="bottom"/>
            <w:gridSpan w:val="2"/>
          </w:tcPr>
          <w:p>
            <w:pPr>
              <w:jc w:val="right"/>
              <w:spacing w:after="0"/>
              <w:rPr>
                <w:sz w:val="20"/>
                <w:szCs w:val="20"/>
                <w:color w:val="auto"/>
              </w:rPr>
            </w:pPr>
            <w:r>
              <w:rPr>
                <w:rFonts w:ascii="Arial" w:cs="Arial" w:eastAsia="Arial" w:hAnsi="Arial"/>
                <w:sz w:val="15"/>
                <w:szCs w:val="15"/>
                <w:color w:val="auto"/>
              </w:rPr>
              <w:t>the Obligors shall at any time, without the consent of the Required Lenders fail to comply with the covenant contained in Section</w:t>
            </w:r>
          </w:p>
        </w:tc>
      </w:tr>
      <w:tr>
        <w:trPr>
          <w:trHeight w:val="20"/>
        </w:trPr>
        <w:tc>
          <w:tcPr>
            <w:tcW w:w="25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u w:val="single" w:color="auto"/>
          <w:color w:val="auto"/>
        </w:rPr>
        <w:t>5.11</w:t>
      </w:r>
      <w:r>
        <w:rPr>
          <w:rFonts w:ascii="Arial" w:cs="Arial" w:eastAsia="Arial" w:hAnsi="Arial"/>
          <w:sz w:val="15"/>
          <w:szCs w:val="15"/>
          <w:color w:val="auto"/>
        </w:rPr>
        <w:t>, and such failure shall continue unremedied for a period of 30 or more days after the earlier of notice thereof by the Administrative Agent (given at the request of any Lender) to the Borrower or knowledge thereof by a Financial Officer; or</w:t>
      </w:r>
    </w:p>
    <w:p>
      <w:pPr>
        <w:spacing w:after="0" w:line="115" w:lineRule="exact"/>
        <w:rPr>
          <w:sz w:val="20"/>
          <w:szCs w:val="20"/>
          <w:color w:val="auto"/>
        </w:rPr>
      </w:pPr>
    </w:p>
    <w:p>
      <w:pPr>
        <w:jc w:val="both"/>
        <w:ind w:right="20" w:firstLine="1737"/>
        <w:spacing w:after="0" w:line="262" w:lineRule="auto"/>
        <w:rPr>
          <w:sz w:val="20"/>
          <w:szCs w:val="20"/>
          <w:color w:val="auto"/>
        </w:rPr>
      </w:pPr>
      <w:r>
        <w:rPr>
          <w:rFonts w:ascii="Arial" w:cs="Arial" w:eastAsia="Arial" w:hAnsi="Arial"/>
          <w:sz w:val="15"/>
          <w:szCs w:val="15"/>
          <w:color w:val="auto"/>
        </w:rPr>
        <w:t>(t) the Borrower or any of its Subsidiaries shall cause or permit the occurrence of any condition or event that would result in any recourse to any Obligor under any Permitted SBIC Guarantee;</w:t>
      </w:r>
    </w:p>
    <w:p>
      <w:pPr>
        <w:spacing w:after="0" w:line="115"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 xml:space="preserve">then, and in every such event (other than an event with respect to the Borrower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xml:space="preserve">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224790</wp:posOffset>
            </wp:positionV>
            <wp:extent cx="721106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type w:val="continuous"/>
        </w:sectPr>
      </w:pPr>
    </w:p>
    <w:bookmarkStart w:id="232" w:name="page233"/>
    <w:bookmarkEnd w:id="232"/>
    <w:p>
      <w:pPr>
        <w:jc w:val="both"/>
        <w:ind w:right="20"/>
        <w:spacing w:after="0" w:line="245" w:lineRule="auto"/>
        <w:rPr>
          <w:sz w:val="20"/>
          <w:szCs w:val="20"/>
          <w:color w:val="auto"/>
        </w:rPr>
      </w:pPr>
      <w:r>
        <w:rPr>
          <w:rFonts w:ascii="Arial" w:cs="Arial" w:eastAsia="Arial" w:hAnsi="Arial"/>
          <w:sz w:val="15"/>
          <w:szCs w:val="15"/>
          <w:color w:val="auto"/>
        </w:rPr>
        <w:t xml:space="preserve">demand, protest or other notice of any kind, all of which are hereby waived by the Borrower; and in case of any event with respect to the Borrower described in </w:t>
      </w:r>
      <w:r>
        <w:rPr>
          <w:rFonts w:ascii="Arial" w:cs="Arial" w:eastAsia="Arial" w:hAnsi="Arial"/>
          <w:sz w:val="15"/>
          <w:szCs w:val="15"/>
          <w:u w:val="single" w:color="auto"/>
          <w:color w:val="auto"/>
        </w:rPr>
        <w:t>clause (i)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(j)</w:t>
      </w:r>
      <w:r>
        <w:rPr>
          <w:rFonts w:ascii="Arial" w:cs="Arial" w:eastAsia="Arial" w:hAnsi="Arial"/>
          <w:sz w:val="15"/>
          <w:szCs w:val="15"/>
          <w:color w:val="auto"/>
        </w:rPr>
        <w:t xml:space="preserve"> of this Article, the Commitments shall automatically terminate and the principal of the Loans then outstanding, together with accrued interest thereon and all fees and other obligations of the Borrower accrued hereunder and under the other Loan Documents, shall automatically become due and payable, without presentment, demand, protest or other notice of any kind, all of which are hereby waived by the Borrower.</w:t>
      </w:r>
    </w:p>
    <w:p>
      <w:pPr>
        <w:spacing w:after="0" w:line="128" w:lineRule="exact"/>
        <w:rPr>
          <w:sz w:val="20"/>
          <w:szCs w:val="20"/>
          <w:color w:val="auto"/>
        </w:rPr>
      </w:pPr>
    </w:p>
    <w:p>
      <w:pPr>
        <w:jc w:val="both"/>
        <w:ind w:firstLine="1737"/>
        <w:spacing w:after="0" w:line="264" w:lineRule="auto"/>
        <w:rPr>
          <w:sz w:val="20"/>
          <w:szCs w:val="20"/>
          <w:color w:val="auto"/>
        </w:rPr>
      </w:pPr>
      <w:r>
        <w:rPr>
          <w:rFonts w:ascii="Arial" w:cs="Arial" w:eastAsia="Arial" w:hAnsi="Arial"/>
          <w:sz w:val="14"/>
          <w:szCs w:val="14"/>
          <w:color w:val="auto"/>
        </w:rPr>
        <w:t xml:space="preserve">In the event that the Loans shall be declared, or shall become, due and payable pursuant to the immediately preceding paragraph then, upon notice from the Administrative Agent or Lenders with LC Exposure representing more than 50% of the total LC Exposure demanding the deposit of Cash Collateral pursuant to this paragraph, the Borrower shall immediately deposit into the Letter of Credit Collateral Account cash in an amount equal to the LC Exposure as of such date </w:t>
      </w:r>
      <w:r>
        <w:rPr>
          <w:rFonts w:ascii="Arial" w:cs="Arial" w:eastAsia="Arial" w:hAnsi="Arial"/>
          <w:sz w:val="14"/>
          <w:szCs w:val="14"/>
          <w:u w:val="single" w:color="auto"/>
          <w:color w:val="auto"/>
        </w:rPr>
        <w:t>plus</w:t>
      </w:r>
      <w:r>
        <w:rPr>
          <w:rFonts w:ascii="Arial" w:cs="Arial" w:eastAsia="Arial" w:hAnsi="Arial"/>
          <w:sz w:val="14"/>
          <w:szCs w:val="14"/>
          <w:color w:val="auto"/>
        </w:rPr>
        <w:t xml:space="preserve"> any accrued and unpaid interest thereon;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obligation to deposit such cash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(j)</w:t>
      </w:r>
      <w:r>
        <w:rPr>
          <w:rFonts w:ascii="Arial" w:cs="Arial" w:eastAsia="Arial" w:hAnsi="Arial"/>
          <w:sz w:val="14"/>
          <w:szCs w:val="14"/>
          <w:color w:val="auto"/>
        </w:rPr>
        <w:t xml:space="preserve"> of this Article.</w:t>
      </w:r>
    </w:p>
    <w:p>
      <w:pPr>
        <w:spacing w:after="0" w:line="117" w:lineRule="exact"/>
        <w:rPr>
          <w:sz w:val="20"/>
          <w:szCs w:val="20"/>
          <w:color w:val="auto"/>
        </w:rPr>
      </w:pPr>
    </w:p>
    <w:p>
      <w:pPr>
        <w:jc w:val="both"/>
        <w:ind w:firstLine="1737"/>
        <w:spacing w:after="0" w:line="257" w:lineRule="auto"/>
        <w:rPr>
          <w:sz w:val="20"/>
          <w:szCs w:val="20"/>
          <w:color w:val="auto"/>
        </w:rPr>
      </w:pPr>
      <w:r>
        <w:rPr>
          <w:rFonts w:ascii="Arial" w:cs="Arial" w:eastAsia="Arial" w:hAnsi="Arial"/>
          <w:sz w:val="14"/>
          <w:szCs w:val="14"/>
          <w:color w:val="auto"/>
        </w:rPr>
        <w:t xml:space="preserve">Notwithstanding anything to the contrary contained herein, on the CAM Exchange Date, to the extent not otherwise prohibited by law, (a) the Lenders shall automatically and without further act 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above, the interests in the Designated Obligations to be received in such deemed exchange shall, automatically and with no further action required, be converted into the Dollar Equivalent of such amount (as of the Business Day immediately prior to the CAM Exchange Date)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and the Borrower hereby consents and agrees to the CAM Exchange. The Borrower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provided that the failure of the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216535</wp:posOffset>
            </wp:positionV>
            <wp:extent cx="721106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3" w:name="page234"/>
    <w:bookmarkEnd w:id="233"/>
    <w:p>
      <w:pPr>
        <w:jc w:val="center"/>
        <w:ind w:right="-3"/>
        <w:spacing w:after="0"/>
        <w:rPr>
          <w:sz w:val="20"/>
          <w:szCs w:val="20"/>
          <w:color w:val="auto"/>
        </w:rPr>
      </w:pPr>
      <w:r>
        <w:rPr>
          <w:rFonts w:ascii="Arial" w:cs="Arial" w:eastAsia="Arial" w:hAnsi="Arial"/>
          <w:sz w:val="15"/>
          <w:szCs w:val="15"/>
          <w:color w:val="auto"/>
        </w:rPr>
        <w:t>ARTICLE VIII</w:t>
      </w:r>
    </w:p>
    <w:p>
      <w:pPr>
        <w:spacing w:after="0" w:line="168" w:lineRule="exact"/>
        <w:rPr>
          <w:sz w:val="20"/>
          <w:szCs w:val="20"/>
          <w:color w:val="auto"/>
        </w:rPr>
      </w:pPr>
    </w:p>
    <w:p>
      <w:pPr>
        <w:jc w:val="center"/>
        <w:ind w:right="-3"/>
        <w:spacing w:after="0"/>
        <w:rPr>
          <w:sz w:val="20"/>
          <w:szCs w:val="20"/>
          <w:color w:val="auto"/>
        </w:rPr>
      </w:pPr>
      <w:r>
        <w:rPr>
          <w:rFonts w:ascii="Arial" w:cs="Arial" w:eastAsia="Arial" w:hAnsi="Arial"/>
          <w:sz w:val="15"/>
          <w:szCs w:val="15"/>
          <w:u w:val="single" w:color="auto"/>
          <w:color w:val="auto"/>
        </w:rPr>
        <w:t>THE ADMINISTRATIVE AGENT</w:t>
      </w:r>
    </w:p>
    <w:p>
      <w:pPr>
        <w:spacing w:after="0" w:line="14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8.01.</w:t>
      </w:r>
      <w:r>
        <w:rPr>
          <w:sz w:val="20"/>
          <w:szCs w:val="20"/>
          <w:color w:val="auto"/>
        </w:rPr>
        <w:tab/>
      </w:r>
      <w:r>
        <w:rPr>
          <w:rFonts w:ascii="Arial" w:cs="Arial" w:eastAsia="Arial" w:hAnsi="Arial"/>
          <w:sz w:val="14"/>
          <w:szCs w:val="14"/>
          <w:u w:val="single" w:color="auto"/>
          <w:color w:val="auto"/>
        </w:rPr>
        <w:t>Appointment of the Administrative Agent</w:t>
      </w:r>
    </w:p>
    <w:p>
      <w:pPr>
        <w:spacing w:after="0" w:line="149" w:lineRule="exact"/>
        <w:rPr>
          <w:sz w:val="20"/>
          <w:szCs w:val="20"/>
          <w:color w:val="auto"/>
        </w:rPr>
      </w:pPr>
    </w:p>
    <w:p>
      <w:pPr>
        <w:jc w:val="both"/>
        <w:ind w:left="4" w:hanging="4"/>
        <w:spacing w:after="0" w:line="243" w:lineRule="auto"/>
        <w:tabs>
          <w:tab w:leader="none" w:pos="155" w:val="left"/>
        </w:tabs>
        <w:numPr>
          <w:ilvl w:val="0"/>
          <w:numId w:val="146"/>
        </w:numPr>
        <w:rPr>
          <w:rFonts w:ascii="Arial" w:cs="Arial" w:eastAsia="Arial" w:hAnsi="Arial"/>
          <w:sz w:val="15"/>
          <w:szCs w:val="15"/>
          <w:color w:val="auto"/>
        </w:rPr>
      </w:pPr>
      <w:r>
        <w:rPr>
          <w:rFonts w:ascii="Arial" w:cs="Arial" w:eastAsia="Arial" w:hAnsi="Arial"/>
          <w:sz w:val="15"/>
          <w:szCs w:val="15"/>
          <w:color w:val="auto"/>
        </w:rPr>
        <w:t>Each of the Lenders and the Issuing Banks hereby irrevocably appoints the Administrative Agent as its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of the Lenders and the Issuing Banks hereby irrevocably appoints the Collateral Agent as its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w:t>
      </w:r>
    </w:p>
    <w:p>
      <w:pPr>
        <w:spacing w:after="0" w:line="12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8.02.</w:t>
      </w:r>
      <w:r>
        <w:rPr>
          <w:sz w:val="20"/>
          <w:szCs w:val="20"/>
          <w:color w:val="auto"/>
        </w:rPr>
        <w:tab/>
      </w:r>
      <w:r>
        <w:rPr>
          <w:rFonts w:ascii="Arial" w:cs="Arial" w:eastAsia="Arial" w:hAnsi="Arial"/>
          <w:sz w:val="13"/>
          <w:szCs w:val="13"/>
          <w:u w:val="single" w:color="auto"/>
          <w:color w:val="auto"/>
        </w:rPr>
        <w:t>Capacity as Lender</w:t>
      </w:r>
    </w:p>
    <w:p>
      <w:pPr>
        <w:spacing w:after="0" w:line="149" w:lineRule="exact"/>
        <w:rPr>
          <w:sz w:val="20"/>
          <w:szCs w:val="20"/>
          <w:color w:val="auto"/>
        </w:rPr>
      </w:pPr>
    </w:p>
    <w:p>
      <w:pPr>
        <w:jc w:val="both"/>
        <w:ind w:left="4" w:right="20" w:hanging="4"/>
        <w:spacing w:after="0" w:line="249" w:lineRule="auto"/>
        <w:tabs>
          <w:tab w:leader="none" w:pos="11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8.03.</w:t>
      </w:r>
      <w:r>
        <w:rPr>
          <w:sz w:val="20"/>
          <w:szCs w:val="20"/>
          <w:color w:val="auto"/>
        </w:rPr>
        <w:tab/>
      </w:r>
      <w:r>
        <w:rPr>
          <w:rFonts w:ascii="Arial" w:cs="Arial" w:eastAsia="Arial" w:hAnsi="Arial"/>
          <w:sz w:val="14"/>
          <w:szCs w:val="14"/>
          <w:u w:val="single" w:color="auto"/>
          <w:color w:val="auto"/>
        </w:rPr>
        <w:t>Limitation of Duties; Exculpation</w:t>
      </w:r>
    </w:p>
    <w:p>
      <w:pPr>
        <w:spacing w:after="0" w:line="149" w:lineRule="exact"/>
        <w:rPr>
          <w:sz w:val="20"/>
          <w:szCs w:val="20"/>
          <w:color w:val="auto"/>
        </w:rPr>
      </w:pPr>
    </w:p>
    <w:p>
      <w:pPr>
        <w:jc w:val="both"/>
        <w:ind w:left="4" w:hanging="4"/>
        <w:spacing w:after="0" w:line="257" w:lineRule="auto"/>
        <w:tabs>
          <w:tab w:leader="none" w:pos="142"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or by the other Loan Documents that the Administrative Agent is required to exercise in writing by the Required Lenders, and (c) except as expressly set forth herein and in the other Loan Documents, the Administrative Agent shall not have any duty to disclose, and shall not be liable for the failure to disclose, any information relating to the Borrower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in the absence of its own fraud, gross negligence or willful misconduct.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any other Loan Document or any other agreement, instrument or document, or (v) the satisfaction of any condition set forth in Article IV or elsewhere herein or therein, other than to confirm receipt of items expressly required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217805</wp:posOffset>
            </wp:positionV>
            <wp:extent cx="721106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34" w:name="page235"/>
    <w:bookmarkEnd w:id="234"/>
    <w:p>
      <w:pPr>
        <w:ind w:left="1744"/>
        <w:spacing w:after="0"/>
        <w:tabs>
          <w:tab w:leader="none" w:pos="4844" w:val="left"/>
        </w:tabs>
        <w:rPr>
          <w:sz w:val="20"/>
          <w:szCs w:val="20"/>
          <w:color w:val="auto"/>
        </w:rPr>
      </w:pPr>
      <w:r>
        <w:rPr>
          <w:rFonts w:ascii="Arial" w:cs="Arial" w:eastAsia="Arial" w:hAnsi="Arial"/>
          <w:sz w:val="15"/>
          <w:szCs w:val="15"/>
          <w:color w:val="auto"/>
        </w:rPr>
        <w:t>SECTION 8.04.</w:t>
      </w:r>
      <w:r>
        <w:rPr>
          <w:sz w:val="20"/>
          <w:szCs w:val="20"/>
          <w:color w:val="auto"/>
        </w:rPr>
        <w:tab/>
      </w:r>
      <w:r>
        <w:rPr>
          <w:rFonts w:ascii="Arial" w:cs="Arial" w:eastAsia="Arial" w:hAnsi="Arial"/>
          <w:sz w:val="13"/>
          <w:szCs w:val="13"/>
          <w:u w:val="single" w:color="auto"/>
          <w:color w:val="auto"/>
        </w:rPr>
        <w:t>Reliance</w:t>
      </w:r>
    </w:p>
    <w:p>
      <w:pPr>
        <w:spacing w:after="0" w:line="149" w:lineRule="exact"/>
        <w:rPr>
          <w:sz w:val="20"/>
          <w:szCs w:val="20"/>
          <w:color w:val="auto"/>
        </w:rPr>
      </w:pPr>
    </w:p>
    <w:p>
      <w:pPr>
        <w:jc w:val="both"/>
        <w:ind w:left="4" w:hanging="4"/>
        <w:spacing w:after="0" w:line="264" w:lineRule="auto"/>
        <w:tabs>
          <w:tab w:leader="none" w:pos="129" w:val="left"/>
        </w:tabs>
        <w:numPr>
          <w:ilvl w:val="0"/>
          <w:numId w:val="149"/>
        </w:numPr>
        <w:rPr>
          <w:rFonts w:ascii="Arial" w:cs="Arial" w:eastAsia="Arial" w:hAnsi="Arial"/>
          <w:sz w:val="14"/>
          <w:szCs w:val="14"/>
          <w:color w:val="auto"/>
        </w:rPr>
      </w:pPr>
      <w:r>
        <w:rPr>
          <w:rFonts w:ascii="Arial" w:cs="Arial" w:eastAsia="Arial" w:hAnsi="Arial"/>
          <w:sz w:val="14"/>
          <w:szCs w:val="14"/>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17"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8.05.</w:t>
      </w:r>
      <w:r>
        <w:rPr>
          <w:sz w:val="20"/>
          <w:szCs w:val="20"/>
          <w:color w:val="auto"/>
        </w:rPr>
        <w:tab/>
      </w:r>
      <w:r>
        <w:rPr>
          <w:rFonts w:ascii="Arial" w:cs="Arial" w:eastAsia="Arial" w:hAnsi="Arial"/>
          <w:sz w:val="13"/>
          <w:szCs w:val="13"/>
          <w:u w:val="single" w:color="auto"/>
          <w:color w:val="auto"/>
        </w:rPr>
        <w:t>Sub-Agents</w:t>
      </w:r>
    </w:p>
    <w:p>
      <w:pPr>
        <w:spacing w:after="0" w:line="149" w:lineRule="exact"/>
        <w:rPr>
          <w:sz w:val="20"/>
          <w:szCs w:val="20"/>
          <w:color w:val="auto"/>
        </w:rPr>
      </w:pPr>
    </w:p>
    <w:p>
      <w:pPr>
        <w:jc w:val="both"/>
        <w:ind w:left="4" w:hanging="4"/>
        <w:spacing w:after="0" w:line="262" w:lineRule="auto"/>
        <w:tabs>
          <w:tab w:leader="none" w:pos="161"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fraud, gross negligence or willful misconduct in the selection of such sub-agents.</w:t>
      </w:r>
    </w:p>
    <w:p>
      <w:pPr>
        <w:spacing w:after="0" w:line="11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8.06.</w:t>
      </w:r>
      <w:r>
        <w:rPr>
          <w:sz w:val="20"/>
          <w:szCs w:val="20"/>
          <w:color w:val="auto"/>
        </w:rPr>
        <w:tab/>
      </w:r>
      <w:r>
        <w:rPr>
          <w:rFonts w:ascii="Arial" w:cs="Arial" w:eastAsia="Arial" w:hAnsi="Arial"/>
          <w:sz w:val="13"/>
          <w:szCs w:val="13"/>
          <w:u w:val="single" w:color="auto"/>
          <w:color w:val="auto"/>
        </w:rPr>
        <w:t>Resignation; Successor Administrative Agent</w:t>
      </w:r>
    </w:p>
    <w:p>
      <w:pPr>
        <w:spacing w:after="0" w:line="149" w:lineRule="exact"/>
        <w:rPr>
          <w:sz w:val="20"/>
          <w:szCs w:val="20"/>
          <w:color w:val="auto"/>
        </w:rPr>
      </w:pPr>
    </w:p>
    <w:p>
      <w:pPr>
        <w:jc w:val="both"/>
        <w:ind w:left="4" w:hanging="4"/>
        <w:spacing w:after="0" w:line="258" w:lineRule="auto"/>
        <w:tabs>
          <w:tab w:leader="none" w:pos="120" w:val="left"/>
        </w:tabs>
        <w:numPr>
          <w:ilvl w:val="0"/>
          <w:numId w:val="151"/>
        </w:numPr>
        <w:rPr>
          <w:rFonts w:ascii="Arial" w:cs="Arial" w:eastAsia="Arial" w:hAnsi="Arial"/>
          <w:sz w:val="14"/>
          <w:szCs w:val="14"/>
          <w:color w:val="auto"/>
        </w:rPr>
      </w:pPr>
      <w:r>
        <w:rPr>
          <w:rFonts w:ascii="Arial" w:cs="Arial" w:eastAsia="Arial" w:hAnsi="Arial"/>
          <w:sz w:val="14"/>
          <w:szCs w:val="14"/>
          <w:color w:val="auto"/>
        </w:rPr>
        <w:t xml:space="preserve">The Administrative Agent may resign at any time by notifying the Lenders, the Issuing Banks and the Borrower. Upon any such resignation, the Required Lenders shall have the right, with the consent of the Borrower not to be unreasonably withheld (or, if an Event of Default has occurred and is continuing in consultation with the Borrower), to appoint a successor. If no successor shall have been so appointed by the Required Lenders and shall have accepted such appointment within 30 days after the retiring Administrative Agent gives notice of its resignation, then the retiring Administrative Agent’s resignation shall nonetheless become effective and (1) the retiring Administrative Agent shall be discharged from its duties and obligations hereunder and (2) the Required Lenders shall perform the duties of the Administrative Agent (and all payments and communications provided to be made by, to or through the Administrative Agent shall instead be made by or to each Lender directly) until such time as the Required Lenders appoint a successor agent as provided for above in this paragraph. Upon the acceptance of its appointment as Administrative Agent hereunder by a successor, such successor shall succeed to and become vested with all the rights, powers, privileges and duties of the retiring (or retired) Administrative Agent and the retiring Administrative Agent shall be discharged from its duties and obligations hereunder (if not already discharged therefrom as provided above in this paragraph). The fees payable by the Borrower to a successor Administrative Agent shall be the same as those payable to its predecessor unless otherwise agreed between the Borrower and such successor. After the Administrative Agent’s resignation hereunder, the provisions of this Article and </w:t>
      </w:r>
      <w:r>
        <w:rPr>
          <w:rFonts w:ascii="Arial" w:cs="Arial" w:eastAsia="Arial" w:hAnsi="Arial"/>
          <w:sz w:val="14"/>
          <w:szCs w:val="14"/>
          <w:u w:val="single" w:color="auto"/>
          <w:color w:val="auto"/>
        </w:rPr>
        <w:t>Section 9.03</w:t>
      </w:r>
      <w:r>
        <w:rPr>
          <w:rFonts w:ascii="Arial" w:cs="Arial" w:eastAsia="Arial" w:hAnsi="Arial"/>
          <w:sz w:val="14"/>
          <w:szCs w:val="14"/>
          <w:color w:val="auto"/>
        </w:rPr>
        <w:t xml:space="preserve"> shall continue in effect for its benefit in respect of any actions taken or omitted to be taken by it while it was acting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721106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35" w:name="page236"/>
    <w:bookmarkEnd w:id="235"/>
    <w:p>
      <w:pPr>
        <w:jc w:val="both"/>
        <w:ind w:left="4" w:right="20" w:firstLine="869"/>
        <w:spacing w:after="0" w:line="289" w:lineRule="auto"/>
        <w:rPr>
          <w:sz w:val="20"/>
          <w:szCs w:val="20"/>
          <w:color w:val="auto"/>
        </w:rPr>
      </w:pPr>
      <w:r>
        <w:rPr>
          <w:rFonts w:ascii="Arial" w:cs="Arial" w:eastAsia="Arial" w:hAnsi="Arial"/>
          <w:sz w:val="13"/>
          <w:szCs w:val="13"/>
          <w:color w:val="auto"/>
        </w:rPr>
        <w:t>Any resignation by Truist as Administrative Agent pursuant to this Section shall also constitute its resignation as an Issuing Bank and a Swingline Lender. Upon the acceptance of a successor’s appointment as Administrative Agent hereunder, (a) such successor shall succeed to and become vested with all of the rights, powers, privileges and duties of the retiring Issuing Bank and Swingline Lender,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02"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8.07.</w:t>
      </w:r>
      <w:r>
        <w:rPr>
          <w:sz w:val="20"/>
          <w:szCs w:val="20"/>
          <w:color w:val="auto"/>
        </w:rPr>
        <w:tab/>
      </w:r>
      <w:r>
        <w:rPr>
          <w:rFonts w:ascii="Arial" w:cs="Arial" w:eastAsia="Arial" w:hAnsi="Arial"/>
          <w:sz w:val="13"/>
          <w:szCs w:val="13"/>
          <w:u w:val="single" w:color="auto"/>
          <w:color w:val="auto"/>
        </w:rPr>
        <w:t>Reliance by Lenders</w:t>
      </w:r>
    </w:p>
    <w:p>
      <w:pPr>
        <w:spacing w:after="0" w:line="149" w:lineRule="exact"/>
        <w:rPr>
          <w:sz w:val="20"/>
          <w:szCs w:val="20"/>
          <w:color w:val="auto"/>
        </w:rPr>
      </w:pPr>
    </w:p>
    <w:p>
      <w:pPr>
        <w:jc w:val="both"/>
        <w:ind w:left="4" w:hanging="4"/>
        <w:spacing w:after="0" w:line="261" w:lineRule="auto"/>
        <w:tabs>
          <w:tab w:leader="none" w:pos="13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The Administrative Agent shall have no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the Administrative Agent shall have no responsibility with respect to the accuracy of or the completeness of any information provided to Lenders.</w:t>
      </w:r>
    </w:p>
    <w:p>
      <w:pPr>
        <w:spacing w:after="0" w:line="117" w:lineRule="exact"/>
        <w:rPr>
          <w:sz w:val="20"/>
          <w:szCs w:val="20"/>
          <w:color w:val="auto"/>
        </w:rPr>
      </w:pPr>
    </w:p>
    <w:p>
      <w:pPr>
        <w:ind w:left="4" w:firstLine="869"/>
        <w:spacing w:after="0" w:line="298" w:lineRule="auto"/>
        <w:rPr>
          <w:sz w:val="20"/>
          <w:szCs w:val="20"/>
          <w:color w:val="auto"/>
        </w:rPr>
      </w:pPr>
      <w:r>
        <w:rPr>
          <w:rFonts w:ascii="Arial" w:cs="Arial" w:eastAsia="Arial" w:hAnsi="Arial"/>
          <w:sz w:val="14"/>
          <w:szCs w:val="14"/>
          <w:color w:val="auto"/>
        </w:rPr>
        <w:t>Each Lender, by delivering its signature page to this Agreement or any Assignment and Assumption and funding any Loan shall be deemed to have acknowledged receipt of, and consented to and approved, each Loan Document and each other document required to be approved by the Administrative Agent, Required Lenders or Lenders.</w:t>
      </w:r>
    </w:p>
    <w:p>
      <w:pPr>
        <w:spacing w:after="0" w:line="92"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8.08.</w:t>
      </w:r>
      <w:r>
        <w:rPr>
          <w:sz w:val="20"/>
          <w:szCs w:val="20"/>
          <w:color w:val="auto"/>
        </w:rPr>
        <w:tab/>
      </w:r>
      <w:r>
        <w:rPr>
          <w:rFonts w:ascii="Arial" w:cs="Arial" w:eastAsia="Arial" w:hAnsi="Arial"/>
          <w:sz w:val="14"/>
          <w:szCs w:val="14"/>
          <w:u w:val="single" w:color="auto"/>
          <w:color w:val="auto"/>
        </w:rPr>
        <w:t>Modifications to Loan Documents</w:t>
      </w:r>
    </w:p>
    <w:p>
      <w:pPr>
        <w:spacing w:after="0" w:line="149" w:lineRule="exact"/>
        <w:rPr>
          <w:sz w:val="20"/>
          <w:szCs w:val="20"/>
          <w:color w:val="auto"/>
        </w:rPr>
      </w:pPr>
    </w:p>
    <w:p>
      <w:pPr>
        <w:jc w:val="both"/>
        <w:ind w:left="4" w:hanging="4"/>
        <w:spacing w:after="0" w:line="261" w:lineRule="auto"/>
        <w:tabs>
          <w:tab w:leader="none" w:pos="118" w:val="left"/>
        </w:tabs>
        <w:numPr>
          <w:ilvl w:val="0"/>
          <w:numId w:val="153"/>
        </w:numPr>
        <w:rPr>
          <w:rFonts w:ascii="Arial" w:cs="Arial" w:eastAsia="Arial" w:hAnsi="Arial"/>
          <w:sz w:val="14"/>
          <w:szCs w:val="14"/>
          <w:color w:val="auto"/>
        </w:rPr>
      </w:pPr>
      <w:r>
        <w:rPr>
          <w:rFonts w:ascii="Arial" w:cs="Arial" w:eastAsia="Arial" w:hAnsi="Arial"/>
          <w:sz w:val="14"/>
          <w:szCs w:val="14"/>
          <w:color w:val="auto"/>
        </w:rPr>
        <w:t xml:space="preserve">Except as otherwise provided in </w:t>
      </w:r>
      <w:r>
        <w:rPr>
          <w:rFonts w:ascii="Arial" w:cs="Arial" w:eastAsia="Arial" w:hAnsi="Arial"/>
          <w:sz w:val="14"/>
          <w:szCs w:val="14"/>
          <w:u w:val="single" w:color="auto"/>
          <w:color w:val="auto"/>
        </w:rPr>
        <w:t>Section 2.21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9.02(b)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of this Agreement or the Security Documents with respect to this Agreement, the Administrative Agent may, with the prior consent of the Required Lenders (but not otherwise), consent to any modification, supplement or waiver under any of the Loan Documents; provided that, without the prior consent of each Lender, the Administrative Agent shall not (except as provided herein or in the Security Documents) release all or substantially all of the Collateral or otherwise terminate all or substantially all of the Liens under any Security Document providing for collateral security, agree to additional obligations being secured by all or substantially all of such collateral security, or alter the relative priorities of the obligations entitled to the benefits of the Liens created under the Security Documents with respect to all or substantially all of the Collateral, except that no such consent shall be required, and the Administrative Agent is hereby authorized, to release any Lien covering property that is the subject of either a disposition of property permitted hereunder or a disposition to which the Required Lenders have consented.</w:t>
      </w:r>
    </w:p>
    <w:p>
      <w:pPr>
        <w:spacing w:after="0" w:line="117"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8.09.</w:t>
      </w:r>
      <w:r>
        <w:rPr>
          <w:sz w:val="20"/>
          <w:szCs w:val="20"/>
          <w:color w:val="auto"/>
        </w:rPr>
        <w:tab/>
      </w:r>
      <w:r>
        <w:rPr>
          <w:rFonts w:ascii="Arial" w:cs="Arial" w:eastAsia="Arial" w:hAnsi="Arial"/>
          <w:sz w:val="13"/>
          <w:szCs w:val="13"/>
          <w:u w:val="single" w:color="auto"/>
          <w:color w:val="auto"/>
        </w:rPr>
        <w:t>Erroneous Payments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6" w:right="299" w:bottom="1440" w:gutter="0" w:footer="0" w:header="0"/>
        </w:sectPr>
      </w:pPr>
    </w:p>
    <w:bookmarkStart w:id="236" w:name="page237"/>
    <w:bookmarkEnd w:id="236"/>
    <w:p>
      <w:pPr>
        <w:jc w:val="both"/>
        <w:ind w:left="4" w:firstLine="1737"/>
        <w:spacing w:after="0" w:line="274" w:lineRule="auto"/>
        <w:rPr>
          <w:sz w:val="20"/>
          <w:szCs w:val="20"/>
          <w:color w:val="auto"/>
        </w:rPr>
      </w:pPr>
      <w:r>
        <w:rPr>
          <w:rFonts w:ascii="Arial" w:cs="Arial" w:eastAsia="Arial" w:hAnsi="Arial"/>
          <w:sz w:val="13"/>
          <w:szCs w:val="13"/>
          <w:color w:val="auto"/>
        </w:rPr>
        <w:t>(a) If the Administrative Agent notifies a Lender, an Issuing Bank or an Indemnitee, or any Person who has received funds on behalf of a Lender, an Issuing Bank or an Indemnitee (any such Lender, Issuing Bank, Indemnitee or other recipient, a “</w:t>
      </w:r>
      <w:r>
        <w:rPr>
          <w:rFonts w:ascii="Arial" w:cs="Arial" w:eastAsia="Arial" w:hAnsi="Arial"/>
          <w:sz w:val="13"/>
          <w:szCs w:val="13"/>
          <w:u w:val="single" w:color="auto"/>
          <w:color w:val="auto"/>
        </w:rPr>
        <w:t>Payment Recipient</w:t>
      </w:r>
      <w:r>
        <w:rPr>
          <w:rFonts w:ascii="Arial" w:cs="Arial" w:eastAsia="Arial" w:hAnsi="Arial"/>
          <w:sz w:val="13"/>
          <w:szCs w:val="13"/>
          <w:color w:val="auto"/>
        </w:rPr>
        <w:t xml:space="preserve">”), that the Administrative Agent has determined in its sole discretion (whether or not after receipt of any notice under immediately succeeding </w:t>
      </w:r>
      <w:r>
        <w:rPr>
          <w:rFonts w:ascii="Arial" w:cs="Arial" w:eastAsia="Arial" w:hAnsi="Arial"/>
          <w:sz w:val="13"/>
          <w:szCs w:val="13"/>
          <w:u w:val="single" w:color="auto"/>
          <w:color w:val="auto"/>
        </w:rPr>
        <w:t>clause (b)</w:t>
      </w:r>
      <w:r>
        <w:rPr>
          <w:rFonts w:ascii="Arial" w:cs="Arial" w:eastAsia="Arial" w:hAnsi="Arial"/>
          <w:sz w:val="13"/>
          <w:szCs w:val="13"/>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Indemnitee or other Payment Recipient on its behalf) (any such funds, whether received as a payment, prepayment or repayment of principal, interest, fees, distribution or otherwise, individually and collectively, an “</w:t>
      </w:r>
      <w:r>
        <w:rPr>
          <w:rFonts w:ascii="Arial" w:cs="Arial" w:eastAsia="Arial" w:hAnsi="Arial"/>
          <w:sz w:val="13"/>
          <w:szCs w:val="13"/>
          <w:u w:val="single" w:color="auto"/>
          <w:color w:val="auto"/>
        </w:rPr>
        <w:t>Erroneous Payment</w:t>
      </w:r>
      <w:r>
        <w:rPr>
          <w:rFonts w:ascii="Arial" w:cs="Arial" w:eastAsia="Arial" w:hAnsi="Arial"/>
          <w:sz w:val="13"/>
          <w:szCs w:val="13"/>
          <w:color w:val="auto"/>
        </w:rPr>
        <w:t xml:space="preserve">”) and demands the return of such Erroneous Payment (or a portion thereof), such Erroneous Payment shall at all times remain the property of the Administrative Agent and shall be segregated (or earmarked) by the Payment Recipient and held in trust for the benefit of the Administrative Agent, and such Lender, Issuing Bank or Indemnitee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3"/>
          <w:szCs w:val="13"/>
          <w:u w:val="single" w:color="auto"/>
          <w:color w:val="auto"/>
        </w:rPr>
        <w:t>clause</w:t>
      </w:r>
    </w:p>
    <w:p>
      <w:pPr>
        <w:spacing w:after="0" w:line="6" w:lineRule="exact"/>
        <w:rPr>
          <w:sz w:val="20"/>
          <w:szCs w:val="20"/>
          <w:color w:val="auto"/>
        </w:rPr>
      </w:pPr>
    </w:p>
    <w:p>
      <w:pPr>
        <w:ind w:left="204" w:hanging="204"/>
        <w:spacing w:after="0"/>
        <w:tabs>
          <w:tab w:leader="none" w:pos="204" w:val="left"/>
        </w:tabs>
        <w:numPr>
          <w:ilvl w:val="0"/>
          <w:numId w:val="154"/>
        </w:numPr>
        <w:rPr>
          <w:rFonts w:ascii="Arial" w:cs="Arial" w:eastAsia="Arial" w:hAnsi="Arial"/>
          <w:sz w:val="15"/>
          <w:szCs w:val="15"/>
          <w:u w:val="single" w:color="auto"/>
          <w:color w:val="auto"/>
        </w:rPr>
      </w:pPr>
      <w:r>
        <w:rPr>
          <w:rFonts w:ascii="Arial" w:cs="Arial" w:eastAsia="Arial" w:hAnsi="Arial"/>
          <w:sz w:val="15"/>
          <w:szCs w:val="15"/>
          <w:color w:val="auto"/>
        </w:rPr>
        <w:t>shall be conclusive, absent manifest error.</w:t>
      </w:r>
    </w:p>
    <w:p>
      <w:pPr>
        <w:spacing w:after="0" w:line="137" w:lineRule="exact"/>
        <w:rPr>
          <w:sz w:val="20"/>
          <w:szCs w:val="20"/>
          <w:color w:val="auto"/>
        </w:rPr>
      </w:pPr>
    </w:p>
    <w:p>
      <w:pPr>
        <w:jc w:val="both"/>
        <w:ind w:left="4" w:firstLine="1737"/>
        <w:spacing w:after="0" w:line="262" w:lineRule="auto"/>
        <w:rPr>
          <w:sz w:val="20"/>
          <w:szCs w:val="20"/>
          <w:color w:val="auto"/>
        </w:rPr>
      </w:pPr>
      <w:r>
        <w:rPr>
          <w:rFonts w:ascii="Arial" w:cs="Arial" w:eastAsia="Arial" w:hAnsi="Arial"/>
          <w:sz w:val="14"/>
          <w:szCs w:val="14"/>
          <w:color w:val="auto"/>
        </w:rPr>
        <w:t xml:space="preserve">(b) Without limiting immediately preceding </w:t>
      </w:r>
      <w:r>
        <w:rPr>
          <w:rFonts w:ascii="Arial" w:cs="Arial" w:eastAsia="Arial" w:hAnsi="Arial"/>
          <w:sz w:val="14"/>
          <w:szCs w:val="14"/>
          <w:u w:val="single" w:color="auto"/>
          <w:color w:val="auto"/>
        </w:rPr>
        <w:t>clause (a)</w:t>
      </w:r>
      <w:r>
        <w:rPr>
          <w:rFonts w:ascii="Arial" w:cs="Arial" w:eastAsia="Arial" w:hAnsi="Arial"/>
          <w:sz w:val="14"/>
          <w:szCs w:val="14"/>
          <w:color w:val="auto"/>
        </w:rPr>
        <w:t>, each Lender, Issuing Bank or Indemnitee, or any Person who has received funds on behalf of a Lender, Issuing Bank or Indemnitee,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Indemnitee, or other such recipient, otherwise becomes aware was transmitted, or received, in error or by mistake (in whole or in part) in each case:</w:t>
      </w:r>
    </w:p>
    <w:p>
      <w:pPr>
        <w:spacing w:after="0" w:line="118" w:lineRule="exact"/>
        <w:rPr>
          <w:sz w:val="20"/>
          <w:szCs w:val="20"/>
          <w:color w:val="auto"/>
        </w:rPr>
      </w:pPr>
    </w:p>
    <w:p>
      <w:pPr>
        <w:jc w:val="both"/>
        <w:ind w:left="864" w:right="20" w:firstLine="802"/>
        <w:spacing w:after="0" w:line="249" w:lineRule="auto"/>
        <w:rPr>
          <w:sz w:val="20"/>
          <w:szCs w:val="20"/>
          <w:color w:val="auto"/>
        </w:rPr>
      </w:pPr>
      <w:r>
        <w:rPr>
          <w:rFonts w:ascii="Arial" w:cs="Arial" w:eastAsia="Arial" w:hAnsi="Arial"/>
          <w:sz w:val="15"/>
          <w:szCs w:val="15"/>
          <w:color w:val="auto"/>
        </w:rPr>
        <w:t xml:space="preserve">(i) (A) in the case of immediately preceding </w:t>
      </w:r>
      <w:r>
        <w:rPr>
          <w:rFonts w:ascii="Arial" w:cs="Arial" w:eastAsia="Arial" w:hAnsi="Arial"/>
          <w:sz w:val="15"/>
          <w:szCs w:val="15"/>
          <w:u w:val="single" w:color="auto"/>
          <w:color w:val="auto"/>
        </w:rPr>
        <w:t>clauses (x)</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(y)</w:t>
      </w:r>
      <w:r>
        <w:rPr>
          <w:rFonts w:ascii="Arial" w:cs="Arial" w:eastAsia="Arial" w:hAnsi="Arial"/>
          <w:sz w:val="15"/>
          <w:szCs w:val="15"/>
          <w:color w:val="auto"/>
        </w:rPr>
        <w:t xml:space="preserve">, an error shall be presumed to have been made (absent written confirmation from the Administrative Agent to the contrary) or (B) an error has been made (in the case of immediately preceding </w:t>
      </w:r>
      <w:r>
        <w:rPr>
          <w:rFonts w:ascii="Arial" w:cs="Arial" w:eastAsia="Arial" w:hAnsi="Arial"/>
          <w:sz w:val="15"/>
          <w:szCs w:val="15"/>
          <w:u w:val="single" w:color="auto"/>
          <w:color w:val="auto"/>
        </w:rPr>
        <w:t>clause (z)</w:t>
      </w:r>
      <w:r>
        <w:rPr>
          <w:rFonts w:ascii="Arial" w:cs="Arial" w:eastAsia="Arial" w:hAnsi="Arial"/>
          <w:sz w:val="15"/>
          <w:szCs w:val="15"/>
          <w:color w:val="auto"/>
        </w:rPr>
        <w:t>), in each case, with respect to such payment, prepayment or repayment; and</w:t>
      </w:r>
    </w:p>
    <w:p>
      <w:pPr>
        <w:spacing w:after="0" w:line="125" w:lineRule="exact"/>
        <w:rPr>
          <w:sz w:val="20"/>
          <w:szCs w:val="20"/>
          <w:color w:val="auto"/>
        </w:rPr>
      </w:pPr>
    </w:p>
    <w:p>
      <w:pPr>
        <w:jc w:val="both"/>
        <w:ind w:left="864" w:firstLine="802"/>
        <w:spacing w:after="0" w:line="249" w:lineRule="auto"/>
        <w:rPr>
          <w:sz w:val="20"/>
          <w:szCs w:val="20"/>
          <w:color w:val="auto"/>
        </w:rPr>
      </w:pPr>
      <w:r>
        <w:rPr>
          <w:rFonts w:ascii="Arial" w:cs="Arial" w:eastAsia="Arial" w:hAnsi="Arial"/>
          <w:sz w:val="15"/>
          <w:szCs w:val="15"/>
          <w:color w:val="auto"/>
        </w:rPr>
        <w:t xml:space="preserve">(ii) such Lender, Issuing Bank or Indemnitee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Arial" w:cs="Arial" w:eastAsia="Arial" w:hAnsi="Arial"/>
          <w:sz w:val="15"/>
          <w:szCs w:val="15"/>
          <w:u w:val="single" w:color="auto"/>
          <w:color w:val="auto"/>
        </w:rPr>
        <w:t>Section 8.09(b)</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219710</wp:posOffset>
            </wp:positionV>
            <wp:extent cx="721106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37" w:name="page238"/>
    <w:bookmarkEnd w:id="237"/>
    <w:p>
      <w:pPr>
        <w:jc w:val="both"/>
        <w:ind w:right="20" w:firstLine="1737"/>
        <w:spacing w:after="0" w:line="275" w:lineRule="auto"/>
        <w:rPr>
          <w:sz w:val="20"/>
          <w:szCs w:val="20"/>
          <w:color w:val="auto"/>
        </w:rPr>
      </w:pPr>
      <w:r>
        <w:rPr>
          <w:rFonts w:ascii="Arial" w:cs="Arial" w:eastAsia="Arial" w:hAnsi="Arial"/>
          <w:sz w:val="14"/>
          <w:szCs w:val="14"/>
          <w:color w:val="auto"/>
        </w:rPr>
        <w:t xml:space="preserve">(c) Each Lender, Issuing Bank and Indemnitee hereby authorizes the Administrative Agent to set off, net and apply any and all amounts at any time owing to such Lender, Issuing Bank or Indemnitee under any Loan Document, or otherwise payable or distributable by the Administrative Agent to such Lender, Issuing Bank or Indemnitee from any source, against any amount due to the Administrative Agent under immediately preceding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under the indemnification provisions of this Agreement.</w:t>
      </w:r>
    </w:p>
    <w:p>
      <w:pPr>
        <w:spacing w:after="0" w:line="108" w:lineRule="exact"/>
        <w:rPr>
          <w:sz w:val="20"/>
          <w:szCs w:val="20"/>
          <w:color w:val="auto"/>
        </w:rPr>
      </w:pPr>
    </w:p>
    <w:p>
      <w:pPr>
        <w:jc w:val="both"/>
        <w:ind w:firstLine="1737"/>
        <w:spacing w:after="0" w:line="255" w:lineRule="auto"/>
        <w:rPr>
          <w:sz w:val="20"/>
          <w:szCs w:val="20"/>
          <w:color w:val="auto"/>
        </w:rPr>
      </w:pPr>
      <w:r>
        <w:rPr>
          <w:rFonts w:ascii="Arial" w:cs="Arial" w:eastAsia="Arial" w:hAnsi="Arial"/>
          <w:sz w:val="14"/>
          <w:szCs w:val="14"/>
          <w:color w:val="auto"/>
        </w:rPr>
        <w:t xml:space="preserve">(d) In the event that an Erroneous Payment (or portion thereof) is not recovered by the Administrative Agent for any reason, after demand therefor by the Administrative Agent in accordance with immediately preceding </w:t>
      </w:r>
      <w:r>
        <w:rPr>
          <w:rFonts w:ascii="Arial" w:cs="Arial" w:eastAsia="Arial" w:hAnsi="Arial"/>
          <w:sz w:val="14"/>
          <w:szCs w:val="14"/>
          <w:u w:val="single" w:color="auto"/>
          <w:color w:val="auto"/>
        </w:rPr>
        <w:t>clause (a)</w:t>
      </w:r>
      <w:r>
        <w:rPr>
          <w:rFonts w:ascii="Arial" w:cs="Arial" w:eastAsia="Arial" w:hAnsi="Arial"/>
          <w:sz w:val="14"/>
          <w:szCs w:val="14"/>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Arial" w:cs="Arial" w:eastAsia="Arial" w:hAnsi="Arial"/>
          <w:sz w:val="14"/>
          <w:szCs w:val="14"/>
          <w:u w:val="single" w:color="auto"/>
          <w:color w:val="auto"/>
        </w:rPr>
        <w:t>Erroneous</w:t>
      </w:r>
      <w:r>
        <w:rPr>
          <w:rFonts w:ascii="Arial" w:cs="Arial" w:eastAsia="Arial" w:hAnsi="Arial"/>
          <w:sz w:val="14"/>
          <w:szCs w:val="14"/>
          <w:color w:val="auto"/>
        </w:rPr>
        <w:t xml:space="preserve"> </w:t>
      </w:r>
      <w:r>
        <w:rPr>
          <w:rFonts w:ascii="Arial" w:cs="Arial" w:eastAsia="Arial" w:hAnsi="Arial"/>
          <w:sz w:val="14"/>
          <w:szCs w:val="14"/>
          <w:u w:val="single" w:color="auto"/>
          <w:color w:val="auto"/>
        </w:rPr>
        <w:t>Payment Return Deficiency</w:t>
      </w:r>
      <w:r>
        <w:rPr>
          <w:rFonts w:ascii="Arial" w:cs="Arial" w:eastAsia="Arial" w:hAnsi="Arial"/>
          <w:sz w:val="14"/>
          <w:szCs w:val="14"/>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Arial" w:cs="Arial" w:eastAsia="Arial" w:hAnsi="Arial"/>
          <w:sz w:val="14"/>
          <w:szCs w:val="14"/>
          <w:u w:val="single" w:color="auto"/>
          <w:color w:val="auto"/>
        </w:rPr>
        <w:t>Erroneous Payment Impacted Class</w:t>
      </w:r>
      <w:r>
        <w:rPr>
          <w:rFonts w:ascii="Arial" w:cs="Arial" w:eastAsia="Arial" w:hAnsi="Arial"/>
          <w:sz w:val="14"/>
          <w:szCs w:val="14"/>
          <w:color w:val="auto"/>
        </w:rPr>
        <w:t>”) in an amount equal to the Erroneous Payment Return Deficiency (or such lesser amount as the Administrative Agent may specify) (such assignment of the Loans (but not Commitments) of the Erroneous Payment Impacted Class, the “</w:t>
      </w:r>
      <w:r>
        <w:rPr>
          <w:rFonts w:ascii="Arial" w:cs="Arial" w:eastAsia="Arial" w:hAnsi="Arial"/>
          <w:sz w:val="14"/>
          <w:szCs w:val="14"/>
          <w:u w:val="single" w:color="auto"/>
          <w:color w:val="auto"/>
        </w:rPr>
        <w:t>Erroneous Payment Deficiency Assignment</w:t>
      </w:r>
      <w:r>
        <w:rPr>
          <w:rFonts w:ascii="Arial" w:cs="Arial" w:eastAsia="Arial" w:hAnsi="Arial"/>
          <w:sz w:val="14"/>
          <w:szCs w:val="14"/>
          <w:color w:val="auto"/>
        </w:rPr>
        <w:t xml:space="preserve">”)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or Issuing Bank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So long as any sale of Loans complies with the terms of </w:t>
      </w:r>
      <w:r>
        <w:rPr>
          <w:rFonts w:ascii="Arial" w:cs="Arial" w:eastAsia="Arial" w:hAnsi="Arial"/>
          <w:sz w:val="14"/>
          <w:szCs w:val="14"/>
          <w:u w:val="single" w:color="auto"/>
          <w:color w:val="auto"/>
        </w:rPr>
        <w:t>Section 9.04(b)</w:t>
      </w:r>
      <w:r>
        <w:rPr>
          <w:rFonts w:ascii="Arial" w:cs="Arial" w:eastAsia="Arial" w:hAnsi="Arial"/>
          <w:sz w:val="14"/>
          <w:szCs w:val="14"/>
          <w:color w:val="auto"/>
        </w:rPr>
        <w: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224155</wp:posOffset>
            </wp:positionV>
            <wp:extent cx="721106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8" w:name="page239"/>
    <w:bookmarkEnd w:id="238"/>
    <w:p>
      <w:pPr>
        <w:jc w:val="both"/>
        <w:ind w:right="20"/>
        <w:spacing w:after="0" w:line="262" w:lineRule="auto"/>
        <w:rPr>
          <w:sz w:val="20"/>
          <w:szCs w:val="20"/>
          <w:color w:val="auto"/>
        </w:rPr>
      </w:pPr>
      <w:r>
        <w:rPr>
          <w:rFonts w:ascii="Arial" w:cs="Arial" w:eastAsia="Arial" w:hAnsi="Arial"/>
          <w:sz w:val="15"/>
          <w:szCs w:val="15"/>
          <w:color w:val="auto"/>
        </w:rPr>
        <w:t>all the rights and interests of the applicable Lender, Issuing Bank or Indemnitee under the Loan Documents with respect to each Erroneous Payment Return Deficiency (the “</w:t>
      </w:r>
      <w:r>
        <w:rPr>
          <w:rFonts w:ascii="Arial" w:cs="Arial" w:eastAsia="Arial" w:hAnsi="Arial"/>
          <w:sz w:val="15"/>
          <w:szCs w:val="15"/>
          <w:u w:val="single" w:color="auto"/>
          <w:color w:val="auto"/>
        </w:rPr>
        <w:t>Erroneous</w:t>
      </w:r>
      <w:r>
        <w:rPr>
          <w:rFonts w:ascii="Arial" w:cs="Arial" w:eastAsia="Arial" w:hAnsi="Arial"/>
          <w:sz w:val="15"/>
          <w:szCs w:val="15"/>
          <w:color w:val="auto"/>
        </w:rPr>
        <w:t xml:space="preserve"> </w:t>
      </w:r>
      <w:r>
        <w:rPr>
          <w:rFonts w:ascii="Arial" w:cs="Arial" w:eastAsia="Arial" w:hAnsi="Arial"/>
          <w:sz w:val="15"/>
          <w:szCs w:val="15"/>
          <w:u w:val="single" w:color="auto"/>
          <w:color w:val="auto"/>
        </w:rPr>
        <w:t>Payment Subrogation Rights</w:t>
      </w:r>
      <w:r>
        <w:rPr>
          <w:rFonts w:ascii="Arial" w:cs="Arial" w:eastAsia="Arial" w:hAnsi="Arial"/>
          <w:sz w:val="15"/>
          <w:szCs w:val="15"/>
          <w:color w:val="auto"/>
        </w:rPr>
        <w:t>”).</w:t>
      </w:r>
    </w:p>
    <w:p>
      <w:pPr>
        <w:spacing w:after="0" w:line="115"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(e) The parties hereto agree that an Erroneous Payment shall not pay, prepay, repay, discharge or otherwise satisfy any Revolving Credit Exposure or other obligations owed by the Borrower or any other Obligor;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Section 8.09(e)</w:t>
      </w:r>
      <w:r>
        <w:rPr>
          <w:rFonts w:ascii="Arial" w:cs="Arial" w:eastAsia="Arial" w:hAnsi="Arial"/>
          <w:sz w:val="15"/>
          <w:szCs w:val="15"/>
          <w:color w:val="auto"/>
        </w:rPr>
        <w:t xml:space="preserve"> shall not be interpreted to increase (or accelerate the due date for), or have the effect of increasing (or accelerating the due date for), the obligations of the Borrower or any other Obligor relative to the amount (and/or timing for payment) of the obligations that would have been payable had such Erroneous Payment not been made by the Administrative Agent; </w:t>
      </w:r>
      <w:r>
        <w:rPr>
          <w:rFonts w:ascii="Arial" w:cs="Arial" w:eastAsia="Arial" w:hAnsi="Arial"/>
          <w:sz w:val="15"/>
          <w:szCs w:val="15"/>
          <w:u w:val="single" w:color="auto"/>
          <w:color w:val="auto"/>
        </w:rPr>
        <w:t>provided, further</w:t>
      </w:r>
      <w:r>
        <w:rPr>
          <w:rFonts w:ascii="Arial" w:cs="Arial" w:eastAsia="Arial" w:hAnsi="Arial"/>
          <w:sz w:val="15"/>
          <w:szCs w:val="15"/>
          <w:color w:val="auto"/>
        </w:rPr>
        <w:t>, that for the avoidance of doubt, immediately preceding clause shall not apply to the extent any such Erroneous Payment is, and solely with respect to the amount of such Erroneous Payment that is, comprised of funds received by the Administrative Agent from the Borrower or any other Obligor for the purpose of making such Erroneous Payment.</w:t>
      </w:r>
    </w:p>
    <w:p>
      <w:pPr>
        <w:spacing w:after="0" w:line="133" w:lineRule="exact"/>
        <w:rPr>
          <w:sz w:val="20"/>
          <w:szCs w:val="20"/>
          <w:color w:val="auto"/>
        </w:rPr>
      </w:pPr>
    </w:p>
    <w:p>
      <w:pPr>
        <w:jc w:val="both"/>
        <w:ind w:firstLine="1737"/>
        <w:spacing w:after="0" w:line="275" w:lineRule="auto"/>
        <w:rPr>
          <w:sz w:val="20"/>
          <w:szCs w:val="20"/>
          <w:color w:val="auto"/>
        </w:rPr>
      </w:pPr>
      <w:r>
        <w:rPr>
          <w:rFonts w:ascii="Arial" w:cs="Arial" w:eastAsia="Arial" w:hAnsi="Arial"/>
          <w:sz w:val="14"/>
          <w:szCs w:val="14"/>
          <w:color w:val="auto"/>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08"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(g) Each party’s obligations, agreements and waivers under this </w:t>
      </w:r>
      <w:r>
        <w:rPr>
          <w:rFonts w:ascii="Arial" w:cs="Arial" w:eastAsia="Arial" w:hAnsi="Arial"/>
          <w:sz w:val="15"/>
          <w:szCs w:val="15"/>
          <w:u w:val="single" w:color="auto"/>
          <w:color w:val="auto"/>
        </w:rPr>
        <w:t>Section 8.09</w:t>
      </w:r>
      <w:r>
        <w:rPr>
          <w:rFonts w:ascii="Arial" w:cs="Arial" w:eastAsia="Arial" w:hAnsi="Arial"/>
          <w:sz w:val="15"/>
          <w:szCs w:val="15"/>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60" w:type="dxa"/>
            <w:vAlign w:val="bottom"/>
            <w:gridSpan w:val="3"/>
          </w:tcPr>
          <w:p>
            <w:pPr>
              <w:jc w:val="center"/>
              <w:ind w:right="5000"/>
              <w:spacing w:after="0"/>
              <w:rPr>
                <w:sz w:val="20"/>
                <w:szCs w:val="20"/>
                <w:color w:val="auto"/>
              </w:rPr>
            </w:pPr>
            <w:r>
              <w:rPr>
                <w:rFonts w:ascii="Arial" w:cs="Arial" w:eastAsia="Arial" w:hAnsi="Arial"/>
                <w:sz w:val="15"/>
                <w:szCs w:val="15"/>
                <w:color w:val="auto"/>
              </w:rPr>
              <w:t>ARTICLE IX</w:t>
            </w:r>
          </w:p>
        </w:tc>
      </w:tr>
      <w:tr>
        <w:trPr>
          <w:trHeight w:val="306"/>
        </w:trPr>
        <w:tc>
          <w:tcPr>
            <w:tcW w:w="3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MISCELLANEOUS</w:t>
            </w:r>
          </w:p>
        </w:tc>
        <w:tc>
          <w:tcPr>
            <w:tcW w:w="5000" w:type="dxa"/>
            <w:vAlign w:val="bottom"/>
            <w:gridSpan w:val="2"/>
          </w:tcPr>
          <w:p>
            <w:pPr>
              <w:spacing w:after="0"/>
              <w:rPr>
                <w:sz w:val="24"/>
                <w:szCs w:val="24"/>
                <w:color w:val="auto"/>
              </w:rPr>
            </w:pPr>
          </w:p>
        </w:tc>
      </w:tr>
      <w:tr>
        <w:trPr>
          <w:trHeight w:val="301"/>
        </w:trPr>
        <w:tc>
          <w:tcPr>
            <w:tcW w:w="3260" w:type="dxa"/>
            <w:vAlign w:val="bottom"/>
          </w:tcPr>
          <w:p>
            <w:pPr>
              <w:ind w:left="1740"/>
              <w:spacing w:after="0"/>
              <w:rPr>
                <w:sz w:val="20"/>
                <w:szCs w:val="20"/>
                <w:color w:val="auto"/>
              </w:rPr>
            </w:pPr>
            <w:r>
              <w:rPr>
                <w:rFonts w:ascii="Arial" w:cs="Arial" w:eastAsia="Arial" w:hAnsi="Arial"/>
                <w:sz w:val="15"/>
                <w:szCs w:val="15"/>
                <w:color w:val="auto"/>
              </w:rPr>
              <w:t>SECTION 9.01.</w:t>
            </w:r>
          </w:p>
        </w:tc>
        <w:tc>
          <w:tcPr>
            <w:tcW w:w="1100" w:type="dxa"/>
            <w:vAlign w:val="bottom"/>
          </w:tcPr>
          <w:p>
            <w:pPr>
              <w:spacing w:after="0"/>
              <w:rPr>
                <w:sz w:val="24"/>
                <w:szCs w:val="24"/>
                <w:color w:val="auto"/>
              </w:rPr>
            </w:pPr>
          </w:p>
        </w:tc>
        <w:tc>
          <w:tcPr>
            <w:tcW w:w="6920" w:type="dxa"/>
            <w:vAlign w:val="bottom"/>
            <w:gridSpan w:val="5"/>
          </w:tcPr>
          <w:p>
            <w:pPr>
              <w:ind w:left="500"/>
              <w:spacing w:after="0"/>
              <w:rPr>
                <w:sz w:val="20"/>
                <w:szCs w:val="20"/>
                <w:color w:val="auto"/>
              </w:rPr>
            </w:pPr>
            <w:r>
              <w:rPr>
                <w:rFonts w:ascii="Arial" w:cs="Arial" w:eastAsia="Arial" w:hAnsi="Arial"/>
                <w:sz w:val="15"/>
                <w:szCs w:val="15"/>
                <w:color w:val="auto"/>
              </w:rPr>
              <w:t>Notices; Electronic Communications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6"/>
          </w:tcPr>
          <w:p>
            <w:pPr>
              <w:spacing w:after="0"/>
              <w:rPr>
                <w:sz w:val="20"/>
                <w:szCs w:val="20"/>
                <w:color w:val="auto"/>
              </w:rPr>
            </w:pPr>
            <w:r>
              <w:rPr>
                <w:rFonts w:ascii="Arial" w:cs="Arial" w:eastAsia="Arial" w:hAnsi="Arial"/>
                <w:sz w:val="15"/>
                <w:szCs w:val="15"/>
                <w:color w:val="auto"/>
                <w:w w:val="91"/>
              </w:rPr>
              <w:t>Notices Generally. Except in the case of notices and other communications expressly permitted to be given by telephone, all notices</w:t>
            </w:r>
          </w:p>
        </w:tc>
      </w:tr>
      <w:tr>
        <w:trPr>
          <w:trHeight w:val="20"/>
        </w:trPr>
        <w:tc>
          <w:tcPr>
            <w:tcW w:w="3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and other communications provided for herein shall be in writing and shall be delivered by hand or overnight courier service, mailed by certified or registered mail or sent by telecopy, as follows:</w:t>
      </w:r>
    </w:p>
    <w:p>
      <w:pPr>
        <w:spacing w:after="0" w:line="115" w:lineRule="exact"/>
        <w:rPr>
          <w:sz w:val="20"/>
          <w:szCs w:val="20"/>
          <w:color w:val="auto"/>
        </w:rPr>
      </w:pPr>
    </w:p>
    <w:p>
      <w:pPr>
        <w:ind w:left="1660"/>
        <w:spacing w:after="0"/>
        <w:tabs>
          <w:tab w:leader="none" w:pos="3160" w:val="left"/>
        </w:tabs>
        <w:rPr>
          <w:sz w:val="20"/>
          <w:szCs w:val="20"/>
          <w:color w:val="auto"/>
        </w:rPr>
      </w:pPr>
      <w:r>
        <w:rPr>
          <w:rFonts w:ascii="Arial" w:cs="Arial" w:eastAsia="Arial" w:hAnsi="Arial"/>
          <w:sz w:val="15"/>
          <w:szCs w:val="15"/>
          <w:color w:val="auto"/>
        </w:rPr>
        <w:t>(i)</w:t>
      </w:r>
      <w:r>
        <w:rPr>
          <w:sz w:val="20"/>
          <w:szCs w:val="20"/>
          <w:color w:val="auto"/>
        </w:rPr>
        <w:tab/>
      </w:r>
      <w:r>
        <w:rPr>
          <w:rFonts w:ascii="Arial" w:cs="Arial" w:eastAsia="Arial" w:hAnsi="Arial"/>
          <w:sz w:val="15"/>
          <w:szCs w:val="15"/>
          <w:color w:val="auto"/>
        </w:rPr>
        <w:t>if to the Borrower, to it at:</w:t>
      </w:r>
    </w:p>
    <w:p>
      <w:pPr>
        <w:spacing w:after="0" w:line="149" w:lineRule="exact"/>
        <w:rPr>
          <w:sz w:val="20"/>
          <w:szCs w:val="20"/>
          <w:color w:val="auto"/>
        </w:rPr>
      </w:pPr>
    </w:p>
    <w:p>
      <w:pPr>
        <w:ind w:left="3460" w:right="3380" w:hanging="865"/>
        <w:spacing w:after="0" w:line="245" w:lineRule="auto"/>
        <w:tabs>
          <w:tab w:leader="none" w:pos="346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Sixth Street Specialty Lending, Inc. (F/K/A TPG Specialty Lending, Inc.) 888 Seventh Avenue, 35</w:t>
      </w:r>
      <w:r>
        <w:rPr>
          <w:rFonts w:ascii="Arial" w:cs="Arial" w:eastAsia="Arial" w:hAnsi="Arial"/>
          <w:sz w:val="12"/>
          <w:szCs w:val="12"/>
          <w:color w:val="auto"/>
        </w:rPr>
        <w:t>th</w:t>
      </w:r>
      <w:r>
        <w:rPr>
          <w:rFonts w:ascii="Arial" w:cs="Arial" w:eastAsia="Arial" w:hAnsi="Arial"/>
          <w:sz w:val="15"/>
          <w:szCs w:val="15"/>
          <w:color w:val="auto"/>
        </w:rPr>
        <w:t xml:space="preserve"> Floor</w:t>
      </w:r>
    </w:p>
    <w:p>
      <w:pPr>
        <w:ind w:left="3460" w:right="6120"/>
        <w:spacing w:after="0" w:line="280" w:lineRule="auto"/>
        <w:rPr>
          <w:rFonts w:ascii="Arial" w:cs="Arial" w:eastAsia="Arial" w:hAnsi="Arial"/>
          <w:sz w:val="15"/>
          <w:szCs w:val="15"/>
          <w:color w:val="auto"/>
        </w:rPr>
      </w:pPr>
      <w:r>
        <w:rPr>
          <w:rFonts w:ascii="Arial" w:cs="Arial" w:eastAsia="Arial" w:hAnsi="Arial"/>
          <w:sz w:val="14"/>
          <w:szCs w:val="14"/>
          <w:color w:val="auto"/>
        </w:rPr>
        <w:t>New York, New York 10019 Attention: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302260</wp:posOffset>
            </wp:positionV>
            <wp:extent cx="721106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39" w:name="page240"/>
    <w:bookmarkEnd w:id="239"/>
    <w:p>
      <w:pPr>
        <w:ind w:left="3460"/>
        <w:spacing w:after="0"/>
        <w:rPr>
          <w:sz w:val="20"/>
          <w:szCs w:val="20"/>
          <w:color w:val="auto"/>
        </w:rPr>
      </w:pPr>
      <w:r>
        <w:rPr>
          <w:rFonts w:ascii="Arial" w:cs="Arial" w:eastAsia="Arial" w:hAnsi="Arial"/>
          <w:sz w:val="15"/>
          <w:szCs w:val="15"/>
          <w:color w:val="auto"/>
        </w:rPr>
        <w:t>Telecopy Number: (212) 430-4639</w:t>
      </w:r>
    </w:p>
    <w:p>
      <w:pPr>
        <w:spacing w:after="0" w:line="10" w:lineRule="exact"/>
        <w:rPr>
          <w:sz w:val="20"/>
          <w:szCs w:val="20"/>
          <w:color w:val="auto"/>
        </w:rPr>
      </w:pPr>
    </w:p>
    <w:p>
      <w:pPr>
        <w:ind w:left="3460"/>
        <w:spacing w:after="0"/>
        <w:rPr>
          <w:sz w:val="20"/>
          <w:szCs w:val="20"/>
          <w:color w:val="auto"/>
        </w:rPr>
      </w:pPr>
      <w:r>
        <w:rPr>
          <w:rFonts w:ascii="Arial" w:cs="Arial" w:eastAsia="Arial" w:hAnsi="Arial"/>
          <w:sz w:val="15"/>
          <w:szCs w:val="15"/>
          <w:color w:val="auto"/>
        </w:rPr>
        <w:t>Telephone: (212) 601-4739</w:t>
      </w:r>
    </w:p>
    <w:p>
      <w:pPr>
        <w:spacing w:after="0" w:line="137" w:lineRule="exact"/>
        <w:rPr>
          <w:sz w:val="20"/>
          <w:szCs w:val="20"/>
          <w:color w:val="auto"/>
        </w:rPr>
      </w:pPr>
    </w:p>
    <w:p>
      <w:pPr>
        <w:ind w:left="1660"/>
        <w:spacing w:after="0"/>
        <w:tabs>
          <w:tab w:leader="none" w:pos="3200" w:val="left"/>
        </w:tabs>
        <w:rPr>
          <w:sz w:val="20"/>
          <w:szCs w:val="20"/>
          <w:color w:val="auto"/>
        </w:rPr>
      </w:pPr>
      <w:r>
        <w:rPr>
          <w:rFonts w:ascii="Arial" w:cs="Arial" w:eastAsia="Arial" w:hAnsi="Arial"/>
          <w:sz w:val="14"/>
          <w:szCs w:val="14"/>
          <w:color w:val="auto"/>
        </w:rPr>
        <w:t>(ii)</w:t>
      </w:r>
      <w:r>
        <w:rPr>
          <w:sz w:val="20"/>
          <w:szCs w:val="20"/>
          <w:color w:val="auto"/>
        </w:rPr>
        <w:tab/>
      </w:r>
      <w:r>
        <w:rPr>
          <w:rFonts w:ascii="Arial" w:cs="Arial" w:eastAsia="Arial" w:hAnsi="Arial"/>
          <w:sz w:val="14"/>
          <w:szCs w:val="14"/>
          <w:color w:val="auto"/>
        </w:rPr>
        <w:t>if to the Administrative Agent or Truist, in its capacity as a Swingline Lender, to it at:</w:t>
      </w:r>
    </w:p>
    <w:p>
      <w:pPr>
        <w:spacing w:after="0" w:line="160" w:lineRule="exact"/>
        <w:rPr>
          <w:sz w:val="20"/>
          <w:szCs w:val="20"/>
          <w:color w:val="auto"/>
        </w:rPr>
      </w:pPr>
    </w:p>
    <w:p>
      <w:pPr>
        <w:ind w:left="3460" w:hanging="865"/>
        <w:spacing w:after="0"/>
        <w:tabs>
          <w:tab w:leader="none" w:pos="34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Truist Bank</w:t>
      </w:r>
    </w:p>
    <w:p>
      <w:pPr>
        <w:spacing w:after="0" w:line="9" w:lineRule="exact"/>
        <w:rPr>
          <w:rFonts w:ascii="Arial" w:cs="Arial" w:eastAsia="Arial" w:hAnsi="Arial"/>
          <w:sz w:val="15"/>
          <w:szCs w:val="15"/>
          <w:color w:val="auto"/>
        </w:rPr>
      </w:pPr>
    </w:p>
    <w:p>
      <w:pPr>
        <w:ind w:left="3460" w:right="5720"/>
        <w:spacing w:after="0" w:line="262" w:lineRule="auto"/>
        <w:rPr>
          <w:rFonts w:ascii="Arial" w:cs="Arial" w:eastAsia="Arial" w:hAnsi="Arial"/>
          <w:sz w:val="15"/>
          <w:szCs w:val="15"/>
          <w:color w:val="auto"/>
        </w:rPr>
      </w:pPr>
      <w:r>
        <w:rPr>
          <w:rFonts w:ascii="Arial" w:cs="Arial" w:eastAsia="Arial" w:hAnsi="Arial"/>
          <w:sz w:val="14"/>
          <w:szCs w:val="14"/>
          <w:color w:val="auto"/>
        </w:rPr>
        <w:t>3333 Peachtree Road, 7th Floor Atlanta, Georgia 30326 Attention: Hays Wood Telecopy Number: (404) 836-5879</w:t>
      </w:r>
    </w:p>
    <w:p>
      <w:pPr>
        <w:spacing w:after="0" w:line="116" w:lineRule="exact"/>
        <w:rPr>
          <w:rFonts w:ascii="Arial" w:cs="Arial" w:eastAsia="Arial" w:hAnsi="Arial"/>
          <w:sz w:val="15"/>
          <w:szCs w:val="15"/>
          <w:color w:val="auto"/>
        </w:rPr>
      </w:pPr>
    </w:p>
    <w:p>
      <w:pPr>
        <w:ind w:left="3460" w:hanging="865"/>
        <w:spacing w:after="0"/>
        <w:tabs>
          <w:tab w:leader="none" w:pos="346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with a copy to:</w:t>
      </w:r>
    </w:p>
    <w:p>
      <w:pPr>
        <w:spacing w:after="0" w:line="148" w:lineRule="exact"/>
        <w:rPr>
          <w:rFonts w:ascii="Arial" w:cs="Arial" w:eastAsia="Arial" w:hAnsi="Arial"/>
          <w:sz w:val="15"/>
          <w:szCs w:val="15"/>
          <w:color w:val="auto"/>
        </w:rPr>
      </w:pPr>
    </w:p>
    <w:p>
      <w:pPr>
        <w:ind w:left="3460" w:right="6800" w:hanging="865"/>
        <w:spacing w:after="0" w:line="282" w:lineRule="auto"/>
        <w:tabs>
          <w:tab w:leader="none" w:pos="346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Truist Bank Agency Services</w:t>
      </w:r>
    </w:p>
    <w:p>
      <w:pPr>
        <w:spacing w:after="0" w:line="1" w:lineRule="exact"/>
        <w:rPr>
          <w:rFonts w:ascii="Arial" w:cs="Arial" w:eastAsia="Arial" w:hAnsi="Arial"/>
          <w:sz w:val="13"/>
          <w:szCs w:val="13"/>
          <w:color w:val="auto"/>
        </w:rPr>
      </w:pPr>
    </w:p>
    <w:p>
      <w:pPr>
        <w:ind w:left="3460" w:right="5480"/>
        <w:spacing w:after="0" w:line="236" w:lineRule="auto"/>
        <w:rPr>
          <w:rFonts w:ascii="Arial" w:cs="Arial" w:eastAsia="Arial" w:hAnsi="Arial"/>
          <w:sz w:val="13"/>
          <w:szCs w:val="13"/>
          <w:color w:val="auto"/>
        </w:rPr>
      </w:pPr>
      <w:r>
        <w:rPr>
          <w:rFonts w:ascii="Arial" w:cs="Arial" w:eastAsia="Arial" w:hAnsi="Arial"/>
          <w:sz w:val="15"/>
          <w:szCs w:val="15"/>
          <w:color w:val="auto"/>
        </w:rPr>
        <w:t>303 Peachtree Street, N. E./ 25th Floor Atlanta, Georgia 30308</w:t>
      </w:r>
    </w:p>
    <w:p>
      <w:pPr>
        <w:spacing w:after="0" w:line="1" w:lineRule="exact"/>
        <w:rPr>
          <w:rFonts w:ascii="Arial" w:cs="Arial" w:eastAsia="Arial" w:hAnsi="Arial"/>
          <w:sz w:val="13"/>
          <w:szCs w:val="13"/>
          <w:color w:val="auto"/>
        </w:rPr>
      </w:pPr>
    </w:p>
    <w:p>
      <w:pPr>
        <w:ind w:left="3460"/>
        <w:spacing w:after="0" w:line="236" w:lineRule="auto"/>
        <w:rPr>
          <w:rFonts w:ascii="Arial" w:cs="Arial" w:eastAsia="Arial" w:hAnsi="Arial"/>
          <w:sz w:val="13"/>
          <w:szCs w:val="13"/>
          <w:color w:val="auto"/>
        </w:rPr>
      </w:pPr>
      <w:r>
        <w:rPr>
          <w:rFonts w:ascii="Arial" w:cs="Arial" w:eastAsia="Arial" w:hAnsi="Arial"/>
          <w:sz w:val="15"/>
          <w:szCs w:val="15"/>
          <w:color w:val="auto"/>
        </w:rPr>
        <w:t>Attention: Wanda Gregory</w:t>
      </w:r>
    </w:p>
    <w:p>
      <w:pPr>
        <w:ind w:left="3460"/>
        <w:spacing w:after="0"/>
        <w:rPr>
          <w:rFonts w:ascii="Arial" w:cs="Arial" w:eastAsia="Arial" w:hAnsi="Arial"/>
          <w:sz w:val="13"/>
          <w:szCs w:val="13"/>
          <w:color w:val="auto"/>
        </w:rPr>
      </w:pPr>
      <w:r>
        <w:rPr>
          <w:rFonts w:ascii="Arial" w:cs="Arial" w:eastAsia="Arial" w:hAnsi="Arial"/>
          <w:sz w:val="15"/>
          <w:szCs w:val="15"/>
          <w:color w:val="auto"/>
        </w:rPr>
        <w:t>Telecopy Number: (404) 658-4906</w:t>
      </w:r>
    </w:p>
    <w:p>
      <w:pPr>
        <w:spacing w:after="0" w:line="137" w:lineRule="exact"/>
        <w:rPr>
          <w:sz w:val="20"/>
          <w:szCs w:val="20"/>
          <w:color w:val="auto"/>
        </w:rPr>
      </w:pPr>
    </w:p>
    <w:p>
      <w:pPr>
        <w:ind w:left="1660"/>
        <w:spacing w:after="0"/>
        <w:tabs>
          <w:tab w:leader="none" w:pos="3240" w:val="left"/>
        </w:tabs>
        <w:rPr>
          <w:sz w:val="20"/>
          <w:szCs w:val="20"/>
          <w:color w:val="auto"/>
        </w:rPr>
      </w:pPr>
      <w:r>
        <w:rPr>
          <w:rFonts w:ascii="Arial" w:cs="Arial" w:eastAsia="Arial" w:hAnsi="Arial"/>
          <w:sz w:val="15"/>
          <w:szCs w:val="15"/>
          <w:color w:val="auto"/>
        </w:rPr>
        <w:t>(iii)</w:t>
      </w:r>
      <w:r>
        <w:rPr>
          <w:sz w:val="20"/>
          <w:szCs w:val="20"/>
          <w:color w:val="auto"/>
        </w:rPr>
        <w:tab/>
      </w:r>
      <w:r>
        <w:rPr>
          <w:rFonts w:ascii="Arial" w:cs="Arial" w:eastAsia="Arial" w:hAnsi="Arial"/>
          <w:sz w:val="15"/>
          <w:szCs w:val="15"/>
          <w:color w:val="auto"/>
        </w:rPr>
        <w:t>if to Truist, in its capacity as Issuing Bank, to it at:</w:t>
      </w:r>
    </w:p>
    <w:p>
      <w:pPr>
        <w:spacing w:after="0" w:line="149" w:lineRule="exact"/>
        <w:rPr>
          <w:sz w:val="20"/>
          <w:szCs w:val="20"/>
          <w:color w:val="auto"/>
        </w:rPr>
      </w:pPr>
    </w:p>
    <w:p>
      <w:pPr>
        <w:ind w:left="3460" w:hanging="865"/>
        <w:spacing w:after="0"/>
        <w:tabs>
          <w:tab w:leader="none" w:pos="3460" w:val="left"/>
        </w:tabs>
        <w:numPr>
          <w:ilvl w:val="0"/>
          <w:numId w:val="157"/>
        </w:numPr>
        <w:rPr>
          <w:rFonts w:ascii="Arial" w:cs="Arial" w:eastAsia="Arial" w:hAnsi="Arial"/>
          <w:sz w:val="15"/>
          <w:szCs w:val="15"/>
          <w:color w:val="auto"/>
        </w:rPr>
      </w:pPr>
      <w:r>
        <w:rPr>
          <w:rFonts w:ascii="Arial" w:cs="Arial" w:eastAsia="Arial" w:hAnsi="Arial"/>
          <w:sz w:val="15"/>
          <w:szCs w:val="15"/>
          <w:color w:val="auto"/>
        </w:rPr>
        <w:t>Truist Bank</w:t>
      </w:r>
    </w:p>
    <w:p>
      <w:pPr>
        <w:spacing w:after="0" w:line="9" w:lineRule="exact"/>
        <w:rPr>
          <w:rFonts w:ascii="Arial" w:cs="Arial" w:eastAsia="Arial" w:hAnsi="Arial"/>
          <w:sz w:val="15"/>
          <w:szCs w:val="15"/>
          <w:color w:val="auto"/>
        </w:rPr>
      </w:pPr>
    </w:p>
    <w:p>
      <w:pPr>
        <w:ind w:left="3460" w:right="5480"/>
        <w:spacing w:after="0" w:line="236" w:lineRule="auto"/>
        <w:rPr>
          <w:rFonts w:ascii="Arial" w:cs="Arial" w:eastAsia="Arial" w:hAnsi="Arial"/>
          <w:sz w:val="15"/>
          <w:szCs w:val="15"/>
          <w:color w:val="auto"/>
        </w:rPr>
      </w:pPr>
      <w:r>
        <w:rPr>
          <w:rFonts w:ascii="Arial" w:cs="Arial" w:eastAsia="Arial" w:hAnsi="Arial"/>
          <w:sz w:val="15"/>
          <w:szCs w:val="15"/>
          <w:color w:val="auto"/>
        </w:rPr>
        <w:t>303 Peachtree Street, N. E./ 25th Floor Atlanta, Georgia 30308</w:t>
      </w:r>
    </w:p>
    <w:p>
      <w:pPr>
        <w:spacing w:after="0" w:line="1" w:lineRule="exact"/>
        <w:rPr>
          <w:rFonts w:ascii="Arial" w:cs="Arial" w:eastAsia="Arial" w:hAnsi="Arial"/>
          <w:sz w:val="15"/>
          <w:szCs w:val="15"/>
          <w:color w:val="auto"/>
        </w:rPr>
      </w:pPr>
    </w:p>
    <w:p>
      <w:pPr>
        <w:ind w:left="3460"/>
        <w:spacing w:after="0" w:line="236" w:lineRule="auto"/>
        <w:rPr>
          <w:rFonts w:ascii="Arial" w:cs="Arial" w:eastAsia="Arial" w:hAnsi="Arial"/>
          <w:sz w:val="15"/>
          <w:szCs w:val="15"/>
          <w:color w:val="auto"/>
        </w:rPr>
      </w:pPr>
      <w:r>
        <w:rPr>
          <w:rFonts w:ascii="Arial" w:cs="Arial" w:eastAsia="Arial" w:hAnsi="Arial"/>
          <w:sz w:val="15"/>
          <w:szCs w:val="15"/>
          <w:color w:val="auto"/>
        </w:rPr>
        <w:t>Attention: Wanda Gregory</w:t>
      </w:r>
    </w:p>
    <w:p>
      <w:pPr>
        <w:ind w:left="3460"/>
        <w:spacing w:after="0"/>
        <w:rPr>
          <w:rFonts w:ascii="Arial" w:cs="Arial" w:eastAsia="Arial" w:hAnsi="Arial"/>
          <w:sz w:val="15"/>
          <w:szCs w:val="15"/>
          <w:color w:val="auto"/>
        </w:rPr>
      </w:pPr>
      <w:r>
        <w:rPr>
          <w:rFonts w:ascii="Arial" w:cs="Arial" w:eastAsia="Arial" w:hAnsi="Arial"/>
          <w:sz w:val="15"/>
          <w:szCs w:val="15"/>
          <w:color w:val="auto"/>
        </w:rPr>
        <w:t>Telecopy Number: (404) 658-4906</w:t>
      </w:r>
    </w:p>
    <w:p>
      <w:pPr>
        <w:sectPr>
          <w:pgSz w:w="11900" w:h="16838" w:orient="portrait"/>
          <w:cols w:equalWidth="0" w:num="1">
            <w:col w:w="11280"/>
          </w:cols>
          <w:pgMar w:left="300" w:top="295" w:right="319" w:bottom="1440" w:gutter="0" w:footer="0" w:header="0"/>
        </w:sectPr>
      </w:pPr>
    </w:p>
    <w:p>
      <w:pPr>
        <w:spacing w:after="0" w:line="137"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(iv)</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if to JPMorgan Chase Bank, N.A., in its capacity as a Swingline Lender and an Issuing Bank:</w:t>
      </w:r>
    </w:p>
    <w:p>
      <w:pPr>
        <w:spacing w:after="0" w:line="171" w:lineRule="exact"/>
        <w:rPr>
          <w:sz w:val="20"/>
          <w:szCs w:val="20"/>
          <w:color w:val="auto"/>
        </w:rPr>
      </w:pPr>
    </w:p>
    <w:p>
      <w:pPr>
        <w:sectPr>
          <w:pgSz w:w="11900" w:h="16838" w:orient="portrait"/>
          <w:cols w:equalWidth="0" w:num="2">
            <w:col w:w="2520" w:space="720"/>
            <w:col w:w="8040"/>
          </w:cols>
          <w:pgMar w:left="300" w:top="295" w:right="319" w:bottom="1440" w:gutter="0" w:footer="0" w:header="0"/>
          <w:type w:val="continuous"/>
        </w:sectPr>
      </w:pPr>
    </w:p>
    <w:p>
      <w:pPr>
        <w:ind w:left="3480"/>
        <w:spacing w:after="0"/>
        <w:rPr>
          <w:sz w:val="20"/>
          <w:szCs w:val="20"/>
          <w:color w:val="auto"/>
        </w:rPr>
      </w:pPr>
      <w:r>
        <w:rPr>
          <w:rFonts w:ascii="Arial" w:cs="Arial" w:eastAsia="Arial" w:hAnsi="Arial"/>
          <w:sz w:val="15"/>
          <w:szCs w:val="15"/>
          <w:color w:val="auto"/>
        </w:rPr>
        <w:t>JPMorgan Chase Bank, N.A.</w:t>
      </w:r>
    </w:p>
    <w:p>
      <w:pPr>
        <w:spacing w:after="0" w:line="10" w:lineRule="exact"/>
        <w:rPr>
          <w:sz w:val="20"/>
          <w:szCs w:val="20"/>
          <w:color w:val="auto"/>
        </w:rPr>
      </w:pPr>
    </w:p>
    <w:p>
      <w:pPr>
        <w:ind w:left="3480"/>
        <w:spacing w:after="0"/>
        <w:rPr>
          <w:sz w:val="20"/>
          <w:szCs w:val="20"/>
          <w:color w:val="auto"/>
        </w:rPr>
      </w:pPr>
      <w:r>
        <w:rPr>
          <w:rFonts w:ascii="Arial" w:cs="Arial" w:eastAsia="Arial" w:hAnsi="Arial"/>
          <w:sz w:val="13"/>
          <w:szCs w:val="13"/>
          <w:color w:val="auto"/>
        </w:rPr>
        <w:t>Ground floor, 1st to 6th floors, Platina 3, Kodbis, Floor 03</w:t>
      </w:r>
    </w:p>
    <w:p>
      <w:pPr>
        <w:spacing w:after="0" w:line="18"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Bengaluru, 560 103, India</w:t>
      </w:r>
    </w:p>
    <w:p>
      <w:pPr>
        <w:ind w:left="3480"/>
        <w:spacing w:after="0" w:line="236" w:lineRule="auto"/>
        <w:rPr>
          <w:sz w:val="20"/>
          <w:szCs w:val="20"/>
          <w:color w:val="auto"/>
        </w:rPr>
      </w:pPr>
      <w:r>
        <w:rPr>
          <w:rFonts w:ascii="Arial" w:cs="Arial" w:eastAsia="Arial" w:hAnsi="Arial"/>
          <w:sz w:val="15"/>
          <w:szCs w:val="15"/>
          <w:color w:val="auto"/>
        </w:rPr>
        <w:t>Attention: Sneha Machani</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Telecopy Number: (201) 244-3885</w:t>
      </w:r>
    </w:p>
    <w:p>
      <w:pPr>
        <w:sectPr>
          <w:pgSz w:w="11900" w:h="16838" w:orient="portrait"/>
          <w:cols w:equalWidth="0" w:num="1">
            <w:col w:w="11280"/>
          </w:cols>
          <w:pgMar w:left="300" w:top="295" w:right="319" w:bottom="1440" w:gutter="0" w:footer="0" w:header="0"/>
          <w:type w:val="continuous"/>
        </w:sectPr>
      </w:pPr>
    </w:p>
    <w:p>
      <w:pPr>
        <w:spacing w:after="0" w:line="137"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(v)</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if to any other Lender, to it at its address (or telecopy number) set forth in its Administrative Questionnaire.</w:t>
      </w:r>
    </w:p>
    <w:p>
      <w:pPr>
        <w:spacing w:after="0" w:line="171" w:lineRule="exact"/>
        <w:rPr>
          <w:sz w:val="20"/>
          <w:szCs w:val="20"/>
          <w:color w:val="auto"/>
        </w:rPr>
      </w:pPr>
    </w:p>
    <w:p>
      <w:pPr>
        <w:sectPr>
          <w:pgSz w:w="11900" w:h="16838" w:orient="portrait"/>
          <w:cols w:equalWidth="0" w:num="2">
            <w:col w:w="2480" w:space="720"/>
            <w:col w:w="8080"/>
          </w:cols>
          <w:pgMar w:left="300" w:top="295" w:right="319" w:bottom="1440" w:gutter="0" w:footer="0" w:header="0"/>
          <w:type w:val="continuous"/>
        </w:sectPr>
      </w:pPr>
    </w:p>
    <w:p>
      <w:pPr>
        <w:jc w:val="both"/>
        <w:ind w:firstLine="1737"/>
        <w:spacing w:after="0" w:line="249" w:lineRule="auto"/>
        <w:rPr>
          <w:sz w:val="20"/>
          <w:szCs w:val="20"/>
          <w:color w:val="auto"/>
        </w:rPr>
      </w:pPr>
      <w:r>
        <w:rPr>
          <w:rFonts w:ascii="Arial" w:cs="Arial" w:eastAsia="Arial" w:hAnsi="Arial"/>
          <w:sz w:val="15"/>
          <w:szCs w:val="15"/>
          <w:color w:val="auto"/>
        </w:rPr>
        <w:t xml:space="preserve">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 Notices delivered through electronic communications to the extent provided in </w:t>
      </w:r>
      <w:r>
        <w:rPr>
          <w:rFonts w:ascii="Arial" w:cs="Arial" w:eastAsia="Arial" w:hAnsi="Arial"/>
          <w:sz w:val="15"/>
          <w:szCs w:val="15"/>
          <w:u w:val="single" w:color="auto"/>
          <w:color w:val="auto"/>
        </w:rPr>
        <w:t>paragraph (b)</w:t>
      </w:r>
      <w:r>
        <w:rPr>
          <w:rFonts w:ascii="Arial" w:cs="Arial" w:eastAsia="Arial" w:hAnsi="Arial"/>
          <w:sz w:val="15"/>
          <w:szCs w:val="15"/>
          <w:color w:val="auto"/>
        </w:rPr>
        <w:t xml:space="preserve"> below, shall be effective as provided in said </w:t>
      </w:r>
      <w:r>
        <w:rPr>
          <w:rFonts w:ascii="Arial" w:cs="Arial" w:eastAsia="Arial" w:hAnsi="Arial"/>
          <w:sz w:val="15"/>
          <w:szCs w:val="15"/>
          <w:u w:val="single" w:color="auto"/>
          <w:color w:val="auto"/>
        </w:rPr>
        <w:t>paragraph (b)</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type w:val="continuous"/>
        </w:sectPr>
      </w:pPr>
    </w:p>
    <w:bookmarkStart w:id="240" w:name="page241"/>
    <w:bookmarkEnd w:id="240"/>
    <w:p>
      <w:pPr>
        <w:jc w:val="both"/>
        <w:ind w:right="20" w:firstLine="1737"/>
        <w:spacing w:after="0" w:line="241"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Electronic Communications</w:t>
      </w:r>
      <w:r>
        <w:rPr>
          <w:rFonts w:ascii="Arial" w:cs="Arial" w:eastAsia="Arial" w:hAnsi="Arial"/>
          <w:sz w:val="15"/>
          <w:szCs w:val="15"/>
          <w:color w:val="auto"/>
        </w:rPr>
        <w:t xml:space="preserve">. Notices and other communications to the Lenders and the Issuing Banks hereunder may be delivered or furnished by electronic communication (including e-mail and Internet or intranet websites) pursuant to procedures approved by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shall not apply to notices to any Lender or any Issuing Bank pursuant to </w:t>
      </w:r>
      <w:r>
        <w:rPr>
          <w:rFonts w:ascii="Arial" w:cs="Arial" w:eastAsia="Arial" w:hAnsi="Arial"/>
          <w:sz w:val="15"/>
          <w:szCs w:val="15"/>
          <w:u w:val="single" w:color="auto"/>
          <w:color w:val="auto"/>
        </w:rPr>
        <w:t>Section 2.06</w:t>
      </w:r>
      <w:r>
        <w:rPr>
          <w:rFonts w:ascii="Arial" w:cs="Arial" w:eastAsia="Arial" w:hAnsi="Arial"/>
          <w:sz w:val="15"/>
          <w:szCs w:val="15"/>
          <w:color w:val="auto"/>
        </w:rPr>
        <w:t xml:space="preserve">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approval of such procedures may be limited to particular notices or communications.</w:t>
      </w:r>
    </w:p>
    <w:p>
      <w:pPr>
        <w:spacing w:after="0" w:line="133" w:lineRule="exact"/>
        <w:rPr>
          <w:sz w:val="20"/>
          <w:szCs w:val="20"/>
          <w:color w:val="auto"/>
        </w:rPr>
      </w:pPr>
    </w:p>
    <w:p>
      <w:pPr>
        <w:jc w:val="both"/>
        <w:ind w:firstLine="1733"/>
        <w:spacing w:after="0" w:line="264" w:lineRule="auto"/>
        <w:tabs>
          <w:tab w:leader="none" w:pos="1919" w:val="left"/>
        </w:tabs>
        <w:numPr>
          <w:ilvl w:val="0"/>
          <w:numId w:val="158"/>
        </w:numPr>
        <w:rPr>
          <w:rFonts w:ascii="Arial" w:cs="Arial" w:eastAsia="Arial" w:hAnsi="Arial"/>
          <w:sz w:val="14"/>
          <w:szCs w:val="14"/>
          <w:color w:val="auto"/>
        </w:rPr>
      </w:pPr>
      <w:r>
        <w:rPr>
          <w:rFonts w:ascii="Arial" w:cs="Arial" w:eastAsia="Arial" w:hAnsi="Arial"/>
          <w:sz w:val="14"/>
          <w:szCs w:val="14"/>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of notification that such notice or communication is available and identifying the website address therefor.</w:t>
      </w:r>
    </w:p>
    <w:p>
      <w:pPr>
        <w:spacing w:after="0" w:line="117" w:lineRule="exact"/>
        <w:rPr>
          <w:sz w:val="20"/>
          <w:szCs w:val="20"/>
          <w:color w:val="auto"/>
        </w:rPr>
      </w:pPr>
    </w:p>
    <w:p>
      <w:pPr>
        <w:jc w:val="both"/>
        <w:ind w:firstLine="1737"/>
        <w:spacing w:after="0" w:line="260" w:lineRule="auto"/>
        <w:rPr>
          <w:sz w:val="20"/>
          <w:szCs w:val="20"/>
          <w:color w:val="auto"/>
        </w:rPr>
      </w:pPr>
      <w:r>
        <w:rPr>
          <w:rFonts w:ascii="Arial" w:cs="Arial" w:eastAsia="Arial" w:hAnsi="Arial"/>
          <w:sz w:val="14"/>
          <w:szCs w:val="14"/>
          <w:color w:val="auto"/>
        </w:rPr>
        <w:t>Each party hereto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fraud, willful misconduct or gross negligence of Administrative Agent, any Lender or their respective Related Parties, as determined by a final, non-appealable judgment of a court of competent jurisdiction. The Platform and any electronic communications media approved by the Administrative Agent as provided herein are provided “as is” and “as available”. None of the Administrative Agent or its Related Parties warrant the accuracy, adequacy, or completeness of the such media or the Platform and each expressly disclaims liability for errors or omissions in the Platform and such media. No warranty of any kind, express, implied or statutory, including any warranty of merchantability, fitness for a particular purpose, non-infringement of third party rights or freedom from viruses or other code defects is made by the Administrative Agent and any of its Related Parties in connection with the Platform or the electronic communications media approved by the Administrative Agent as provided for herein.</w:t>
      </w:r>
    </w:p>
    <w:p>
      <w:pPr>
        <w:spacing w:after="0" w:line="117" w:lineRule="exact"/>
        <w:rPr>
          <w:sz w:val="20"/>
          <w:szCs w:val="20"/>
          <w:color w:val="auto"/>
        </w:rPr>
      </w:pPr>
    </w:p>
    <w:p>
      <w:pPr>
        <w:jc w:val="both"/>
        <w:ind w:right="20" w:firstLine="1737"/>
        <w:spacing w:after="0" w:line="241"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Private Side Information Contacts</w:t>
      </w:r>
      <w:r>
        <w:rPr>
          <w:rFonts w:ascii="Arial" w:cs="Arial" w:eastAsia="Arial" w:hAnsi="Arial"/>
          <w:sz w:val="15"/>
          <w:szCs w:val="15"/>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 Side Information” portion of the Platform and that may contain Non-Public Information with respect to the Borrower, its Subsidiaries or their Securities for purposes of United States federal or state securities laws. In the event that any Public Lender has determined for itself to not access any information disclosed through the Platform or otherwise, such Public Lender acknowledges that (i) other Lenders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224790</wp:posOffset>
            </wp:positionV>
            <wp:extent cx="721106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241" w:name="page242"/>
    <w:bookmarkEnd w:id="241"/>
    <w:p>
      <w:pPr>
        <w:jc w:val="both"/>
        <w:ind w:right="20"/>
        <w:spacing w:after="0" w:line="262" w:lineRule="auto"/>
        <w:rPr>
          <w:sz w:val="20"/>
          <w:szCs w:val="20"/>
          <w:color w:val="auto"/>
        </w:rPr>
      </w:pPr>
      <w:r>
        <w:rPr>
          <w:rFonts w:ascii="Arial" w:cs="Arial" w:eastAsia="Arial" w:hAnsi="Arial"/>
          <w:sz w:val="15"/>
          <w:szCs w:val="15"/>
          <w:color w:val="auto"/>
        </w:rPr>
        <w:t>have availed themselves of such information and (ii) neither Borrower nor Administrative Agent has any responsibility for such Public Lender’s decision to limit the scope of the information it has obtained in connection with this Agreement and the other Loan Documents.</w:t>
      </w:r>
    </w:p>
    <w:p>
      <w:pPr>
        <w:spacing w:after="0" w:line="115" w:lineRule="exact"/>
        <w:rPr>
          <w:sz w:val="20"/>
          <w:szCs w:val="20"/>
          <w:color w:val="auto"/>
        </w:rPr>
      </w:pPr>
    </w:p>
    <w:p>
      <w:pPr>
        <w:jc w:val="both"/>
        <w:ind w:right="20" w:firstLine="1737"/>
        <w:spacing w:after="0" w:line="268"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Documents to be Delivered under Sections 5.01 and 5.12(a)</w:t>
      </w:r>
      <w:r>
        <w:rPr>
          <w:rFonts w:ascii="Arial" w:cs="Arial" w:eastAsia="Arial" w:hAnsi="Arial"/>
          <w:sz w:val="14"/>
          <w:szCs w:val="14"/>
          <w:color w:val="auto"/>
        </w:rPr>
        <w:t xml:space="preserve">. For so long as an Intralinks™ or equivalent website is available to each of the Lenders hereunder, the Borrower may satisfy its obligation to deliver documents to the Administrative Agent or the Lenders under </w:t>
      </w:r>
      <w:r>
        <w:rPr>
          <w:rFonts w:ascii="Arial" w:cs="Arial" w:eastAsia="Arial" w:hAnsi="Arial"/>
          <w:sz w:val="14"/>
          <w:szCs w:val="14"/>
          <w:u w:val="single" w:color="auto"/>
          <w:color w:val="auto"/>
        </w:rPr>
        <w:t>Sections 5.01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5.12(a)</w:t>
      </w:r>
      <w:r>
        <w:rPr>
          <w:rFonts w:ascii="Arial" w:cs="Arial" w:eastAsia="Arial" w:hAnsi="Arial"/>
          <w:sz w:val="14"/>
          <w:szCs w:val="14"/>
          <w:color w:val="auto"/>
        </w:rPr>
        <w:t xml:space="preserve"> by delivering one hard copy thereof to the Administrative Agent and either an electronic copy or a notice identifying the website where such information is located for posting by the Administrative Agent on Intralinks™ or such equivalent website;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Administrative Agent shall have no responsibility to maintain access to Intralinks™ or an equivalent website.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9.02.</w:t>
            </w:r>
          </w:p>
        </w:tc>
        <w:tc>
          <w:tcPr>
            <w:tcW w:w="8020" w:type="dxa"/>
            <w:vAlign w:val="bottom"/>
            <w:gridSpan w:val="4"/>
          </w:tcPr>
          <w:p>
            <w:pPr>
              <w:ind w:left="1600"/>
              <w:spacing w:after="0"/>
              <w:rPr>
                <w:sz w:val="20"/>
                <w:szCs w:val="20"/>
                <w:color w:val="auto"/>
              </w:rPr>
            </w:pPr>
            <w:r>
              <w:rPr>
                <w:rFonts w:ascii="Arial" w:cs="Arial" w:eastAsia="Arial" w:hAnsi="Arial"/>
                <w:sz w:val="15"/>
                <w:szCs w:val="15"/>
                <w:color w:val="auto"/>
              </w:rPr>
              <w:t>Waivers; Amendments</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4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5"/>
              </w:rPr>
              <w:t>No Deemed Waivers Remedies Cumulative.  No failure or delay by the Administrative Agent, any Issuing Bank, any Swingline</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Lender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the Swingline Lenders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of this Section, and then such waiver or consent shall be effective only in the specific instance and for the purpose for which given. Without limiting the generality of the foregoing, the making of a Loan, Swingline Loan or issuance of a Letter of Credit shall not be construed as a waiver of any Default, regardless of whether the Administrative Agent, any Swingline Lender, any Lender or any Issuing Bank may have had notice or knowledge of such Default at the time.</w:t>
      </w:r>
    </w:p>
    <w:p>
      <w:pPr>
        <w:spacing w:after="0" w:line="117"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Amendments to this Agreement</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2.21</w:t>
      </w:r>
      <w:r>
        <w:rPr>
          <w:rFonts w:ascii="Arial" w:cs="Arial" w:eastAsia="Arial" w:hAnsi="Arial"/>
          <w:sz w:val="15"/>
          <w:szCs w:val="15"/>
          <w:color w:val="auto"/>
        </w:rPr>
        <w:t xml:space="preserve">, neither this Agreement nor any provision hereof may be waived, amended or modified except pursuant to an agreement or agreements in writing entered into by the Borrower and the Required Lenders or by the Borrower and the Administrative Agent with the consent of the Required Lenders;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agreement shall:</w:t>
      </w:r>
    </w:p>
    <w:p>
      <w:pPr>
        <w:sectPr>
          <w:pgSz w:w="11900" w:h="16838" w:orient="portrait"/>
          <w:cols w:equalWidth="0" w:num="1">
            <w:col w:w="11300"/>
          </w:cols>
          <w:pgMar w:left="300" w:top="295" w:right="299" w:bottom="1440" w:gutter="0" w:footer="0" w:header="0"/>
        </w:sectPr>
      </w:pP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increase the Commitment of any Lender without the written consent of such Lender,</w:t>
      </w:r>
    </w:p>
    <w:p>
      <w:pPr>
        <w:spacing w:after="0" w:line="171" w:lineRule="exact"/>
        <w:rPr>
          <w:sz w:val="20"/>
          <w:szCs w:val="20"/>
          <w:color w:val="auto"/>
        </w:rPr>
      </w:pPr>
    </w:p>
    <w:p>
      <w:pPr>
        <w:sectPr>
          <w:pgSz w:w="11900" w:h="16838" w:orient="portrait"/>
          <w:cols w:equalWidth="0" w:num="2">
            <w:col w:w="2460" w:space="720"/>
            <w:col w:w="8120"/>
          </w:cols>
          <w:pgMar w:left="300" w:top="295" w:right="299" w:bottom="1440" w:gutter="0" w:footer="0" w:header="0"/>
          <w:type w:val="continuous"/>
        </w:sectPr>
      </w:pPr>
    </w:p>
    <w:p>
      <w:pPr>
        <w:ind w:left="860" w:right="20" w:firstLine="802"/>
        <w:spacing w:after="0" w:line="262" w:lineRule="auto"/>
        <w:rPr>
          <w:sz w:val="20"/>
          <w:szCs w:val="20"/>
          <w:color w:val="auto"/>
        </w:rPr>
      </w:pPr>
      <w:r>
        <w:rPr>
          <w:rFonts w:ascii="Arial" w:cs="Arial" w:eastAsia="Arial" w:hAnsi="Arial"/>
          <w:sz w:val="15"/>
          <w:szCs w:val="15"/>
          <w:color w:val="auto"/>
        </w:rPr>
        <w:t>(ii) reduce the principal amount of any Loan or LC Disbursement or reduce the rate of interest thereon, or reduce any fees payable hereunder, without the written consent of each Lender affected thereby,</w:t>
      </w:r>
    </w:p>
    <w:p>
      <w:pPr>
        <w:spacing w:after="0" w:line="115" w:lineRule="exact"/>
        <w:rPr>
          <w:sz w:val="20"/>
          <w:szCs w:val="20"/>
          <w:color w:val="auto"/>
        </w:rPr>
      </w:pPr>
    </w:p>
    <w:p>
      <w:pPr>
        <w:ind w:left="1660"/>
        <w:spacing w:after="0"/>
        <w:tabs>
          <w:tab w:leader="none" w:pos="3240" w:val="left"/>
        </w:tabs>
        <w:rPr>
          <w:sz w:val="20"/>
          <w:szCs w:val="20"/>
          <w:color w:val="auto"/>
        </w:rPr>
      </w:pPr>
      <w:r>
        <w:rPr>
          <w:rFonts w:ascii="Arial" w:cs="Arial" w:eastAsia="Arial" w:hAnsi="Arial"/>
          <w:sz w:val="14"/>
          <w:szCs w:val="14"/>
          <w:color w:val="auto"/>
        </w:rPr>
        <w:t>(iii)</w:t>
      </w:r>
      <w:r>
        <w:rPr>
          <w:sz w:val="20"/>
          <w:szCs w:val="20"/>
          <w:color w:val="auto"/>
        </w:rPr>
        <w:tab/>
      </w:r>
      <w:r>
        <w:rPr>
          <w:rFonts w:ascii="Arial" w:cs="Arial" w:eastAsia="Arial" w:hAnsi="Arial"/>
          <w:sz w:val="14"/>
          <w:szCs w:val="14"/>
          <w:color w:val="auto"/>
        </w:rPr>
        <w:t>postpone the scheduled date of payment of the principal amount of any Loan or LC Disbursement, or any interest thereon, or any</w:t>
      </w:r>
    </w:p>
    <w:p>
      <w:pPr>
        <w:sectPr>
          <w:pgSz w:w="11900" w:h="16838" w:orient="portrait"/>
          <w:cols w:equalWidth="0" w:num="1">
            <w:col w:w="11300"/>
          </w:cols>
          <w:pgMar w:left="300" w:top="295" w:right="299" w:bottom="1440" w:gutter="0" w:footer="0" w:header="0"/>
          <w:type w:val="continuous"/>
        </w:sectPr>
      </w:pPr>
    </w:p>
    <w:p>
      <w:pPr>
        <w:spacing w:after="0" w:line="30" w:lineRule="exact"/>
        <w:rPr>
          <w:sz w:val="20"/>
          <w:szCs w:val="20"/>
          <w:color w:val="auto"/>
        </w:rPr>
      </w:pPr>
    </w:p>
    <w:p>
      <w:pPr>
        <w:ind w:left="860" w:right="20"/>
        <w:spacing w:after="0" w:line="236" w:lineRule="auto"/>
        <w:rPr>
          <w:sz w:val="20"/>
          <w:szCs w:val="20"/>
          <w:color w:val="auto"/>
        </w:rPr>
      </w:pPr>
      <w:r>
        <w:rPr>
          <w:rFonts w:ascii="Arial" w:cs="Arial" w:eastAsia="Arial" w:hAnsi="Arial"/>
          <w:sz w:val="15"/>
          <w:szCs w:val="15"/>
          <w:color w:val="auto"/>
        </w:rPr>
        <w:t>fees payable hereunder, or reduce the amount of waive or excuse any such payment, or postpone the scheduled date of expiration of any Commitment, without the written consent of each Lender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224155</wp:posOffset>
            </wp:positionV>
            <wp:extent cx="721106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type w:val="continuous"/>
        </w:sectPr>
      </w:pPr>
    </w:p>
    <w:bookmarkStart w:id="242" w:name="page243"/>
    <w:bookmarkEnd w:id="242"/>
    <w:tbl>
      <w:tblPr>
        <w:tblLayout w:type="fixed"/>
        <w:tblInd w:w="860" w:type="dxa"/>
        <w:tblCellMar>
          <w:top w:w="0" w:type="dxa"/>
          <w:left w:w="0" w:type="dxa"/>
          <w:bottom w:w="0" w:type="dxa"/>
          <w:right w:w="0" w:type="dxa"/>
        </w:tblCellMar>
      </w:tblPr>
      <w:tr>
        <w:trPr>
          <w:trHeight w:val="172"/>
        </w:trPr>
        <w:tc>
          <w:tcPr>
            <w:tcW w:w="1680" w:type="dxa"/>
            <w:vAlign w:val="bottom"/>
          </w:tcPr>
          <w:p>
            <w:pPr>
              <w:ind w:left="800"/>
              <w:spacing w:after="0"/>
              <w:rPr>
                <w:sz w:val="20"/>
                <w:szCs w:val="20"/>
                <w:color w:val="auto"/>
              </w:rPr>
            </w:pPr>
            <w:r>
              <w:rPr>
                <w:rFonts w:ascii="Arial" w:cs="Arial" w:eastAsia="Arial" w:hAnsi="Arial"/>
                <w:sz w:val="15"/>
                <w:szCs w:val="15"/>
                <w:color w:val="auto"/>
              </w:rPr>
              <w:t>(iv)</w:t>
            </w:r>
          </w:p>
        </w:tc>
        <w:tc>
          <w:tcPr>
            <w:tcW w:w="8760" w:type="dxa"/>
            <w:vAlign w:val="bottom"/>
            <w:gridSpan w:val="7"/>
          </w:tcPr>
          <w:p>
            <w:pPr>
              <w:jc w:val="right"/>
              <w:ind w:right="20"/>
              <w:spacing w:after="0"/>
              <w:rPr>
                <w:sz w:val="20"/>
                <w:szCs w:val="20"/>
                <w:color w:val="auto"/>
              </w:rPr>
            </w:pPr>
            <w:r>
              <w:rPr>
                <w:rFonts w:ascii="Arial" w:cs="Arial" w:eastAsia="Arial" w:hAnsi="Arial"/>
                <w:sz w:val="15"/>
                <w:szCs w:val="15"/>
                <w:color w:val="auto"/>
              </w:rPr>
              <w:t>change Section 2.17(b), (c) or (d) in a manner that would alter the pro rata sharing of payments required thereby without the written</w:t>
            </w:r>
          </w:p>
        </w:tc>
      </w:tr>
      <w:tr>
        <w:trPr>
          <w:trHeight w:val="185"/>
        </w:trPr>
        <w:tc>
          <w:tcPr>
            <w:tcW w:w="2860" w:type="dxa"/>
            <w:vAlign w:val="bottom"/>
            <w:gridSpan w:val="2"/>
          </w:tcPr>
          <w:p>
            <w:pPr>
              <w:spacing w:after="0"/>
              <w:rPr>
                <w:sz w:val="20"/>
                <w:szCs w:val="20"/>
                <w:color w:val="auto"/>
              </w:rPr>
            </w:pPr>
            <w:r>
              <w:rPr>
                <w:rFonts w:ascii="Arial" w:cs="Arial" w:eastAsia="Arial" w:hAnsi="Arial"/>
                <w:sz w:val="15"/>
                <w:szCs w:val="15"/>
                <w:color w:val="auto"/>
                <w:w w:val="97"/>
              </w:rPr>
              <w:t>consent of each Lender affected thereby, or</w:t>
            </w: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40" w:type="dxa"/>
            <w:vAlign w:val="bottom"/>
          </w:tcPr>
          <w:p>
            <w:pPr>
              <w:spacing w:after="0"/>
              <w:rPr>
                <w:sz w:val="16"/>
                <w:szCs w:val="16"/>
                <w:color w:val="auto"/>
              </w:rPr>
            </w:pPr>
          </w:p>
        </w:tc>
      </w:tr>
      <w:tr>
        <w:trPr>
          <w:trHeight w:val="313"/>
        </w:trPr>
        <w:tc>
          <w:tcPr>
            <w:tcW w:w="1680" w:type="dxa"/>
            <w:vAlign w:val="bottom"/>
          </w:tcPr>
          <w:p>
            <w:pPr>
              <w:ind w:left="800"/>
              <w:spacing w:after="0"/>
              <w:rPr>
                <w:sz w:val="20"/>
                <w:szCs w:val="20"/>
                <w:color w:val="auto"/>
              </w:rPr>
            </w:pPr>
            <w:r>
              <w:rPr>
                <w:rFonts w:ascii="Arial" w:cs="Arial" w:eastAsia="Arial" w:hAnsi="Arial"/>
                <w:sz w:val="15"/>
                <w:szCs w:val="15"/>
                <w:color w:val="auto"/>
              </w:rPr>
              <w:t>(v)</w:t>
            </w:r>
          </w:p>
        </w:tc>
        <w:tc>
          <w:tcPr>
            <w:tcW w:w="8760" w:type="dxa"/>
            <w:vAlign w:val="bottom"/>
            <w:gridSpan w:val="7"/>
          </w:tcPr>
          <w:p>
            <w:pPr>
              <w:jc w:val="right"/>
              <w:spacing w:after="0"/>
              <w:rPr>
                <w:sz w:val="20"/>
                <w:szCs w:val="20"/>
                <w:color w:val="auto"/>
              </w:rPr>
            </w:pPr>
            <w:r>
              <w:rPr>
                <w:rFonts w:ascii="Arial" w:cs="Arial" w:eastAsia="Arial" w:hAnsi="Arial"/>
                <w:sz w:val="15"/>
                <w:szCs w:val="15"/>
                <w:color w:val="auto"/>
              </w:rPr>
              <w:t>change any of the provisions of this Section or the definition of the term “Required Lenders” or any other provision hereof specifying</w:t>
            </w:r>
          </w:p>
        </w:tc>
      </w:tr>
    </w:tbl>
    <w:p>
      <w:pPr>
        <w:jc w:val="both"/>
        <w:ind w:left="860" w:right="20"/>
        <w:spacing w:after="0" w:line="245" w:lineRule="auto"/>
        <w:rPr>
          <w:sz w:val="20"/>
          <w:szCs w:val="20"/>
          <w:color w:val="auto"/>
        </w:rPr>
      </w:pPr>
      <w:r>
        <w:rPr>
          <w:rFonts w:ascii="Arial" w:cs="Arial" w:eastAsia="Arial" w:hAnsi="Arial"/>
          <w:sz w:val="15"/>
          <w:szCs w:val="15"/>
          <w:color w:val="auto"/>
        </w:rPr>
        <w:t>the number or percentage of Lenders required to waive, amend or modify any rights hereunder or make any determination or grant any consent hereunder, without the written consent of each Lender affected thereby;</w:t>
      </w:r>
    </w:p>
    <w:p>
      <w:pPr>
        <w:spacing w:after="0" w:line="12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further that (x)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and (y) the consent of Lenders holding not less than two-thirds of the Revolving Credit Exposure and unused Commitments will be required (A) for any adverse change affecting the provisions of this Agreement relating to the determination of the Borrowing Base (excluding changes to the provisions of </w:t>
      </w:r>
      <w:r>
        <w:rPr>
          <w:rFonts w:ascii="Arial" w:cs="Arial" w:eastAsia="Arial" w:hAnsi="Arial"/>
          <w:sz w:val="15"/>
          <w:szCs w:val="15"/>
          <w:u w:val="single" w:color="auto"/>
          <w:color w:val="auto"/>
        </w:rPr>
        <w:t>Section 5.12(b)(ii)(E)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(F)</w:t>
      </w:r>
      <w:r>
        <w:rPr>
          <w:rFonts w:ascii="Arial" w:cs="Arial" w:eastAsia="Arial" w:hAnsi="Arial"/>
          <w:sz w:val="15"/>
          <w:szCs w:val="15"/>
          <w:color w:val="auto"/>
        </w:rPr>
        <w:t xml:space="preserve">, but including changes to the provisions of </w:t>
      </w:r>
      <w:r>
        <w:rPr>
          <w:rFonts w:ascii="Arial" w:cs="Arial" w:eastAsia="Arial" w:hAnsi="Arial"/>
          <w:sz w:val="15"/>
          <w:szCs w:val="15"/>
          <w:u w:val="single" w:color="auto"/>
          <w:color w:val="auto"/>
        </w:rPr>
        <w:t>Section 5.12(c)(ii)</w:t>
      </w:r>
      <w:r>
        <w:rPr>
          <w:rFonts w:ascii="Arial" w:cs="Arial" w:eastAsia="Arial" w:hAnsi="Arial"/>
          <w:sz w:val="15"/>
          <w:szCs w:val="15"/>
          <w:color w:val="auto"/>
        </w:rPr>
        <w:t xml:space="preserve"> and the definitions set forth in </w:t>
      </w:r>
      <w:r>
        <w:rPr>
          <w:rFonts w:ascii="Arial" w:cs="Arial" w:eastAsia="Arial" w:hAnsi="Arial"/>
          <w:sz w:val="15"/>
          <w:szCs w:val="15"/>
          <w:u w:val="single" w:color="auto"/>
          <w:color w:val="auto"/>
        </w:rPr>
        <w:t>Section 5.13</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for any release of any material portion of the Collateral other than for fair value or as otherwise permitted hereunder or under the other Loan Documents.</w:t>
      </w:r>
    </w:p>
    <w:p>
      <w:pPr>
        <w:spacing w:after="0" w:line="133" w:lineRule="exact"/>
        <w:rPr>
          <w:sz w:val="20"/>
          <w:szCs w:val="20"/>
          <w:color w:val="auto"/>
        </w:rPr>
      </w:pPr>
    </w:p>
    <w:p>
      <w:pPr>
        <w:jc w:val="both"/>
        <w:ind w:firstLine="1737"/>
        <w:spacing w:after="0" w:line="264" w:lineRule="auto"/>
        <w:rPr>
          <w:sz w:val="20"/>
          <w:szCs w:val="20"/>
          <w:color w:val="auto"/>
        </w:rPr>
      </w:pPr>
      <w:r>
        <w:rPr>
          <w:rFonts w:ascii="Arial" w:cs="Arial" w:eastAsia="Arial" w:hAnsi="Arial"/>
          <w:sz w:val="14"/>
          <w:szCs w:val="14"/>
          <w:color w:val="auto"/>
        </w:rPr>
        <w:t>Anything in this Agreement to the contrary notwithstanding, no waiver or modification of any provision of this Agreement or any other Loan Document that could reasonably be expected to adversely affect the Lenders of any Class in a manner that does not affect all Classes equally shall be effective against the Lenders of such Class unless the Required Lenders of such Class shall have concurred with such waiver or modification. Anything in this Agreement to the contrary notwithstanding, this Agreement may be amended by the Borrower with the consent of the Administrative Agent and any Non-Extending Lender (but without the consent of the Required Lenders) for the sole purpose of extending the Commitments of such Non-Extending Lender so that such Non-Extending Lender becomes an Extending Lender hereunder.</w:t>
      </w:r>
    </w:p>
    <w:p>
      <w:pPr>
        <w:spacing w:after="0" w:line="117" w:lineRule="exact"/>
        <w:rPr>
          <w:sz w:val="20"/>
          <w:szCs w:val="20"/>
          <w:color w:val="auto"/>
        </w:rPr>
      </w:pPr>
    </w:p>
    <w:p>
      <w:pPr>
        <w:jc w:val="both"/>
        <w:ind w:firstLine="1737"/>
        <w:spacing w:after="0" w:line="259" w:lineRule="auto"/>
        <w:rPr>
          <w:sz w:val="20"/>
          <w:szCs w:val="20"/>
          <w:color w:val="auto"/>
        </w:rPr>
      </w:pPr>
      <w:r>
        <w:rPr>
          <w:rFonts w:ascii="Arial" w:cs="Arial" w:eastAsia="Arial" w:hAnsi="Arial"/>
          <w:sz w:val="14"/>
          <w:szCs w:val="14"/>
          <w:color w:val="auto"/>
        </w:rPr>
        <w:t xml:space="preserve">(c) </w:t>
      </w:r>
      <w:r>
        <w:rPr>
          <w:rFonts w:ascii="Arial" w:cs="Arial" w:eastAsia="Arial" w:hAnsi="Arial"/>
          <w:sz w:val="14"/>
          <w:szCs w:val="14"/>
          <w:u w:val="single" w:color="auto"/>
          <w:color w:val="auto"/>
        </w:rPr>
        <w:t>Amendments to Security Documents</w:t>
      </w:r>
      <w:r>
        <w:rPr>
          <w:rFonts w:ascii="Arial" w:cs="Arial" w:eastAsia="Arial" w:hAnsi="Arial"/>
          <w:sz w:val="14"/>
          <w:szCs w:val="14"/>
          <w:color w:val="auto"/>
        </w:rPr>
        <w:t xml:space="preserve">. No Security Document nor any provision thereof may be waived, amended or modified, nor may the Liens thereof be spread to secure any additional obligations (including any increase in Loans hereunder, but excluding any such increase pursuant to a Commitment Increase under </w:t>
      </w:r>
      <w:r>
        <w:rPr>
          <w:rFonts w:ascii="Arial" w:cs="Arial" w:eastAsia="Arial" w:hAnsi="Arial"/>
          <w:sz w:val="14"/>
          <w:szCs w:val="14"/>
          <w:u w:val="single" w:color="auto"/>
          <w:color w:val="auto"/>
        </w:rPr>
        <w:t>Section 2.08(e)</w:t>
      </w:r>
      <w:r>
        <w:rPr>
          <w:rFonts w:ascii="Arial" w:cs="Arial" w:eastAsia="Arial" w:hAnsi="Arial"/>
          <w:sz w:val="14"/>
          <w:szCs w:val="14"/>
          <w:color w:val="auto"/>
        </w:rPr>
        <w:t xml:space="preserve"> to an amount not greater than $2,000,000,000) except pursuant to an agreement or agreements in writing entered into by the Borrower, and by the Collateral Agent with the consent of the Required Lenders;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without the written consent of each Lender, no such agreement shall release all or substantially all of the Obligors from their respective obligations under the Security Documents and (ii) without the written consent of each Lender, no such agreement shall release all or substantially all of the collateral security or otherwise terminate all or substantially all of the Liens under the Security Documents, alter the relative priorities of the obligations entitled to the Liens created under the Security Documents (except in connection with securing additional obligations equally and ratably with the Loans and other obligations hereunder) with respect to all or substantially all of the collateral security provided thereby, or release all or substantially all of the guarantors under the Guarantee and Security Agreement from their guarantee obligations thereunder, except that no such consent shall be required, and the Administrative Agent is hereby authorized (and so agrees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215900</wp:posOffset>
            </wp:positionV>
            <wp:extent cx="721106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79" w:right="299" w:bottom="1440" w:gutter="0" w:footer="0" w:header="0"/>
        </w:sectPr>
      </w:pPr>
    </w:p>
    <w:bookmarkStart w:id="243" w:name="page244"/>
    <w:bookmarkEnd w:id="243"/>
    <w:p>
      <w:pPr>
        <w:jc w:val="both"/>
        <w:spacing w:after="0" w:line="245" w:lineRule="auto"/>
        <w:rPr>
          <w:sz w:val="20"/>
          <w:szCs w:val="20"/>
          <w:color w:val="auto"/>
        </w:rPr>
      </w:pPr>
      <w:r>
        <w:rPr>
          <w:rFonts w:ascii="Arial" w:cs="Arial" w:eastAsia="Arial" w:hAnsi="Arial"/>
          <w:sz w:val="15"/>
          <w:szCs w:val="15"/>
          <w:color w:val="auto"/>
        </w:rPr>
        <w:t>with the Borrower) to direct the Collateral Agent under the Guarantee and Security Agreement, (x) to release any Lien covering property (and to release any such guarantor) that is the subject of either a disposition of property permitted hereunder or a disposition to which the Required Lenders have consented, (y) to release any Lien and/or guarantee obligation in accordance with the Guarantee and Security Agreement and (z) to release (and to acknowledge the release of) all Liens and guarantees of Obligors upon the termination of this Agreement (including in connection with a complete refinancing).</w:t>
      </w:r>
    </w:p>
    <w:p>
      <w:pPr>
        <w:spacing w:after="0" w:line="128" w:lineRule="exact"/>
        <w:rPr>
          <w:sz w:val="20"/>
          <w:szCs w:val="20"/>
          <w:color w:val="auto"/>
        </w:rPr>
      </w:pPr>
    </w:p>
    <w:p>
      <w:pPr>
        <w:jc w:val="both"/>
        <w:ind w:firstLine="1737"/>
        <w:spacing w:after="0" w:line="264"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Replacement of Non-Consenting Lender</w:t>
      </w:r>
      <w:r>
        <w:rPr>
          <w:rFonts w:ascii="Arial" w:cs="Arial" w:eastAsia="Arial" w:hAnsi="Arial"/>
          <w:sz w:val="14"/>
          <w:szCs w:val="14"/>
          <w:color w:val="auto"/>
        </w:rPr>
        <w:t xml:space="preserve">. If, in connection with any proposed change, waiver, discharge or termination to any of the provisions of this Agreement as contemplated by this </w:t>
      </w:r>
      <w:r>
        <w:rPr>
          <w:rFonts w:ascii="Arial" w:cs="Arial" w:eastAsia="Arial" w:hAnsi="Arial"/>
          <w:sz w:val="14"/>
          <w:szCs w:val="14"/>
          <w:u w:val="single" w:color="auto"/>
          <w:color w:val="auto"/>
        </w:rPr>
        <w:t>Section 9.02</w:t>
      </w:r>
      <w:r>
        <w:rPr>
          <w:rFonts w:ascii="Arial" w:cs="Arial" w:eastAsia="Arial" w:hAnsi="Arial"/>
          <w:sz w:val="14"/>
          <w:szCs w:val="14"/>
          <w:color w:val="auto"/>
        </w:rPr>
        <w:t xml:space="preserve">, the consent of the Required Lenders shall have been obtained but the consent of one or more Lenders (each a “Non-Consenting Lender”) whose consent is required for such proposed change, waiver, discharge or termination is not obtained, then (so long as no Event of Default has occurred and is continuing) the Borrower shall have the right, at its sole cost and expense, to replace each such Non-Consenting Lender or Lenders with one or more replacement Lenders pursuant to </w:t>
      </w:r>
      <w:r>
        <w:rPr>
          <w:rFonts w:ascii="Arial" w:cs="Arial" w:eastAsia="Arial" w:hAnsi="Arial"/>
          <w:sz w:val="14"/>
          <w:szCs w:val="14"/>
          <w:u w:val="single" w:color="auto"/>
          <w:color w:val="auto"/>
        </w:rPr>
        <w:t>Section 2.18(b)</w:t>
      </w:r>
      <w:r>
        <w:rPr>
          <w:rFonts w:ascii="Arial" w:cs="Arial" w:eastAsia="Arial" w:hAnsi="Arial"/>
          <w:sz w:val="14"/>
          <w:szCs w:val="14"/>
          <w:color w:val="auto"/>
        </w:rPr>
        <w:t xml:space="preserve"> so long as at the time of such replacement, each such replacement Lender consents to the proposed change, waiver, discharge or termination.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9.03.</w:t>
            </w:r>
          </w:p>
        </w:tc>
        <w:tc>
          <w:tcPr>
            <w:tcW w:w="1220" w:type="dxa"/>
            <w:vAlign w:val="bottom"/>
          </w:tcPr>
          <w:p>
            <w:pPr>
              <w:spacing w:after="0"/>
              <w:rPr>
                <w:sz w:val="14"/>
                <w:szCs w:val="14"/>
                <w:color w:val="auto"/>
              </w:rPr>
            </w:pPr>
          </w:p>
        </w:tc>
        <w:tc>
          <w:tcPr>
            <w:tcW w:w="6800" w:type="dxa"/>
            <w:vAlign w:val="bottom"/>
            <w:gridSpan w:val="3"/>
          </w:tcPr>
          <w:p>
            <w:pPr>
              <w:ind w:left="380"/>
              <w:spacing w:after="0"/>
              <w:rPr>
                <w:sz w:val="20"/>
                <w:szCs w:val="20"/>
                <w:color w:val="auto"/>
              </w:rPr>
            </w:pPr>
            <w:r>
              <w:rPr>
                <w:rFonts w:ascii="Arial" w:cs="Arial" w:eastAsia="Arial" w:hAnsi="Arial"/>
                <w:sz w:val="15"/>
                <w:szCs w:val="15"/>
                <w:color w:val="auto"/>
              </w:rPr>
              <w:t>Expenses; Indemnity; Damage Waiver</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2"/>
              </w:rPr>
              <w:t>Costs and Expenses. The Borrower shall pay (i) all reasonable and documented out-of-pocket costs and expenses incurred by the</w:t>
            </w:r>
          </w:p>
        </w:tc>
      </w:tr>
      <w:tr>
        <w:trPr>
          <w:trHeight w:val="20"/>
        </w:trPr>
        <w:tc>
          <w:tcPr>
            <w:tcW w:w="32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Administrative Agent, the Collateral Agent and their Affiliates, including the reasonable and documented fees, charges and disbursements of counsel for the Administrative Agent and the Collateral Agent, in connection with the syndication of the credit facilities provided for herein, the preparation and administration of this Agreement and the other Loan Documents and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renewal or extension of any Letter of Credit by such Issuing Bank or any demand for payment thereunder, (iii) all documented out-of-pocket expenses incurred by the Administrative Agent, any Issuing Bank, any Swingline Lender or any Lender, including the reasonable and documented fees, charges and disbursements of one outside counsel for the Administrative Agent, each Issuing Bank and each Swingline Lender as well as one outside counsel for the Lenders and additional counsel should any conflict of interest arise, in connection with the enforcement or protection of its rights in connection with this Agreement and the other Loan Documents, including its rights under this Section, or in connection with the Loans made or Letters of Credit issued hereunder, including all such documented out-of-pocket expenses incurred during any workout, restructuring or negotiations in respect thereof and (iv) and all documented costs, expenses, taxes, assessments and other charges incurred in connection with any filing, registration, recording or perfection of any security interest contemplated by any Security Document or any other document referred to therein.</w:t>
      </w:r>
    </w:p>
    <w:p>
      <w:pPr>
        <w:spacing w:after="0" w:line="109" w:lineRule="exact"/>
        <w:rPr>
          <w:sz w:val="20"/>
          <w:szCs w:val="20"/>
          <w:color w:val="auto"/>
        </w:rPr>
      </w:pPr>
    </w:p>
    <w:p>
      <w:pPr>
        <w:jc w:val="both"/>
        <w:ind w:firstLine="1737"/>
        <w:spacing w:after="0" w:line="249"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Indemnification by the Borrower</w:t>
      </w:r>
      <w:r>
        <w:rPr>
          <w:rFonts w:ascii="Arial" w:cs="Arial" w:eastAsia="Arial" w:hAnsi="Arial"/>
          <w:sz w:val="15"/>
          <w:szCs w:val="15"/>
          <w:color w:val="auto"/>
        </w:rPr>
        <w:t>. The Borrower shall indemnify the Administrative Agent, each Issuing Bank, each Swingline Lender and each Lender, and each Related Party of any of the foregoing Persons (each such Person being called an “Indemnitee”) against, and hold each Indemnitee harmless from, any and all losses, claims, damages, liabilities, actions, judgments, suits, costs, expenses and disbursements of any kind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44" w:name="page245"/>
    <w:bookmarkEnd w:id="244"/>
    <w:p>
      <w:pPr>
        <w:jc w:val="both"/>
        <w:spacing w:after="0" w:line="256" w:lineRule="auto"/>
        <w:rPr>
          <w:sz w:val="20"/>
          <w:szCs w:val="20"/>
          <w:color w:val="auto"/>
        </w:rPr>
      </w:pPr>
      <w:r>
        <w:rPr>
          <w:rFonts w:ascii="Arial" w:cs="Arial" w:eastAsia="Arial" w:hAnsi="Arial"/>
          <w:sz w:val="14"/>
          <w:szCs w:val="14"/>
          <w:color w:val="auto"/>
        </w:rPr>
        <w:t xml:space="preserve">nature whatsoever (including the reasonable and documented out-of-pocket fees and disbursements of one outside counsel for all Indemnitees (and, if reasonably necessary, of one local counsel in any relevant jurisdiction for all Indemnitees) unless, in the reasonable opinion of an Indemnitee, representation of all Indemnitees by such counsel would be inappropriate due to the existence of an actual or potential conflict of interest) in connection with any investigative, administrative or judicial proceeding or hearing commenced or threatened by any Person, whether or not any such Indemnitee shall be designated as a party or a potential party thereto, and any fees or expenses incurred by Indemnitees in enforcing this indemnity), whether based on any federal, state or foreign laws, statutes, rules or regulations (including securities and commercial laws, statutes, rules or regulations and laws, statutes, rules or regulations relating to environmental, occupational safety and health or land use matters), on common law or equitable cause or on contract or otherwise and related expenses or disbursements of any kind (other than Taxes or Other Taxes which shall only be indemnified by the Borrower to the extent provided in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including the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(ii) any Loan, Swingline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and whether brought by the Borrower or a third party and regardless of whether any Indemnitee is a party thereto;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indemnity shall not as to any Indemnitee, be available to the extent that such losses, claims, damages, liabilities or related expenses (A) are determined by a court of competent jurisdiction by final and nonappealable judgment to have resulted from the fraud, willful misconduct or gross negligence of such Indemnitee or its Related Parties, (B) result from the settlement of any such claim, investigation, litigation or other proceedings described in clause (iii) above unless the Borrower has consented to such settlement (which consent shall not be unreasonably withheld, delayed or conditioned (provided that nothing in this clause (B) shall restrict the right of any person to settle any claim for which it has waived its right of indemnity by the Borrower)) or (C) result from disputes solely among Indemnitees and not involving any act or omission of an Obligor or any of its Affiliates (other than any dispute against the Administrative Agent in its capacity as such). Notwithstanding the foregoing, it is understood and agreed that indemnification for Taxes is subject to the provisions of </w:t>
      </w:r>
      <w:r>
        <w:rPr>
          <w:rFonts w:ascii="Arial" w:cs="Arial" w:eastAsia="Arial" w:hAnsi="Arial"/>
          <w:sz w:val="14"/>
          <w:szCs w:val="14"/>
          <w:u w:val="single" w:color="auto"/>
          <w:color w:val="auto"/>
        </w:rPr>
        <w:t>Section 2.16</w:t>
      </w:r>
      <w:r>
        <w:rPr>
          <w:rFonts w:ascii="Arial" w:cs="Arial" w:eastAsia="Arial" w:hAnsi="Arial"/>
          <w:sz w:val="14"/>
          <w:szCs w:val="14"/>
          <w:color w:val="auto"/>
        </w:rPr>
        <w:t>.</w:t>
      </w:r>
    </w:p>
    <w:p>
      <w:pPr>
        <w:spacing w:after="0" w:line="121"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The Borrower shall not be liable to any Indemnitee for any special, indirect, consequential or punitive damages arising out of, in connection with, or as a result of the Transactions asserted by an Indemnitee against the Borrower or any other Obligor;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foregoing limitation shall not be deemed to impair or affect the Obligations of the Borrower under the preceding provisions of this subsection.</w:t>
      </w:r>
    </w:p>
    <w:p>
      <w:pPr>
        <w:spacing w:after="0" w:line="125" w:lineRule="exact"/>
        <w:rPr>
          <w:sz w:val="20"/>
          <w:szCs w:val="20"/>
          <w:color w:val="auto"/>
        </w:rPr>
      </w:pPr>
    </w:p>
    <w:p>
      <w:pPr>
        <w:jc w:val="both"/>
        <w:ind w:right="20" w:firstLine="1737"/>
        <w:spacing w:after="0" w:line="249"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Reimbursement by Lenders</w:t>
      </w:r>
      <w:r>
        <w:rPr>
          <w:rFonts w:ascii="Arial" w:cs="Arial" w:eastAsia="Arial" w:hAnsi="Arial"/>
          <w:sz w:val="15"/>
          <w:szCs w:val="15"/>
          <w:color w:val="auto"/>
        </w:rPr>
        <w:t xml:space="preserve">. To the extent that the Borrower fails to pay any amount required to be paid by it to the Administrative Agent, any Issuing Bank or any Swingline Lender under </w:t>
      </w:r>
      <w:r>
        <w:rPr>
          <w:rFonts w:ascii="Arial" w:cs="Arial" w:eastAsia="Arial" w:hAnsi="Arial"/>
          <w:sz w:val="15"/>
          <w:szCs w:val="15"/>
          <w:u w:val="single" w:color="auto"/>
          <w:color w:val="auto"/>
        </w:rPr>
        <w:t>paragraph (a)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of this Section, each Lender severally agrees to pay to the Administrative Agent, the applicable Issuing Bank or the applicable Swingline Lender,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45" w:name="page246"/>
    <w:bookmarkEnd w:id="245"/>
    <w:p>
      <w:pPr>
        <w:jc w:val="both"/>
        <w:spacing w:after="0" w:line="249" w:lineRule="auto"/>
        <w:rPr>
          <w:sz w:val="20"/>
          <w:szCs w:val="20"/>
          <w:color w:val="auto"/>
        </w:rPr>
      </w:pPr>
      <w:r>
        <w:rPr>
          <w:rFonts w:ascii="Arial" w:cs="Arial" w:eastAsia="Arial" w:hAnsi="Arial"/>
          <w:sz w:val="15"/>
          <w:szCs w:val="15"/>
          <w:color w:val="auto"/>
        </w:rPr>
        <w:t xml:space="preserve">the case may be, such Lender’s Applicable Percentage (determined as of the time that the applicable unreimbursed expense or indemnity payment is sought) of such unpaid amount;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unreimbursed expense or indemnified loss, claim, damage, liability or related expense, as the case may be, was incurred by or asserted against the Administrative Agent, the applicable Issuing Bank or the applicable Swingline Lender in its capacity as such.</w:t>
      </w:r>
    </w:p>
    <w:p>
      <w:pPr>
        <w:spacing w:after="0" w:line="125"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Waiver of Consequential Damages, Etc</w:t>
      </w:r>
      <w:r>
        <w:rPr>
          <w:rFonts w:ascii="Arial" w:cs="Arial" w:eastAsia="Arial" w:hAnsi="Arial"/>
          <w:sz w:val="14"/>
          <w:szCs w:val="14"/>
          <w:color w:val="auto"/>
        </w:rPr>
        <w:t>. 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caused by the fraud, willful misconduct or gross negligence of such Indemnitee, as determined by a final, non-appealable judgment of a court of competent jurisdiction.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(e)</w:t>
            </w:r>
          </w:p>
        </w:tc>
        <w:tc>
          <w:tcPr>
            <w:tcW w:w="8020" w:type="dxa"/>
            <w:vAlign w:val="bottom"/>
            <w:gridSpan w:val="5"/>
          </w:tcPr>
          <w:p>
            <w:pPr>
              <w:spacing w:after="0"/>
              <w:rPr>
                <w:sz w:val="20"/>
                <w:szCs w:val="20"/>
                <w:color w:val="auto"/>
              </w:rPr>
            </w:pPr>
            <w:r>
              <w:rPr>
                <w:rFonts w:ascii="Arial" w:cs="Arial" w:eastAsia="Arial" w:hAnsi="Arial"/>
                <w:sz w:val="15"/>
                <w:szCs w:val="15"/>
                <w:color w:val="auto"/>
              </w:rPr>
              <w:t>Payments. All amounts due under this Section shall be payable promptly after written demand therefor.</w:t>
            </w:r>
          </w:p>
        </w:tc>
      </w:tr>
      <w:tr>
        <w:trPr>
          <w:trHeight w:val="301"/>
        </w:trPr>
        <w:tc>
          <w:tcPr>
            <w:tcW w:w="3260" w:type="dxa"/>
            <w:vAlign w:val="bottom"/>
          </w:tcPr>
          <w:p>
            <w:pPr>
              <w:ind w:left="1740"/>
              <w:spacing w:after="0"/>
              <w:rPr>
                <w:sz w:val="20"/>
                <w:szCs w:val="20"/>
                <w:color w:val="auto"/>
              </w:rPr>
            </w:pPr>
            <w:r>
              <w:rPr>
                <w:rFonts w:ascii="Arial" w:cs="Arial" w:eastAsia="Arial" w:hAnsi="Arial"/>
                <w:sz w:val="15"/>
                <w:szCs w:val="15"/>
                <w:color w:val="auto"/>
              </w:rPr>
              <w:t>SECTION 9.04.</w:t>
            </w:r>
          </w:p>
        </w:tc>
        <w:tc>
          <w:tcPr>
            <w:tcW w:w="6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6600" w:type="dxa"/>
            <w:vAlign w:val="bottom"/>
            <w:gridSpan w:val="3"/>
          </w:tcPr>
          <w:p>
            <w:pPr>
              <w:ind w:left="180"/>
              <w:spacing w:after="0"/>
              <w:rPr>
                <w:sz w:val="20"/>
                <w:szCs w:val="20"/>
                <w:color w:val="auto"/>
              </w:rPr>
            </w:pPr>
            <w:r>
              <w:rPr>
                <w:rFonts w:ascii="Arial" w:cs="Arial" w:eastAsia="Arial" w:hAnsi="Arial"/>
                <w:sz w:val="15"/>
                <w:szCs w:val="15"/>
                <w:color w:val="auto"/>
              </w:rPr>
              <w:t>Successors and Assigns</w:t>
            </w:r>
          </w:p>
        </w:tc>
      </w:tr>
      <w:tr>
        <w:trPr>
          <w:trHeight w:val="336"/>
        </w:trPr>
        <w:tc>
          <w:tcPr>
            <w:tcW w:w="3260" w:type="dxa"/>
            <w:vAlign w:val="bottom"/>
          </w:tcPr>
          <w:p>
            <w:pPr>
              <w:jc w:val="right"/>
              <w:ind w:right="3151"/>
              <w:spacing w:after="0"/>
              <w:rPr>
                <w:sz w:val="20"/>
                <w:szCs w:val="20"/>
                <w:color w:val="auto"/>
              </w:rPr>
            </w:pPr>
            <w:r>
              <w:rPr>
                <w:rFonts w:ascii="Arial" w:cs="Arial" w:eastAsia="Arial" w:hAnsi="Arial"/>
                <w:sz w:val="10"/>
                <w:szCs w:val="10"/>
                <w:color w:val="auto"/>
                <w:w w:val="70"/>
              </w:rPr>
              <w:t>.</w:t>
            </w: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9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5"/>
          </w:tcPr>
          <w:p>
            <w:pPr>
              <w:spacing w:after="0"/>
              <w:rPr>
                <w:sz w:val="20"/>
                <w:szCs w:val="20"/>
                <w:color w:val="auto"/>
              </w:rPr>
            </w:pPr>
            <w:r>
              <w:rPr>
                <w:rFonts w:ascii="Arial" w:cs="Arial" w:eastAsia="Arial" w:hAnsi="Arial"/>
                <w:sz w:val="15"/>
                <w:szCs w:val="15"/>
                <w:color w:val="auto"/>
                <w:w w:val="93"/>
              </w:rPr>
              <w:t>Assignments Generally. The provisions of this Agreement shall be binding upon and inure to the benefit of the parties hereto and</w:t>
            </w:r>
          </w:p>
        </w:tc>
      </w:tr>
      <w:tr>
        <w:trPr>
          <w:trHeight w:val="20"/>
        </w:trPr>
        <w:tc>
          <w:tcPr>
            <w:tcW w:w="3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and, to the extent expressly contemplated hereby, the Related Parties of each of the Administrative Agent, the Issuing Banks and the Lenders) any legal or equitable right, remedy or claim under or by reason of this Agreement.</w:t>
      </w:r>
    </w:p>
    <w:p>
      <w:pPr>
        <w:spacing w:after="0" w:line="117"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1520" w:type="dxa"/>
            <w:vAlign w:val="bottom"/>
          </w:tcPr>
          <w:p>
            <w:pPr>
              <w:ind w:left="80"/>
              <w:spacing w:after="0"/>
              <w:rPr>
                <w:sz w:val="20"/>
                <w:szCs w:val="20"/>
                <w:color w:val="auto"/>
              </w:rPr>
            </w:pPr>
            <w:r>
              <w:rPr>
                <w:rFonts w:ascii="Arial" w:cs="Arial" w:eastAsia="Arial" w:hAnsi="Arial"/>
                <w:sz w:val="15"/>
                <w:szCs w:val="15"/>
                <w:color w:val="auto"/>
              </w:rPr>
              <w:t>(b)</w:t>
            </w:r>
          </w:p>
        </w:tc>
        <w:tc>
          <w:tcPr>
            <w:tcW w:w="100" w:type="dxa"/>
            <w:vAlign w:val="bottom"/>
          </w:tcPr>
          <w:p>
            <w:pPr>
              <w:spacing w:after="0"/>
              <w:rPr>
                <w:sz w:val="14"/>
                <w:szCs w:val="14"/>
                <w:color w:val="auto"/>
              </w:rPr>
            </w:pPr>
          </w:p>
        </w:tc>
        <w:tc>
          <w:tcPr>
            <w:tcW w:w="8000" w:type="dxa"/>
            <w:vAlign w:val="bottom"/>
            <w:gridSpan w:val="5"/>
          </w:tcPr>
          <w:p>
            <w:pPr>
              <w:spacing w:after="0"/>
              <w:rPr>
                <w:sz w:val="20"/>
                <w:szCs w:val="20"/>
                <w:color w:val="auto"/>
              </w:rPr>
            </w:pPr>
            <w:r>
              <w:rPr>
                <w:rFonts w:ascii="Arial" w:cs="Arial" w:eastAsia="Arial" w:hAnsi="Arial"/>
                <w:sz w:val="15"/>
                <w:szCs w:val="15"/>
                <w:color w:val="auto"/>
              </w:rPr>
              <w:t>Assignments by Lenders.</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301"/>
        </w:trPr>
        <w:tc>
          <w:tcPr>
            <w:tcW w:w="1520" w:type="dxa"/>
            <w:vAlign w:val="bottom"/>
          </w:tcPr>
          <w:p>
            <w:pPr>
              <w:spacing w:after="0"/>
              <w:rPr>
                <w:sz w:val="20"/>
                <w:szCs w:val="20"/>
                <w:color w:val="auto"/>
              </w:rPr>
            </w:pPr>
            <w:r>
              <w:rPr>
                <w:rFonts w:ascii="Arial" w:cs="Arial" w:eastAsia="Arial" w:hAnsi="Arial"/>
                <w:sz w:val="15"/>
                <w:szCs w:val="15"/>
                <w:color w:val="auto"/>
              </w:rPr>
              <w:t>(i)</w:t>
            </w:r>
          </w:p>
        </w:tc>
        <w:tc>
          <w:tcPr>
            <w:tcW w:w="8100" w:type="dxa"/>
            <w:vAlign w:val="bottom"/>
            <w:gridSpan w:val="6"/>
          </w:tcPr>
          <w:p>
            <w:pPr>
              <w:spacing w:after="0"/>
              <w:rPr>
                <w:sz w:val="20"/>
                <w:szCs w:val="20"/>
                <w:color w:val="auto"/>
              </w:rPr>
            </w:pPr>
            <w:r>
              <w:rPr>
                <w:rFonts w:ascii="Arial" w:cs="Arial" w:eastAsia="Arial" w:hAnsi="Arial"/>
                <w:sz w:val="15"/>
                <w:szCs w:val="15"/>
                <w:color w:val="auto"/>
                <w:w w:val="94"/>
              </w:rPr>
              <w:t>Assignments Generally.  Subject to the conditions set forth in clause (ii) below, any Lender may assign to one or more assignees</w:t>
            </w:r>
          </w:p>
        </w:tc>
      </w:tr>
      <w:tr>
        <w:trPr>
          <w:trHeight w:val="20"/>
        </w:trPr>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860" w:right="20"/>
        <w:spacing w:after="0" w:line="249" w:lineRule="auto"/>
        <w:rPr>
          <w:sz w:val="20"/>
          <w:szCs w:val="20"/>
          <w:color w:val="auto"/>
        </w:rPr>
      </w:pPr>
      <w:r>
        <w:rPr>
          <w:rFonts w:ascii="Arial" w:cs="Arial" w:eastAsia="Arial" w:hAnsi="Arial"/>
          <w:sz w:val="15"/>
          <w:szCs w:val="15"/>
          <w:color w:val="auto"/>
        </w:rPr>
        <w:t>(other than natural persons (or a holding company, investments vehicle, investment vehicle or trust for, or owned and operated by or for the primary benefit of a natural Person) or any Defaulting Lender) all or a portion of its rights and obligations under this Agreement (including all or a portion of its Commitments and the Loans and LC Exposure at the time owing to it) with the prior written consent (such consent not to be unreasonably withheld or delayed)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7211060"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46" w:name="page247"/>
    <w:bookmarkEnd w:id="246"/>
    <w:p>
      <w:pPr>
        <w:jc w:val="both"/>
        <w:ind w:left="880" w:firstLine="735"/>
        <w:spacing w:after="0" w:line="245" w:lineRule="auto"/>
        <w:rPr>
          <w:sz w:val="20"/>
          <w:szCs w:val="20"/>
          <w:color w:val="auto"/>
        </w:rPr>
      </w:pPr>
      <w:r>
        <w:rPr>
          <w:rFonts w:ascii="Arial" w:cs="Arial" w:eastAsia="Arial" w:hAnsi="Arial"/>
          <w:sz w:val="15"/>
          <w:szCs w:val="15"/>
          <w:color w:val="auto"/>
        </w:rPr>
        <w:t xml:space="preserve">(A) the Borrower;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consent of the Borrower shall be required for an assignment to a Lender, an Affiliate of a Lender, or, if an Event of Default has occurred and is continuing, any other assignee;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Borrower shall be deemed to have consented to any such assignment unless it shall have objected thereto by written notice to the Administrative Agent within ten Business Days after having received notice thereof; and</w:t>
      </w:r>
    </w:p>
    <w:p>
      <w:pPr>
        <w:spacing w:after="0" w:line="111"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1280" w:type="dxa"/>
            <w:vAlign w:val="bottom"/>
          </w:tcPr>
          <w:p>
            <w:pPr>
              <w:ind w:left="800"/>
              <w:spacing w:after="0"/>
              <w:rPr>
                <w:sz w:val="20"/>
                <w:szCs w:val="20"/>
                <w:color w:val="auto"/>
              </w:rPr>
            </w:pPr>
            <w:r>
              <w:rPr>
                <w:rFonts w:ascii="Arial" w:cs="Arial" w:eastAsia="Arial" w:hAnsi="Arial"/>
                <w:sz w:val="15"/>
                <w:szCs w:val="15"/>
                <w:color w:val="auto"/>
              </w:rPr>
              <w:t>(B)</w:t>
            </w:r>
          </w:p>
        </w:tc>
        <w:tc>
          <w:tcPr>
            <w:tcW w:w="280" w:type="dxa"/>
            <w:vAlign w:val="bottom"/>
          </w:tcPr>
          <w:p>
            <w:pPr>
              <w:spacing w:after="0"/>
              <w:rPr>
                <w:sz w:val="14"/>
                <w:szCs w:val="14"/>
                <w:color w:val="auto"/>
              </w:rPr>
            </w:pPr>
          </w:p>
        </w:tc>
        <w:tc>
          <w:tcPr>
            <w:tcW w:w="8080" w:type="dxa"/>
            <w:vAlign w:val="bottom"/>
            <w:gridSpan w:val="4"/>
          </w:tcPr>
          <w:p>
            <w:pPr>
              <w:jc w:val="right"/>
              <w:spacing w:after="0"/>
              <w:rPr>
                <w:sz w:val="20"/>
                <w:szCs w:val="20"/>
                <w:color w:val="auto"/>
              </w:rPr>
            </w:pPr>
            <w:r>
              <w:rPr>
                <w:rFonts w:ascii="Arial" w:cs="Arial" w:eastAsia="Arial" w:hAnsi="Arial"/>
                <w:sz w:val="15"/>
                <w:szCs w:val="15"/>
                <w:color w:val="auto"/>
              </w:rPr>
              <w:t>the Administrative Agent and each Issuing Bank: provided that no consent of the Administrative Agent or the</w:t>
            </w:r>
          </w:p>
        </w:tc>
      </w:tr>
      <w:tr>
        <w:trPr>
          <w:trHeight w:val="185"/>
        </w:trPr>
        <w:tc>
          <w:tcPr>
            <w:tcW w:w="5920" w:type="dxa"/>
            <w:vAlign w:val="bottom"/>
            <w:gridSpan w:val="4"/>
          </w:tcPr>
          <w:p>
            <w:pPr>
              <w:ind w:left="80"/>
              <w:spacing w:after="0"/>
              <w:rPr>
                <w:sz w:val="20"/>
                <w:szCs w:val="20"/>
                <w:color w:val="auto"/>
              </w:rPr>
            </w:pPr>
            <w:r>
              <w:rPr>
                <w:rFonts w:ascii="Arial" w:cs="Arial" w:eastAsia="Arial" w:hAnsi="Arial"/>
                <w:sz w:val="15"/>
                <w:szCs w:val="15"/>
                <w:color w:val="auto"/>
                <w:w w:val="94"/>
              </w:rPr>
              <w:t>Issuing Banks shall be required for an assignment by a Lender to an Affiliate of such Lender.</w:t>
            </w:r>
          </w:p>
        </w:tc>
        <w:tc>
          <w:tcPr>
            <w:tcW w:w="520" w:type="dxa"/>
            <w:vAlign w:val="bottom"/>
            <w:tcBorders>
              <w:top w:val="single" w:sz="8" w:color="auto"/>
            </w:tcBorders>
          </w:tcPr>
          <w:p>
            <w:pPr>
              <w:spacing w:after="0"/>
              <w:rPr>
                <w:sz w:val="16"/>
                <w:szCs w:val="16"/>
                <w:color w:val="auto"/>
              </w:rPr>
            </w:pPr>
          </w:p>
        </w:tc>
        <w:tc>
          <w:tcPr>
            <w:tcW w:w="3200" w:type="dxa"/>
            <w:vAlign w:val="bottom"/>
          </w:tcPr>
          <w:p>
            <w:pPr>
              <w:spacing w:after="0"/>
              <w:rPr>
                <w:sz w:val="16"/>
                <w:szCs w:val="16"/>
                <w:color w:val="auto"/>
              </w:rPr>
            </w:pPr>
          </w:p>
        </w:tc>
      </w:tr>
      <w:tr>
        <w:trPr>
          <w:trHeight w:val="287"/>
        </w:trPr>
        <w:tc>
          <w:tcPr>
            <w:tcW w:w="1280" w:type="dxa"/>
            <w:vAlign w:val="bottom"/>
          </w:tcPr>
          <w:p>
            <w:pPr>
              <w:spacing w:after="0"/>
              <w:rPr>
                <w:sz w:val="20"/>
                <w:szCs w:val="20"/>
                <w:color w:val="auto"/>
              </w:rPr>
            </w:pPr>
            <w:r>
              <w:rPr>
                <w:rFonts w:ascii="Arial" w:cs="Arial" w:eastAsia="Arial" w:hAnsi="Arial"/>
                <w:sz w:val="15"/>
                <w:szCs w:val="15"/>
                <w:color w:val="auto"/>
              </w:rPr>
              <w:t>(ii)</w:t>
            </w:r>
          </w:p>
        </w:tc>
        <w:tc>
          <w:tcPr>
            <w:tcW w:w="8360" w:type="dxa"/>
            <w:vAlign w:val="bottom"/>
            <w:gridSpan w:val="5"/>
          </w:tcPr>
          <w:p>
            <w:pPr>
              <w:jc w:val="right"/>
              <w:ind w:right="1760"/>
              <w:spacing w:after="0"/>
              <w:rPr>
                <w:sz w:val="20"/>
                <w:szCs w:val="20"/>
                <w:color w:val="auto"/>
              </w:rPr>
            </w:pPr>
            <w:r>
              <w:rPr>
                <w:rFonts w:ascii="Arial" w:cs="Arial" w:eastAsia="Arial" w:hAnsi="Arial"/>
                <w:sz w:val="15"/>
                <w:szCs w:val="15"/>
                <w:color w:val="auto"/>
                <w:w w:val="96"/>
              </w:rPr>
              <w:t>Certain Conditions to Assignments. Assignments shall be subject to the following additional conditions:</w:t>
            </w: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r>
      <w:tr>
        <w:trPr>
          <w:trHeight w:val="327"/>
        </w:trPr>
        <w:tc>
          <w:tcPr>
            <w:tcW w:w="1280" w:type="dxa"/>
            <w:vAlign w:val="bottom"/>
          </w:tcPr>
          <w:p>
            <w:pPr>
              <w:ind w:left="800"/>
              <w:spacing w:after="0"/>
              <w:rPr>
                <w:sz w:val="20"/>
                <w:szCs w:val="20"/>
                <w:color w:val="auto"/>
              </w:rPr>
            </w:pPr>
            <w:r>
              <w:rPr>
                <w:rFonts w:ascii="Arial" w:cs="Arial" w:eastAsia="Arial" w:hAnsi="Arial"/>
                <w:sz w:val="15"/>
                <w:szCs w:val="15"/>
                <w:color w:val="auto"/>
              </w:rPr>
              <w:t>(A)</w:t>
            </w:r>
          </w:p>
        </w:tc>
        <w:tc>
          <w:tcPr>
            <w:tcW w:w="280" w:type="dxa"/>
            <w:vAlign w:val="bottom"/>
          </w:tcPr>
          <w:p>
            <w:pPr>
              <w:spacing w:after="0"/>
              <w:rPr>
                <w:sz w:val="24"/>
                <w:szCs w:val="24"/>
                <w:color w:val="auto"/>
              </w:rPr>
            </w:pPr>
          </w:p>
        </w:tc>
        <w:tc>
          <w:tcPr>
            <w:tcW w:w="8080" w:type="dxa"/>
            <w:vAlign w:val="bottom"/>
            <w:gridSpan w:val="4"/>
          </w:tcPr>
          <w:p>
            <w:pPr>
              <w:jc w:val="right"/>
              <w:ind w:right="20"/>
              <w:spacing w:after="0"/>
              <w:rPr>
                <w:sz w:val="20"/>
                <w:szCs w:val="20"/>
                <w:color w:val="auto"/>
              </w:rPr>
            </w:pPr>
            <w:r>
              <w:rPr>
                <w:rFonts w:ascii="Arial" w:cs="Arial" w:eastAsia="Arial" w:hAnsi="Arial"/>
                <w:sz w:val="15"/>
                <w:szCs w:val="15"/>
                <w:color w:val="auto"/>
              </w:rPr>
              <w:t>except in the case of an Assignment to a Lender or an Affiliate of a Lender or an assignment of the entire</w:t>
            </w:r>
          </w:p>
        </w:tc>
      </w:tr>
    </w:tbl>
    <w:p>
      <w:pPr>
        <w:jc w:val="both"/>
        <w:ind w:left="880"/>
        <w:spacing w:after="0" w:line="262" w:lineRule="auto"/>
        <w:rPr>
          <w:sz w:val="20"/>
          <w:szCs w:val="20"/>
          <w:color w:val="auto"/>
        </w:rPr>
      </w:pPr>
      <w:r>
        <w:rPr>
          <w:rFonts w:ascii="Arial" w:cs="Arial" w:eastAsia="Arial" w:hAnsi="Arial"/>
          <w:sz w:val="14"/>
          <w:szCs w:val="14"/>
          <w:color w:val="auto"/>
        </w:rPr>
        <w:t xml:space="preserve">remaining amount of the assigning Lender’s Commitment or Loans and LC Exposure of a Class, the amount of the Commitment or Loans and LC Exposure of such Class of the assigning Lender subject to each such assignment (determined as of the date the Assignment and Assumption with respect to such Assignment is delivered to the Administrative Agent) shall not be less than U.S. $5,000,000 unless each of the Borrower and the Administrative Agent otherwise consent;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such consent of the Borrower shall be required if an Event of Default has occurred and is continuing;</w:t>
      </w:r>
    </w:p>
    <w:p>
      <w:pPr>
        <w:spacing w:after="0" w:line="117" w:lineRule="exact"/>
        <w:rPr>
          <w:sz w:val="20"/>
          <w:szCs w:val="20"/>
          <w:color w:val="auto"/>
        </w:rPr>
      </w:pPr>
    </w:p>
    <w:p>
      <w:pPr>
        <w:jc w:val="both"/>
        <w:ind w:left="880" w:firstLine="735"/>
        <w:spacing w:after="0" w:line="249" w:lineRule="auto"/>
        <w:rPr>
          <w:sz w:val="20"/>
          <w:szCs w:val="20"/>
          <w:color w:val="auto"/>
        </w:rPr>
      </w:pPr>
      <w:r>
        <w:rPr>
          <w:rFonts w:ascii="Arial" w:cs="Arial" w:eastAsia="Arial" w:hAnsi="Arial"/>
          <w:sz w:val="15"/>
          <w:szCs w:val="15"/>
          <w:color w:val="auto"/>
        </w:rPr>
        <w:t>(B) each partial assignment of any Class of Commitments or Loans and LC Exposure shall be made as an assignment of a proportionate part of all the assigning Lender’s rights and obligations under this Agreement in respect of such Class of Commitments, Loans and LC Exposure;</w:t>
      </w:r>
    </w:p>
    <w:p>
      <w:pPr>
        <w:spacing w:after="0" w:line="125" w:lineRule="exact"/>
        <w:rPr>
          <w:sz w:val="20"/>
          <w:szCs w:val="20"/>
          <w:color w:val="auto"/>
        </w:rPr>
      </w:pPr>
    </w:p>
    <w:p>
      <w:pPr>
        <w:jc w:val="both"/>
        <w:ind w:left="880" w:right="20" w:firstLine="735"/>
        <w:spacing w:after="0" w:line="249" w:lineRule="auto"/>
        <w:rPr>
          <w:sz w:val="20"/>
          <w:szCs w:val="20"/>
          <w:color w:val="auto"/>
        </w:rPr>
      </w:pPr>
      <w:r>
        <w:rPr>
          <w:rFonts w:ascii="Arial" w:cs="Arial" w:eastAsia="Arial" w:hAnsi="Arial"/>
          <w:sz w:val="15"/>
          <w:szCs w:val="15"/>
          <w:color w:val="auto"/>
        </w:rPr>
        <w:t xml:space="preserve">(C) the parties to each assignment shall execute and deliver to the Administrative Agent an Assignment and Assumption in substantially the form of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together with a processing and recordation fee of U.S. $3,500 (which fee shall not be payable in connection with an assignment to a Lender or to an Affiliate of a Lender), for which the Borrower and the Guarantors shall not be obligated;</w:t>
      </w:r>
    </w:p>
    <w:p>
      <w:pPr>
        <w:spacing w:after="0" w:line="123" w:lineRule="exact"/>
        <w:rPr>
          <w:sz w:val="20"/>
          <w:szCs w:val="20"/>
          <w:color w:val="auto"/>
        </w:rPr>
      </w:pPr>
    </w:p>
    <w:tbl>
      <w:tblPr>
        <w:tblLayout w:type="fixed"/>
        <w:tblInd w:w="80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Arial" w:cs="Arial" w:eastAsia="Arial" w:hAnsi="Arial"/>
                <w:sz w:val="15"/>
                <w:szCs w:val="15"/>
                <w:color w:val="auto"/>
              </w:rPr>
              <w:t>(D)</w:t>
            </w:r>
          </w:p>
        </w:tc>
        <w:tc>
          <w:tcPr>
            <w:tcW w:w="8020" w:type="dxa"/>
            <w:vAlign w:val="bottom"/>
            <w:gridSpan w:val="5"/>
          </w:tcPr>
          <w:p>
            <w:pPr>
              <w:jc w:val="right"/>
              <w:spacing w:after="0"/>
              <w:rPr>
                <w:sz w:val="20"/>
                <w:szCs w:val="20"/>
                <w:color w:val="auto"/>
              </w:rPr>
            </w:pPr>
            <w:r>
              <w:rPr>
                <w:rFonts w:ascii="Arial" w:cs="Arial" w:eastAsia="Arial" w:hAnsi="Arial"/>
                <w:sz w:val="15"/>
                <w:szCs w:val="15"/>
                <w:color w:val="auto"/>
              </w:rPr>
              <w:t>the assignee, if it shall not already be a Lender of the applicable Class, shall deliver to the Administrative Agent</w:t>
            </w:r>
          </w:p>
        </w:tc>
      </w:tr>
      <w:tr>
        <w:trPr>
          <w:trHeight w:val="191"/>
        </w:trPr>
        <w:tc>
          <w:tcPr>
            <w:tcW w:w="80" w:type="dxa"/>
            <w:vAlign w:val="bottom"/>
          </w:tcPr>
          <w:p>
            <w:pPr>
              <w:spacing w:after="0"/>
              <w:rPr>
                <w:sz w:val="16"/>
                <w:szCs w:val="16"/>
                <w:color w:val="auto"/>
              </w:rPr>
            </w:pPr>
          </w:p>
        </w:tc>
        <w:tc>
          <w:tcPr>
            <w:tcW w:w="9540" w:type="dxa"/>
            <w:vAlign w:val="bottom"/>
            <w:gridSpan w:val="7"/>
          </w:tcPr>
          <w:p>
            <w:pPr>
              <w:spacing w:after="0"/>
              <w:rPr>
                <w:sz w:val="20"/>
                <w:szCs w:val="20"/>
                <w:color w:val="auto"/>
              </w:rPr>
            </w:pPr>
            <w:r>
              <w:rPr>
                <w:rFonts w:ascii="Arial" w:cs="Arial" w:eastAsia="Arial" w:hAnsi="Arial"/>
                <w:sz w:val="15"/>
                <w:szCs w:val="15"/>
                <w:color w:val="auto"/>
              </w:rPr>
              <w:t>an Administrative Questionnaire; and</w:t>
            </w:r>
          </w:p>
        </w:tc>
      </w:tr>
      <w:tr>
        <w:trPr>
          <w:trHeight w:val="287"/>
        </w:trPr>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ind w:left="320"/>
              <w:spacing w:after="0"/>
              <w:rPr>
                <w:sz w:val="20"/>
                <w:szCs w:val="20"/>
                <w:color w:val="auto"/>
              </w:rPr>
            </w:pPr>
            <w:r>
              <w:rPr>
                <w:rFonts w:ascii="Arial" w:cs="Arial" w:eastAsia="Arial" w:hAnsi="Arial"/>
                <w:sz w:val="15"/>
                <w:szCs w:val="15"/>
                <w:color w:val="auto"/>
              </w:rPr>
              <w:t>(E)</w:t>
            </w:r>
          </w:p>
        </w:tc>
        <w:tc>
          <w:tcPr>
            <w:tcW w:w="8020" w:type="dxa"/>
            <w:vAlign w:val="bottom"/>
            <w:gridSpan w:val="5"/>
          </w:tcPr>
          <w:p>
            <w:pPr>
              <w:jc w:val="right"/>
              <w:spacing w:after="0"/>
              <w:rPr>
                <w:sz w:val="20"/>
                <w:szCs w:val="20"/>
                <w:color w:val="auto"/>
              </w:rPr>
            </w:pPr>
            <w:r>
              <w:rPr>
                <w:rFonts w:ascii="Arial" w:cs="Arial" w:eastAsia="Arial" w:hAnsi="Arial"/>
                <w:sz w:val="15"/>
                <w:szCs w:val="15"/>
                <w:color w:val="auto"/>
              </w:rPr>
              <w:t>the assignee shall deliver to the Borrower and the Administrative Agent those documents specified in Section</w:t>
            </w:r>
          </w:p>
        </w:tc>
      </w:tr>
      <w:tr>
        <w:trPr>
          <w:trHeight w:val="150"/>
        </w:trPr>
        <w:tc>
          <w:tcPr>
            <w:tcW w:w="80" w:type="dxa"/>
            <w:vAlign w:val="bottom"/>
          </w:tcPr>
          <w:p>
            <w:pPr>
              <w:spacing w:after="0"/>
              <w:rPr>
                <w:sz w:val="13"/>
                <w:szCs w:val="13"/>
                <w:color w:val="auto"/>
              </w:rPr>
            </w:pPr>
          </w:p>
        </w:tc>
        <w:tc>
          <w:tcPr>
            <w:tcW w:w="1520" w:type="dxa"/>
            <w:vAlign w:val="bottom"/>
            <w:gridSpan w:val="2"/>
          </w:tcPr>
          <w:p>
            <w:pPr>
              <w:spacing w:after="0" w:line="150" w:lineRule="exact"/>
              <w:rPr>
                <w:sz w:val="20"/>
                <w:szCs w:val="20"/>
                <w:color w:val="auto"/>
              </w:rPr>
            </w:pPr>
            <w:r>
              <w:rPr>
                <w:rFonts w:ascii="Arial" w:cs="Arial" w:eastAsia="Arial" w:hAnsi="Arial"/>
                <w:sz w:val="15"/>
                <w:szCs w:val="15"/>
                <w:color w:val="auto"/>
              </w:rPr>
              <w:t>2.</w:t>
            </w:r>
            <w:r>
              <w:rPr>
                <w:rFonts w:ascii="Arial" w:cs="Arial" w:eastAsia="Arial" w:hAnsi="Arial"/>
                <w:sz w:val="15"/>
                <w:szCs w:val="15"/>
                <w:u w:val="single" w:color="auto"/>
                <w:color w:val="auto"/>
              </w:rPr>
              <w:t>16(f)</w:t>
            </w:r>
            <w:r>
              <w:rPr>
                <w:rFonts w:ascii="Arial" w:cs="Arial" w:eastAsia="Arial" w:hAnsi="Arial"/>
                <w:sz w:val="15"/>
                <w:szCs w:val="15"/>
                <w:color w:val="auto"/>
              </w:rPr>
              <w:t>.</w:t>
            </w:r>
          </w:p>
        </w:tc>
        <w:tc>
          <w:tcPr>
            <w:tcW w:w="17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301"/>
        </w:trPr>
        <w:tc>
          <w:tcPr>
            <w:tcW w:w="1600" w:type="dxa"/>
            <w:vAlign w:val="bottom"/>
            <w:gridSpan w:val="3"/>
          </w:tcPr>
          <w:p>
            <w:pPr>
              <w:spacing w:after="0"/>
              <w:rPr>
                <w:sz w:val="20"/>
                <w:szCs w:val="20"/>
                <w:color w:val="auto"/>
              </w:rPr>
            </w:pPr>
            <w:r>
              <w:rPr>
                <w:rFonts w:ascii="Arial" w:cs="Arial" w:eastAsia="Arial" w:hAnsi="Arial"/>
                <w:sz w:val="15"/>
                <w:szCs w:val="15"/>
                <w:color w:val="auto"/>
              </w:rPr>
              <w:t>(iii)</w:t>
            </w:r>
          </w:p>
        </w:tc>
        <w:tc>
          <w:tcPr>
            <w:tcW w:w="8020" w:type="dxa"/>
            <w:vAlign w:val="bottom"/>
            <w:gridSpan w:val="5"/>
          </w:tcPr>
          <w:p>
            <w:pPr>
              <w:jc w:val="right"/>
              <w:spacing w:after="0"/>
              <w:rPr>
                <w:sz w:val="20"/>
                <w:szCs w:val="20"/>
                <w:color w:val="auto"/>
              </w:rPr>
            </w:pPr>
            <w:r>
              <w:rPr>
                <w:rFonts w:ascii="Arial" w:cs="Arial" w:eastAsia="Arial" w:hAnsi="Arial"/>
                <w:sz w:val="15"/>
                <w:szCs w:val="15"/>
                <w:color w:val="auto"/>
                <w:w w:val="91"/>
              </w:rPr>
              <w:t>Effectiveness of Assignments. Subject to acceptance and recording thereof pursuant to paragraph (c) of this Section, from and after</w:t>
            </w:r>
          </w:p>
        </w:tc>
      </w:tr>
      <w:tr>
        <w:trPr>
          <w:trHeight w:val="20"/>
        </w:trPr>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62" w:lineRule="auto"/>
        <w:rPr>
          <w:sz w:val="20"/>
          <w:szCs w:val="20"/>
          <w:color w:val="auto"/>
        </w:rPr>
      </w:pPr>
      <w:r>
        <w:rPr>
          <w:rFonts w:ascii="Arial" w:cs="Arial" w:eastAsia="Arial" w:hAnsi="Arial"/>
          <w:sz w:val="15"/>
          <w:szCs w:val="15"/>
          <w:color w:val="auto"/>
        </w:rPr>
        <w:t>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213360</wp:posOffset>
            </wp:positionV>
            <wp:extent cx="721106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0440"/>
          </w:cols>
          <w:pgMar w:left="1160" w:top="295" w:right="299" w:bottom="1440" w:gutter="0" w:footer="0" w:header="0"/>
        </w:sectPr>
      </w:pPr>
    </w:p>
    <w:bookmarkStart w:id="247" w:name="page248"/>
    <w:bookmarkEnd w:id="247"/>
    <w:p>
      <w:pPr>
        <w:jc w:val="both"/>
        <w:ind w:left="860"/>
        <w:spacing w:after="0" w:line="278" w:lineRule="auto"/>
        <w:rPr>
          <w:sz w:val="20"/>
          <w:szCs w:val="20"/>
          <w:color w:val="auto"/>
        </w:rPr>
      </w:pPr>
      <w:r>
        <w:rPr>
          <w:rFonts w:ascii="Arial" w:cs="Arial" w:eastAsia="Arial" w:hAnsi="Arial"/>
          <w:sz w:val="13"/>
          <w:szCs w:val="13"/>
          <w:color w:val="auto"/>
        </w:rPr>
        <w:t xml:space="preserve">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3"/>
          <w:szCs w:val="13"/>
          <w:u w:val="single" w:color="auto"/>
          <w:color w:val="auto"/>
        </w:rPr>
        <w:t>Sections 2.14</w:t>
      </w:r>
      <w:r>
        <w:rPr>
          <w:rFonts w:ascii="Arial" w:cs="Arial" w:eastAsia="Arial" w:hAnsi="Arial"/>
          <w:sz w:val="13"/>
          <w:szCs w:val="13"/>
          <w:color w:val="auto"/>
        </w:rPr>
        <w:t xml:space="preserve">, </w:t>
      </w:r>
      <w:r>
        <w:rPr>
          <w:rFonts w:ascii="Arial" w:cs="Arial" w:eastAsia="Arial" w:hAnsi="Arial"/>
          <w:sz w:val="13"/>
          <w:szCs w:val="13"/>
          <w:u w:val="single" w:color="auto"/>
          <w:color w:val="auto"/>
        </w:rPr>
        <w:t>2.15</w:t>
      </w:r>
      <w:r>
        <w:rPr>
          <w:rFonts w:ascii="Arial" w:cs="Arial" w:eastAsia="Arial" w:hAnsi="Arial"/>
          <w:sz w:val="13"/>
          <w:szCs w:val="13"/>
          <w:color w:val="auto"/>
        </w:rPr>
        <w:t xml:space="preserve">,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9.03</w:t>
      </w:r>
      <w:r>
        <w:rPr>
          <w:rFonts w:ascii="Arial" w:cs="Arial" w:eastAsia="Arial" w:hAnsi="Arial"/>
          <w:sz w:val="13"/>
          <w:szCs w:val="13"/>
          <w:color w:val="auto"/>
        </w:rPr>
        <w:t xml:space="preserve"> with respect to facts and circumstances occurring prior to the effective date of such assignment). Any assignment or transfer by a Lender of rights or obligations under this Agreement that does not comply with this </w:t>
      </w:r>
      <w:r>
        <w:rPr>
          <w:rFonts w:ascii="Arial" w:cs="Arial" w:eastAsia="Arial" w:hAnsi="Arial"/>
          <w:sz w:val="13"/>
          <w:szCs w:val="13"/>
          <w:u w:val="single" w:color="auto"/>
          <w:color w:val="auto"/>
        </w:rPr>
        <w:t>Section 9.04</w:t>
      </w:r>
      <w:r>
        <w:rPr>
          <w:rFonts w:ascii="Arial" w:cs="Arial" w:eastAsia="Arial" w:hAnsi="Arial"/>
          <w:sz w:val="13"/>
          <w:szCs w:val="13"/>
          <w:color w:val="auto"/>
        </w:rPr>
        <w:t xml:space="preserve"> shall be treated for purposes of this Agreement as a sale by such Lender of a participation in such rights and obligations in accordance with </w:t>
      </w:r>
      <w:r>
        <w:rPr>
          <w:rFonts w:ascii="Arial" w:cs="Arial" w:eastAsia="Arial" w:hAnsi="Arial"/>
          <w:sz w:val="13"/>
          <w:szCs w:val="13"/>
          <w:u w:val="single" w:color="auto"/>
          <w:color w:val="auto"/>
        </w:rPr>
        <w:t>paragraph (e)</w:t>
      </w:r>
      <w:r>
        <w:rPr>
          <w:rFonts w:ascii="Arial" w:cs="Arial" w:eastAsia="Arial" w:hAnsi="Arial"/>
          <w:sz w:val="13"/>
          <w:szCs w:val="13"/>
          <w:color w:val="auto"/>
        </w:rPr>
        <w:t xml:space="preserve"> of this Section. Notwithstanding anything to the contrary herein, in connection with any assignment of rights and obligations of any Defaulting Lender hereunder, no such assignment shall be effective unless and until, in addition to the other conditions set forth in </w:t>
      </w:r>
      <w:r>
        <w:rPr>
          <w:rFonts w:ascii="Arial" w:cs="Arial" w:eastAsia="Arial" w:hAnsi="Arial"/>
          <w:sz w:val="13"/>
          <w:szCs w:val="13"/>
          <w:u w:val="single" w:color="auto"/>
          <w:color w:val="auto"/>
        </w:rPr>
        <w:t>Section 9.04(b)(ii)</w:t>
      </w:r>
      <w:r>
        <w:rPr>
          <w:rFonts w:ascii="Arial" w:cs="Arial" w:eastAsia="Arial" w:hAnsi="Arial"/>
          <w:sz w:val="13"/>
          <w:szCs w:val="13"/>
          <w:color w:val="auto"/>
        </w:rPr>
        <w:t xml:space="preserve"> or otherwise, the parties to the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Percentage of Loans previously requested but not funded by the Defaulting Lender, to each of which the applicable assignee and assignor hereby irrevocably consent), to (x) pay and satisfy in full all payment liabilities then owed by such Defaulting Lender to Administrative Agent, each Issuing Bank, each Swingline Lender and each Lender hereunder (and interest accrued thereon), and (y) acquire (and fund as appropriate) its full Applicable Percentage of all Loans and participations in Letters of Credit and Swingline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09" w:lineRule="exact"/>
        <w:rPr>
          <w:sz w:val="20"/>
          <w:szCs w:val="20"/>
          <w:color w:val="auto"/>
        </w:rPr>
      </w:pPr>
    </w:p>
    <w:p>
      <w:pPr>
        <w:jc w:val="both"/>
        <w:ind w:firstLine="1737"/>
        <w:spacing w:after="0" w:line="241"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Maintenance of Registers by Administrative Agent</w:t>
      </w:r>
      <w:r>
        <w:rPr>
          <w:rFonts w:ascii="Arial" w:cs="Arial" w:eastAsia="Arial" w:hAnsi="Arial"/>
          <w:sz w:val="15"/>
          <w:szCs w:val="15"/>
          <w:color w:val="auto"/>
        </w:rPr>
        <w:t>. The Administrative Agent, acting for this purpose as an agent of the Borrower, shall maintain at one of its offices in New York City a copy of each Assignment and Assumption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Arial" w:cs="Arial" w:eastAsia="Arial" w:hAnsi="Arial"/>
          <w:sz w:val="15"/>
          <w:szCs w:val="15"/>
          <w:u w:val="single" w:color="auto"/>
          <w:color w:val="auto"/>
        </w:rPr>
        <w:t>Registers</w:t>
      </w:r>
      <w:r>
        <w:rPr>
          <w:rFonts w:ascii="Arial" w:cs="Arial" w:eastAsia="Arial" w:hAnsi="Arial"/>
          <w:sz w:val="15"/>
          <w:szCs w:val="15"/>
          <w:color w:val="auto"/>
        </w:rPr>
        <w:t>” and each individually, a “</w:t>
      </w:r>
      <w:r>
        <w:rPr>
          <w:rFonts w:ascii="Arial" w:cs="Arial" w:eastAsia="Arial" w:hAnsi="Arial"/>
          <w:sz w:val="15"/>
          <w:szCs w:val="15"/>
          <w:u w:val="single" w:color="auto"/>
          <w:color w:val="auto"/>
        </w:rPr>
        <w:t>Register</w:t>
      </w:r>
      <w:r>
        <w:rPr>
          <w:rFonts w:ascii="Arial" w:cs="Arial" w:eastAsia="Arial" w:hAnsi="Arial"/>
          <w:sz w:val="15"/>
          <w:szCs w:val="15"/>
          <w:color w:val="auto"/>
        </w:rPr>
        <w:t>”). The entries in the Registers shall be conclusive absent manifest error, and the Borrower, the Administrative Agent, the Issuing Banks and the Lenders may treat each Person whose name is recorded in the Registers pursuant to the terms hereof as a Lender hereunder for all purposes of this Agreement, notwithstanding notice to the contrary. The Registers shall be available for inspection by the Borrower, any Issuing Bank and any Lender, at any reasonable time and from time to time upon reasonable prior notice.</w:t>
      </w:r>
    </w:p>
    <w:p>
      <w:pPr>
        <w:spacing w:after="0" w:line="130" w:lineRule="exact"/>
        <w:rPr>
          <w:sz w:val="20"/>
          <w:szCs w:val="20"/>
          <w:color w:val="auto"/>
        </w:rPr>
      </w:pPr>
    </w:p>
    <w:p>
      <w:pPr>
        <w:jc w:val="both"/>
        <w:ind w:right="20" w:firstLine="1737"/>
        <w:spacing w:after="0" w:line="245"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Acceptance of Assignments by Administrative Agent</w:t>
      </w:r>
      <w:r>
        <w:rPr>
          <w:rFonts w:ascii="Arial" w:cs="Arial" w:eastAsia="Arial" w:hAnsi="Arial"/>
          <w:sz w:val="15"/>
          <w:szCs w:val="15"/>
          <w:color w:val="auto"/>
        </w:rPr>
        <w:t xml:space="preserve">. 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Arial" w:cs="Arial" w:eastAsia="Arial" w:hAnsi="Arial"/>
          <w:sz w:val="15"/>
          <w:szCs w:val="15"/>
          <w:u w:val="single" w:color="auto"/>
          <w:color w:val="auto"/>
        </w:rPr>
        <w:t>paragraph (b)</w:t>
      </w:r>
      <w:r>
        <w:rPr>
          <w:rFonts w:ascii="Arial" w:cs="Arial" w:eastAsia="Arial" w:hAnsi="Arial"/>
          <w:sz w:val="15"/>
          <w:szCs w:val="15"/>
          <w:color w:val="auto"/>
        </w:rPr>
        <w:t xml:space="preserve"> of this Section and any written consent to such assignment required by </w:t>
      </w:r>
      <w:r>
        <w:rPr>
          <w:rFonts w:ascii="Arial" w:cs="Arial" w:eastAsia="Arial" w:hAnsi="Arial"/>
          <w:sz w:val="15"/>
          <w:szCs w:val="15"/>
          <w:u w:val="single" w:color="auto"/>
          <w:color w:val="auto"/>
        </w:rPr>
        <w:t>paragraph (b)</w:t>
      </w:r>
      <w:r>
        <w:rPr>
          <w:rFonts w:ascii="Arial" w:cs="Arial" w:eastAsia="Arial" w:hAnsi="Arial"/>
          <w:sz w:val="15"/>
          <w:szCs w:val="15"/>
          <w:color w:val="auto"/>
        </w:rPr>
        <w:t xml:space="preserve"> of this Section, the Administrative Agent shall accept such Assignment and Assumption and record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221615</wp:posOffset>
            </wp:positionV>
            <wp:extent cx="721106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color w:val="auto"/>
        </w:rPr>
        <w:t>contained therein in the Register. No assignment shall be effective for purposes of this Agreement unless it has been recorded in the Register as provided in this paragraph.</w:t>
      </w:r>
    </w:p>
    <w:p>
      <w:pPr>
        <w:spacing w:after="0" w:line="160" w:lineRule="exact"/>
        <w:rPr>
          <w:sz w:val="20"/>
          <w:szCs w:val="20"/>
          <w:color w:val="auto"/>
        </w:rPr>
      </w:pPr>
    </w:p>
    <w:p>
      <w:pPr>
        <w:jc w:val="both"/>
        <w:ind w:firstLine="1737"/>
        <w:spacing w:after="0" w:line="258" w:lineRule="auto"/>
        <w:rPr>
          <w:sz w:val="20"/>
          <w:szCs w:val="20"/>
          <w:color w:val="auto"/>
        </w:rPr>
      </w:pPr>
      <w:r>
        <w:rPr>
          <w:rFonts w:ascii="Arial" w:cs="Arial" w:eastAsia="Arial" w:hAnsi="Arial"/>
          <w:sz w:val="14"/>
          <w:szCs w:val="14"/>
          <w:color w:val="auto"/>
        </w:rPr>
        <w:t xml:space="preserve">(e) </w:t>
      </w:r>
      <w:r>
        <w:rPr>
          <w:rFonts w:ascii="Arial" w:cs="Arial" w:eastAsia="Arial" w:hAnsi="Arial"/>
          <w:sz w:val="14"/>
          <w:szCs w:val="14"/>
          <w:u w:val="single" w:color="auto"/>
          <w:color w:val="auto"/>
        </w:rPr>
        <w:t>Special Purposes Vehicles</w:t>
      </w:r>
      <w:r>
        <w:rPr>
          <w:rFonts w:ascii="Arial" w:cs="Arial" w:eastAsia="Arial" w:hAnsi="Arial"/>
          <w:sz w:val="14"/>
          <w:szCs w:val="14"/>
          <w:color w:val="auto"/>
        </w:rPr>
        <w:t>. Notwithstanding anything to the contrary contained herein, any Lender (a “</w:t>
      </w:r>
      <w:r>
        <w:rPr>
          <w:rFonts w:ascii="Arial" w:cs="Arial" w:eastAsia="Arial" w:hAnsi="Arial"/>
          <w:sz w:val="14"/>
          <w:szCs w:val="14"/>
          <w:u w:val="single" w:color="auto"/>
          <w:color w:val="auto"/>
        </w:rPr>
        <w:t>Granting Lender</w:t>
      </w:r>
      <w:r>
        <w:rPr>
          <w:rFonts w:ascii="Arial" w:cs="Arial" w:eastAsia="Arial" w:hAnsi="Arial"/>
          <w:sz w:val="14"/>
          <w:szCs w:val="14"/>
          <w:color w:val="auto"/>
        </w:rPr>
        <w:t>”) may grant to a special purpose funding vehicle (an “</w:t>
      </w:r>
      <w:r>
        <w:rPr>
          <w:rFonts w:ascii="Arial" w:cs="Arial" w:eastAsia="Arial" w:hAnsi="Arial"/>
          <w:sz w:val="14"/>
          <w:szCs w:val="14"/>
          <w:u w:val="single" w:color="auto"/>
          <w:color w:val="auto"/>
        </w:rPr>
        <w:t>SPC</w:t>
      </w:r>
      <w:r>
        <w:rPr>
          <w:rFonts w:ascii="Arial" w:cs="Arial" w:eastAsia="Arial" w:hAnsi="Arial"/>
          <w:sz w:val="14"/>
          <w:szCs w:val="14"/>
          <w:color w:val="auto"/>
        </w:rPr>
        <w:t xml:space="preserve">”) owned or administered by such Granting Lender, identified as such in writing from time to time by the Granting Lender to the Administrative Agent and the Borrower, the option to provide all or any part of any Loan that such Granting Lender would otherwise be obligated to make;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nothing herein shall constitute a commitment to make any Loan by any SPC, (ii) if an SPC elects not to exercise such option or otherwise fails to provide all or any part of such Loan, the Granting Lender shall, subject to the terms of this Agreement, make such Loan pursuant to the terms hereof, (iii) the rights of any such SPC shall be derivative of the rights of the Granting Lender, and such SPC shall be subject to all of the restrictions upon the Granting Lender herein contained, and (iv) no SPC shall be entitled to the benefits of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(or any other increased costs protection provision), 2.15 or 2.16. Each SPC shall be conclusively presumed to have made arrangements with its Granting Lender for the exercise of voting and other rights hereunder in a manner which is acceptable to the SPC, the Administrative Agent, the Lenders and the Borrower, and each of the Administrative Agent, the Lenders and the Obligors shall be entitled to rely upon and deal solely with the Granting Lender with respect to Loans made by or through its SPC. The making of a Loan by an SPC hereunder shall utilize the Commitment of the Granting Lender to the same extent, and as if, such Loan were made by the Granting Lender.</w:t>
      </w:r>
    </w:p>
    <w:p>
      <w:pPr>
        <w:spacing w:after="0" w:line="122" w:lineRule="exact"/>
        <w:rPr>
          <w:sz w:val="20"/>
          <w:szCs w:val="20"/>
          <w:color w:val="auto"/>
        </w:rPr>
      </w:pPr>
    </w:p>
    <w:p>
      <w:pPr>
        <w:jc w:val="both"/>
        <w:ind w:firstLine="1737"/>
        <w:spacing w:after="0" w:line="258" w:lineRule="auto"/>
        <w:rPr>
          <w:sz w:val="20"/>
          <w:szCs w:val="20"/>
          <w:color w:val="auto"/>
        </w:rPr>
      </w:pPr>
      <w:r>
        <w:rPr>
          <w:rFonts w:ascii="Arial" w:cs="Arial" w:eastAsia="Arial" w:hAnsi="Arial"/>
          <w:sz w:val="14"/>
          <w:szCs w:val="14"/>
          <w:color w:val="auto"/>
        </w:rPr>
        <w:t xml:space="preserve">Each party hereto hereby agrees (which agreement shall survive the termination of this Agreement)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respect of claims arising out of this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Granting Lender for each SPC hereby agrees to indemnify, save and hold harmless each other party hereto for any loss, cost, damage and expense arising out of their inability to institute any such proceeding against its SPC. In addition, notwithstanding anything to the contrary contained in this Section, any SPC may (i) without the prior written consent of the Borrower and the Administrative Agent and without paying any processing fee therefor, assign all or a portion of its interests in any Loans to its Granting Lender or to any financial institutions providing liquidity and/or credit facilities to or for the account of such SPC to fund the Loans made by such SPC or to support the securities (if any) issued by such SPC to fund such Loans (but nothing contained herein shall be construed in derogation of the obligation of the Granting Lender to make Loans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neither the consent of the SPC or of any such assignee shall be required for amendments or waivers hereunder except for those amendments or waivers for which the consent of participants is required under </w:t>
      </w:r>
      <w:r>
        <w:rPr>
          <w:rFonts w:ascii="Arial" w:cs="Arial" w:eastAsia="Arial" w:hAnsi="Arial"/>
          <w:sz w:val="14"/>
          <w:szCs w:val="14"/>
          <w:u w:val="single" w:color="auto"/>
          <w:color w:val="auto"/>
        </w:rPr>
        <w:t>paragraph (f)</w:t>
      </w:r>
      <w:r>
        <w:rPr>
          <w:rFonts w:ascii="Arial" w:cs="Arial" w:eastAsia="Arial" w:hAnsi="Arial"/>
          <w:sz w:val="14"/>
          <w:szCs w:val="14"/>
          <w:color w:val="auto"/>
        </w:rPr>
        <w:t xml:space="preserve"> below, and (ii) disclose on a confidential basis (in the same manner described in </w:t>
      </w:r>
      <w:r>
        <w:rPr>
          <w:rFonts w:ascii="Arial" w:cs="Arial" w:eastAsia="Arial" w:hAnsi="Arial"/>
          <w:sz w:val="14"/>
          <w:szCs w:val="14"/>
          <w:u w:val="single" w:color="auto"/>
          <w:color w:val="auto"/>
        </w:rPr>
        <w:t>Section 9.13(b)</w:t>
      </w:r>
      <w:r>
        <w:rPr>
          <w:rFonts w:ascii="Arial" w:cs="Arial" w:eastAsia="Arial" w:hAnsi="Arial"/>
          <w:sz w:val="14"/>
          <w:szCs w:val="14"/>
          <w:color w:val="auto"/>
        </w:rPr>
        <w:t>) any non-public information relating to its Loans to any rating agency, commercial paper dealer or provider of a surety, guarantee or credit or liquidity enhancement to such SPC.</w:t>
      </w:r>
    </w:p>
    <w:p>
      <w:pPr>
        <w:spacing w:after="0" w:line="119" w:lineRule="exact"/>
        <w:rPr>
          <w:sz w:val="20"/>
          <w:szCs w:val="20"/>
          <w:color w:val="auto"/>
        </w:rPr>
      </w:pPr>
    </w:p>
    <w:p>
      <w:pPr>
        <w:jc w:val="both"/>
        <w:ind w:firstLine="1737"/>
        <w:spacing w:after="0" w:line="262" w:lineRule="auto"/>
        <w:rPr>
          <w:sz w:val="20"/>
          <w:szCs w:val="20"/>
          <w:color w:val="auto"/>
        </w:rPr>
      </w:pPr>
      <w:r>
        <w:rPr>
          <w:rFonts w:ascii="Arial" w:cs="Arial" w:eastAsia="Arial" w:hAnsi="Arial"/>
          <w:sz w:val="15"/>
          <w:szCs w:val="15"/>
          <w:color w:val="auto"/>
        </w:rPr>
        <w:t xml:space="preserve">(f) </w:t>
      </w:r>
      <w:r>
        <w:rPr>
          <w:rFonts w:ascii="Arial" w:cs="Arial" w:eastAsia="Arial" w:hAnsi="Arial"/>
          <w:sz w:val="15"/>
          <w:szCs w:val="15"/>
          <w:u w:val="single" w:color="auto"/>
          <w:color w:val="auto"/>
        </w:rPr>
        <w:t>Participations</w:t>
      </w:r>
      <w:r>
        <w:rPr>
          <w:rFonts w:ascii="Arial" w:cs="Arial" w:eastAsia="Arial" w:hAnsi="Arial"/>
          <w:sz w:val="15"/>
          <w:szCs w:val="15"/>
          <w:color w:val="auto"/>
        </w:rPr>
        <w:t>. Any Lender may, with the consent of the Borrower (such consent not to be unreasonably withheld or delayed), sell participations to one or more banks or other entities (other than natural persons (or a holding company, investments vehicle,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213360</wp:posOffset>
            </wp:positionV>
            <wp:extent cx="721106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49" w:name="page250"/>
    <w:bookmarkEnd w:id="249"/>
    <w:p>
      <w:pPr>
        <w:jc w:val="both"/>
        <w:spacing w:after="0" w:line="255" w:lineRule="auto"/>
        <w:rPr>
          <w:sz w:val="20"/>
          <w:szCs w:val="20"/>
          <w:color w:val="auto"/>
        </w:rPr>
      </w:pPr>
      <w:r>
        <w:rPr>
          <w:rFonts w:ascii="Arial" w:cs="Arial" w:eastAsia="Arial" w:hAnsi="Arial"/>
          <w:sz w:val="14"/>
          <w:szCs w:val="14"/>
          <w:color w:val="auto"/>
        </w:rPr>
        <w:t>vehicle or trust for, or owned and operated by or for the primary benefit of a natural Person)) (a “</w:t>
      </w:r>
      <w:r>
        <w:rPr>
          <w:rFonts w:ascii="Arial" w:cs="Arial" w:eastAsia="Arial" w:hAnsi="Arial"/>
          <w:sz w:val="14"/>
          <w:szCs w:val="14"/>
          <w:u w:val="single" w:color="auto"/>
          <w:color w:val="auto"/>
        </w:rPr>
        <w:t>Participant</w:t>
      </w:r>
      <w:r>
        <w:rPr>
          <w:rFonts w:ascii="Arial" w:cs="Arial" w:eastAsia="Arial" w:hAnsi="Arial"/>
          <w:sz w:val="14"/>
          <w:szCs w:val="14"/>
          <w:color w:val="auto"/>
        </w:rPr>
        <w:t xml:space="preserve">”) in all or a portion of such Lender’s rights and obligations under this Agreement and the other Loan Documents (including all or a portion of its Commitments and the Loans and LC Disbursements owing to it);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consent of the Borrower shall not be required if such Participant does not have the right to receive any non-public information that may be provided pursuant to this Agreement (and the Lender selling such participation agrees with the Borrower at the time of the sale of such participation that it will not deliver such non-public information to the Participant), (ii) such Lender’s obligations under this Agreement and the other Loan Documents shall remain unchanged, (iii) such Lender shall remain solely responsible to the other parties hereto for the performance of such obligations and (iv) the Borrower, the Administrative Agent, the Issuing Banks and the other Lenders shall continue to deal solely and directly with such Lender in connection with such Lender’s rights and obligations under this Agreement and the other Loan Documents.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4"/>
          <w:szCs w:val="14"/>
          <w:u w:val="single" w:color="auto"/>
          <w:color w:val="auto"/>
        </w:rPr>
        <w:t>Section 9.02(b)</w:t>
      </w:r>
      <w:r>
        <w:rPr>
          <w:rFonts w:ascii="Arial" w:cs="Arial" w:eastAsia="Arial" w:hAnsi="Arial"/>
          <w:sz w:val="14"/>
          <w:szCs w:val="14"/>
          <w:color w:val="auto"/>
        </w:rPr>
        <w:t xml:space="preserve"> that affects such Participant. Subject to </w:t>
      </w:r>
      <w:r>
        <w:rPr>
          <w:rFonts w:ascii="Arial" w:cs="Arial" w:eastAsia="Arial" w:hAnsi="Arial"/>
          <w:sz w:val="14"/>
          <w:szCs w:val="14"/>
          <w:u w:val="single" w:color="auto"/>
          <w:color w:val="auto"/>
        </w:rPr>
        <w:t>paragraph (g)</w:t>
      </w:r>
      <w:r>
        <w:rPr>
          <w:rFonts w:ascii="Arial" w:cs="Arial" w:eastAsia="Arial" w:hAnsi="Arial"/>
          <w:sz w:val="14"/>
          <w:szCs w:val="14"/>
          <w:color w:val="auto"/>
        </w:rPr>
        <w:t xml:space="preserve"> of this Section, the Borrower agrees that each Participant shall be entitled to the benefits of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to the same extent as if it were a Lender and had acquired its interest by assignment pursuant to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of this Section;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Participant shall not be entitled to receive any greater payment under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with respect to any participation, than its participating Lenders would have been entitled to receive, except to the extent such entitlement to receive a greater payment results from a Change in Law that occurs after the Participant acquired the applicable participation;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no Participant shall be entitled to the benefits of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unless the Borrower is notified of the participation granted to such Participant and such Participant shall have complied with the requirements of </w:t>
      </w:r>
      <w:r>
        <w:rPr>
          <w:rFonts w:ascii="Arial" w:cs="Arial" w:eastAsia="Arial" w:hAnsi="Arial"/>
          <w:sz w:val="14"/>
          <w:szCs w:val="14"/>
          <w:u w:val="single" w:color="auto"/>
          <w:color w:val="auto"/>
        </w:rPr>
        <w:t>Section 2.16</w:t>
      </w:r>
      <w:r>
        <w:rPr>
          <w:rFonts w:ascii="Arial" w:cs="Arial" w:eastAsia="Arial" w:hAnsi="Arial"/>
          <w:sz w:val="14"/>
          <w:szCs w:val="14"/>
          <w:color w:val="auto"/>
        </w:rPr>
        <w:t xml:space="preserve"> as if such Participant is a Lender. To the extent permitted by law, each Participant also shall be entitled to the benefits of </w:t>
      </w:r>
      <w:r>
        <w:rPr>
          <w:rFonts w:ascii="Arial" w:cs="Arial" w:eastAsia="Arial" w:hAnsi="Arial"/>
          <w:sz w:val="14"/>
          <w:szCs w:val="14"/>
          <w:u w:val="single" w:color="auto"/>
          <w:color w:val="auto"/>
        </w:rPr>
        <w:t>Section 9.08</w:t>
      </w:r>
      <w:r>
        <w:rPr>
          <w:rFonts w:ascii="Arial" w:cs="Arial" w:eastAsia="Arial" w:hAnsi="Arial"/>
          <w:sz w:val="14"/>
          <w:szCs w:val="14"/>
          <w:color w:val="auto"/>
        </w:rPr>
        <w:t xml:space="preserve"> as though it were a Lender; provided such Participant agrees to be subject to </w:t>
      </w:r>
      <w:r>
        <w:rPr>
          <w:rFonts w:ascii="Arial" w:cs="Arial" w:eastAsia="Arial" w:hAnsi="Arial"/>
          <w:sz w:val="14"/>
          <w:szCs w:val="14"/>
          <w:u w:val="single" w:color="auto"/>
          <w:color w:val="auto"/>
        </w:rPr>
        <w:t>Section 2.17(d)</w:t>
      </w:r>
      <w:r>
        <w:rPr>
          <w:rFonts w:ascii="Arial" w:cs="Arial" w:eastAsia="Arial" w:hAnsi="Arial"/>
          <w:sz w:val="14"/>
          <w:szCs w:val="14"/>
          <w:color w:val="auto"/>
        </w:rPr>
        <w:t xml:space="preserve"> as though it were a Lender hereunder.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4"/>
          <w:szCs w:val="14"/>
          <w:u w:val="single" w:color="auto"/>
          <w:color w:val="auto"/>
        </w:rPr>
        <w:t>Participant Register</w:t>
      </w:r>
      <w:r>
        <w:rPr>
          <w:rFonts w:ascii="Arial" w:cs="Arial" w:eastAsia="Arial" w:hAnsi="Arial"/>
          <w:sz w:val="14"/>
          <w:szCs w:val="14"/>
          <w:color w:val="auto"/>
        </w:rPr>
        <w:t>”); provided that no Lender shall have any obligation to disclose all or any portion of the Participant Register (including the identity of any Participant or any other information relating to a Participant’s interest in any commitments, loans, letters of credit or is other obligations under any Loan Document) to any person except to the extent that such disclosures are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222885</wp:posOffset>
            </wp:positionV>
            <wp:extent cx="7211060"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50" w:name="page251"/>
    <w:bookmarkEnd w:id="250"/>
    <w:p>
      <w:pPr>
        <w:jc w:val="both"/>
        <w:ind w:left="4" w:firstLine="1737"/>
        <w:spacing w:after="0" w:line="241" w:lineRule="auto"/>
        <w:rPr>
          <w:sz w:val="20"/>
          <w:szCs w:val="20"/>
          <w:color w:val="auto"/>
        </w:rPr>
      </w:pPr>
      <w:r>
        <w:rPr>
          <w:rFonts w:ascii="Arial" w:cs="Arial" w:eastAsia="Arial" w:hAnsi="Arial"/>
          <w:sz w:val="15"/>
          <w:szCs w:val="15"/>
          <w:color w:val="auto"/>
        </w:rPr>
        <w:t xml:space="preserve">(g) </w:t>
      </w:r>
      <w:r>
        <w:rPr>
          <w:rFonts w:ascii="Arial" w:cs="Arial" w:eastAsia="Arial" w:hAnsi="Arial"/>
          <w:sz w:val="15"/>
          <w:szCs w:val="15"/>
          <w:u w:val="single" w:color="auto"/>
          <w:color w:val="auto"/>
        </w:rPr>
        <w:t>Limitations on Rights of Participants</w:t>
      </w:r>
      <w:r>
        <w:rPr>
          <w:rFonts w:ascii="Arial" w:cs="Arial" w:eastAsia="Arial" w:hAnsi="Arial"/>
          <w:sz w:val="15"/>
          <w:szCs w:val="15"/>
          <w:color w:val="auto"/>
        </w:rPr>
        <w:t xml:space="preserve">. A Participant shall not be entitled to receive any greater payment under </w:t>
      </w:r>
      <w:r>
        <w:rPr>
          <w:rFonts w:ascii="Arial" w:cs="Arial" w:eastAsia="Arial" w:hAnsi="Arial"/>
          <w:sz w:val="15"/>
          <w:szCs w:val="15"/>
          <w:u w:val="single" w:color="auto"/>
          <w:color w:val="auto"/>
        </w:rPr>
        <w:t>Section 2.14</w:t>
      </w:r>
      <w:r>
        <w:rPr>
          <w:rFonts w:ascii="Arial" w:cs="Arial" w:eastAsia="Arial" w:hAnsi="Arial"/>
          <w:sz w:val="15"/>
          <w:szCs w:val="15"/>
          <w:color w:val="auto"/>
        </w:rPr>
        <w:t xml:space="preserve">, </w:t>
      </w:r>
      <w:r>
        <w:rPr>
          <w:rFonts w:ascii="Arial" w:cs="Arial" w:eastAsia="Arial" w:hAnsi="Arial"/>
          <w:sz w:val="15"/>
          <w:szCs w:val="15"/>
          <w:u w:val="single" w:color="auto"/>
          <w:color w:val="auto"/>
        </w:rPr>
        <w:t>2.15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unless the Borrower is notified of the participation sold to such Participant and such Participant agrees, for the benefit of the Borrower, to comply with </w:t>
      </w:r>
      <w:r>
        <w:rPr>
          <w:rFonts w:ascii="Arial" w:cs="Arial" w:eastAsia="Arial" w:hAnsi="Arial"/>
          <w:sz w:val="15"/>
          <w:szCs w:val="15"/>
          <w:u w:val="single" w:color="auto"/>
          <w:color w:val="auto"/>
        </w:rPr>
        <w:t>paragraphs (e)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(f)</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as though it were a Lender and in the case of a Participant claiming exemption for portfolio interest under Section 871(h) or 881(c) of the Code, the applicable Lender shall provide the Borrower with satisfactory evidence that the participation is in registered form and shall permit the Borrower to review such register as reasonably needed for the Borrower to comply with its obligations under applicable laws and regulations.</w:t>
      </w:r>
    </w:p>
    <w:p>
      <w:pPr>
        <w:spacing w:after="0" w:line="130" w:lineRule="exact"/>
        <w:rPr>
          <w:sz w:val="20"/>
          <w:szCs w:val="20"/>
          <w:color w:val="auto"/>
        </w:rPr>
      </w:pPr>
    </w:p>
    <w:p>
      <w:pPr>
        <w:jc w:val="both"/>
        <w:ind w:left="4" w:firstLine="1737"/>
        <w:spacing w:after="0" w:line="245" w:lineRule="auto"/>
        <w:rPr>
          <w:sz w:val="20"/>
          <w:szCs w:val="20"/>
          <w:color w:val="auto"/>
        </w:rPr>
      </w:pPr>
      <w:r>
        <w:rPr>
          <w:rFonts w:ascii="Arial" w:cs="Arial" w:eastAsia="Arial" w:hAnsi="Arial"/>
          <w:sz w:val="15"/>
          <w:szCs w:val="15"/>
          <w:color w:val="auto"/>
        </w:rPr>
        <w:t xml:space="preserve">(h) </w:t>
      </w:r>
      <w:r>
        <w:rPr>
          <w:rFonts w:ascii="Arial" w:cs="Arial" w:eastAsia="Arial" w:hAnsi="Arial"/>
          <w:sz w:val="15"/>
          <w:szCs w:val="15"/>
          <w:u w:val="single" w:color="auto"/>
          <w:color w:val="auto"/>
        </w:rPr>
        <w:t>Certain Pledges</w:t>
      </w:r>
      <w:r>
        <w:rPr>
          <w:rFonts w:ascii="Arial" w:cs="Arial" w:eastAsia="Arial" w:hAnsi="Arial"/>
          <w:sz w:val="15"/>
          <w:szCs w:val="15"/>
          <w:color w:val="auto"/>
        </w:rPr>
        <w:t xml:space="preserve">. Any Lender may at any time pledge or assign a security interest in all or any portion of its rights under this Agreement to secure obligations of such Lender, including any such pledge or assignment to a Federal Reserve Bank or any other central bank having jurisdiction over such Lender, and this Section shall not apply to any such pledge or assignment of a security interest;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such pledge or assignment of a security interest shall release a Lender from any of its obligations hereunder or substitute any such assignee for such Lender as a party hereto.</w:t>
      </w:r>
    </w:p>
    <w:p>
      <w:pPr>
        <w:spacing w:after="0" w:line="11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40" w:type="dxa"/>
            <w:vAlign w:val="bottom"/>
          </w:tcPr>
          <w:p>
            <w:pPr>
              <w:ind w:left="1740"/>
              <w:spacing w:after="0"/>
              <w:rPr>
                <w:sz w:val="20"/>
                <w:szCs w:val="20"/>
                <w:color w:val="auto"/>
              </w:rPr>
            </w:pPr>
            <w:r>
              <w:rPr>
                <w:rFonts w:ascii="Arial" w:cs="Arial" w:eastAsia="Arial" w:hAnsi="Arial"/>
                <w:sz w:val="15"/>
                <w:szCs w:val="15"/>
                <w:color w:val="auto"/>
              </w:rPr>
              <w:t>(i)</w:t>
            </w:r>
          </w:p>
        </w:tc>
        <w:tc>
          <w:tcPr>
            <w:tcW w:w="8040" w:type="dxa"/>
            <w:vAlign w:val="bottom"/>
            <w:gridSpan w:val="4"/>
          </w:tcPr>
          <w:p>
            <w:pPr>
              <w:spacing w:after="0"/>
              <w:rPr>
                <w:sz w:val="20"/>
                <w:szCs w:val="20"/>
                <w:color w:val="auto"/>
              </w:rPr>
            </w:pPr>
            <w:r>
              <w:rPr>
                <w:rFonts w:ascii="Arial" w:cs="Arial" w:eastAsia="Arial" w:hAnsi="Arial"/>
                <w:sz w:val="15"/>
                <w:szCs w:val="15"/>
                <w:color w:val="auto"/>
                <w:w w:val="95"/>
              </w:rPr>
              <w:t>No Assignments to the Borrower or Affiliates. Anything in this Section to the contrary notwithstanding, no Lender may assign or</w:t>
            </w:r>
          </w:p>
        </w:tc>
      </w:tr>
      <w:tr>
        <w:trPr>
          <w:trHeight w:val="20"/>
        </w:trPr>
        <w:tc>
          <w:tcPr>
            <w:tcW w:w="3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185"/>
        </w:trPr>
        <w:tc>
          <w:tcPr>
            <w:tcW w:w="11280" w:type="dxa"/>
            <w:vAlign w:val="bottom"/>
            <w:gridSpan w:val="5"/>
          </w:tcPr>
          <w:p>
            <w:pPr>
              <w:jc w:val="center"/>
              <w:ind w:right="1060"/>
              <w:spacing w:after="0"/>
              <w:rPr>
                <w:sz w:val="20"/>
                <w:szCs w:val="20"/>
                <w:color w:val="auto"/>
              </w:rPr>
            </w:pPr>
            <w:r>
              <w:rPr>
                <w:rFonts w:ascii="Arial" w:cs="Arial" w:eastAsia="Arial" w:hAnsi="Arial"/>
                <w:sz w:val="15"/>
                <w:szCs w:val="15"/>
                <w:color w:val="auto"/>
                <w:w w:val="92"/>
              </w:rPr>
              <w:t>participate any interest in any Loan or LC Exposure held by it hereunder to the Borrower or any of its Affiliates or Subsidiaries without the prior consent of each Lender.</w:t>
            </w:r>
          </w:p>
        </w:tc>
      </w:tr>
      <w:tr>
        <w:trPr>
          <w:trHeight w:val="287"/>
        </w:trPr>
        <w:tc>
          <w:tcPr>
            <w:tcW w:w="3240" w:type="dxa"/>
            <w:vAlign w:val="bottom"/>
          </w:tcPr>
          <w:p>
            <w:pPr>
              <w:ind w:left="1740"/>
              <w:spacing w:after="0"/>
              <w:rPr>
                <w:sz w:val="20"/>
                <w:szCs w:val="20"/>
                <w:color w:val="auto"/>
              </w:rPr>
            </w:pPr>
            <w:r>
              <w:rPr>
                <w:rFonts w:ascii="Arial" w:cs="Arial" w:eastAsia="Arial" w:hAnsi="Arial"/>
                <w:sz w:val="15"/>
                <w:szCs w:val="15"/>
                <w:color w:val="auto"/>
              </w:rPr>
              <w:t>SECTION 9.05.</w:t>
            </w:r>
          </w:p>
        </w:tc>
        <w:tc>
          <w:tcPr>
            <w:tcW w:w="1620" w:type="dxa"/>
            <w:vAlign w:val="bottom"/>
          </w:tcPr>
          <w:p>
            <w:pPr>
              <w:spacing w:after="0"/>
              <w:rPr>
                <w:sz w:val="24"/>
                <w:szCs w:val="2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Survival</w:t>
            </w:r>
          </w:p>
        </w:tc>
        <w:tc>
          <w:tcPr>
            <w:tcW w:w="5900" w:type="dxa"/>
            <w:vAlign w:val="bottom"/>
            <w:gridSpan w:val="2"/>
          </w:tcPr>
          <w:p>
            <w:pPr>
              <w:spacing w:after="0"/>
              <w:rPr>
                <w:sz w:val="24"/>
                <w:szCs w:val="24"/>
                <w:color w:val="auto"/>
              </w:rPr>
            </w:pPr>
          </w:p>
        </w:tc>
      </w:tr>
    </w:tbl>
    <w:p>
      <w:pPr>
        <w:spacing w:after="0" w:line="156" w:lineRule="exact"/>
        <w:rPr>
          <w:sz w:val="20"/>
          <w:szCs w:val="20"/>
          <w:color w:val="auto"/>
        </w:rPr>
      </w:pPr>
    </w:p>
    <w:p>
      <w:pPr>
        <w:jc w:val="both"/>
        <w:ind w:left="4" w:hanging="4"/>
        <w:spacing w:after="0" w:line="260" w:lineRule="auto"/>
        <w:tabs>
          <w:tab w:leader="none" w:pos="137" w:val="left"/>
        </w:tabs>
        <w:numPr>
          <w:ilvl w:val="0"/>
          <w:numId w:val="159"/>
        </w:numPr>
        <w:rPr>
          <w:rFonts w:ascii="Arial" w:cs="Arial" w:eastAsia="Arial" w:hAnsi="Arial"/>
          <w:sz w:val="14"/>
          <w:szCs w:val="14"/>
          <w:color w:val="auto"/>
        </w:rPr>
      </w:pPr>
      <w:r>
        <w:rPr>
          <w:rFonts w:ascii="Arial" w:cs="Arial" w:eastAsia="Arial" w:hAnsi="Arial"/>
          <w:sz w:val="14"/>
          <w:szCs w:val="14"/>
          <w:color w:val="auto"/>
        </w:rPr>
        <w:t xml:space="preserve">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4"/>
          <w:szCs w:val="14"/>
          <w:u w:val="single" w:color="auto"/>
          <w:color w:val="auto"/>
        </w:rPr>
        <w:t>Sections 2.14</w:t>
      </w:r>
      <w:r>
        <w:rPr>
          <w:rFonts w:ascii="Arial" w:cs="Arial" w:eastAsia="Arial" w:hAnsi="Arial"/>
          <w:sz w:val="14"/>
          <w:szCs w:val="14"/>
          <w:color w:val="auto"/>
        </w:rPr>
        <w:t xml:space="preserve">,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w:t>
      </w:r>
      <w:r>
        <w:rPr>
          <w:rFonts w:ascii="Arial" w:cs="Arial" w:eastAsia="Arial" w:hAnsi="Arial"/>
          <w:sz w:val="14"/>
          <w:szCs w:val="14"/>
          <w:u w:val="single" w:color="auto"/>
          <w:color w:val="auto"/>
        </w:rPr>
        <w:t>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VIII</w:t>
      </w:r>
      <w:r>
        <w:rPr>
          <w:rFonts w:ascii="Arial" w:cs="Arial" w:eastAsia="Arial" w:hAnsi="Arial"/>
          <w:sz w:val="14"/>
          <w:szCs w:val="14"/>
          <w:color w:val="auto"/>
        </w:rPr>
        <w:t xml:space="preserve"> shall survive and remain in full force and effect regardless of the consummation of the transactions contemplated hereby, the repayment of the Loans, the expiration or termination, Cash Collateralization or backstop of the Letters of Credit and the Commitments or the termination of this Agreement or any provision hereof.</w:t>
      </w:r>
    </w:p>
    <w:p>
      <w:pPr>
        <w:spacing w:after="0" w:line="1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9.06.</w:t>
            </w:r>
          </w:p>
        </w:tc>
        <w:tc>
          <w:tcPr>
            <w:tcW w:w="8020" w:type="dxa"/>
            <w:vAlign w:val="bottom"/>
            <w:gridSpan w:val="4"/>
          </w:tcPr>
          <w:p>
            <w:pPr>
              <w:ind w:left="1600"/>
              <w:spacing w:after="0"/>
              <w:rPr>
                <w:sz w:val="20"/>
                <w:szCs w:val="20"/>
                <w:color w:val="auto"/>
              </w:rPr>
            </w:pPr>
            <w:r>
              <w:rPr>
                <w:rFonts w:ascii="Arial" w:cs="Arial" w:eastAsia="Arial" w:hAnsi="Arial"/>
                <w:sz w:val="15"/>
                <w:szCs w:val="15"/>
                <w:color w:val="auto"/>
              </w:rPr>
              <w:t>Counterparts; Integration; Effectiveness; Electronic Execution</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6"/>
              </w:rPr>
              <w:t>Counterparts; Integration; Effectiveness.  This Agreement may be executed in counterparts (and by different parties hereto on</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62" w:lineRule="auto"/>
        <w:rPr>
          <w:sz w:val="20"/>
          <w:szCs w:val="20"/>
          <w:color w:val="auto"/>
        </w:rPr>
      </w:pPr>
      <w:r>
        <w:rPr>
          <w:rFonts w:ascii="Arial" w:cs="Arial" w:eastAsia="Arial" w:hAnsi="Arial"/>
          <w:sz w:val="15"/>
          <w:szCs w:val="15"/>
          <w:color w:val="auto"/>
        </w:rPr>
        <w:t>different counterparts), each of which shall constitute an original, but all of which when taken together shall constitute a single contract. This Agreement and any separate letter agreements with respect to fees payable to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213360</wp:posOffset>
            </wp:positionV>
            <wp:extent cx="721106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51" w:name="page252"/>
    <w:bookmarkEnd w:id="251"/>
    <w:p>
      <w:pPr>
        <w:jc w:val="both"/>
        <w:ind w:left="4"/>
        <w:spacing w:after="0" w:line="264" w:lineRule="auto"/>
        <w:rPr>
          <w:sz w:val="20"/>
          <w:szCs w:val="20"/>
          <w:color w:val="auto"/>
        </w:rPr>
      </w:pPr>
      <w:r>
        <w:rPr>
          <w:rFonts w:ascii="Arial" w:cs="Arial" w:eastAsia="Arial" w:hAnsi="Arial"/>
          <w:sz w:val="14"/>
          <w:szCs w:val="14"/>
          <w:color w:val="auto"/>
        </w:rPr>
        <w:t xml:space="preserve">Agent constitute the entire contract between and among the parties relating to the subject matter hereof and supersede any and all previous agreements and understandings, oral or written, relating to the subject matter hereof. Except as provided in </w:t>
      </w:r>
      <w:r>
        <w:rPr>
          <w:rFonts w:ascii="Arial" w:cs="Arial" w:eastAsia="Arial" w:hAnsi="Arial"/>
          <w:sz w:val="14"/>
          <w:szCs w:val="14"/>
          <w:u w:val="single" w:color="auto"/>
          <w:color w:val="auto"/>
        </w:rPr>
        <w:t>Section 4.01</w:t>
      </w:r>
      <w:r>
        <w:rPr>
          <w:rFonts w:ascii="Arial" w:cs="Arial" w:eastAsia="Arial" w:hAnsi="Arial"/>
          <w:sz w:val="14"/>
          <w:szCs w:val="14"/>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to this Agreement by telecopy electronically (e.g. pdf) shall be effective as delivery of a manually executed counterpart of this Agreement.</w:t>
      </w:r>
    </w:p>
    <w:p>
      <w:pPr>
        <w:spacing w:after="0" w:line="117" w:lineRule="exact"/>
        <w:rPr>
          <w:sz w:val="20"/>
          <w:szCs w:val="20"/>
          <w:color w:val="auto"/>
        </w:rPr>
      </w:pPr>
    </w:p>
    <w:p>
      <w:pPr>
        <w:jc w:val="both"/>
        <w:ind w:left="4" w:firstLine="1737"/>
        <w:spacing w:after="0" w:line="243"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Electronic Execution of Assignments</w:t>
      </w:r>
      <w:r>
        <w:rPr>
          <w:rFonts w:ascii="Arial" w:cs="Arial" w:eastAsia="Arial" w:hAnsi="Arial"/>
          <w:sz w:val="15"/>
          <w:szCs w:val="15"/>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9"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9.07.</w:t>
      </w:r>
      <w:r>
        <w:rPr>
          <w:sz w:val="20"/>
          <w:szCs w:val="20"/>
          <w:color w:val="auto"/>
        </w:rPr>
        <w:tab/>
      </w:r>
      <w:r>
        <w:rPr>
          <w:rFonts w:ascii="Arial" w:cs="Arial" w:eastAsia="Arial" w:hAnsi="Arial"/>
          <w:sz w:val="14"/>
          <w:szCs w:val="14"/>
          <w:u w:val="single" w:color="auto"/>
          <w:color w:val="auto"/>
        </w:rPr>
        <w:t>Severability</w:t>
      </w:r>
    </w:p>
    <w:p>
      <w:pPr>
        <w:spacing w:after="0" w:line="149" w:lineRule="exact"/>
        <w:rPr>
          <w:sz w:val="20"/>
          <w:szCs w:val="20"/>
          <w:color w:val="auto"/>
        </w:rPr>
      </w:pPr>
    </w:p>
    <w:p>
      <w:pPr>
        <w:jc w:val="both"/>
        <w:ind w:left="4" w:right="20" w:hanging="4"/>
        <w:spacing w:after="0" w:line="249" w:lineRule="auto"/>
        <w:tabs>
          <w:tab w:leader="none" w:pos="1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2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9.08.</w:t>
      </w:r>
      <w:r>
        <w:rPr>
          <w:sz w:val="20"/>
          <w:szCs w:val="20"/>
          <w:color w:val="auto"/>
        </w:rPr>
        <w:tab/>
      </w:r>
      <w:r>
        <w:rPr>
          <w:rFonts w:ascii="Arial" w:cs="Arial" w:eastAsia="Arial" w:hAnsi="Arial"/>
          <w:sz w:val="14"/>
          <w:szCs w:val="14"/>
          <w:u w:val="single" w:color="auto"/>
          <w:color w:val="auto"/>
        </w:rPr>
        <w:t>Right of Setoff</w:t>
      </w:r>
    </w:p>
    <w:p>
      <w:pPr>
        <w:spacing w:after="0" w:line="149" w:lineRule="exact"/>
        <w:rPr>
          <w:sz w:val="20"/>
          <w:szCs w:val="20"/>
          <w:color w:val="auto"/>
        </w:rPr>
      </w:pPr>
    </w:p>
    <w:p>
      <w:pPr>
        <w:jc w:val="both"/>
        <w:ind w:left="4" w:hanging="4"/>
        <w:spacing w:after="0" w:line="258" w:lineRule="auto"/>
        <w:tabs>
          <w:tab w:leader="none" w:pos="153"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provided that in the event that any Defaulting Lender shall exercise any such right of setoff, (x) all amounts so set off shall be paid over immediately to Administrative Agent for further application in accordance with the provisions of </w:t>
      </w:r>
      <w:r>
        <w:rPr>
          <w:rFonts w:ascii="Arial" w:cs="Arial" w:eastAsia="Arial" w:hAnsi="Arial"/>
          <w:sz w:val="14"/>
          <w:szCs w:val="14"/>
          <w:u w:val="single" w:color="auto"/>
          <w:color w:val="auto"/>
        </w:rPr>
        <w:t>Sections 2.17(d)</w:t>
      </w:r>
      <w:r>
        <w:rPr>
          <w:rFonts w:ascii="Arial" w:cs="Arial" w:eastAsia="Arial" w:hAnsi="Arial"/>
          <w:sz w:val="14"/>
          <w:szCs w:val="14"/>
          <w:color w:val="auto"/>
        </w:rPr>
        <w:t xml:space="preserve"> and, pending such payment, shall be segregated by such Defaulting Lender from its other funds and deemed held in trust for the benefit of Administrative Agent, the Issuing Banks, and the Lenders, and (y) the Defaulting Lender shall provide promptly to Administrative Agent a statement describing in reasonable detail the amounts owing to such Defaulting Lender hereunder as to which it exercised such right of setoff. The rights of each Lender under this Section are in addition to other rights and remedies (including other rights of setoff) which such Lender may have. Each Lender agrees to notify the Borrower and the Administrative Agent promptly after any such setoff and application; provided that the failure to give such notice shall not affect the validity of such setoff and application.</w:t>
      </w:r>
    </w:p>
    <w:p>
      <w:pPr>
        <w:spacing w:after="0" w:line="122"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9.09.</w:t>
      </w:r>
      <w:r>
        <w:rPr>
          <w:sz w:val="20"/>
          <w:szCs w:val="20"/>
          <w:color w:val="auto"/>
        </w:rPr>
        <w:tab/>
      </w:r>
      <w:r>
        <w:rPr>
          <w:rFonts w:ascii="Arial" w:cs="Arial" w:eastAsia="Arial" w:hAnsi="Arial"/>
          <w:sz w:val="14"/>
          <w:szCs w:val="14"/>
          <w:u w:val="single" w:color="auto"/>
          <w:color w:val="auto"/>
        </w:rPr>
        <w:t>Governing Law; Jurisdiction; Etc</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52" w:name="page253"/>
    <w:bookmarkEnd w:id="252"/>
    <w:tbl>
      <w:tblPr>
        <w:tblLayout w:type="fixed"/>
        <w:tblInd w:w="1744" w:type="dxa"/>
        <w:tblCellMar>
          <w:top w:w="0" w:type="dxa"/>
          <w:left w:w="0" w:type="dxa"/>
          <w:bottom w:w="0" w:type="dxa"/>
          <w:right w:w="0" w:type="dxa"/>
        </w:tblCellMar>
      </w:tblPr>
      <w:tr>
        <w:trPr>
          <w:trHeight w:val="172"/>
        </w:trPr>
        <w:tc>
          <w:tcPr>
            <w:tcW w:w="840" w:type="dxa"/>
            <w:vAlign w:val="bottom"/>
          </w:tcPr>
          <w:p>
            <w:pPr>
              <w:spacing w:after="0"/>
              <w:rPr>
                <w:sz w:val="20"/>
                <w:szCs w:val="20"/>
                <w:color w:val="auto"/>
              </w:rPr>
            </w:pPr>
            <w:r>
              <w:rPr>
                <w:rFonts w:ascii="Arial" w:cs="Arial" w:eastAsia="Arial" w:hAnsi="Arial"/>
                <w:sz w:val="15"/>
                <w:szCs w:val="15"/>
                <w:color w:val="auto"/>
              </w:rPr>
              <w:t>(a)</w:t>
            </w:r>
          </w:p>
        </w:tc>
        <w:tc>
          <w:tcPr>
            <w:tcW w:w="700" w:type="dxa"/>
            <w:vAlign w:val="bottom"/>
          </w:tcPr>
          <w:p>
            <w:pPr>
              <w:spacing w:after="0"/>
              <w:rPr>
                <w:sz w:val="14"/>
                <w:szCs w:val="14"/>
                <w:color w:val="auto"/>
              </w:rPr>
            </w:pPr>
          </w:p>
        </w:tc>
        <w:tc>
          <w:tcPr>
            <w:tcW w:w="8020" w:type="dxa"/>
            <w:vAlign w:val="bottom"/>
            <w:gridSpan w:val="3"/>
          </w:tcPr>
          <w:p>
            <w:pPr>
              <w:spacing w:after="0"/>
              <w:rPr>
                <w:sz w:val="20"/>
                <w:szCs w:val="20"/>
                <w:color w:val="auto"/>
              </w:rPr>
            </w:pPr>
            <w:r>
              <w:rPr>
                <w:rFonts w:ascii="Arial" w:cs="Arial" w:eastAsia="Arial" w:hAnsi="Arial"/>
                <w:sz w:val="15"/>
                <w:szCs w:val="15"/>
                <w:color w:val="auto"/>
                <w:w w:val="99"/>
              </w:rPr>
              <w:t>Governing Law. This Agreement shall be construed in accordance with and governed by the law of the State of New York.</w:t>
            </w:r>
          </w:p>
        </w:tc>
      </w:tr>
      <w:tr>
        <w:trPr>
          <w:trHeight w:val="20"/>
        </w:trPr>
        <w:tc>
          <w:tcPr>
            <w:tcW w:w="84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301"/>
        </w:trPr>
        <w:tc>
          <w:tcPr>
            <w:tcW w:w="840" w:type="dxa"/>
            <w:vAlign w:val="bottom"/>
          </w:tcPr>
          <w:p>
            <w:pPr>
              <w:spacing w:after="0"/>
              <w:rPr>
                <w:sz w:val="20"/>
                <w:szCs w:val="20"/>
                <w:color w:val="auto"/>
              </w:rPr>
            </w:pPr>
            <w:r>
              <w:rPr>
                <w:rFonts w:ascii="Arial" w:cs="Arial" w:eastAsia="Arial" w:hAnsi="Arial"/>
                <w:sz w:val="15"/>
                <w:szCs w:val="15"/>
                <w:color w:val="auto"/>
              </w:rPr>
              <w:t>(b)</w:t>
            </w:r>
          </w:p>
        </w:tc>
        <w:tc>
          <w:tcPr>
            <w:tcW w:w="700" w:type="dxa"/>
            <w:vAlign w:val="bottom"/>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5"/>
                <w:szCs w:val="15"/>
                <w:color w:val="auto"/>
                <w:w w:val="99"/>
              </w:rPr>
              <w:t>Submission to Jurisdiction.  The Borrower hereby irrevocably and unconditionally submits, for itself and its property, to the</w:t>
            </w:r>
          </w:p>
        </w:tc>
      </w:tr>
      <w:tr>
        <w:trPr>
          <w:trHeight w:val="20"/>
        </w:trPr>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62" w:lineRule="auto"/>
        <w:rPr>
          <w:sz w:val="20"/>
          <w:szCs w:val="20"/>
          <w:color w:val="auto"/>
        </w:rPr>
      </w:pPr>
      <w:r>
        <w:rPr>
          <w:rFonts w:ascii="Arial" w:cs="Arial" w:eastAsia="Arial" w:hAnsi="Arial"/>
          <w:sz w:val="14"/>
          <w:szCs w:val="14"/>
          <w:color w:val="auto"/>
        </w:rPr>
        <w:t>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action or proceeding relating to this Agreement against the Borrower or its properties in the courts of any jurisdiction.</w:t>
      </w:r>
    </w:p>
    <w:p>
      <w:pPr>
        <w:spacing w:after="0" w:line="118" w:lineRule="exact"/>
        <w:rPr>
          <w:sz w:val="20"/>
          <w:szCs w:val="20"/>
          <w:color w:val="auto"/>
        </w:rPr>
      </w:pPr>
    </w:p>
    <w:p>
      <w:pPr>
        <w:jc w:val="both"/>
        <w:ind w:left="4" w:firstLine="1737"/>
        <w:spacing w:after="0" w:line="245" w:lineRule="auto"/>
        <w:rPr>
          <w:sz w:val="20"/>
          <w:szCs w:val="20"/>
          <w:color w:val="auto"/>
        </w:rPr>
      </w:pPr>
      <w:r>
        <w:rPr>
          <w:rFonts w:ascii="Arial" w:cs="Arial" w:eastAsia="Arial" w:hAnsi="Arial"/>
          <w:sz w:val="15"/>
          <w:szCs w:val="15"/>
          <w:color w:val="auto"/>
        </w:rPr>
        <w:t xml:space="preserve">(c) </w:t>
      </w:r>
      <w:r>
        <w:rPr>
          <w:rFonts w:ascii="Arial" w:cs="Arial" w:eastAsia="Arial" w:hAnsi="Arial"/>
          <w:sz w:val="15"/>
          <w:szCs w:val="15"/>
          <w:u w:val="single" w:color="auto"/>
          <w:color w:val="auto"/>
        </w:rPr>
        <w:t>Waiver of Venue</w:t>
      </w:r>
      <w:r>
        <w:rPr>
          <w:rFonts w:ascii="Arial" w:cs="Arial" w:eastAsia="Arial" w:hAnsi="Arial"/>
          <w:sz w:val="15"/>
          <w:szCs w:val="15"/>
          <w:color w:val="auto"/>
        </w:rPr>
        <w:t xml:space="preserve">. 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15"/>
          <w:szCs w:val="15"/>
          <w:u w:val="single" w:color="auto"/>
          <w:color w:val="auto"/>
        </w:rPr>
        <w:t>paragraph (b)</w:t>
      </w:r>
      <w:r>
        <w:rPr>
          <w:rFonts w:ascii="Arial" w:cs="Arial" w:eastAsia="Arial" w:hAnsi="Arial"/>
          <w:sz w:val="15"/>
          <w:szCs w:val="15"/>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28" w:lineRule="exact"/>
        <w:rPr>
          <w:sz w:val="20"/>
          <w:szCs w:val="20"/>
          <w:color w:val="auto"/>
        </w:rPr>
      </w:pPr>
    </w:p>
    <w:p>
      <w:pPr>
        <w:jc w:val="both"/>
        <w:ind w:left="4" w:right="20" w:firstLine="1737"/>
        <w:spacing w:after="0" w:line="245" w:lineRule="auto"/>
        <w:rPr>
          <w:sz w:val="20"/>
          <w:szCs w:val="20"/>
          <w:color w:val="auto"/>
        </w:rPr>
      </w:pPr>
      <w:r>
        <w:rPr>
          <w:rFonts w:ascii="Arial" w:cs="Arial" w:eastAsia="Arial" w:hAnsi="Arial"/>
          <w:sz w:val="15"/>
          <w:szCs w:val="15"/>
          <w:color w:val="auto"/>
        </w:rPr>
        <w:t xml:space="preserve">(d) </w:t>
      </w:r>
      <w:r>
        <w:rPr>
          <w:rFonts w:ascii="Arial" w:cs="Arial" w:eastAsia="Arial" w:hAnsi="Arial"/>
          <w:sz w:val="15"/>
          <w:szCs w:val="15"/>
          <w:u w:val="single" w:color="auto"/>
          <w:color w:val="auto"/>
        </w:rPr>
        <w:t>Service of Process</w:t>
      </w:r>
      <w:r>
        <w:rPr>
          <w:rFonts w:ascii="Arial" w:cs="Arial" w:eastAsia="Arial" w:hAnsi="Arial"/>
          <w:sz w:val="15"/>
          <w:szCs w:val="15"/>
          <w:color w:val="auto"/>
        </w:rPr>
        <w:t xml:space="preserve">. Each party to this Agreement (i) irrevocably consents to service of process in the manner provided for notices in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and (ii) agrees that service as provided in the manner provided for notices in </w:t>
      </w:r>
      <w:r>
        <w:rPr>
          <w:rFonts w:ascii="Arial" w:cs="Arial" w:eastAsia="Arial" w:hAnsi="Arial"/>
          <w:sz w:val="15"/>
          <w:szCs w:val="15"/>
          <w:u w:val="single" w:color="auto"/>
          <w:color w:val="auto"/>
        </w:rPr>
        <w:t>Section 9.01</w:t>
      </w:r>
      <w:r>
        <w:rPr>
          <w:rFonts w:ascii="Arial" w:cs="Arial" w:eastAsia="Arial" w:hAnsi="Arial"/>
          <w:sz w:val="15"/>
          <w:szCs w:val="15"/>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2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9.10.</w:t>
      </w:r>
      <w:r>
        <w:rPr>
          <w:sz w:val="20"/>
          <w:szCs w:val="20"/>
          <w:color w:val="auto"/>
        </w:rPr>
        <w:tab/>
      </w:r>
      <w:r>
        <w:rPr>
          <w:rFonts w:ascii="Arial" w:cs="Arial" w:eastAsia="Arial" w:hAnsi="Arial"/>
          <w:sz w:val="14"/>
          <w:szCs w:val="14"/>
          <w:u w:val="single" w:color="auto"/>
          <w:color w:val="auto"/>
        </w:rPr>
        <w:t>WAIVER OF JURY TRIAL</w:t>
      </w:r>
    </w:p>
    <w:p>
      <w:pPr>
        <w:spacing w:after="0" w:line="149" w:lineRule="exact"/>
        <w:rPr>
          <w:sz w:val="20"/>
          <w:szCs w:val="20"/>
          <w:color w:val="auto"/>
        </w:rPr>
      </w:pPr>
    </w:p>
    <w:p>
      <w:pPr>
        <w:jc w:val="both"/>
        <w:ind w:left="4" w:hanging="4"/>
        <w:spacing w:after="0" w:line="262" w:lineRule="auto"/>
        <w:tabs>
          <w:tab w:leader="none" w:pos="12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EACH PARTY HERETO HEREBY WAIVES, TO THE FULLEST EXTENT PERMITTED BY APPLICABLE LAW, ANY RIGHT IT MAY HAVE TO A TRIAL BY JURY IN ANY LEGAL PROCEEDING DIRECTLY OR INDIRECTLY ARISING OUT OF OR RELATING TO THIS AGREEMENT, ANY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1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9.11.</w:t>
      </w:r>
      <w:r>
        <w:rPr>
          <w:sz w:val="20"/>
          <w:szCs w:val="20"/>
          <w:color w:val="auto"/>
        </w:rPr>
        <w:tab/>
      </w:r>
      <w:r>
        <w:rPr>
          <w:rFonts w:ascii="Arial" w:cs="Arial" w:eastAsia="Arial" w:hAnsi="Arial"/>
          <w:sz w:val="13"/>
          <w:szCs w:val="13"/>
          <w:u w:val="single" w:color="auto"/>
          <w:color w:val="auto"/>
        </w:rPr>
        <w:t>Judgment Currency</w:t>
      </w:r>
    </w:p>
    <w:p>
      <w:pPr>
        <w:spacing w:after="0" w:line="149" w:lineRule="exact"/>
        <w:rPr>
          <w:sz w:val="20"/>
          <w:szCs w:val="20"/>
          <w:color w:val="auto"/>
        </w:rPr>
      </w:pPr>
    </w:p>
    <w:p>
      <w:pPr>
        <w:ind w:left="4" w:hanging="4"/>
        <w:spacing w:after="0" w:line="298" w:lineRule="auto"/>
        <w:tabs>
          <w:tab w:leader="none" w:pos="117"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This is an international loan transaction in which the specification of Dollars or any Foreign Currency, as the case may be (the “Specified Currency”), and payment in New York City or the country of the Specified Currency, as the case may be (the “Specified Place”), is of the essence, and the Specified Currency shall be the currency of account in all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1106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79" w:right="299" w:bottom="1440" w:gutter="0" w:footer="0" w:header="0"/>
        </w:sectPr>
      </w:pPr>
    </w:p>
    <w:bookmarkStart w:id="253" w:name="page254"/>
    <w:bookmarkEnd w:id="253"/>
    <w:p>
      <w:pPr>
        <w:jc w:val="both"/>
        <w:ind w:left="4"/>
        <w:spacing w:after="0" w:line="257" w:lineRule="auto"/>
        <w:rPr>
          <w:sz w:val="20"/>
          <w:szCs w:val="20"/>
          <w:color w:val="auto"/>
        </w:rPr>
      </w:pPr>
      <w:r>
        <w:rPr>
          <w:rFonts w:ascii="Arial" w:cs="Arial" w:eastAsia="Arial" w:hAnsi="Arial"/>
          <w:sz w:val="14"/>
          <w:szCs w:val="14"/>
          <w:color w:val="auto"/>
        </w:rPr>
        <w:t>relating to Loans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“Second Currency”),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Loan Document (in this Section called an “Entitled Person”)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24"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9.12.</w:t>
      </w:r>
      <w:r>
        <w:rPr>
          <w:sz w:val="20"/>
          <w:szCs w:val="20"/>
          <w:color w:val="auto"/>
        </w:rPr>
        <w:tab/>
      </w:r>
      <w:r>
        <w:rPr>
          <w:rFonts w:ascii="Arial" w:cs="Arial" w:eastAsia="Arial" w:hAnsi="Arial"/>
          <w:sz w:val="13"/>
          <w:szCs w:val="13"/>
          <w:u w:val="single" w:color="auto"/>
          <w:color w:val="auto"/>
        </w:rPr>
        <w:t>Headings</w:t>
      </w:r>
    </w:p>
    <w:p>
      <w:pPr>
        <w:spacing w:after="0" w:line="149" w:lineRule="exact"/>
        <w:rPr>
          <w:sz w:val="20"/>
          <w:szCs w:val="20"/>
          <w:color w:val="auto"/>
        </w:rPr>
      </w:pPr>
    </w:p>
    <w:p>
      <w:pPr>
        <w:ind w:left="4" w:hanging="4"/>
        <w:spacing w:after="0" w:line="262" w:lineRule="auto"/>
        <w:tabs>
          <w:tab w:leader="none" w:pos="122" w:val="left"/>
        </w:tabs>
        <w:numPr>
          <w:ilvl w:val="0"/>
          <w:numId w:val="164"/>
        </w:numPr>
        <w:rPr>
          <w:rFonts w:ascii="Arial" w:cs="Arial" w:eastAsia="Arial" w:hAnsi="Arial"/>
          <w:sz w:val="15"/>
          <w:szCs w:val="15"/>
          <w:color w:val="auto"/>
        </w:rPr>
      </w:pPr>
      <w:r>
        <w:rPr>
          <w:rFonts w:ascii="Arial" w:cs="Arial" w:eastAsia="Arial" w:hAnsi="Arial"/>
          <w:sz w:val="15"/>
          <w:szCs w:val="15"/>
          <w:color w:val="auto"/>
        </w:rPr>
        <w:t>Article and Section headings and the Table of Contents used herein are for convenience of reference only, are not part of this Agreement and shall not affect the construction of, or be taken into consideration in interpreting, this Agreement.</w:t>
      </w:r>
    </w:p>
    <w:p>
      <w:pPr>
        <w:spacing w:after="0" w:line="99"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260" w:type="dxa"/>
            <w:vAlign w:val="bottom"/>
          </w:tcPr>
          <w:p>
            <w:pPr>
              <w:ind w:left="1740"/>
              <w:spacing w:after="0"/>
              <w:rPr>
                <w:sz w:val="20"/>
                <w:szCs w:val="20"/>
                <w:color w:val="auto"/>
              </w:rPr>
            </w:pPr>
            <w:r>
              <w:rPr>
                <w:rFonts w:ascii="Arial" w:cs="Arial" w:eastAsia="Arial" w:hAnsi="Arial"/>
                <w:sz w:val="15"/>
                <w:szCs w:val="15"/>
                <w:color w:val="auto"/>
              </w:rPr>
              <w:t>SECTION 9.13.</w:t>
            </w:r>
          </w:p>
        </w:tc>
        <w:tc>
          <w:tcPr>
            <w:tcW w:w="8020" w:type="dxa"/>
            <w:vAlign w:val="bottom"/>
            <w:gridSpan w:val="4"/>
          </w:tcPr>
          <w:p>
            <w:pPr>
              <w:ind w:left="1600"/>
              <w:spacing w:after="0"/>
              <w:rPr>
                <w:sz w:val="20"/>
                <w:szCs w:val="20"/>
                <w:color w:val="auto"/>
              </w:rPr>
            </w:pPr>
            <w:r>
              <w:rPr>
                <w:rFonts w:ascii="Arial" w:cs="Arial" w:eastAsia="Arial" w:hAnsi="Arial"/>
                <w:sz w:val="15"/>
                <w:szCs w:val="15"/>
                <w:color w:val="auto"/>
              </w:rPr>
              <w:t>Treatment of Certain Information; No Fiduciary Duty; Confidentiality</w:t>
            </w:r>
          </w:p>
        </w:tc>
      </w:tr>
      <w:tr>
        <w:trPr>
          <w:trHeight w:val="336"/>
        </w:trPr>
        <w:tc>
          <w:tcPr>
            <w:tcW w:w="3260" w:type="dxa"/>
            <w:vAlign w:val="bottom"/>
          </w:tcPr>
          <w:p>
            <w:pPr>
              <w:jc w:val="right"/>
              <w:ind w:right="3153"/>
              <w:spacing w:after="0"/>
              <w:rPr>
                <w:sz w:val="20"/>
                <w:szCs w:val="20"/>
                <w:color w:val="auto"/>
              </w:rPr>
            </w:pPr>
            <w:r>
              <w:rPr>
                <w:rFonts w:ascii="Arial" w:cs="Arial" w:eastAsia="Arial" w:hAnsi="Arial"/>
                <w:sz w:val="10"/>
                <w:szCs w:val="10"/>
                <w:color w:val="auto"/>
                <w:w w:val="70"/>
              </w:rPr>
              <w:t>.</w:t>
            </w:r>
          </w:p>
        </w:tc>
        <w:tc>
          <w:tcPr>
            <w:tcW w:w="1600" w:type="dxa"/>
            <w:vAlign w:val="bottom"/>
          </w:tcPr>
          <w:p>
            <w:pPr>
              <w:spacing w:after="0"/>
              <w:rPr>
                <w:sz w:val="24"/>
                <w:szCs w:val="24"/>
                <w:color w:val="auto"/>
              </w:rPr>
            </w:pPr>
          </w:p>
        </w:tc>
        <w:tc>
          <w:tcPr>
            <w:tcW w:w="256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287"/>
        </w:trPr>
        <w:tc>
          <w:tcPr>
            <w:tcW w:w="3260" w:type="dxa"/>
            <w:vAlign w:val="bottom"/>
          </w:tcPr>
          <w:p>
            <w:pPr>
              <w:ind w:left="1740"/>
              <w:spacing w:after="0"/>
              <w:rPr>
                <w:sz w:val="20"/>
                <w:szCs w:val="20"/>
                <w:color w:val="auto"/>
              </w:rPr>
            </w:pPr>
            <w:r>
              <w:rPr>
                <w:rFonts w:ascii="Arial" w:cs="Arial" w:eastAsia="Arial" w:hAnsi="Arial"/>
                <w:sz w:val="15"/>
                <w:szCs w:val="15"/>
                <w:color w:val="auto"/>
              </w:rPr>
              <w:t>(a)</w:t>
            </w:r>
          </w:p>
        </w:tc>
        <w:tc>
          <w:tcPr>
            <w:tcW w:w="8020" w:type="dxa"/>
            <w:vAlign w:val="bottom"/>
            <w:gridSpan w:val="4"/>
          </w:tcPr>
          <w:p>
            <w:pPr>
              <w:spacing w:after="0"/>
              <w:rPr>
                <w:sz w:val="20"/>
                <w:szCs w:val="20"/>
                <w:color w:val="auto"/>
              </w:rPr>
            </w:pPr>
            <w:r>
              <w:rPr>
                <w:rFonts w:ascii="Arial" w:cs="Arial" w:eastAsia="Arial" w:hAnsi="Arial"/>
                <w:sz w:val="15"/>
                <w:szCs w:val="15"/>
                <w:color w:val="auto"/>
                <w:w w:val="95"/>
              </w:rPr>
              <w:t>Treatment of Certain Information; No Fiduciary Duty; No Conflicts. The Borrower acknowledges that from time to time financial</w:t>
            </w:r>
          </w:p>
        </w:tc>
      </w:tr>
      <w:tr>
        <w:trPr>
          <w:trHeight w:val="20"/>
        </w:trPr>
        <w:tc>
          <w:tcPr>
            <w:tcW w:w="32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4"/>
        <w:spacing w:after="0" w:line="258" w:lineRule="auto"/>
        <w:rPr>
          <w:sz w:val="20"/>
          <w:szCs w:val="20"/>
          <w:color w:val="auto"/>
        </w:rPr>
      </w:pPr>
      <w:r>
        <w:rPr>
          <w:rFonts w:ascii="Arial" w:cs="Arial" w:eastAsia="Arial" w:hAnsi="Arial"/>
          <w:sz w:val="14"/>
          <w:szCs w:val="14"/>
          <w:color w:val="auto"/>
        </w:rPr>
        <w:t xml:space="preserve">advisory, investment banking and other services may be offered or provided to the Borrower or one or more of its Subsidiaries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or in connection with the decision of such Lender to enter into this Agreement, to any such subsidiary or affiliate, it being understood that any such subsidiary or affiliate receiving such information shall be bound by the provisions of </w:t>
      </w:r>
      <w:r>
        <w:rPr>
          <w:rFonts w:ascii="Arial" w:cs="Arial" w:eastAsia="Arial" w:hAnsi="Arial"/>
          <w:sz w:val="14"/>
          <w:szCs w:val="14"/>
          <w:u w:val="single" w:color="auto"/>
          <w:color w:val="auto"/>
        </w:rPr>
        <w:t>paragraph (b)</w:t>
      </w:r>
      <w:r>
        <w:rPr>
          <w:rFonts w:ascii="Arial" w:cs="Arial" w:eastAsia="Arial" w:hAnsi="Arial"/>
          <w:sz w:val="14"/>
          <w:szCs w:val="14"/>
          <w:color w:val="auto"/>
        </w:rPr>
        <w:t xml:space="preserve"> of this Section as if it were a Lender hereunder. Such authorization shall survive the repayment of the Loans, the expiration or termination of the Letters of Credit and the Commitments or the termination of this Agreement or any provision hereof. Each Lender shall use all information delivered to such Lender by the Borrower and its Subsidiaries pursuant to this Agreement, or in connection with the decision of such Lender to enter into this Agreement, in connection with providing services to the Borrower. The Administrative Agent, each Lender and their Affiliates (collectively, solely for purposes of this paragraph, the “Lenders”), may have economic interests that conflict with those of the Borrower or any of its Subsidiaries, their stockholders and/or their affiliates. The Borrower, on behalf of itself and each of its Subsidiaries, agrees that nothing in the Loan Documents or otherwise will be deemed to create an advisory, fiduciary or agency relationship or fiduciary or other implied duty between any Lender, on the one hand, and the Borrower or any of its Subsidiaries, its stockholders or its affiliates, on the other. The Borrower and each of its Subsidiaries each acknowledge and agree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216535</wp:posOffset>
            </wp:positionV>
            <wp:extent cx="721106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54" w:name="page255"/>
    <w:bookmarkEnd w:id="254"/>
    <w:p>
      <w:pPr>
        <w:jc w:val="both"/>
        <w:ind w:left="4" w:hanging="4"/>
        <w:spacing w:after="0" w:line="258" w:lineRule="auto"/>
        <w:tabs>
          <w:tab w:leader="none" w:pos="189"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transactions contemplated by the Loan Documents (including the exercise of rights and remedies hereunder and thereunder) are arm’s-length commercial transactions between the Lenders, on the one hand, and the Borrower and its Subsidiaries, on the other, and (ii) in connection therewith and with the process leading thereto, (x) no Lender has assumed an advisory or fiduciary responsibility in favor of the Borrower or any of its Subsidiaries, any of their stockholders or affiliates with respect to the transactions contemplated hereby (or the exercise of rights or remedies with respect thereto) or the process leading thereto (irrespective of whether any Lender has advised, is currently advising or will advise the Borrower or any of its Subsidiaries, their stockholders or their affiliates on other matters) or any other obligation to the Borrower or any of its Subsidiaries except the obligations expressly set forth in the Loan Documents and (y) each Lender is acting solely as principal and not as the agent or fiduciary of the Borrower or any of its Subsidiaries, their management, stockholders, creditors or any other Person. The Borrower and each of its Subsidiaries each acknowledge and agree that it has consulted its own legal and financial advisors to the extent it deemed appropriate and that it is responsible for making its own independent judgment with respect to such transactions and the process leading thereto. The Borrower and each of its Subsidiaries each agree that it will not claim that any Lender has rendered advisory services of any nature or respect, or owes a fiduciary or similar duty to the Borrower or any of its Subsidiaries, in connection with such transaction or the process leading thereto.</w:t>
      </w:r>
    </w:p>
    <w:p>
      <w:pPr>
        <w:spacing w:after="0" w:line="122" w:lineRule="exact"/>
        <w:rPr>
          <w:sz w:val="20"/>
          <w:szCs w:val="20"/>
          <w:color w:val="auto"/>
        </w:rPr>
      </w:pPr>
    </w:p>
    <w:p>
      <w:pPr>
        <w:jc w:val="both"/>
        <w:ind w:left="4" w:firstLine="1737"/>
        <w:spacing w:after="0" w:line="257"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Confidentiality</w:t>
      </w:r>
      <w:r>
        <w:rPr>
          <w:rFonts w:ascii="Arial" w:cs="Arial" w:eastAsia="Arial" w:hAnsi="Arial"/>
          <w:sz w:val="14"/>
          <w:szCs w:val="14"/>
          <w:color w:val="auto"/>
        </w:rPr>
        <w:t>. Each of the Administrative Agent, the Lenders, the Swingline Lenders and the Issuing Banks agrees to maintain the confidentiality of the Information (as defined below),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Section, to (x) any assignee of or Participant in, or any prospective assignee of or Participant in, any of its rights or obligations under this Agreement or (y) any actual or prospective counterparty (or its advisors) to any swap or derivative transaction relating to the Borrower and its obligations, (vii) with the consent of the Borrower, (viii)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the Borrower or (ix) on a confidential basis to (x) any rating agency in connection with rating the Borrower or its Subsidiaries or the credit facilities provided hereunder or (y) the CUSIP Service Bureau or any similar agency in connection with the issuance and monitoring of CUSIP numbers with respect to the credit facilities provided hereunder.</w:t>
      </w:r>
    </w:p>
    <w:p>
      <w:pPr>
        <w:spacing w:after="0" w:line="124" w:lineRule="exact"/>
        <w:rPr>
          <w:sz w:val="20"/>
          <w:szCs w:val="20"/>
          <w:color w:val="auto"/>
        </w:rPr>
      </w:pPr>
    </w:p>
    <w:p>
      <w:pPr>
        <w:jc w:val="both"/>
        <w:ind w:left="4" w:firstLine="1737"/>
        <w:spacing w:after="0" w:line="249" w:lineRule="auto"/>
        <w:rPr>
          <w:sz w:val="20"/>
          <w:szCs w:val="20"/>
          <w:color w:val="auto"/>
        </w:rPr>
      </w:pPr>
      <w:r>
        <w:rPr>
          <w:rFonts w:ascii="Arial" w:cs="Arial" w:eastAsia="Arial" w:hAnsi="Arial"/>
          <w:sz w:val="15"/>
          <w:szCs w:val="15"/>
          <w:color w:val="auto"/>
        </w:rPr>
        <w:t>For purposes of this Section, “</w:t>
      </w:r>
      <w:r>
        <w:rPr>
          <w:rFonts w:ascii="Arial" w:cs="Arial" w:eastAsia="Arial" w:hAnsi="Arial"/>
          <w:sz w:val="15"/>
          <w:szCs w:val="15"/>
          <w:u w:val="single" w:color="auto"/>
          <w:color w:val="auto"/>
        </w:rPr>
        <w:t>Information</w:t>
      </w:r>
      <w:r>
        <w:rPr>
          <w:rFonts w:ascii="Arial" w:cs="Arial" w:eastAsia="Arial" w:hAnsi="Arial"/>
          <w:sz w:val="15"/>
          <w:szCs w:val="15"/>
          <w:color w:val="auto"/>
        </w:rPr>
        <w:t>” means all information received from the Borrower or any of its Subsidiaries relating to the Borrower or any of its Subsidiaries or any of their respective businesses, other than any such information that is available to the Administrative Agent any Lender or any Issuing Bank on a nonconfidential basis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219710</wp:posOffset>
            </wp:positionV>
            <wp:extent cx="721106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55" w:name="page256"/>
    <w:bookmarkEnd w:id="255"/>
    <w:p>
      <w:pPr>
        <w:jc w:val="both"/>
        <w:ind w:left="4" w:right="20"/>
        <w:spacing w:after="0" w:line="245" w:lineRule="auto"/>
        <w:rPr>
          <w:sz w:val="20"/>
          <w:szCs w:val="20"/>
          <w:color w:val="auto"/>
        </w:rPr>
      </w:pPr>
      <w:r>
        <w:rPr>
          <w:rFonts w:ascii="Arial" w:cs="Arial" w:eastAsia="Arial" w:hAnsi="Arial"/>
          <w:sz w:val="15"/>
          <w:szCs w:val="15"/>
          <w:color w:val="auto"/>
        </w:rPr>
        <w:t xml:space="preserve">disclosure by the Borrower or any of its Subsidiaries;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8"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9.14.</w:t>
      </w:r>
      <w:r>
        <w:rPr>
          <w:sz w:val="20"/>
          <w:szCs w:val="20"/>
          <w:color w:val="auto"/>
        </w:rPr>
        <w:tab/>
      </w:r>
      <w:r>
        <w:rPr>
          <w:rFonts w:ascii="Arial" w:cs="Arial" w:eastAsia="Arial" w:hAnsi="Arial"/>
          <w:sz w:val="14"/>
          <w:szCs w:val="14"/>
          <w:u w:val="single" w:color="auto"/>
          <w:color w:val="auto"/>
        </w:rPr>
        <w:t>USA PATRIOT Act</w:t>
      </w:r>
    </w:p>
    <w:p>
      <w:pPr>
        <w:spacing w:after="0" w:line="149" w:lineRule="exact"/>
        <w:rPr>
          <w:sz w:val="20"/>
          <w:szCs w:val="20"/>
          <w:color w:val="auto"/>
        </w:rPr>
      </w:pPr>
    </w:p>
    <w:p>
      <w:pPr>
        <w:jc w:val="both"/>
        <w:ind w:left="4" w:right="20" w:hanging="4"/>
        <w:spacing w:after="0" w:line="175" w:lineRule="exact"/>
        <w:tabs>
          <w:tab w:leader="none" w:pos="124"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Each Lender hereby notifies the Borrower that pursuant to the requirements of the USA PATRIOT Act (Title III of Pub. L. 107</w:t>
      </w:r>
      <w:r>
        <w:rPr>
          <w:rFonts w:ascii="MS PGothic" w:cs="MS PGothic" w:eastAsia="MS PGothic" w:hAnsi="MS PGothic"/>
          <w:sz w:val="15"/>
          <w:szCs w:val="15"/>
          <w:color w:val="auto"/>
        </w:rPr>
        <w:t>‑</w:t>
      </w:r>
      <w:r>
        <w:rPr>
          <w:rFonts w:ascii="Arial" w:cs="Arial" w:eastAsia="Arial" w:hAnsi="Arial"/>
          <w:sz w:val="15"/>
          <w:szCs w:val="15"/>
          <w:color w:val="auto"/>
        </w:rPr>
        <w:t>56 (signed into law October 26, 2001)), it is required to obtain, verify and record information that identifies the Borrower, each other Obligor and each designee of a Letter of Credit, which information includes the name and address of the Borrower, each other Obligor and each designee of a Letter of Credit and other information that will allow such Lender to identify Borrower, each other Obligor and each designee of a Letter of Credit in accordance with said Act.</w:t>
      </w:r>
    </w:p>
    <w:p>
      <w:pPr>
        <w:spacing w:after="0" w:line="133"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9.15.</w:t>
      </w:r>
      <w:r>
        <w:rPr>
          <w:sz w:val="20"/>
          <w:szCs w:val="20"/>
          <w:color w:val="auto"/>
        </w:rPr>
        <w:tab/>
      </w:r>
      <w:r>
        <w:rPr>
          <w:rFonts w:ascii="Arial" w:cs="Arial" w:eastAsia="Arial" w:hAnsi="Arial"/>
          <w:sz w:val="13"/>
          <w:szCs w:val="13"/>
          <w:u w:val="single" w:color="auto"/>
          <w:color w:val="auto"/>
        </w:rPr>
        <w:t>Effect of Amendment and Restatement of the Existing Credit Agreement</w:t>
      </w:r>
    </w:p>
    <w:p>
      <w:pPr>
        <w:spacing w:after="0" w:line="149" w:lineRule="exact"/>
        <w:rPr>
          <w:sz w:val="20"/>
          <w:szCs w:val="20"/>
          <w:color w:val="auto"/>
        </w:rPr>
      </w:pPr>
    </w:p>
    <w:p>
      <w:pPr>
        <w:jc w:val="both"/>
        <w:ind w:left="4" w:right="20" w:hanging="4"/>
        <w:spacing w:after="0" w:line="241" w:lineRule="auto"/>
        <w:tabs>
          <w:tab w:leader="none" w:pos="139" w:val="left"/>
        </w:tabs>
        <w:numPr>
          <w:ilvl w:val="0"/>
          <w:numId w:val="167"/>
        </w:numPr>
        <w:rPr>
          <w:rFonts w:ascii="Arial" w:cs="Arial" w:eastAsia="Arial" w:hAnsi="Arial"/>
          <w:sz w:val="15"/>
          <w:szCs w:val="15"/>
          <w:color w:val="auto"/>
        </w:rPr>
      </w:pPr>
      <w:r>
        <w:rPr>
          <w:rFonts w:ascii="Arial" w:cs="Arial" w:eastAsia="Arial" w:hAnsi="Arial"/>
          <w:sz w:val="15"/>
          <w:szCs w:val="15"/>
          <w:color w:val="auto"/>
        </w:rPr>
        <w:t>On the Effective Date, the Existing Credit Agreement shall be amended and restated in its entirety. The parties hereto acknowledge and agree that (a) this Agreement and the other Loan Documents, whether executed and delivered in connection herewith or otherwise, do not constitute a novation or termination of the obligations for principal, interest or fees of the Borrower under the Existing Credit Agreement as in effect immediately prior to the Effective Date and which remain outstanding; and (b) except for any of the Borrower’s obligations under the Existing Credit Agreement which are expressly contemplated to be repaid on the Effective Date and to the extent are in fact so repaid, the obligations of the Borrower under the Existing Credit Agreement (as amended and restated hereby and which are on and after the date hereof subject to the terms herein) are in all respects continuing, and shall continue to be secured as provided in the Security Documents.</w:t>
      </w:r>
    </w:p>
    <w:p>
      <w:pPr>
        <w:spacing w:after="0" w:line="133"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9.16.</w:t>
      </w:r>
      <w:r>
        <w:rPr>
          <w:sz w:val="20"/>
          <w:szCs w:val="20"/>
          <w:color w:val="auto"/>
        </w:rPr>
        <w:tab/>
      </w:r>
      <w:r>
        <w:rPr>
          <w:rFonts w:ascii="Arial" w:cs="Arial" w:eastAsia="Arial" w:hAnsi="Arial"/>
          <w:sz w:val="13"/>
          <w:szCs w:val="13"/>
          <w:u w:val="single" w:color="auto"/>
          <w:color w:val="auto"/>
        </w:rPr>
        <w:t>Reaffirmation of Guarantee and Security Agreement</w:t>
      </w:r>
    </w:p>
    <w:p>
      <w:pPr>
        <w:spacing w:after="0" w:line="149" w:lineRule="exact"/>
        <w:rPr>
          <w:sz w:val="20"/>
          <w:szCs w:val="20"/>
          <w:color w:val="auto"/>
        </w:rPr>
      </w:pPr>
    </w:p>
    <w:p>
      <w:pPr>
        <w:ind w:left="4" w:right="40" w:hanging="4"/>
        <w:spacing w:after="0" w:line="262" w:lineRule="auto"/>
        <w:tabs>
          <w:tab w:leader="none" w:pos="137" w:val="left"/>
        </w:tabs>
        <w:numPr>
          <w:ilvl w:val="0"/>
          <w:numId w:val="168"/>
        </w:numPr>
        <w:rPr>
          <w:rFonts w:ascii="Arial" w:cs="Arial" w:eastAsia="Arial" w:hAnsi="Arial"/>
          <w:sz w:val="15"/>
          <w:szCs w:val="15"/>
          <w:color w:val="auto"/>
        </w:rPr>
      </w:pPr>
      <w:r>
        <w:rPr>
          <w:rFonts w:ascii="Arial" w:cs="Arial" w:eastAsia="Arial" w:hAnsi="Arial"/>
          <w:sz w:val="15"/>
          <w:szCs w:val="15"/>
          <w:color w:val="auto"/>
        </w:rPr>
        <w:t>TC Lending, LLC hereby consents to the terms of this Agreement, confirms that its Guarantee under the Guarantee and Security Agreement remains unaltered and in full force and effect and hereby reaffirms, ratifies and confirms the terms and conditions of the Guarantee and Security Agreement.</w:t>
      </w:r>
    </w:p>
    <w:p>
      <w:pPr>
        <w:spacing w:after="0" w:line="115"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9.17.</w:t>
      </w:r>
      <w:r>
        <w:rPr>
          <w:sz w:val="20"/>
          <w:szCs w:val="20"/>
          <w:color w:val="auto"/>
        </w:rPr>
        <w:tab/>
      </w:r>
      <w:r>
        <w:rPr>
          <w:rFonts w:ascii="Arial" w:cs="Arial" w:eastAsia="Arial" w:hAnsi="Arial"/>
          <w:sz w:val="14"/>
          <w:szCs w:val="14"/>
          <w:u w:val="single" w:color="auto"/>
          <w:color w:val="auto"/>
        </w:rPr>
        <w:t>Acknowledgement and Consent to Bail-In of Affected Financial Institutions</w:t>
      </w:r>
    </w:p>
    <w:p>
      <w:pPr>
        <w:spacing w:after="0" w:line="149" w:lineRule="exact"/>
        <w:rPr>
          <w:sz w:val="20"/>
          <w:szCs w:val="20"/>
          <w:color w:val="auto"/>
        </w:rPr>
      </w:pPr>
    </w:p>
    <w:p>
      <w:pPr>
        <w:jc w:val="both"/>
        <w:ind w:left="4" w:right="20" w:hanging="4"/>
        <w:spacing w:after="0" w:line="245" w:lineRule="auto"/>
        <w:tabs>
          <w:tab w:leader="none" w:pos="121" w:val="left"/>
        </w:tabs>
        <w:numPr>
          <w:ilvl w:val="0"/>
          <w:numId w:val="169"/>
        </w:numPr>
        <w:rPr>
          <w:rFonts w:ascii="Arial" w:cs="Arial" w:eastAsia="Arial" w:hAnsi="Arial"/>
          <w:sz w:val="15"/>
          <w:szCs w:val="15"/>
          <w:color w:val="auto"/>
        </w:rPr>
      </w:pPr>
      <w:r>
        <w:rPr>
          <w:rFonts w:ascii="Arial" w:cs="Arial" w:eastAsia="Arial" w:hAnsi="Arial"/>
          <w:sz w:val="15"/>
          <w:szCs w:val="15"/>
          <w:color w:val="auto"/>
        </w:rPr>
        <w:t>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2580" w:type="dxa"/>
            <w:vAlign w:val="bottom"/>
          </w:tcPr>
          <w:p>
            <w:pPr>
              <w:ind w:left="1740"/>
              <w:spacing w:after="0"/>
              <w:rPr>
                <w:sz w:val="20"/>
                <w:szCs w:val="20"/>
                <w:color w:val="auto"/>
              </w:rPr>
            </w:pPr>
            <w:r>
              <w:rPr>
                <w:rFonts w:ascii="Arial" w:cs="Arial" w:eastAsia="Arial" w:hAnsi="Arial"/>
                <w:sz w:val="15"/>
                <w:szCs w:val="15"/>
                <w:color w:val="auto"/>
              </w:rPr>
              <w:t>(a)</w:t>
            </w:r>
          </w:p>
        </w:tc>
        <w:tc>
          <w:tcPr>
            <w:tcW w:w="8740" w:type="dxa"/>
            <w:vAlign w:val="bottom"/>
          </w:tcPr>
          <w:p>
            <w:pPr>
              <w:ind w:left="680"/>
              <w:spacing w:after="0"/>
              <w:rPr>
                <w:sz w:val="20"/>
                <w:szCs w:val="20"/>
                <w:color w:val="auto"/>
              </w:rPr>
            </w:pPr>
            <w:r>
              <w:rPr>
                <w:rFonts w:ascii="Arial" w:cs="Arial" w:eastAsia="Arial" w:hAnsi="Arial"/>
                <w:sz w:val="15"/>
                <w:szCs w:val="15"/>
                <w:color w:val="auto"/>
                <w:w w:val="96"/>
              </w:rPr>
              <w:t>the application of any Write-Down and Conversion Powers by the applicable Resolution Authority to any such liabilities arising</w:t>
            </w:r>
          </w:p>
        </w:tc>
      </w:tr>
      <w:tr>
        <w:trPr>
          <w:trHeight w:val="191"/>
        </w:trPr>
        <w:tc>
          <w:tcPr>
            <w:tcW w:w="11320" w:type="dxa"/>
            <w:vAlign w:val="bottom"/>
            <w:gridSpan w:val="2"/>
          </w:tcPr>
          <w:p>
            <w:pPr>
              <w:spacing w:after="0"/>
              <w:rPr>
                <w:sz w:val="20"/>
                <w:szCs w:val="20"/>
                <w:color w:val="auto"/>
              </w:rPr>
            </w:pPr>
            <w:r>
              <w:rPr>
                <w:rFonts w:ascii="Arial" w:cs="Arial" w:eastAsia="Arial" w:hAnsi="Arial"/>
                <w:sz w:val="15"/>
                <w:szCs w:val="15"/>
                <w:color w:val="auto"/>
              </w:rPr>
              <w:t>hereunder which may be payable to it by any Lender that is an Affected Financial Institution; and</w:t>
            </w:r>
          </w:p>
        </w:tc>
      </w:tr>
      <w:tr>
        <w:trPr>
          <w:trHeight w:val="321"/>
        </w:trPr>
        <w:tc>
          <w:tcPr>
            <w:tcW w:w="2580" w:type="dxa"/>
            <w:vAlign w:val="bottom"/>
          </w:tcPr>
          <w:p>
            <w:pPr>
              <w:ind w:left="1740"/>
              <w:spacing w:after="0"/>
              <w:rPr>
                <w:sz w:val="20"/>
                <w:szCs w:val="20"/>
                <w:color w:val="auto"/>
              </w:rPr>
            </w:pPr>
            <w:r>
              <w:rPr>
                <w:rFonts w:ascii="Arial" w:cs="Arial" w:eastAsia="Arial" w:hAnsi="Arial"/>
                <w:sz w:val="15"/>
                <w:szCs w:val="15"/>
                <w:color w:val="auto"/>
              </w:rPr>
              <w:t>(b)</w:t>
            </w:r>
          </w:p>
        </w:tc>
        <w:tc>
          <w:tcPr>
            <w:tcW w:w="8740" w:type="dxa"/>
            <w:vAlign w:val="bottom"/>
          </w:tcPr>
          <w:p>
            <w:pPr>
              <w:ind w:left="700"/>
              <w:spacing w:after="0"/>
              <w:rPr>
                <w:sz w:val="20"/>
                <w:szCs w:val="20"/>
                <w:color w:val="auto"/>
              </w:rPr>
            </w:pPr>
            <w:r>
              <w:rPr>
                <w:rFonts w:ascii="Arial" w:cs="Arial" w:eastAsia="Arial" w:hAnsi="Arial"/>
                <w:sz w:val="15"/>
                <w:szCs w:val="15"/>
                <w:color w:val="auto"/>
              </w:rPr>
              <w:t>the effects of any Bail-In Action on any such liability, including, if applicable:</w:t>
            </w:r>
          </w:p>
        </w:tc>
      </w:tr>
      <w:tr>
        <w:trPr>
          <w:trHeight w:val="372"/>
        </w:trPr>
        <w:tc>
          <w:tcPr>
            <w:tcW w:w="258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7166610</wp:posOffset>
            </wp:positionH>
            <wp:positionV relativeFrom="paragraph">
              <wp:posOffset>-24130</wp:posOffset>
            </wp:positionV>
            <wp:extent cx="3111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-24130</wp:posOffset>
            </wp:positionV>
            <wp:extent cx="3111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4"/>
          </w:cols>
          <w:pgMar w:left="296" w:top="295" w:right="279" w:bottom="1440" w:gutter="0" w:footer="0" w:header="0"/>
        </w:sectPr>
      </w:pPr>
    </w:p>
    <w:bookmarkStart w:id="256" w:name="page257"/>
    <w:bookmarkEnd w:id="256"/>
    <w:tbl>
      <w:tblPr>
        <w:tblLayout w:type="fixed"/>
        <w:tblInd w:w="0" w:type="dxa"/>
        <w:tblCellMar>
          <w:top w:w="0" w:type="dxa"/>
          <w:left w:w="0" w:type="dxa"/>
          <w:bottom w:w="0" w:type="dxa"/>
          <w:right w:w="0" w:type="dxa"/>
        </w:tblCellMar>
      </w:tblPr>
      <w:tr>
        <w:trPr>
          <w:trHeight w:val="191"/>
        </w:trPr>
        <w:tc>
          <w:tcPr>
            <w:tcW w:w="3000" w:type="dxa"/>
            <w:vAlign w:val="bottom"/>
          </w:tcPr>
          <w:p>
            <w:pPr>
              <w:ind w:left="1660"/>
              <w:spacing w:after="0"/>
              <w:rPr>
                <w:sz w:val="20"/>
                <w:szCs w:val="20"/>
                <w:color w:val="auto"/>
              </w:rPr>
            </w:pPr>
            <w:r>
              <w:rPr>
                <w:rFonts w:ascii="Arial" w:cs="Arial" w:eastAsia="Arial" w:hAnsi="Arial"/>
                <w:sz w:val="15"/>
                <w:szCs w:val="15"/>
                <w:color w:val="auto"/>
              </w:rPr>
              <w:t>(i)</w:t>
            </w:r>
          </w:p>
        </w:tc>
        <w:tc>
          <w:tcPr>
            <w:tcW w:w="8300" w:type="dxa"/>
            <w:vAlign w:val="bottom"/>
            <w:gridSpan w:val="3"/>
          </w:tcPr>
          <w:p>
            <w:pPr>
              <w:jc w:val="right"/>
              <w:ind w:right="4240"/>
              <w:spacing w:after="0"/>
              <w:rPr>
                <w:sz w:val="20"/>
                <w:szCs w:val="20"/>
                <w:color w:val="auto"/>
              </w:rPr>
            </w:pPr>
            <w:r>
              <w:rPr>
                <w:rFonts w:ascii="Arial" w:cs="Arial" w:eastAsia="Arial" w:hAnsi="Arial"/>
                <w:sz w:val="15"/>
                <w:szCs w:val="15"/>
                <w:color w:val="auto"/>
                <w:w w:val="98"/>
              </w:rPr>
              <w:t>a reduction in full or in part or cancellation of any such liability;</w:t>
            </w:r>
          </w:p>
        </w:tc>
      </w:tr>
      <w:tr>
        <w:trPr>
          <w:trHeight w:val="301"/>
        </w:trPr>
        <w:tc>
          <w:tcPr>
            <w:tcW w:w="3000" w:type="dxa"/>
            <w:vAlign w:val="bottom"/>
          </w:tcPr>
          <w:p>
            <w:pPr>
              <w:ind w:left="1660"/>
              <w:spacing w:after="0"/>
              <w:rPr>
                <w:sz w:val="20"/>
                <w:szCs w:val="20"/>
                <w:color w:val="auto"/>
              </w:rPr>
            </w:pPr>
            <w:r>
              <w:rPr>
                <w:rFonts w:ascii="Arial" w:cs="Arial" w:eastAsia="Arial" w:hAnsi="Arial"/>
                <w:sz w:val="15"/>
                <w:szCs w:val="15"/>
                <w:color w:val="auto"/>
              </w:rPr>
              <w:t>(ii)</w:t>
            </w:r>
          </w:p>
        </w:tc>
        <w:tc>
          <w:tcPr>
            <w:tcW w:w="8300" w:type="dxa"/>
            <w:vAlign w:val="bottom"/>
            <w:gridSpan w:val="3"/>
          </w:tcPr>
          <w:p>
            <w:pPr>
              <w:jc w:val="right"/>
              <w:ind w:right="20"/>
              <w:spacing w:after="0"/>
              <w:rPr>
                <w:sz w:val="20"/>
                <w:szCs w:val="20"/>
                <w:color w:val="auto"/>
              </w:rPr>
            </w:pPr>
            <w:r>
              <w:rPr>
                <w:rFonts w:ascii="Arial" w:cs="Arial" w:eastAsia="Arial" w:hAnsi="Arial"/>
                <w:sz w:val="15"/>
                <w:szCs w:val="15"/>
                <w:color w:val="auto"/>
                <w:w w:val="95"/>
              </w:rPr>
              <w:t>a conversion of all, or a portion of, such liability into shares or other instruments of ownership in such Affected Financial Institution,</w:t>
            </w:r>
          </w:p>
        </w:tc>
      </w:tr>
      <w:tr>
        <w:trPr>
          <w:trHeight w:val="170"/>
        </w:trPr>
        <w:tc>
          <w:tcPr>
            <w:tcW w:w="11300" w:type="dxa"/>
            <w:vAlign w:val="bottom"/>
            <w:gridSpan w:val="4"/>
          </w:tcPr>
          <w:p>
            <w:pPr>
              <w:jc w:val="right"/>
              <w:ind w:right="20"/>
              <w:spacing w:after="0" w:line="170" w:lineRule="exact"/>
              <w:rPr>
                <w:sz w:val="20"/>
                <w:szCs w:val="20"/>
                <w:color w:val="auto"/>
              </w:rPr>
            </w:pPr>
            <w:r>
              <w:rPr>
                <w:rFonts w:ascii="Arial" w:cs="Arial" w:eastAsia="Arial" w:hAnsi="Arial"/>
                <w:sz w:val="15"/>
                <w:szCs w:val="15"/>
                <w:color w:val="auto"/>
              </w:rPr>
              <w:t>its parent undertaking, or a bridge institution that may be issued to it or otherwise conferred on it, and that such shares or other instruments of ownership will be accepted</w:t>
            </w:r>
          </w:p>
        </w:tc>
      </w:tr>
      <w:tr>
        <w:trPr>
          <w:trHeight w:val="191"/>
        </w:trPr>
        <w:tc>
          <w:tcPr>
            <w:tcW w:w="11300" w:type="dxa"/>
            <w:vAlign w:val="bottom"/>
            <w:gridSpan w:val="4"/>
          </w:tcPr>
          <w:p>
            <w:pPr>
              <w:ind w:left="860"/>
              <w:spacing w:after="0"/>
              <w:rPr>
                <w:sz w:val="20"/>
                <w:szCs w:val="20"/>
                <w:color w:val="auto"/>
              </w:rPr>
            </w:pPr>
            <w:r>
              <w:rPr>
                <w:rFonts w:ascii="Arial" w:cs="Arial" w:eastAsia="Arial" w:hAnsi="Arial"/>
                <w:sz w:val="15"/>
                <w:szCs w:val="15"/>
                <w:color w:val="auto"/>
              </w:rPr>
              <w:t>by it in lieu of any rights with respect to any such liability under this Agreement or any other Loan Document; or</w:t>
            </w:r>
          </w:p>
        </w:tc>
      </w:tr>
      <w:tr>
        <w:trPr>
          <w:trHeight w:val="301"/>
        </w:trPr>
        <w:tc>
          <w:tcPr>
            <w:tcW w:w="3000" w:type="dxa"/>
            <w:vAlign w:val="bottom"/>
          </w:tcPr>
          <w:p>
            <w:pPr>
              <w:ind w:left="1660"/>
              <w:spacing w:after="0"/>
              <w:rPr>
                <w:sz w:val="20"/>
                <w:szCs w:val="20"/>
                <w:color w:val="auto"/>
              </w:rPr>
            </w:pPr>
            <w:r>
              <w:rPr>
                <w:rFonts w:ascii="Arial" w:cs="Arial" w:eastAsia="Arial" w:hAnsi="Arial"/>
                <w:sz w:val="15"/>
                <w:szCs w:val="15"/>
                <w:color w:val="auto"/>
              </w:rPr>
              <w:t>(iii)</w:t>
            </w:r>
          </w:p>
        </w:tc>
        <w:tc>
          <w:tcPr>
            <w:tcW w:w="8300" w:type="dxa"/>
            <w:vAlign w:val="bottom"/>
            <w:gridSpan w:val="3"/>
          </w:tcPr>
          <w:p>
            <w:pPr>
              <w:jc w:val="right"/>
              <w:spacing w:after="0"/>
              <w:rPr>
                <w:sz w:val="20"/>
                <w:szCs w:val="20"/>
                <w:color w:val="auto"/>
              </w:rPr>
            </w:pPr>
            <w:r>
              <w:rPr>
                <w:rFonts w:ascii="Arial" w:cs="Arial" w:eastAsia="Arial" w:hAnsi="Arial"/>
                <w:sz w:val="15"/>
                <w:szCs w:val="15"/>
                <w:color w:val="auto"/>
              </w:rPr>
              <w:t>the variation of the terms of such liability in connection with the exercise of the Write-Down and Conversion Powers of the</w:t>
            </w:r>
          </w:p>
        </w:tc>
      </w:tr>
      <w:tr>
        <w:trPr>
          <w:trHeight w:val="191"/>
        </w:trPr>
        <w:tc>
          <w:tcPr>
            <w:tcW w:w="3000" w:type="dxa"/>
            <w:vAlign w:val="bottom"/>
          </w:tcPr>
          <w:p>
            <w:pPr>
              <w:ind w:left="860"/>
              <w:spacing w:after="0"/>
              <w:rPr>
                <w:sz w:val="20"/>
                <w:szCs w:val="20"/>
                <w:color w:val="auto"/>
              </w:rPr>
            </w:pPr>
            <w:r>
              <w:rPr>
                <w:rFonts w:ascii="Arial" w:cs="Arial" w:eastAsia="Arial" w:hAnsi="Arial"/>
                <w:sz w:val="15"/>
                <w:szCs w:val="15"/>
                <w:color w:val="auto"/>
              </w:rPr>
              <w:t>applicable Resolution Authority.</w:t>
            </w:r>
          </w:p>
        </w:tc>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20" w:type="dxa"/>
            <w:vAlign w:val="bottom"/>
          </w:tcPr>
          <w:p>
            <w:pPr>
              <w:spacing w:after="0"/>
              <w:rPr>
                <w:sz w:val="16"/>
                <w:szCs w:val="16"/>
                <w:color w:val="auto"/>
              </w:rPr>
            </w:pPr>
          </w:p>
        </w:tc>
      </w:tr>
      <w:tr>
        <w:trPr>
          <w:trHeight w:val="287"/>
        </w:trPr>
        <w:tc>
          <w:tcPr>
            <w:tcW w:w="3000" w:type="dxa"/>
            <w:vAlign w:val="bottom"/>
          </w:tcPr>
          <w:p>
            <w:pPr>
              <w:ind w:left="1740"/>
              <w:spacing w:after="0"/>
              <w:rPr>
                <w:sz w:val="20"/>
                <w:szCs w:val="20"/>
                <w:color w:val="auto"/>
              </w:rPr>
            </w:pPr>
            <w:r>
              <w:rPr>
                <w:rFonts w:ascii="Arial" w:cs="Arial" w:eastAsia="Arial" w:hAnsi="Arial"/>
                <w:sz w:val="15"/>
                <w:szCs w:val="15"/>
                <w:color w:val="auto"/>
              </w:rPr>
              <w:t>SECTION 9.18.</w:t>
            </w:r>
          </w:p>
        </w:tc>
        <w:tc>
          <w:tcPr>
            <w:tcW w:w="8300" w:type="dxa"/>
            <w:vAlign w:val="bottom"/>
            <w:gridSpan w:val="3"/>
          </w:tcPr>
          <w:p>
            <w:pPr>
              <w:jc w:val="right"/>
              <w:ind w:right="5020"/>
              <w:spacing w:after="0"/>
              <w:rPr>
                <w:sz w:val="20"/>
                <w:szCs w:val="20"/>
                <w:color w:val="auto"/>
              </w:rPr>
            </w:pPr>
            <w:r>
              <w:rPr>
                <w:rFonts w:ascii="Arial" w:cs="Arial" w:eastAsia="Arial" w:hAnsi="Arial"/>
                <w:sz w:val="15"/>
                <w:szCs w:val="15"/>
                <w:color w:val="auto"/>
              </w:rPr>
              <w:t>Certain ERISA Matters</w:t>
            </w:r>
          </w:p>
        </w:tc>
      </w:tr>
      <w:tr>
        <w:trPr>
          <w:trHeight w:val="336"/>
        </w:trPr>
        <w:tc>
          <w:tcPr>
            <w:tcW w:w="3000" w:type="dxa"/>
            <w:vAlign w:val="bottom"/>
          </w:tcPr>
          <w:p>
            <w:pPr>
              <w:spacing w:after="0"/>
              <w:rPr>
                <w:sz w:val="20"/>
                <w:szCs w:val="20"/>
                <w:color w:val="auto"/>
              </w:rPr>
            </w:pPr>
            <w:r>
              <w:rPr>
                <w:rFonts w:ascii="Arial" w:cs="Arial" w:eastAsia="Arial" w:hAnsi="Arial"/>
                <w:sz w:val="15"/>
                <w:szCs w:val="15"/>
                <w:color w:val="auto"/>
              </w:rPr>
              <w:t>.</w:t>
            </w:r>
          </w:p>
        </w:tc>
        <w:tc>
          <w:tcPr>
            <w:tcW w:w="1860" w:type="dxa"/>
            <w:vAlign w:val="bottom"/>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5020" w:type="dxa"/>
            <w:vAlign w:val="bottom"/>
          </w:tcPr>
          <w:p>
            <w:pPr>
              <w:spacing w:after="0"/>
              <w:rPr>
                <w:sz w:val="24"/>
                <w:szCs w:val="24"/>
                <w:color w:val="auto"/>
              </w:rPr>
            </w:pPr>
          </w:p>
        </w:tc>
      </w:tr>
      <w:tr>
        <w:trPr>
          <w:trHeight w:val="313"/>
        </w:trPr>
        <w:tc>
          <w:tcPr>
            <w:tcW w:w="3000" w:type="dxa"/>
            <w:vAlign w:val="bottom"/>
          </w:tcPr>
          <w:p>
            <w:pPr>
              <w:ind w:left="1740"/>
              <w:spacing w:after="0"/>
              <w:rPr>
                <w:sz w:val="20"/>
                <w:szCs w:val="20"/>
                <w:color w:val="auto"/>
              </w:rPr>
            </w:pPr>
            <w:r>
              <w:rPr>
                <w:rFonts w:ascii="Arial" w:cs="Arial" w:eastAsia="Arial" w:hAnsi="Arial"/>
                <w:sz w:val="15"/>
                <w:szCs w:val="15"/>
                <w:color w:val="auto"/>
              </w:rPr>
              <w:t>(a)</w:t>
            </w:r>
          </w:p>
        </w:tc>
        <w:tc>
          <w:tcPr>
            <w:tcW w:w="8300" w:type="dxa"/>
            <w:vAlign w:val="bottom"/>
            <w:gridSpan w:val="3"/>
          </w:tcPr>
          <w:p>
            <w:pPr>
              <w:jc w:val="right"/>
              <w:spacing w:after="0"/>
              <w:rPr>
                <w:sz w:val="20"/>
                <w:szCs w:val="20"/>
                <w:color w:val="auto"/>
              </w:rPr>
            </w:pPr>
            <w:r>
              <w:rPr>
                <w:rFonts w:ascii="Arial" w:cs="Arial" w:eastAsia="Arial" w:hAnsi="Arial"/>
                <w:sz w:val="15"/>
                <w:szCs w:val="15"/>
                <w:color w:val="auto"/>
                <w:w w:val="97"/>
              </w:rPr>
              <w:t>Each Lender (x) represents and warrants, as of the later of the date such Person became a Lender party hereto and the Twelfth</w:t>
            </w:r>
          </w:p>
        </w:tc>
      </w:tr>
    </w:tbl>
    <w:p>
      <w:pPr>
        <w:jc w:val="both"/>
        <w:ind w:right="20"/>
        <w:spacing w:after="0" w:line="320" w:lineRule="auto"/>
        <w:rPr>
          <w:sz w:val="20"/>
          <w:szCs w:val="20"/>
          <w:color w:val="auto"/>
        </w:rPr>
      </w:pPr>
      <w:r>
        <w:rPr>
          <w:rFonts w:ascii="Arial" w:cs="Arial" w:eastAsia="Arial" w:hAnsi="Arial"/>
          <w:sz w:val="13"/>
          <w:szCs w:val="13"/>
          <w:color w:val="auto"/>
        </w:rPr>
        <w:t>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 at least one of the following is and will be true:</w:t>
      </w:r>
    </w:p>
    <w:p>
      <w:pPr>
        <w:spacing w:after="0" w:line="81" w:lineRule="exact"/>
        <w:rPr>
          <w:sz w:val="20"/>
          <w:szCs w:val="20"/>
          <w:color w:val="auto"/>
        </w:rPr>
      </w:pPr>
    </w:p>
    <w:p>
      <w:pPr>
        <w:jc w:val="both"/>
        <w:ind w:left="860" w:right="20" w:firstLine="802"/>
        <w:spacing w:after="0" w:line="262" w:lineRule="auto"/>
        <w:rPr>
          <w:sz w:val="20"/>
          <w:szCs w:val="20"/>
          <w:color w:val="auto"/>
        </w:rPr>
      </w:pPr>
      <w:r>
        <w:rPr>
          <w:rFonts w:ascii="Arial" w:cs="Arial" w:eastAsia="Arial" w:hAnsi="Arial"/>
          <w:sz w:val="15"/>
          <w:szCs w:val="15"/>
          <w:color w:val="auto"/>
        </w:rPr>
        <w:t>(i) such Lender is not using “plan assets” (within the meaning of 29 CFR § 2510.3-101, as modified by Section 3(42) of ERISA) of one or more Benefit Plans in connection with the Loans, the Letters of Credit or the Commitments,</w:t>
      </w:r>
    </w:p>
    <w:p>
      <w:pPr>
        <w:spacing w:after="0" w:line="115" w:lineRule="exact"/>
        <w:rPr>
          <w:sz w:val="20"/>
          <w:szCs w:val="20"/>
          <w:color w:val="auto"/>
        </w:rPr>
      </w:pPr>
    </w:p>
    <w:p>
      <w:pPr>
        <w:ind w:left="1660"/>
        <w:spacing w:after="0"/>
        <w:tabs>
          <w:tab w:leader="none" w:pos="3200" w:val="left"/>
        </w:tabs>
        <w:rPr>
          <w:sz w:val="20"/>
          <w:szCs w:val="20"/>
          <w:color w:val="auto"/>
        </w:rPr>
      </w:pPr>
      <w:r>
        <w:rPr>
          <w:rFonts w:ascii="Arial" w:cs="Arial" w:eastAsia="Arial" w:hAnsi="Arial"/>
          <w:sz w:val="13"/>
          <w:szCs w:val="13"/>
          <w:color w:val="auto"/>
        </w:rPr>
        <w:t>(ii)</w:t>
      </w:r>
      <w:r>
        <w:rPr>
          <w:sz w:val="20"/>
          <w:szCs w:val="20"/>
          <w:color w:val="auto"/>
        </w:rPr>
        <w:tab/>
      </w:r>
      <w:r>
        <w:rPr>
          <w:rFonts w:ascii="Arial" w:cs="Arial" w:eastAsia="Arial" w:hAnsi="Arial"/>
          <w:sz w:val="13"/>
          <w:szCs w:val="13"/>
          <w:color w:val="auto"/>
        </w:rPr>
        <w:t>the transaction exemption set forth in one or more PTEs, such as PTE 84-14 (a class exemption for certain transactions determined</w:t>
      </w:r>
    </w:p>
    <w:p>
      <w:pPr>
        <w:spacing w:after="0" w:line="33" w:lineRule="exact"/>
        <w:rPr>
          <w:sz w:val="20"/>
          <w:szCs w:val="20"/>
          <w:color w:val="auto"/>
        </w:rPr>
      </w:pPr>
    </w:p>
    <w:p>
      <w:pPr>
        <w:jc w:val="both"/>
        <w:ind w:left="860" w:right="20"/>
        <w:spacing w:after="0" w:line="262" w:lineRule="auto"/>
        <w:rPr>
          <w:sz w:val="20"/>
          <w:szCs w:val="20"/>
          <w:color w:val="auto"/>
        </w:rPr>
      </w:pPr>
      <w:r>
        <w:rPr>
          <w:rFonts w:ascii="Arial" w:cs="Arial" w:eastAsia="Arial" w:hAnsi="Arial"/>
          <w:sz w:val="14"/>
          <w:szCs w:val="14"/>
          <w:color w:val="auto"/>
        </w:rPr>
        <w:t>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7" w:lineRule="exact"/>
        <w:rPr>
          <w:sz w:val="20"/>
          <w:szCs w:val="20"/>
          <w:color w:val="auto"/>
        </w:rPr>
      </w:pPr>
    </w:p>
    <w:p>
      <w:pPr>
        <w:jc w:val="both"/>
        <w:ind w:left="860" w:firstLine="802"/>
        <w:spacing w:after="0" w:line="241" w:lineRule="auto"/>
        <w:rPr>
          <w:sz w:val="20"/>
          <w:szCs w:val="20"/>
          <w:color w:val="auto"/>
        </w:rPr>
      </w:pPr>
      <w:r>
        <w:rPr>
          <w:rFonts w:ascii="Arial" w:cs="Arial" w:eastAsia="Arial" w:hAnsi="Arial"/>
          <w:sz w:val="15"/>
          <w:szCs w:val="15"/>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224790</wp:posOffset>
            </wp:positionV>
            <wp:extent cx="721106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257" w:name="page258"/>
    <w:bookmarkEnd w:id="257"/>
    <w:tbl>
      <w:tblPr>
        <w:tblLayout w:type="fixed"/>
        <w:tblInd w:w="860" w:type="dxa"/>
        <w:tblCellMar>
          <w:top w:w="0" w:type="dxa"/>
          <w:left w:w="0" w:type="dxa"/>
          <w:bottom w:w="0" w:type="dxa"/>
          <w:right w:w="0" w:type="dxa"/>
        </w:tblCellMar>
      </w:tblPr>
      <w:tr>
        <w:trPr>
          <w:trHeight w:val="172"/>
        </w:trPr>
        <w:tc>
          <w:tcPr>
            <w:tcW w:w="1720" w:type="dxa"/>
            <w:vAlign w:val="bottom"/>
          </w:tcPr>
          <w:p>
            <w:pPr>
              <w:ind w:left="800"/>
              <w:spacing w:after="0"/>
              <w:rPr>
                <w:sz w:val="20"/>
                <w:szCs w:val="20"/>
                <w:color w:val="auto"/>
              </w:rPr>
            </w:pPr>
            <w:r>
              <w:rPr>
                <w:rFonts w:ascii="Arial" w:cs="Arial" w:eastAsia="Arial" w:hAnsi="Arial"/>
                <w:sz w:val="15"/>
                <w:szCs w:val="15"/>
                <w:color w:val="auto"/>
              </w:rPr>
              <w:t>(iv)</w:t>
            </w:r>
          </w:p>
        </w:tc>
        <w:tc>
          <w:tcPr>
            <w:tcW w:w="8720" w:type="dxa"/>
            <w:vAlign w:val="bottom"/>
            <w:gridSpan w:val="5"/>
          </w:tcPr>
          <w:p>
            <w:pPr>
              <w:jc w:val="right"/>
              <w:spacing w:after="0"/>
              <w:rPr>
                <w:sz w:val="20"/>
                <w:szCs w:val="20"/>
                <w:color w:val="auto"/>
              </w:rPr>
            </w:pPr>
            <w:r>
              <w:rPr>
                <w:rFonts w:ascii="Arial" w:cs="Arial" w:eastAsia="Arial" w:hAnsi="Arial"/>
                <w:sz w:val="15"/>
                <w:szCs w:val="15"/>
                <w:color w:val="auto"/>
              </w:rPr>
              <w:t>such other representation, warranty and covenant as may be agreed in writing between the Administrative Agent, in its sole</w:t>
            </w:r>
          </w:p>
        </w:tc>
      </w:tr>
      <w:tr>
        <w:trPr>
          <w:trHeight w:val="191"/>
        </w:trPr>
        <w:tc>
          <w:tcPr>
            <w:tcW w:w="10440" w:type="dxa"/>
            <w:vAlign w:val="bottom"/>
            <w:gridSpan w:val="6"/>
          </w:tcPr>
          <w:p>
            <w:pPr>
              <w:jc w:val="right"/>
              <w:ind w:right="6500"/>
              <w:spacing w:after="0"/>
              <w:rPr>
                <w:sz w:val="20"/>
                <w:szCs w:val="20"/>
                <w:color w:val="auto"/>
              </w:rPr>
            </w:pPr>
            <w:r>
              <w:rPr>
                <w:rFonts w:ascii="Arial" w:cs="Arial" w:eastAsia="Arial" w:hAnsi="Arial"/>
                <w:sz w:val="15"/>
                <w:szCs w:val="15"/>
                <w:color w:val="auto"/>
                <w:w w:val="90"/>
              </w:rPr>
              <w:t>discretion, and such Lender with respect to the Loan Documents.</w:t>
            </w:r>
          </w:p>
        </w:tc>
      </w:tr>
      <w:tr>
        <w:trPr>
          <w:trHeight w:val="287"/>
        </w:trPr>
        <w:tc>
          <w:tcPr>
            <w:tcW w:w="1720" w:type="dxa"/>
            <w:vAlign w:val="bottom"/>
          </w:tcPr>
          <w:p>
            <w:pPr>
              <w:ind w:left="880"/>
              <w:spacing w:after="0"/>
              <w:rPr>
                <w:sz w:val="20"/>
                <w:szCs w:val="20"/>
                <w:color w:val="auto"/>
              </w:rPr>
            </w:pPr>
            <w:r>
              <w:rPr>
                <w:rFonts w:ascii="Arial" w:cs="Arial" w:eastAsia="Arial" w:hAnsi="Arial"/>
                <w:sz w:val="15"/>
                <w:szCs w:val="15"/>
                <w:color w:val="auto"/>
              </w:rPr>
              <w:t>(b)</w:t>
            </w:r>
          </w:p>
        </w:tc>
        <w:tc>
          <w:tcPr>
            <w:tcW w:w="8720" w:type="dxa"/>
            <w:vAlign w:val="bottom"/>
            <w:gridSpan w:val="5"/>
          </w:tcPr>
          <w:p>
            <w:pPr>
              <w:jc w:val="right"/>
              <w:ind w:right="20"/>
              <w:spacing w:after="0"/>
              <w:rPr>
                <w:sz w:val="20"/>
                <w:szCs w:val="20"/>
                <w:color w:val="auto"/>
              </w:rPr>
            </w:pPr>
            <w:r>
              <w:rPr>
                <w:rFonts w:ascii="Arial" w:cs="Arial" w:eastAsia="Arial" w:hAnsi="Arial"/>
                <w:sz w:val="15"/>
                <w:szCs w:val="15"/>
                <w:color w:val="auto"/>
              </w:rPr>
              <w:t>In addition, unless sub-clause (i) in the immediately preceding clause (a) is true with respect to a Lender or such Lender has not</w:t>
            </w:r>
          </w:p>
        </w:tc>
      </w:tr>
      <w:tr>
        <w:trPr>
          <w:trHeight w:val="20"/>
        </w:trPr>
        <w:tc>
          <w:tcPr>
            <w:tcW w:w="1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 xml:space="preserve">provided another representation, warranty and covenant as provided in </w:t>
      </w:r>
      <w:r>
        <w:rPr>
          <w:rFonts w:ascii="Arial" w:cs="Arial" w:eastAsia="Arial" w:hAnsi="Arial"/>
          <w:sz w:val="15"/>
          <w:szCs w:val="15"/>
          <w:u w:val="single" w:color="auto"/>
          <w:color w:val="auto"/>
        </w:rPr>
        <w:t>sub-clause (iv)</w:t>
      </w:r>
      <w:r>
        <w:rPr>
          <w:rFonts w:ascii="Arial" w:cs="Arial" w:eastAsia="Arial" w:hAnsi="Arial"/>
          <w:sz w:val="15"/>
          <w:szCs w:val="15"/>
          <w:color w:val="auto"/>
        </w:rPr>
        <w:t xml:space="preserve"> in the immediately preceding </w:t>
      </w:r>
      <w:r>
        <w:rPr>
          <w:rFonts w:ascii="Arial" w:cs="Arial" w:eastAsia="Arial" w:hAnsi="Arial"/>
          <w:sz w:val="15"/>
          <w:szCs w:val="15"/>
          <w:u w:val="single" w:color="auto"/>
          <w:color w:val="auto"/>
        </w:rPr>
        <w:t>clause (a)</w:t>
      </w:r>
      <w:r>
        <w:rPr>
          <w:rFonts w:ascii="Arial" w:cs="Arial" w:eastAsia="Arial" w:hAnsi="Arial"/>
          <w:sz w:val="15"/>
          <w:szCs w:val="15"/>
          <w:color w:val="auto"/>
        </w:rPr>
        <w:t>, such Lender further (x) represents and warrants, as of the later of the date such Person became a Lender party hereto and the Twelfth Amendment Effective Date, to, and (y) covenants, from such date to the date such Person ceases being a Lender party hereto, for the benefit of, the Administrative Agent, each Joint Lead Arranger, and their respective Affiliates, and not, for the avoidance of doubt, to or for the benefit of the Borrower or any other Obligor, that:</w:t>
      </w:r>
    </w:p>
    <w:p>
      <w:pPr>
        <w:spacing w:after="0" w:line="128" w:lineRule="exact"/>
        <w:rPr>
          <w:sz w:val="20"/>
          <w:szCs w:val="20"/>
          <w:color w:val="auto"/>
        </w:rPr>
      </w:pPr>
    </w:p>
    <w:p>
      <w:pPr>
        <w:jc w:val="both"/>
        <w:ind w:left="860" w:firstLine="802"/>
        <w:spacing w:after="0" w:line="249" w:lineRule="auto"/>
        <w:rPr>
          <w:sz w:val="20"/>
          <w:szCs w:val="20"/>
          <w:color w:val="auto"/>
        </w:rPr>
      </w:pPr>
      <w:r>
        <w:rPr>
          <w:rFonts w:ascii="Arial" w:cs="Arial" w:eastAsia="Arial" w:hAnsi="Arial"/>
          <w:sz w:val="15"/>
          <w:szCs w:val="15"/>
          <w:color w:val="auto"/>
        </w:rPr>
        <w:t>(i) none of the Administrative Agent, the Joint Lead Arrangers,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25" w:lineRule="exact"/>
        <w:rPr>
          <w:sz w:val="20"/>
          <w:szCs w:val="20"/>
          <w:color w:val="auto"/>
        </w:rPr>
      </w:pPr>
    </w:p>
    <w:p>
      <w:pPr>
        <w:jc w:val="both"/>
        <w:ind w:left="860" w:firstLine="802"/>
        <w:spacing w:after="0" w:line="245" w:lineRule="auto"/>
        <w:rPr>
          <w:sz w:val="20"/>
          <w:szCs w:val="20"/>
          <w:color w:val="auto"/>
        </w:rPr>
      </w:pPr>
      <w:r>
        <w:rPr>
          <w:rFonts w:ascii="Arial" w:cs="Arial" w:eastAsia="Arial" w:hAnsi="Arial"/>
          <w:sz w:val="15"/>
          <w:szCs w:val="15"/>
          <w:color w:val="auto"/>
        </w:rPr>
        <w:t>(ii) 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28" w:lineRule="exact"/>
        <w:rPr>
          <w:sz w:val="20"/>
          <w:szCs w:val="20"/>
          <w:color w:val="auto"/>
        </w:rPr>
      </w:pPr>
    </w:p>
    <w:p>
      <w:pPr>
        <w:jc w:val="both"/>
        <w:ind w:left="860" w:firstLine="802"/>
        <w:spacing w:after="0" w:line="245" w:lineRule="auto"/>
        <w:rPr>
          <w:sz w:val="20"/>
          <w:szCs w:val="20"/>
          <w:color w:val="auto"/>
        </w:rPr>
      </w:pPr>
      <w:r>
        <w:rPr>
          <w:rFonts w:ascii="Arial" w:cs="Arial" w:eastAsia="Arial" w:hAnsi="Arial"/>
          <w:sz w:val="15"/>
          <w:szCs w:val="15"/>
          <w:color w:val="auto"/>
        </w:rPr>
        <w:t>(iii) 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Secured Obligations (as defined in the Guarantee and Security Agreement)),</w:t>
      </w:r>
    </w:p>
    <w:p>
      <w:pPr>
        <w:spacing w:after="0" w:line="12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1700" w:type="dxa"/>
            <w:vAlign w:val="bottom"/>
          </w:tcPr>
          <w:p>
            <w:pPr>
              <w:ind w:left="800"/>
              <w:spacing w:after="0"/>
              <w:rPr>
                <w:sz w:val="20"/>
                <w:szCs w:val="20"/>
                <w:color w:val="auto"/>
              </w:rPr>
            </w:pPr>
            <w:r>
              <w:rPr>
                <w:rFonts w:ascii="Arial" w:cs="Arial" w:eastAsia="Arial" w:hAnsi="Arial"/>
                <w:sz w:val="15"/>
                <w:szCs w:val="15"/>
                <w:color w:val="auto"/>
              </w:rPr>
              <w:t>(iv)</w:t>
            </w:r>
          </w:p>
        </w:tc>
        <w:tc>
          <w:tcPr>
            <w:tcW w:w="8740" w:type="dxa"/>
            <w:vAlign w:val="bottom"/>
          </w:tcPr>
          <w:p>
            <w:pPr>
              <w:jc w:val="right"/>
              <w:spacing w:after="0"/>
              <w:rPr>
                <w:sz w:val="20"/>
                <w:szCs w:val="20"/>
                <w:color w:val="auto"/>
              </w:rPr>
            </w:pPr>
            <w:r>
              <w:rPr>
                <w:rFonts w:ascii="Arial" w:cs="Arial" w:eastAsia="Arial" w:hAnsi="Arial"/>
                <w:sz w:val="15"/>
                <w:szCs w:val="15"/>
                <w:color w:val="auto"/>
              </w:rPr>
              <w:t>the Person making the investment decision on behalf of such Lender with respect to the entrance into, participation in,</w:t>
            </w:r>
          </w:p>
        </w:tc>
      </w:tr>
      <w:tr>
        <w:trPr>
          <w:trHeight w:val="170"/>
        </w:trPr>
        <w:tc>
          <w:tcPr>
            <w:tcW w:w="10440" w:type="dxa"/>
            <w:vAlign w:val="bottom"/>
            <w:gridSpan w:val="2"/>
          </w:tcPr>
          <w:p>
            <w:pPr>
              <w:jc w:val="right"/>
              <w:spacing w:after="0" w:line="170" w:lineRule="exact"/>
              <w:rPr>
                <w:sz w:val="20"/>
                <w:szCs w:val="20"/>
                <w:color w:val="auto"/>
              </w:rPr>
            </w:pPr>
            <w:r>
              <w:rPr>
                <w:rFonts w:ascii="Arial" w:cs="Arial" w:eastAsia="Arial" w:hAnsi="Arial"/>
                <w:sz w:val="15"/>
                <w:szCs w:val="15"/>
                <w:color w:val="auto"/>
                <w:w w:val="92"/>
              </w:rPr>
              <w:t>administration of and performance of the Loans, the Letters of Credit, the Commitments and this Agreement is a fiduciary under ERISA or the Code, or both, with respect</w:t>
            </w:r>
          </w:p>
        </w:tc>
      </w:tr>
      <w:tr>
        <w:trPr>
          <w:trHeight w:val="170"/>
        </w:trPr>
        <w:tc>
          <w:tcPr>
            <w:tcW w:w="10440" w:type="dxa"/>
            <w:vAlign w:val="bottom"/>
            <w:gridSpan w:val="2"/>
          </w:tcPr>
          <w:p>
            <w:pPr>
              <w:jc w:val="right"/>
              <w:spacing w:after="0" w:line="170" w:lineRule="exact"/>
              <w:rPr>
                <w:sz w:val="20"/>
                <w:szCs w:val="20"/>
                <w:color w:val="auto"/>
              </w:rPr>
            </w:pPr>
            <w:r>
              <w:rPr>
                <w:rFonts w:ascii="Arial" w:cs="Arial" w:eastAsia="Arial" w:hAnsi="Arial"/>
                <w:sz w:val="15"/>
                <w:szCs w:val="15"/>
                <w:color w:val="auto"/>
                <w:w w:val="92"/>
              </w:rPr>
              <w:t>to the Loans, the Letters of Credit, the Commitments and this Agreement and is responsible for exercising independent judgment in evaluating the transactions hereunder,</w:t>
            </w:r>
          </w:p>
        </w:tc>
      </w:tr>
      <w:tr>
        <w:trPr>
          <w:trHeight w:val="191"/>
        </w:trPr>
        <w:tc>
          <w:tcPr>
            <w:tcW w:w="1700" w:type="dxa"/>
            <w:vAlign w:val="bottom"/>
          </w:tcPr>
          <w:p>
            <w:pPr>
              <w:spacing w:after="0"/>
              <w:rPr>
                <w:sz w:val="20"/>
                <w:szCs w:val="20"/>
                <w:color w:val="auto"/>
              </w:rPr>
            </w:pPr>
            <w:r>
              <w:rPr>
                <w:rFonts w:ascii="Arial" w:cs="Arial" w:eastAsia="Arial" w:hAnsi="Arial"/>
                <w:sz w:val="15"/>
                <w:szCs w:val="15"/>
                <w:color w:val="auto"/>
              </w:rPr>
              <w:t>and</w:t>
            </w:r>
          </w:p>
        </w:tc>
        <w:tc>
          <w:tcPr>
            <w:tcW w:w="8740" w:type="dxa"/>
            <w:vAlign w:val="bottom"/>
          </w:tcPr>
          <w:p>
            <w:pPr>
              <w:spacing w:after="0"/>
              <w:rPr>
                <w:sz w:val="16"/>
                <w:szCs w:val="16"/>
                <w:color w:val="auto"/>
              </w:rPr>
            </w:pPr>
          </w:p>
        </w:tc>
      </w:tr>
      <w:tr>
        <w:trPr>
          <w:trHeight w:val="301"/>
        </w:trPr>
        <w:tc>
          <w:tcPr>
            <w:tcW w:w="1700" w:type="dxa"/>
            <w:vAlign w:val="bottom"/>
          </w:tcPr>
          <w:p>
            <w:pPr>
              <w:ind w:left="800"/>
              <w:spacing w:after="0"/>
              <w:rPr>
                <w:sz w:val="20"/>
                <w:szCs w:val="20"/>
                <w:color w:val="auto"/>
              </w:rPr>
            </w:pPr>
            <w:r>
              <w:rPr>
                <w:rFonts w:ascii="Arial" w:cs="Arial" w:eastAsia="Arial" w:hAnsi="Arial"/>
                <w:sz w:val="15"/>
                <w:szCs w:val="15"/>
                <w:color w:val="auto"/>
              </w:rPr>
              <w:t>(v)</w:t>
            </w:r>
          </w:p>
        </w:tc>
        <w:tc>
          <w:tcPr>
            <w:tcW w:w="8740" w:type="dxa"/>
            <w:vAlign w:val="bottom"/>
          </w:tcPr>
          <w:p>
            <w:pPr>
              <w:jc w:val="right"/>
              <w:spacing w:after="0"/>
              <w:rPr>
                <w:sz w:val="20"/>
                <w:szCs w:val="20"/>
                <w:color w:val="auto"/>
              </w:rPr>
            </w:pPr>
            <w:r>
              <w:rPr>
                <w:rFonts w:ascii="Arial" w:cs="Arial" w:eastAsia="Arial" w:hAnsi="Arial"/>
                <w:sz w:val="15"/>
                <w:szCs w:val="15"/>
                <w:color w:val="auto"/>
              </w:rPr>
              <w:t>no fee or other compensation is being paid directly to the Administrative Agent, any Joint Lead Arranger or any their respective</w:t>
            </w:r>
          </w:p>
        </w:tc>
      </w:tr>
      <w:tr>
        <w:trPr>
          <w:trHeight w:val="191"/>
        </w:trPr>
        <w:tc>
          <w:tcPr>
            <w:tcW w:w="10440" w:type="dxa"/>
            <w:vAlign w:val="bottom"/>
            <w:gridSpan w:val="2"/>
          </w:tcPr>
          <w:p>
            <w:pPr>
              <w:spacing w:after="0"/>
              <w:rPr>
                <w:sz w:val="20"/>
                <w:szCs w:val="20"/>
                <w:color w:val="auto"/>
              </w:rPr>
            </w:pPr>
            <w:r>
              <w:rPr>
                <w:rFonts w:ascii="Arial" w:cs="Arial" w:eastAsia="Arial" w:hAnsi="Arial"/>
                <w:sz w:val="15"/>
                <w:szCs w:val="15"/>
                <w:color w:val="auto"/>
              </w:rPr>
              <w:t>Affiliates for investment advice (as opposed to other services) in connection with the Loans, the Letters of Credit, the Commitments or this Agreement.</w:t>
            </w:r>
          </w:p>
        </w:tc>
      </w:tr>
      <w:tr>
        <w:trPr>
          <w:trHeight w:val="313"/>
        </w:trPr>
        <w:tc>
          <w:tcPr>
            <w:tcW w:w="1700" w:type="dxa"/>
            <w:vAlign w:val="bottom"/>
          </w:tcPr>
          <w:p>
            <w:pPr>
              <w:ind w:left="880"/>
              <w:spacing w:after="0"/>
              <w:rPr>
                <w:sz w:val="20"/>
                <w:szCs w:val="20"/>
                <w:color w:val="auto"/>
              </w:rPr>
            </w:pPr>
            <w:r>
              <w:rPr>
                <w:rFonts w:ascii="Arial" w:cs="Arial" w:eastAsia="Arial" w:hAnsi="Arial"/>
                <w:sz w:val="15"/>
                <w:szCs w:val="15"/>
                <w:color w:val="auto"/>
              </w:rPr>
              <w:t>(c)</w:t>
            </w:r>
          </w:p>
        </w:tc>
        <w:tc>
          <w:tcPr>
            <w:tcW w:w="8740" w:type="dxa"/>
            <w:vAlign w:val="bottom"/>
          </w:tcPr>
          <w:p>
            <w:pPr>
              <w:jc w:val="right"/>
              <w:spacing w:after="0"/>
              <w:rPr>
                <w:sz w:val="20"/>
                <w:szCs w:val="20"/>
                <w:color w:val="auto"/>
              </w:rPr>
            </w:pPr>
            <w:r>
              <w:rPr>
                <w:rFonts w:ascii="Arial" w:cs="Arial" w:eastAsia="Arial" w:hAnsi="Arial"/>
                <w:sz w:val="15"/>
                <w:szCs w:val="15"/>
                <w:color w:val="auto"/>
              </w:rPr>
              <w:t>The Administrative Agent and each Joint Lead Arranger hereby inform the Lenders that each such Person is not undertaking to</w:t>
            </w:r>
          </w:p>
        </w:tc>
      </w:tr>
    </w:tbl>
    <w:p>
      <w:pPr>
        <w:spacing w:after="0"/>
        <w:rPr>
          <w:sz w:val="20"/>
          <w:szCs w:val="20"/>
          <w:color w:val="auto"/>
        </w:rPr>
      </w:pPr>
      <w:r>
        <w:rPr>
          <w:rFonts w:ascii="Arial" w:cs="Arial" w:eastAsia="Arial" w:hAnsi="Arial"/>
          <w:sz w:val="15"/>
          <w:szCs w:val="15"/>
          <w:color w:val="auto"/>
        </w:rPr>
        <w:t>provide impartial investment advice, or to give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227330</wp:posOffset>
            </wp:positionV>
            <wp:extent cx="721106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0"/>
          </w:cols>
          <w:pgMar w:left="300" w:top="293" w:right="299" w:bottom="1440" w:gutter="0" w:footer="0" w:header="0"/>
        </w:sectPr>
      </w:pPr>
    </w:p>
    <w:bookmarkStart w:id="258" w:name="page259"/>
    <w:bookmarkEnd w:id="258"/>
    <w:p>
      <w:pPr>
        <w:jc w:val="both"/>
        <w:ind w:left="4"/>
        <w:spacing w:after="0" w:line="241" w:lineRule="auto"/>
        <w:rPr>
          <w:sz w:val="20"/>
          <w:szCs w:val="20"/>
          <w:color w:val="auto"/>
        </w:rPr>
      </w:pPr>
      <w:r>
        <w:rPr>
          <w:rFonts w:ascii="Arial" w:cs="Arial" w:eastAsia="Arial" w:hAnsi="Arial"/>
          <w:sz w:val="15"/>
          <w:szCs w:val="15"/>
          <w:color w:val="auto"/>
        </w:rPr>
        <w:t>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30" w:lineRule="exact"/>
        <w:rPr>
          <w:sz w:val="20"/>
          <w:szCs w:val="20"/>
          <w:color w:val="auto"/>
        </w:rPr>
      </w:pPr>
    </w:p>
    <w:p>
      <w:pPr>
        <w:ind w:left="1744"/>
        <w:spacing w:after="0"/>
        <w:tabs>
          <w:tab w:leader="none" w:pos="4844" w:val="left"/>
        </w:tabs>
        <w:rPr>
          <w:sz w:val="20"/>
          <w:szCs w:val="20"/>
          <w:color w:val="auto"/>
        </w:rPr>
      </w:pPr>
      <w:r>
        <w:rPr>
          <w:rFonts w:ascii="Arial" w:cs="Arial" w:eastAsia="Arial" w:hAnsi="Arial"/>
          <w:sz w:val="15"/>
          <w:szCs w:val="15"/>
          <w:color w:val="auto"/>
        </w:rPr>
        <w:t>SECTION 9.19.</w:t>
      </w:r>
      <w:r>
        <w:rPr>
          <w:sz w:val="20"/>
          <w:szCs w:val="20"/>
          <w:color w:val="auto"/>
        </w:rPr>
        <w:tab/>
      </w:r>
      <w:r>
        <w:rPr>
          <w:rFonts w:ascii="Arial" w:cs="Arial" w:eastAsia="Arial" w:hAnsi="Arial"/>
          <w:sz w:val="13"/>
          <w:szCs w:val="13"/>
          <w:u w:val="single" w:color="auto"/>
          <w:color w:val="auto"/>
        </w:rPr>
        <w:t>Acknowledgement Regarding Any Supported QFCs</w:t>
      </w:r>
    </w:p>
    <w:p>
      <w:pPr>
        <w:spacing w:after="0" w:line="149" w:lineRule="exact"/>
        <w:rPr>
          <w:sz w:val="20"/>
          <w:szCs w:val="20"/>
          <w:color w:val="auto"/>
        </w:rPr>
      </w:pPr>
    </w:p>
    <w:p>
      <w:pPr>
        <w:jc w:val="both"/>
        <w:ind w:left="4" w:right="20" w:hanging="4"/>
        <w:spacing w:after="0" w:line="289" w:lineRule="auto"/>
        <w:tabs>
          <w:tab w:leader="none" w:pos="126"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To the extent that the Loan Documents provide 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02" w:lineRule="exact"/>
        <w:rPr>
          <w:sz w:val="20"/>
          <w:szCs w:val="20"/>
          <w:color w:val="auto"/>
        </w:rPr>
      </w:pPr>
    </w:p>
    <w:p>
      <w:pPr>
        <w:jc w:val="both"/>
        <w:ind w:left="4" w:firstLine="1737"/>
        <w:spacing w:after="0" w:line="281" w:lineRule="auto"/>
        <w:rPr>
          <w:sz w:val="20"/>
          <w:szCs w:val="20"/>
          <w:color w:val="auto"/>
        </w:rPr>
      </w:pPr>
      <w:r>
        <w:rPr>
          <w:rFonts w:ascii="Arial" w:cs="Arial" w:eastAsia="Arial" w:hAnsi="Arial"/>
          <w:sz w:val="13"/>
          <w:szCs w:val="13"/>
          <w:color w:val="auto"/>
        </w:rPr>
        <w:t>(a) In the event a Covered Entity that is party to a Supported QFC (each, a “</w:t>
      </w:r>
      <w:r>
        <w:rPr>
          <w:rFonts w:ascii="Arial" w:cs="Arial" w:eastAsia="Arial" w:hAnsi="Arial"/>
          <w:sz w:val="13"/>
          <w:szCs w:val="13"/>
          <w:u w:val="single" w:color="auto"/>
          <w:color w:val="auto"/>
        </w:rPr>
        <w:t>Covered Party</w:t>
      </w:r>
      <w:r>
        <w:rPr>
          <w:rFonts w:ascii="Arial" w:cs="Arial" w:eastAsia="Arial" w:hAnsi="Arial"/>
          <w:sz w:val="13"/>
          <w:szCs w:val="13"/>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7" w:lineRule="exact"/>
        <w:rPr>
          <w:sz w:val="20"/>
          <w:szCs w:val="20"/>
          <w:color w:val="auto"/>
        </w:rPr>
      </w:pPr>
    </w:p>
    <w:p>
      <w:pPr>
        <w:ind w:left="1744"/>
        <w:spacing w:after="0"/>
        <w:tabs>
          <w:tab w:leader="none" w:pos="3264"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 xml:space="preserve">As used in this </w:t>
      </w:r>
      <w:r>
        <w:rPr>
          <w:rFonts w:ascii="Arial" w:cs="Arial" w:eastAsia="Arial" w:hAnsi="Arial"/>
          <w:sz w:val="15"/>
          <w:szCs w:val="15"/>
          <w:u w:val="single" w:color="auto"/>
          <w:color w:val="auto"/>
        </w:rPr>
        <w:t>Section 9.19</w:t>
      </w:r>
      <w:r>
        <w:rPr>
          <w:rFonts w:ascii="Arial" w:cs="Arial" w:eastAsia="Arial" w:hAnsi="Arial"/>
          <w:sz w:val="15"/>
          <w:szCs w:val="15"/>
          <w:color w:val="auto"/>
        </w:rPr>
        <w:t>, the following terms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21106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11304"/>
          </w:cols>
          <w:pgMar w:left="296" w:top="295" w:right="2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172"/>
        </w:trPr>
        <w:tc>
          <w:tcPr>
            <w:tcW w:w="2920" w:type="dxa"/>
            <w:vAlign w:val="bottom"/>
          </w:tcPr>
          <w:p>
            <w:pPr>
              <w:ind w:left="1660"/>
              <w:spacing w:after="0"/>
              <w:rPr>
                <w:sz w:val="20"/>
                <w:szCs w:val="20"/>
                <w:color w:val="auto"/>
              </w:rPr>
            </w:pPr>
            <w:r>
              <w:rPr>
                <w:rFonts w:ascii="Arial" w:cs="Arial" w:eastAsia="Arial" w:hAnsi="Arial"/>
                <w:sz w:val="15"/>
                <w:szCs w:val="15"/>
                <w:color w:val="auto"/>
              </w:rPr>
              <w:t>(i)</w:t>
            </w:r>
          </w:p>
        </w:tc>
        <w:tc>
          <w:tcPr>
            <w:tcW w:w="8400" w:type="dxa"/>
            <w:vAlign w:val="bottom"/>
            <w:gridSpan w:val="8"/>
          </w:tcPr>
          <w:p>
            <w:pPr>
              <w:jc w:val="right"/>
              <w:spacing w:after="0"/>
              <w:rPr>
                <w:sz w:val="20"/>
                <w:szCs w:val="20"/>
                <w:color w:val="auto"/>
              </w:rPr>
            </w:pPr>
            <w:r>
              <w:rPr>
                <w:rFonts w:ascii="Arial" w:cs="Arial" w:eastAsia="Arial" w:hAnsi="Arial"/>
                <w:sz w:val="15"/>
                <w:szCs w:val="15"/>
                <w:color w:val="auto"/>
                <w:w w:val="99"/>
              </w:rPr>
              <w:t>“BHC Act Affiliate” of a party means an “affiliate” (as such term is defined under, and interpreted in accordance with, 12 U.S.C.</w:t>
            </w:r>
          </w:p>
        </w:tc>
      </w:tr>
      <w:tr>
        <w:trPr>
          <w:trHeight w:val="185"/>
        </w:trPr>
        <w:tc>
          <w:tcPr>
            <w:tcW w:w="2920" w:type="dxa"/>
            <w:vAlign w:val="bottom"/>
          </w:tcPr>
          <w:p>
            <w:pPr>
              <w:ind w:left="860"/>
              <w:spacing w:after="0"/>
              <w:rPr>
                <w:sz w:val="20"/>
                <w:szCs w:val="20"/>
                <w:color w:val="auto"/>
              </w:rPr>
            </w:pPr>
            <w:r>
              <w:rPr>
                <w:rFonts w:ascii="Arial" w:cs="Arial" w:eastAsia="Arial" w:hAnsi="Arial"/>
                <w:sz w:val="15"/>
                <w:szCs w:val="15"/>
                <w:color w:val="auto"/>
              </w:rPr>
              <w:t>1841(k)) of such party.</w:t>
            </w:r>
          </w:p>
        </w:tc>
        <w:tc>
          <w:tcPr>
            <w:tcW w:w="3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940" w:type="dxa"/>
            <w:vAlign w:val="bottom"/>
          </w:tcPr>
          <w:p>
            <w:pPr>
              <w:spacing w:after="0"/>
              <w:rPr>
                <w:sz w:val="16"/>
                <w:szCs w:val="16"/>
                <w:color w:val="auto"/>
              </w:rPr>
            </w:pPr>
          </w:p>
        </w:tc>
      </w:tr>
      <w:tr>
        <w:trPr>
          <w:trHeight w:val="287"/>
        </w:trPr>
        <w:tc>
          <w:tcPr>
            <w:tcW w:w="2920" w:type="dxa"/>
            <w:vAlign w:val="bottom"/>
          </w:tcPr>
          <w:p>
            <w:pPr>
              <w:ind w:left="1660"/>
              <w:spacing w:after="0"/>
              <w:rPr>
                <w:sz w:val="20"/>
                <w:szCs w:val="20"/>
                <w:color w:val="auto"/>
              </w:rPr>
            </w:pPr>
            <w:r>
              <w:rPr>
                <w:rFonts w:ascii="Arial" w:cs="Arial" w:eastAsia="Arial" w:hAnsi="Arial"/>
                <w:sz w:val="15"/>
                <w:szCs w:val="15"/>
                <w:color w:val="auto"/>
              </w:rPr>
              <w:t>(ii)</w:t>
            </w:r>
          </w:p>
        </w:tc>
        <w:tc>
          <w:tcPr>
            <w:tcW w:w="8400" w:type="dxa"/>
            <w:vAlign w:val="bottom"/>
            <w:gridSpan w:val="8"/>
          </w:tcPr>
          <w:p>
            <w:pPr>
              <w:jc w:val="right"/>
              <w:ind w:right="5244"/>
              <w:spacing w:after="0"/>
              <w:rPr>
                <w:sz w:val="20"/>
                <w:szCs w:val="20"/>
                <w:color w:val="auto"/>
              </w:rPr>
            </w:pPr>
            <w:r>
              <w:rPr>
                <w:rFonts w:ascii="Arial" w:cs="Arial" w:eastAsia="Arial" w:hAnsi="Arial"/>
                <w:sz w:val="15"/>
                <w:szCs w:val="15"/>
                <w:color w:val="auto"/>
              </w:rPr>
              <w:t>“Covered Entity” means any of the following:</w:t>
            </w:r>
          </w:p>
        </w:tc>
      </w:tr>
      <w:tr>
        <w:trPr>
          <w:trHeight w:val="336"/>
        </w:trPr>
        <w:tc>
          <w:tcPr>
            <w:tcW w:w="2920" w:type="dxa"/>
            <w:vAlign w:val="bottom"/>
          </w:tcPr>
          <w:p>
            <w:pPr>
              <w:ind w:left="2460"/>
              <w:spacing w:after="0"/>
              <w:rPr>
                <w:sz w:val="20"/>
                <w:szCs w:val="20"/>
                <w:color w:val="auto"/>
              </w:rPr>
            </w:pPr>
            <w:r>
              <w:rPr>
                <w:rFonts w:ascii="Arial" w:cs="Arial" w:eastAsia="Arial" w:hAnsi="Arial"/>
                <w:sz w:val="15"/>
                <w:szCs w:val="15"/>
                <w:color w:val="auto"/>
              </w:rPr>
              <w:t>(A)</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940" w:type="dxa"/>
            <w:vAlign w:val="bottom"/>
          </w:tcPr>
          <w:p>
            <w:pPr>
              <w:ind w:left="120"/>
              <w:spacing w:after="0"/>
              <w:rPr>
                <w:sz w:val="20"/>
                <w:szCs w:val="20"/>
                <w:color w:val="auto"/>
              </w:rPr>
            </w:pPr>
            <w:r>
              <w:rPr>
                <w:rFonts w:ascii="Arial" w:cs="Arial" w:eastAsia="Arial" w:hAnsi="Arial"/>
                <w:sz w:val="15"/>
                <w:szCs w:val="15"/>
                <w:color w:val="auto"/>
              </w:rPr>
              <w:t>a “covered entity” as that term is defined in, and interpreted in accordance with, 12 C.F.R. § 252.82(b);</w:t>
            </w:r>
          </w:p>
        </w:tc>
      </w:tr>
      <w:tr>
        <w:trPr>
          <w:trHeight w:val="321"/>
        </w:trPr>
        <w:tc>
          <w:tcPr>
            <w:tcW w:w="2920" w:type="dxa"/>
            <w:vAlign w:val="bottom"/>
          </w:tcPr>
          <w:p>
            <w:pPr>
              <w:ind w:left="2460"/>
              <w:spacing w:after="0"/>
              <w:rPr>
                <w:sz w:val="20"/>
                <w:szCs w:val="20"/>
                <w:color w:val="auto"/>
              </w:rPr>
            </w:pPr>
            <w:r>
              <w:rPr>
                <w:rFonts w:ascii="Arial" w:cs="Arial" w:eastAsia="Arial" w:hAnsi="Arial"/>
                <w:sz w:val="15"/>
                <w:szCs w:val="15"/>
                <w:color w:val="auto"/>
              </w:rPr>
              <w:t>(B)</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40" w:type="dxa"/>
            <w:vAlign w:val="bottom"/>
          </w:tcPr>
          <w:p>
            <w:pPr>
              <w:ind w:left="100"/>
              <w:spacing w:after="0"/>
              <w:rPr>
                <w:sz w:val="20"/>
                <w:szCs w:val="20"/>
                <w:color w:val="auto"/>
              </w:rPr>
            </w:pPr>
            <w:r>
              <w:rPr>
                <w:rFonts w:ascii="Arial" w:cs="Arial" w:eastAsia="Arial" w:hAnsi="Arial"/>
                <w:sz w:val="15"/>
                <w:szCs w:val="15"/>
                <w:color w:val="auto"/>
              </w:rPr>
              <w:t>a “covered bank” as that term is defined in, and interpreted in accordance with, 12 C.F.R. § 47.3(b); or</w:t>
            </w:r>
          </w:p>
        </w:tc>
      </w:tr>
      <w:tr>
        <w:trPr>
          <w:trHeight w:val="321"/>
        </w:trPr>
        <w:tc>
          <w:tcPr>
            <w:tcW w:w="2920" w:type="dxa"/>
            <w:vAlign w:val="bottom"/>
          </w:tcPr>
          <w:p>
            <w:pPr>
              <w:ind w:left="2460"/>
              <w:spacing w:after="0"/>
              <w:rPr>
                <w:sz w:val="20"/>
                <w:szCs w:val="20"/>
                <w:color w:val="auto"/>
              </w:rPr>
            </w:pPr>
            <w:r>
              <w:rPr>
                <w:rFonts w:ascii="Arial" w:cs="Arial" w:eastAsia="Arial" w:hAnsi="Arial"/>
                <w:sz w:val="15"/>
                <w:szCs w:val="15"/>
                <w:color w:val="auto"/>
              </w:rPr>
              <w:t>(C)</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940" w:type="dxa"/>
            <w:vAlign w:val="bottom"/>
          </w:tcPr>
          <w:p>
            <w:pPr>
              <w:ind w:left="100"/>
              <w:spacing w:after="0"/>
              <w:rPr>
                <w:sz w:val="20"/>
                <w:szCs w:val="20"/>
                <w:color w:val="auto"/>
              </w:rPr>
            </w:pPr>
            <w:r>
              <w:rPr>
                <w:rFonts w:ascii="Arial" w:cs="Arial" w:eastAsia="Arial" w:hAnsi="Arial"/>
                <w:sz w:val="15"/>
                <w:szCs w:val="15"/>
                <w:color w:val="auto"/>
              </w:rPr>
              <w:t>a “covered FSI” as that term is defined in, and interpreted in accordance with, 12 C.F.R. § 382.2(b).</w:t>
            </w:r>
          </w:p>
        </w:tc>
      </w:tr>
      <w:tr>
        <w:trPr>
          <w:trHeight w:val="287"/>
        </w:trPr>
        <w:tc>
          <w:tcPr>
            <w:tcW w:w="2920" w:type="dxa"/>
            <w:vAlign w:val="bottom"/>
          </w:tcPr>
          <w:p>
            <w:pPr>
              <w:ind w:left="1660"/>
              <w:spacing w:after="0"/>
              <w:rPr>
                <w:sz w:val="20"/>
                <w:szCs w:val="20"/>
                <w:color w:val="auto"/>
              </w:rPr>
            </w:pPr>
            <w:r>
              <w:rPr>
                <w:rFonts w:ascii="Arial" w:cs="Arial" w:eastAsia="Arial" w:hAnsi="Arial"/>
                <w:sz w:val="15"/>
                <w:szCs w:val="15"/>
                <w:color w:val="auto"/>
              </w:rPr>
              <w:t>(iii)</w:t>
            </w:r>
          </w:p>
        </w:tc>
        <w:tc>
          <w:tcPr>
            <w:tcW w:w="320" w:type="dxa"/>
            <w:vAlign w:val="bottom"/>
          </w:tcPr>
          <w:p>
            <w:pPr>
              <w:spacing w:after="0"/>
              <w:rPr>
                <w:sz w:val="24"/>
                <w:szCs w:val="24"/>
                <w:color w:val="auto"/>
              </w:rPr>
            </w:pPr>
          </w:p>
        </w:tc>
        <w:tc>
          <w:tcPr>
            <w:tcW w:w="8080" w:type="dxa"/>
            <w:vAlign w:val="bottom"/>
            <w:gridSpan w:val="7"/>
          </w:tcPr>
          <w:p>
            <w:pPr>
              <w:jc w:val="right"/>
              <w:spacing w:after="0"/>
              <w:rPr>
                <w:sz w:val="20"/>
                <w:szCs w:val="20"/>
                <w:color w:val="auto"/>
              </w:rPr>
            </w:pPr>
            <w:r>
              <w:rPr>
                <w:rFonts w:ascii="Arial" w:cs="Arial" w:eastAsia="Arial" w:hAnsi="Arial"/>
                <w:sz w:val="15"/>
                <w:szCs w:val="15"/>
                <w:color w:val="auto"/>
                <w:w w:val="92"/>
              </w:rPr>
              <w:t>“Default Right” has the meaning assigned to that term in, and shall be interpreted in accordance with, 12 C.F.R. §§ 252.81, 47.2 or</w:t>
            </w:r>
          </w:p>
        </w:tc>
      </w:tr>
      <w:tr>
        <w:trPr>
          <w:trHeight w:val="185"/>
        </w:trPr>
        <w:tc>
          <w:tcPr>
            <w:tcW w:w="2920" w:type="dxa"/>
            <w:vAlign w:val="bottom"/>
          </w:tcPr>
          <w:p>
            <w:pPr>
              <w:ind w:left="860"/>
              <w:spacing w:after="0"/>
              <w:rPr>
                <w:sz w:val="20"/>
                <w:szCs w:val="20"/>
                <w:color w:val="auto"/>
              </w:rPr>
            </w:pPr>
            <w:r>
              <w:rPr>
                <w:rFonts w:ascii="Arial" w:cs="Arial" w:eastAsia="Arial" w:hAnsi="Arial"/>
                <w:sz w:val="15"/>
                <w:szCs w:val="15"/>
                <w:color w:val="auto"/>
              </w:rPr>
              <w:t>382.1, as applicable.</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40" w:type="dxa"/>
            <w:vAlign w:val="bottom"/>
          </w:tcPr>
          <w:p>
            <w:pPr>
              <w:spacing w:after="0"/>
              <w:rPr>
                <w:sz w:val="16"/>
                <w:szCs w:val="16"/>
                <w:color w:val="auto"/>
              </w:rPr>
            </w:pPr>
          </w:p>
        </w:tc>
      </w:tr>
      <w:tr>
        <w:trPr>
          <w:trHeight w:val="287"/>
        </w:trPr>
        <w:tc>
          <w:tcPr>
            <w:tcW w:w="2920" w:type="dxa"/>
            <w:vAlign w:val="bottom"/>
          </w:tcPr>
          <w:p>
            <w:pPr>
              <w:ind w:left="1660"/>
              <w:spacing w:after="0"/>
              <w:rPr>
                <w:sz w:val="20"/>
                <w:szCs w:val="20"/>
                <w:color w:val="auto"/>
              </w:rPr>
            </w:pPr>
            <w:r>
              <w:rPr>
                <w:rFonts w:ascii="Arial" w:cs="Arial" w:eastAsia="Arial" w:hAnsi="Arial"/>
                <w:sz w:val="15"/>
                <w:szCs w:val="15"/>
                <w:color w:val="auto"/>
              </w:rPr>
              <w:t>(iv)</w:t>
            </w:r>
          </w:p>
        </w:tc>
        <w:tc>
          <w:tcPr>
            <w:tcW w:w="320" w:type="dxa"/>
            <w:vAlign w:val="bottom"/>
          </w:tcPr>
          <w:p>
            <w:pPr>
              <w:spacing w:after="0"/>
              <w:rPr>
                <w:sz w:val="24"/>
                <w:szCs w:val="24"/>
                <w:color w:val="auto"/>
              </w:rPr>
            </w:pPr>
          </w:p>
        </w:tc>
        <w:tc>
          <w:tcPr>
            <w:tcW w:w="8080" w:type="dxa"/>
            <w:vAlign w:val="bottom"/>
            <w:gridSpan w:val="7"/>
          </w:tcPr>
          <w:p>
            <w:pPr>
              <w:jc w:val="right"/>
              <w:spacing w:after="0"/>
              <w:rPr>
                <w:sz w:val="20"/>
                <w:szCs w:val="20"/>
                <w:color w:val="auto"/>
              </w:rPr>
            </w:pPr>
            <w:r>
              <w:rPr>
                <w:rFonts w:ascii="Arial" w:cs="Arial" w:eastAsia="Arial" w:hAnsi="Arial"/>
                <w:sz w:val="15"/>
                <w:szCs w:val="15"/>
                <w:color w:val="auto"/>
                <w:w w:val="92"/>
              </w:rPr>
              <w:t>“QFC” has the meaning assigned to the term “qualified financial contract” in, and shall be interpreted in accordance with, 12 U.S.C.</w:t>
            </w:r>
          </w:p>
        </w:tc>
      </w:tr>
      <w:tr>
        <w:trPr>
          <w:trHeight w:val="185"/>
        </w:trPr>
        <w:tc>
          <w:tcPr>
            <w:tcW w:w="2920" w:type="dxa"/>
            <w:vAlign w:val="bottom"/>
          </w:tcPr>
          <w:p>
            <w:pPr>
              <w:ind w:left="860"/>
              <w:spacing w:after="0"/>
              <w:rPr>
                <w:sz w:val="20"/>
                <w:szCs w:val="20"/>
                <w:color w:val="auto"/>
              </w:rPr>
            </w:pPr>
            <w:r>
              <w:rPr>
                <w:rFonts w:ascii="Arial" w:cs="Arial" w:eastAsia="Arial" w:hAnsi="Arial"/>
                <w:sz w:val="15"/>
                <w:szCs w:val="15"/>
                <w:color w:val="auto"/>
              </w:rPr>
              <w:t>5390(c)(8)(D).</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40" w:type="dxa"/>
            <w:vAlign w:val="bottom"/>
          </w:tcPr>
          <w:p>
            <w:pPr>
              <w:spacing w:after="0"/>
              <w:rPr>
                <w:sz w:val="16"/>
                <w:szCs w:val="16"/>
                <w:color w:val="auto"/>
              </w:rPr>
            </w:pPr>
          </w:p>
        </w:tc>
      </w:tr>
      <w:tr>
        <w:trPr>
          <w:trHeight w:val="1147"/>
        </w:trPr>
        <w:tc>
          <w:tcPr>
            <w:tcW w:w="2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-24130</wp:posOffset>
            </wp:positionV>
            <wp:extent cx="3111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115" cy="3746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-24130</wp:posOffset>
            </wp:positionV>
            <wp:extent cx="3111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115" cy="37465"/>
                    </a:xfrm>
                    <a:prstGeom prst="rect">
                      <a:avLst/>
                    </a:prstGeom>
                    <a:noFill/>
                  </pic:spPr>
                </pic:pic>
              </a:graphicData>
            </a:graphic>
          </wp:anchor>
        </w:drawing>
      </w:r>
    </w:p>
    <w:p>
      <w:pPr>
        <w:sectPr>
          <w:pgSz w:w="11900" w:h="16838" w:orient="portrait"/>
          <w:cols w:equalWidth="0" w:num="1">
            <w:col w:w="11320"/>
          </w:cols>
          <w:pgMar w:left="300" w:top="279" w:right="27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5"/>
          <w:szCs w:val="15"/>
          <w:b w:val="1"/>
          <w:bCs w:val="1"/>
          <w:u w:val="single" w:color="auto"/>
          <w:color w:val="auto"/>
        </w:rPr>
        <w:t>EXHIBIT B</w:t>
      </w:r>
    </w:p>
    <w:p>
      <w:pPr>
        <w:sectPr>
          <w:pgSz w:w="11900" w:h="16838" w:orient="portrait"/>
          <w:cols w:equalWidth="0" w:num="1">
            <w:col w:w="9019"/>
          </w:cols>
          <w:pgMar w:left="1440" w:top="292"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542290</wp:posOffset>
            </wp:positionV>
            <wp:extent cx="721106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1060" cy="3746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261" w:name="page262"/>
    <w:bookmarkEnd w:id="261"/>
    <w:p>
      <w:pPr>
        <w:jc w:val="center"/>
        <w:spacing w:after="0"/>
        <w:rPr>
          <w:sz w:val="20"/>
          <w:szCs w:val="20"/>
          <w:color w:val="auto"/>
        </w:rPr>
      </w:pPr>
      <w:r>
        <w:rPr>
          <w:rFonts w:ascii="Arial" w:cs="Arial" w:eastAsia="Arial" w:hAnsi="Arial"/>
          <w:sz w:val="15"/>
          <w:szCs w:val="15"/>
          <w:b w:val="1"/>
          <w:bCs w:val="1"/>
          <w:u w:val="single" w:color="auto"/>
          <w:color w:val="auto"/>
        </w:rPr>
        <w:t>EXHIBIT 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BORROWING REQUEST</w:t>
      </w:r>
    </w:p>
    <w:p>
      <w:pPr>
        <w:spacing w:after="0" w:line="153" w:lineRule="exact"/>
        <w:rPr>
          <w:sz w:val="20"/>
          <w:szCs w:val="20"/>
          <w:color w:val="auto"/>
        </w:rPr>
      </w:pPr>
    </w:p>
    <w:p>
      <w:pPr>
        <w:ind w:left="8080"/>
        <w:spacing w:after="0"/>
        <w:rPr>
          <w:sz w:val="20"/>
          <w:szCs w:val="20"/>
          <w:color w:val="auto"/>
        </w:rPr>
      </w:pPr>
      <w:r>
        <w:rPr>
          <w:rFonts w:ascii="Arial" w:cs="Arial" w:eastAsia="Arial" w:hAnsi="Arial"/>
          <w:sz w:val="15"/>
          <w:szCs w:val="15"/>
          <w:color w:val="auto"/>
        </w:rPr>
        <w:t>Date:</w:t>
      </w:r>
    </w:p>
    <w:p>
      <w:pPr>
        <w:ind w:left="8080"/>
        <w:spacing w:after="0"/>
        <w:rPr>
          <w:sz w:val="20"/>
          <w:szCs w:val="20"/>
          <w:color w:val="auto"/>
        </w:rPr>
      </w:pPr>
      <w:r>
        <w:rPr>
          <w:rFonts w:ascii="Arial" w:cs="Arial" w:eastAsia="Arial" w:hAnsi="Arial"/>
          <w:sz w:val="15"/>
          <w:szCs w:val="15"/>
          <w:color w:val="auto"/>
        </w:rPr>
        <w:t>_____</w:t>
      </w:r>
    </w:p>
    <w:p>
      <w:pPr>
        <w:spacing w:after="0" w:line="11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To: Truist Bank, as Administrative Agent</w:t>
      </w:r>
    </w:p>
    <w:p>
      <w:pPr>
        <w:spacing w:after="0" w:line="139" w:lineRule="exact"/>
        <w:rPr>
          <w:sz w:val="20"/>
          <w:szCs w:val="20"/>
          <w:color w:val="auto"/>
        </w:rPr>
      </w:pPr>
    </w:p>
    <w:p>
      <w:pPr>
        <w:ind w:left="860"/>
        <w:spacing w:after="0"/>
        <w:rPr>
          <w:sz w:val="20"/>
          <w:szCs w:val="20"/>
          <w:color w:val="auto"/>
        </w:rPr>
      </w:pPr>
      <w:r>
        <w:rPr>
          <w:rFonts w:ascii="Arial" w:cs="Arial" w:eastAsia="Arial" w:hAnsi="Arial"/>
          <w:sz w:val="15"/>
          <w:szCs w:val="15"/>
          <w:color w:val="auto"/>
        </w:rPr>
        <w:t>Ladies and Gentlemen:</w:t>
      </w:r>
    </w:p>
    <w:p>
      <w:pPr>
        <w:spacing w:after="0" w:line="139" w:lineRule="exact"/>
        <w:rPr>
          <w:sz w:val="20"/>
          <w:szCs w:val="20"/>
          <w:color w:val="auto"/>
        </w:rPr>
      </w:pPr>
    </w:p>
    <w:p>
      <w:pPr>
        <w:jc w:val="both"/>
        <w:ind w:firstLine="869"/>
        <w:spacing w:after="0" w:line="234" w:lineRule="auto"/>
        <w:rPr>
          <w:sz w:val="20"/>
          <w:szCs w:val="20"/>
          <w:color w:val="auto"/>
        </w:rPr>
      </w:pPr>
      <w:r>
        <w:rPr>
          <w:rFonts w:ascii="Arial" w:cs="Arial" w:eastAsia="Arial" w:hAnsi="Arial"/>
          <w:sz w:val="15"/>
          <w:szCs w:val="15"/>
          <w:color w:val="auto"/>
        </w:rPr>
        <w:t>Reference is made to that certain Second Amended and Restated Senior Secured Revolving Credit Agreement, dated as of February 27, 2014 (as amended, restated, extended, supplemented or otherwise modified in writing from time to time, the “</w:t>
      </w:r>
      <w:r>
        <w:rPr>
          <w:rFonts w:ascii="Arial" w:cs="Arial" w:eastAsia="Arial" w:hAnsi="Arial"/>
          <w:sz w:val="15"/>
          <w:szCs w:val="15"/>
          <w:u w:val="single" w:color="auto"/>
          <w:color w:val="auto"/>
        </w:rPr>
        <w:t>Credit Agreement</w:t>
      </w:r>
      <w:r>
        <w:rPr>
          <w:rFonts w:ascii="Arial" w:cs="Arial" w:eastAsia="Arial" w:hAnsi="Arial"/>
          <w:sz w:val="15"/>
          <w:szCs w:val="15"/>
          <w:color w:val="auto"/>
        </w:rPr>
        <w:t>”), among Sixth Street Specialty Lending, Inc. (F/K/A TPG Specialty Lending, Inc.), a Delaware corporation (the “</w:t>
      </w:r>
      <w:r>
        <w:rPr>
          <w:rFonts w:ascii="Arial" w:cs="Arial" w:eastAsia="Arial" w:hAnsi="Arial"/>
          <w:sz w:val="15"/>
          <w:szCs w:val="15"/>
          <w:u w:val="single" w:color="auto"/>
          <w:color w:val="auto"/>
        </w:rPr>
        <w:t>Borrower</w:t>
      </w:r>
      <w:r>
        <w:rPr>
          <w:rFonts w:ascii="Arial" w:cs="Arial" w:eastAsia="Arial" w:hAnsi="Arial"/>
          <w:sz w:val="15"/>
          <w:szCs w:val="15"/>
          <w:color w:val="auto"/>
        </w:rPr>
        <w:t>”), the financial institutions party thereto as Lenders, and Truist Bank, as the Administrative Agent. Capitalized terms used herein without definition are so used as defined in the Credit Agreement.</w:t>
      </w:r>
    </w:p>
    <w:p>
      <w:pPr>
        <w:spacing w:after="0" w:line="121" w:lineRule="exact"/>
        <w:rPr>
          <w:sz w:val="20"/>
          <w:szCs w:val="20"/>
          <w:color w:val="auto"/>
        </w:rPr>
      </w:pPr>
    </w:p>
    <w:tbl>
      <w:tblPr>
        <w:tblLayout w:type="fixed"/>
        <w:tblInd w:w="860" w:type="dxa"/>
        <w:tblCellMar>
          <w:top w:w="0" w:type="dxa"/>
          <w:left w:w="0" w:type="dxa"/>
          <w:bottom w:w="0" w:type="dxa"/>
          <w:right w:w="0" w:type="dxa"/>
        </w:tblCellMar>
      </w:tblPr>
      <w:tr>
        <w:trPr>
          <w:trHeight w:val="191"/>
        </w:trPr>
        <w:tc>
          <w:tcPr>
            <w:tcW w:w="3360" w:type="dxa"/>
            <w:vAlign w:val="bottom"/>
          </w:tcPr>
          <w:p>
            <w:pPr>
              <w:spacing w:after="0"/>
              <w:rPr>
                <w:sz w:val="20"/>
                <w:szCs w:val="20"/>
                <w:color w:val="auto"/>
              </w:rPr>
            </w:pPr>
            <w:r>
              <w:rPr>
                <w:rFonts w:ascii="Arial" w:cs="Arial" w:eastAsia="Arial" w:hAnsi="Arial"/>
                <w:sz w:val="15"/>
                <w:szCs w:val="15"/>
                <w:color w:val="auto"/>
                <w:w w:val="94"/>
              </w:rPr>
              <w:t>The Borrower hereby requests a Borrowing of Loans:</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77"/>
        </w:trPr>
        <w:tc>
          <w:tcPr>
            <w:tcW w:w="3360" w:type="dxa"/>
            <w:vAlign w:val="bottom"/>
          </w:tcPr>
          <w:p>
            <w:pPr>
              <w:spacing w:after="0"/>
              <w:rPr>
                <w:sz w:val="20"/>
                <w:szCs w:val="20"/>
                <w:color w:val="auto"/>
              </w:rPr>
            </w:pPr>
            <w:r>
              <w:rPr>
                <w:rFonts w:ascii="Arial" w:cs="Arial" w:eastAsia="Arial" w:hAnsi="Arial"/>
                <w:sz w:val="15"/>
                <w:szCs w:val="15"/>
                <w:color w:val="auto"/>
              </w:rPr>
              <w:t>1.</w:t>
            </w:r>
          </w:p>
        </w:tc>
        <w:tc>
          <w:tcPr>
            <w:tcW w:w="320" w:type="dxa"/>
            <w:vAlign w:val="bottom"/>
          </w:tcPr>
          <w:p>
            <w:pPr>
              <w:ind w:left="100"/>
              <w:spacing w:after="0"/>
              <w:rPr>
                <w:sz w:val="20"/>
                <w:szCs w:val="20"/>
                <w:color w:val="auto"/>
              </w:rPr>
            </w:pPr>
            <w:r>
              <w:rPr>
                <w:rFonts w:ascii="Arial" w:cs="Arial" w:eastAsia="Arial" w:hAnsi="Arial"/>
                <w:sz w:val="15"/>
                <w:szCs w:val="15"/>
                <w:color w:val="auto"/>
                <w:w w:val="99"/>
              </w:rPr>
              <w:t>On</w:t>
            </w:r>
          </w:p>
        </w:tc>
        <w:tc>
          <w:tcPr>
            <w:tcW w:w="340" w:type="dxa"/>
            <w:vAlign w:val="bottom"/>
            <w:tcBorders>
              <w:bottom w:val="single" w:sz="8" w:color="auto"/>
            </w:tcBorders>
          </w:tcPr>
          <w:p>
            <w:pPr>
              <w:spacing w:after="0"/>
              <w:rPr>
                <w:sz w:val="24"/>
                <w:szCs w:val="24"/>
                <w:color w:val="auto"/>
              </w:rPr>
            </w:pPr>
          </w:p>
        </w:tc>
        <w:tc>
          <w:tcPr>
            <w:tcW w:w="2060" w:type="dxa"/>
            <w:vAlign w:val="bottom"/>
            <w:gridSpan w:val="5"/>
          </w:tcPr>
          <w:p>
            <w:pPr>
              <w:ind w:left="80"/>
              <w:spacing w:after="0"/>
              <w:rPr>
                <w:sz w:val="20"/>
                <w:szCs w:val="20"/>
                <w:color w:val="auto"/>
              </w:rPr>
            </w:pPr>
            <w:r>
              <w:rPr>
                <w:rFonts w:ascii="Arial" w:cs="Arial" w:eastAsia="Arial" w:hAnsi="Arial"/>
                <w:sz w:val="15"/>
                <w:szCs w:val="15"/>
                <w:color w:val="auto"/>
              </w:rPr>
              <w:t>(a Business Day).</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3360" w:type="dxa"/>
            <w:vAlign w:val="bottom"/>
          </w:tcPr>
          <w:p>
            <w:pPr>
              <w:spacing w:after="0"/>
              <w:rPr>
                <w:sz w:val="20"/>
                <w:szCs w:val="20"/>
                <w:color w:val="auto"/>
              </w:rPr>
            </w:pPr>
            <w:r>
              <w:rPr>
                <w:rFonts w:ascii="Arial" w:cs="Arial" w:eastAsia="Arial" w:hAnsi="Arial"/>
                <w:sz w:val="15"/>
                <w:szCs w:val="15"/>
                <w:color w:val="auto"/>
              </w:rPr>
              <w:t>2.</w:t>
            </w:r>
          </w:p>
        </w:tc>
        <w:tc>
          <w:tcPr>
            <w:tcW w:w="1180" w:type="dxa"/>
            <w:vAlign w:val="bottom"/>
            <w:gridSpan w:val="4"/>
          </w:tcPr>
          <w:p>
            <w:pPr>
              <w:ind w:left="100"/>
              <w:spacing w:after="0"/>
              <w:rPr>
                <w:sz w:val="20"/>
                <w:szCs w:val="20"/>
                <w:color w:val="auto"/>
              </w:rPr>
            </w:pPr>
            <w:r>
              <w:rPr>
                <w:rFonts w:ascii="Arial" w:cs="Arial" w:eastAsia="Arial" w:hAnsi="Arial"/>
                <w:sz w:val="15"/>
                <w:szCs w:val="15"/>
                <w:color w:val="auto"/>
                <w:w w:val="97"/>
              </w:rPr>
              <w:t>In the amount of</w:t>
            </w:r>
          </w:p>
        </w:tc>
        <w:tc>
          <w:tcPr>
            <w:tcW w:w="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2"/>
        </w:trPr>
        <w:tc>
          <w:tcPr>
            <w:tcW w:w="3360" w:type="dxa"/>
            <w:vAlign w:val="bottom"/>
          </w:tcPr>
          <w:p>
            <w:pPr>
              <w:spacing w:after="0"/>
              <w:rPr>
                <w:sz w:val="20"/>
                <w:szCs w:val="20"/>
                <w:color w:val="auto"/>
              </w:rPr>
            </w:pPr>
            <w:r>
              <w:rPr>
                <w:rFonts w:ascii="Arial" w:cs="Arial" w:eastAsia="Arial" w:hAnsi="Arial"/>
                <w:sz w:val="15"/>
                <w:szCs w:val="15"/>
                <w:color w:val="auto"/>
              </w:rPr>
              <w:t>3.</w:t>
            </w:r>
          </w:p>
        </w:tc>
        <w:tc>
          <w:tcPr>
            <w:tcW w:w="1000" w:type="dxa"/>
            <w:vAlign w:val="bottom"/>
            <w:gridSpan w:val="3"/>
          </w:tcPr>
          <w:p>
            <w:pPr>
              <w:ind w:left="100"/>
              <w:spacing w:after="0"/>
              <w:rPr>
                <w:sz w:val="20"/>
                <w:szCs w:val="20"/>
                <w:color w:val="auto"/>
              </w:rPr>
            </w:pPr>
            <w:r>
              <w:rPr>
                <w:rFonts w:ascii="Arial" w:cs="Arial" w:eastAsia="Arial" w:hAnsi="Arial"/>
                <w:sz w:val="15"/>
                <w:szCs w:val="15"/>
                <w:color w:val="auto"/>
                <w:w w:val="98"/>
              </w:rPr>
              <w:t>Comprised of</w:t>
            </w:r>
          </w:p>
        </w:tc>
        <w:tc>
          <w:tcPr>
            <w:tcW w:w="1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r>
      <w:tr>
        <w:trPr>
          <w:trHeight w:val="20"/>
        </w:trPr>
        <w:tc>
          <w:tcPr>
            <w:tcW w:w="336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3360" w:type="dxa"/>
            <w:vAlign w:val="bottom"/>
          </w:tcPr>
          <w:p>
            <w:pPr>
              <w:spacing w:after="0"/>
              <w:rPr>
                <w:sz w:val="13"/>
                <w:szCs w:val="13"/>
                <w:color w:val="auto"/>
              </w:rPr>
            </w:pPr>
          </w:p>
        </w:tc>
        <w:tc>
          <w:tcPr>
            <w:tcW w:w="2720" w:type="dxa"/>
            <w:vAlign w:val="bottom"/>
            <w:gridSpan w:val="7"/>
          </w:tcPr>
          <w:p>
            <w:pPr>
              <w:ind w:left="1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Type of Borrowing requested</w:t>
            </w:r>
            <w:r>
              <w:rPr>
                <w:rFonts w:ascii="Arial" w:cs="Arial" w:eastAsia="Arial" w:hAnsi="Arial"/>
                <w:sz w:val="13"/>
                <w:szCs w:val="13"/>
                <w:color w:val="auto"/>
              </w:rPr>
              <w:t>]</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93"/>
        </w:trPr>
        <w:tc>
          <w:tcPr>
            <w:tcW w:w="3360" w:type="dxa"/>
            <w:vAlign w:val="bottom"/>
          </w:tcPr>
          <w:p>
            <w:pPr>
              <w:spacing w:after="0"/>
              <w:rPr>
                <w:sz w:val="20"/>
                <w:szCs w:val="20"/>
                <w:color w:val="auto"/>
              </w:rPr>
            </w:pPr>
            <w:r>
              <w:rPr>
                <w:rFonts w:ascii="Arial" w:cs="Arial" w:eastAsia="Arial" w:hAnsi="Arial"/>
                <w:sz w:val="15"/>
                <w:szCs w:val="15"/>
                <w:color w:val="auto"/>
              </w:rPr>
              <w:t>4.</w:t>
            </w:r>
          </w:p>
        </w:tc>
        <w:tc>
          <w:tcPr>
            <w:tcW w:w="1720" w:type="dxa"/>
            <w:vAlign w:val="bottom"/>
            <w:gridSpan w:val="6"/>
          </w:tcPr>
          <w:p>
            <w:pPr>
              <w:ind w:left="100"/>
              <w:spacing w:after="0"/>
              <w:rPr>
                <w:sz w:val="20"/>
                <w:szCs w:val="20"/>
                <w:color w:val="auto"/>
              </w:rPr>
            </w:pPr>
            <w:r>
              <w:rPr>
                <w:rFonts w:ascii="Arial" w:cs="Arial" w:eastAsia="Arial" w:hAnsi="Arial"/>
                <w:sz w:val="15"/>
                <w:szCs w:val="15"/>
                <w:color w:val="auto"/>
                <w:w w:val="96"/>
              </w:rPr>
              <w:t>In the following currency:</w:t>
            </w:r>
          </w:p>
        </w:tc>
        <w:tc>
          <w:tcPr>
            <w:tcW w:w="10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20"/>
        </w:trPr>
        <w:tc>
          <w:tcPr>
            <w:tcW w:w="3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bl>
    <w:p>
      <w:pPr>
        <w:spacing w:after="0" w:line="146" w:lineRule="exact"/>
        <w:rPr>
          <w:sz w:val="20"/>
          <w:szCs w:val="20"/>
          <w:color w:val="auto"/>
        </w:rPr>
      </w:pPr>
    </w:p>
    <w:p>
      <w:pPr>
        <w:ind w:left="2300" w:hanging="567"/>
        <w:spacing w:after="0"/>
        <w:tabs>
          <w:tab w:leader="none" w:pos="230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For Eurocurrency Borrowings or RFR Borrowings: with an Interest Period of ____ months.</w:t>
      </w:r>
    </w:p>
    <w:p>
      <w:pPr>
        <w:spacing w:after="0" w:line="111" w:lineRule="exact"/>
        <w:rPr>
          <w:sz w:val="20"/>
          <w:szCs w:val="20"/>
          <w:color w:val="auto"/>
        </w:rPr>
      </w:pPr>
    </w:p>
    <w:p>
      <w:pPr>
        <w:ind w:left="860"/>
        <w:spacing w:after="0"/>
        <w:tabs>
          <w:tab w:leader="none" w:pos="4300" w:val="left"/>
          <w:tab w:leader="none" w:pos="7460" w:val="left"/>
        </w:tabs>
        <w:rPr>
          <w:sz w:val="20"/>
          <w:szCs w:val="20"/>
          <w:color w:val="auto"/>
        </w:rPr>
      </w:pP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To Borrower’s account numberlocated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4340860</wp:posOffset>
            </wp:positionH>
            <wp:positionV relativeFrom="paragraph">
              <wp:posOffset>-9525</wp:posOffset>
            </wp:positionV>
            <wp:extent cx="40830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08305" cy="57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SIXTH STREET SPECIALTY LENDING, INC.</w:t>
      </w:r>
    </w:p>
    <w:p>
      <w:pPr>
        <w:spacing w:after="0" w:line="172"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By:</w:t>
      </w:r>
    </w:p>
    <w:p>
      <w:pPr>
        <w:spacing w:after="0" w:line="168"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Name:</w:t>
      </w:r>
    </w:p>
    <w:p>
      <w:pPr>
        <w:spacing w:after="0" w:line="158" w:lineRule="exact"/>
        <w:rPr>
          <w:sz w:val="20"/>
          <w:szCs w:val="20"/>
          <w:color w:val="auto"/>
        </w:rPr>
      </w:pPr>
    </w:p>
    <w:p>
      <w:pPr>
        <w:jc w:val="center"/>
        <w:ind w:right="560"/>
        <w:spacing w:after="0"/>
        <w:rPr>
          <w:sz w:val="20"/>
          <w:szCs w:val="20"/>
          <w:color w:val="auto"/>
        </w:rPr>
      </w:pPr>
      <w:r>
        <w:rPr>
          <w:rFonts w:ascii="Arial" w:cs="Arial" w:eastAsia="Arial" w:hAnsi="Arial"/>
          <w:sz w:val="15"/>
          <w:szCs w:val="15"/>
          <w:color w:val="auto"/>
        </w:rPr>
        <w:t>Title:</w:t>
      </w:r>
    </w:p>
    <w:p>
      <w:pPr>
        <w:sectPr>
          <w:pgSz w:w="11900" w:h="16838" w:orient="portrait"/>
          <w:cols w:equalWidth="0" w:num="1">
            <w:col w:w="11300"/>
          </w:cols>
          <w:pgMar w:left="300" w:top="291" w:right="2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3"/>
          <w:szCs w:val="13"/>
          <w:b w:val="1"/>
          <w:bCs w:val="1"/>
          <w:color w:val="auto"/>
        </w:rPr>
        <w:t>Exhibit 31.1</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CEO 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 Joshua Easterly, certify that:</w:t>
      </w:r>
    </w:p>
    <w:p>
      <w:pPr>
        <w:spacing w:after="0" w:line="77" w:lineRule="exact"/>
        <w:rPr>
          <w:sz w:val="20"/>
          <w:szCs w:val="20"/>
          <w:color w:val="auto"/>
        </w:rPr>
      </w:pPr>
    </w:p>
    <w:p>
      <w:pPr>
        <w:ind w:left="760" w:hanging="509"/>
        <w:spacing w:after="0"/>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Sixth Street Specialty Lending, Inc.;</w:t>
      </w:r>
    </w:p>
    <w:p>
      <w:pPr>
        <w:spacing w:after="0" w:line="77" w:lineRule="exact"/>
        <w:rPr>
          <w:rFonts w:ascii="Arial" w:cs="Arial" w:eastAsia="Arial" w:hAnsi="Arial"/>
          <w:sz w:val="13"/>
          <w:szCs w:val="13"/>
          <w:color w:val="auto"/>
        </w:rPr>
      </w:pPr>
    </w:p>
    <w:p>
      <w:pPr>
        <w:ind w:left="760" w:right="200" w:hanging="509"/>
        <w:spacing w:after="0" w:line="260" w:lineRule="auto"/>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3"/>
          <w:szCs w:val="13"/>
          <w:color w:val="auto"/>
        </w:rPr>
      </w:pPr>
    </w:p>
    <w:p>
      <w:pPr>
        <w:ind w:left="760" w:right="20" w:hanging="509"/>
        <w:spacing w:after="0" w:line="260" w:lineRule="auto"/>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3"/>
          <w:szCs w:val="13"/>
          <w:color w:val="auto"/>
        </w:rPr>
      </w:pPr>
    </w:p>
    <w:p>
      <w:pPr>
        <w:ind w:left="760" w:right="340" w:hanging="509"/>
        <w:spacing w:after="0" w:line="260" w:lineRule="auto"/>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3"/>
          <w:szCs w:val="13"/>
          <w:color w:val="auto"/>
        </w:rPr>
      </w:pPr>
    </w:p>
    <w:p>
      <w:pPr>
        <w:ind w:left="1280" w:right="500" w:hanging="519"/>
        <w:spacing w:after="0" w:line="351" w:lineRule="auto"/>
        <w:tabs>
          <w:tab w:leader="none" w:pos="1280" w:val="left"/>
        </w:tabs>
        <w:numPr>
          <w:ilvl w:val="1"/>
          <w:numId w:val="172"/>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1"/>
          <w:szCs w:val="11"/>
          <w:color w:val="auto"/>
        </w:rPr>
      </w:pPr>
    </w:p>
    <w:p>
      <w:pPr>
        <w:ind w:left="1280" w:right="180" w:hanging="519"/>
        <w:spacing w:after="0" w:line="301" w:lineRule="auto"/>
        <w:tabs>
          <w:tab w:leader="none" w:pos="1280" w:val="left"/>
        </w:tabs>
        <w:numPr>
          <w:ilvl w:val="1"/>
          <w:numId w:val="17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32" w:lineRule="exact"/>
        <w:rPr>
          <w:rFonts w:ascii="Arial" w:cs="Arial" w:eastAsia="Arial" w:hAnsi="Arial"/>
          <w:sz w:val="12"/>
          <w:szCs w:val="12"/>
          <w:color w:val="auto"/>
        </w:rPr>
      </w:pPr>
    </w:p>
    <w:p>
      <w:pPr>
        <w:ind w:left="1280" w:right="140" w:hanging="519"/>
        <w:spacing w:after="0" w:line="260" w:lineRule="auto"/>
        <w:tabs>
          <w:tab w:leader="none" w:pos="128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3"/>
          <w:szCs w:val="13"/>
          <w:color w:val="auto"/>
        </w:rPr>
      </w:pPr>
    </w:p>
    <w:p>
      <w:pPr>
        <w:ind w:left="1280" w:right="500" w:hanging="519"/>
        <w:spacing w:after="0" w:line="260" w:lineRule="auto"/>
        <w:tabs>
          <w:tab w:leader="none" w:pos="128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3"/>
          <w:szCs w:val="13"/>
          <w:color w:val="auto"/>
        </w:rPr>
      </w:pPr>
    </w:p>
    <w:p>
      <w:pPr>
        <w:ind w:left="760" w:right="540" w:hanging="509"/>
        <w:spacing w:after="0" w:line="260" w:lineRule="auto"/>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3"/>
          <w:szCs w:val="13"/>
          <w:color w:val="auto"/>
        </w:rPr>
      </w:pPr>
    </w:p>
    <w:p>
      <w:pPr>
        <w:ind w:left="1280" w:right="280" w:hanging="519"/>
        <w:spacing w:after="0" w:line="260" w:lineRule="auto"/>
        <w:tabs>
          <w:tab w:leader="none" w:pos="128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3"/>
          <w:szCs w:val="13"/>
          <w:color w:val="auto"/>
        </w:rPr>
      </w:pPr>
    </w:p>
    <w:p>
      <w:pPr>
        <w:ind w:left="1280" w:hanging="519"/>
        <w:spacing w:after="0"/>
        <w:tabs>
          <w:tab w:leader="none" w:pos="1280" w:val="left"/>
        </w:tabs>
        <w:numPr>
          <w:ilvl w:val="1"/>
          <w:numId w:val="17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tabs>
          <w:tab w:leader="none" w:pos="6760" w:val="left"/>
          <w:tab w:leader="none" w:pos="7200" w:val="left"/>
        </w:tabs>
        <w:rPr>
          <w:sz w:val="20"/>
          <w:szCs w:val="20"/>
          <w:color w:val="auto"/>
        </w:rPr>
      </w:pPr>
      <w:r>
        <w:rPr>
          <w:rFonts w:ascii="Arial" w:cs="Arial" w:eastAsia="Arial" w:hAnsi="Arial"/>
          <w:sz w:val="13"/>
          <w:szCs w:val="13"/>
          <w:color w:val="auto"/>
        </w:rPr>
        <w:t>Date: May 3,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6985</wp:posOffset>
            </wp:positionV>
            <wp:extent cx="258127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81275" cy="5715"/>
                    </a:xfrm>
                    <a:prstGeom prst="rect">
                      <a:avLst/>
                    </a:prstGeom>
                    <a:noFill/>
                  </pic:spPr>
                </pic:pic>
              </a:graphicData>
            </a:graphic>
          </wp:anchor>
        </w:drawing>
      </w:r>
    </w:p>
    <w:p>
      <w:pPr>
        <w:spacing w:after="0" w:line="20" w:lineRule="exact"/>
        <w:rPr>
          <w:sz w:val="20"/>
          <w:szCs w:val="20"/>
          <w:color w:val="auto"/>
        </w:rPr>
      </w:pPr>
    </w:p>
    <w:p>
      <w:pPr>
        <w:ind w:left="7220"/>
        <w:spacing w:after="0"/>
        <w:rPr>
          <w:sz w:val="20"/>
          <w:szCs w:val="20"/>
          <w:color w:val="auto"/>
        </w:rPr>
      </w:pPr>
      <w:r>
        <w:rPr>
          <w:rFonts w:ascii="Arial" w:cs="Arial" w:eastAsia="Arial" w:hAnsi="Arial"/>
          <w:sz w:val="13"/>
          <w:szCs w:val="13"/>
          <w:color w:val="auto"/>
        </w:rPr>
        <w:t>Joshua Easterly</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300"/>
          </w:cols>
          <w:pgMar w:left="300" w:top="278" w:right="2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3"/>
          <w:szCs w:val="13"/>
          <w:b w:val="1"/>
          <w:bCs w:val="1"/>
          <w:color w:val="auto"/>
        </w:rPr>
        <w:t>Exhibit 31.2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CFO 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 Ian Simmonds, certify that:</w:t>
      </w:r>
    </w:p>
    <w:p>
      <w:pPr>
        <w:spacing w:after="0" w:line="77" w:lineRule="exact"/>
        <w:rPr>
          <w:sz w:val="20"/>
          <w:szCs w:val="20"/>
          <w:color w:val="auto"/>
        </w:rPr>
      </w:pPr>
    </w:p>
    <w:p>
      <w:pPr>
        <w:ind w:left="760" w:hanging="509"/>
        <w:spacing w:after="0"/>
        <w:tabs>
          <w:tab w:leader="none" w:pos="7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Sixth Street Specialty Lending, Inc.;</w:t>
      </w:r>
    </w:p>
    <w:p>
      <w:pPr>
        <w:spacing w:after="0" w:line="77" w:lineRule="exact"/>
        <w:rPr>
          <w:rFonts w:ascii="Arial" w:cs="Arial" w:eastAsia="Arial" w:hAnsi="Arial"/>
          <w:sz w:val="13"/>
          <w:szCs w:val="13"/>
          <w:color w:val="auto"/>
        </w:rPr>
      </w:pPr>
    </w:p>
    <w:p>
      <w:pPr>
        <w:ind w:left="760" w:right="200" w:hanging="509"/>
        <w:spacing w:after="0" w:line="260" w:lineRule="auto"/>
        <w:tabs>
          <w:tab w:leader="none" w:pos="7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3"/>
          <w:szCs w:val="13"/>
          <w:color w:val="auto"/>
        </w:rPr>
      </w:pPr>
    </w:p>
    <w:p>
      <w:pPr>
        <w:ind w:left="760" w:right="20" w:hanging="509"/>
        <w:spacing w:after="0" w:line="260" w:lineRule="auto"/>
        <w:tabs>
          <w:tab w:leader="none" w:pos="7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Arial" w:cs="Arial" w:eastAsia="Arial" w:hAnsi="Arial"/>
          <w:sz w:val="13"/>
          <w:szCs w:val="13"/>
          <w:color w:val="auto"/>
        </w:rPr>
      </w:pPr>
    </w:p>
    <w:p>
      <w:pPr>
        <w:ind w:left="760" w:right="340" w:hanging="509"/>
        <w:spacing w:after="0" w:line="260" w:lineRule="auto"/>
        <w:tabs>
          <w:tab w:leader="none" w:pos="7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3"/>
          <w:szCs w:val="13"/>
          <w:color w:val="auto"/>
        </w:rPr>
      </w:pPr>
    </w:p>
    <w:p>
      <w:pPr>
        <w:ind w:left="1280" w:right="500" w:hanging="519"/>
        <w:spacing w:after="0" w:line="351" w:lineRule="auto"/>
        <w:tabs>
          <w:tab w:leader="none" w:pos="1280" w:val="left"/>
        </w:tabs>
        <w:numPr>
          <w:ilvl w:val="1"/>
          <w:numId w:val="173"/>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1"/>
          <w:szCs w:val="11"/>
          <w:color w:val="auto"/>
        </w:rPr>
      </w:pPr>
    </w:p>
    <w:p>
      <w:pPr>
        <w:ind w:left="1280" w:right="180" w:hanging="519"/>
        <w:spacing w:after="0" w:line="301" w:lineRule="auto"/>
        <w:tabs>
          <w:tab w:leader="none" w:pos="1280" w:val="left"/>
        </w:tabs>
        <w:numPr>
          <w:ilvl w:val="1"/>
          <w:numId w:val="17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32" w:lineRule="exact"/>
        <w:rPr>
          <w:rFonts w:ascii="Arial" w:cs="Arial" w:eastAsia="Arial" w:hAnsi="Arial"/>
          <w:sz w:val="12"/>
          <w:szCs w:val="12"/>
          <w:color w:val="auto"/>
        </w:rPr>
      </w:pPr>
    </w:p>
    <w:p>
      <w:pPr>
        <w:ind w:left="1280" w:right="140" w:hanging="519"/>
        <w:spacing w:after="0" w:line="260" w:lineRule="auto"/>
        <w:tabs>
          <w:tab w:leader="none" w:pos="128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3"/>
          <w:szCs w:val="13"/>
          <w:color w:val="auto"/>
        </w:rPr>
      </w:pPr>
    </w:p>
    <w:p>
      <w:pPr>
        <w:ind w:left="1280" w:right="500" w:hanging="519"/>
        <w:spacing w:after="0" w:line="260" w:lineRule="auto"/>
        <w:tabs>
          <w:tab w:leader="none" w:pos="128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4" w:lineRule="exact"/>
        <w:rPr>
          <w:rFonts w:ascii="Arial" w:cs="Arial" w:eastAsia="Arial" w:hAnsi="Arial"/>
          <w:sz w:val="13"/>
          <w:szCs w:val="13"/>
          <w:color w:val="auto"/>
        </w:rPr>
      </w:pPr>
    </w:p>
    <w:p>
      <w:pPr>
        <w:ind w:left="760" w:right="540" w:hanging="509"/>
        <w:spacing w:after="0" w:line="260" w:lineRule="auto"/>
        <w:tabs>
          <w:tab w:leader="none" w:pos="7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3"/>
          <w:szCs w:val="13"/>
          <w:color w:val="auto"/>
        </w:rPr>
      </w:pPr>
    </w:p>
    <w:p>
      <w:pPr>
        <w:ind w:left="1280" w:right="280" w:hanging="519"/>
        <w:spacing w:after="0" w:line="260" w:lineRule="auto"/>
        <w:tabs>
          <w:tab w:leader="none" w:pos="128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3"/>
          <w:szCs w:val="13"/>
          <w:color w:val="auto"/>
        </w:rPr>
      </w:pPr>
    </w:p>
    <w:p>
      <w:pPr>
        <w:ind w:left="1280" w:hanging="519"/>
        <w:spacing w:after="0"/>
        <w:tabs>
          <w:tab w:leader="none" w:pos="1280" w:val="left"/>
        </w:tabs>
        <w:numPr>
          <w:ilvl w:val="1"/>
          <w:numId w:val="17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tabs>
          <w:tab w:leader="none" w:pos="6760" w:val="left"/>
          <w:tab w:leader="none" w:pos="7200" w:val="left"/>
        </w:tabs>
        <w:rPr>
          <w:sz w:val="20"/>
          <w:szCs w:val="20"/>
          <w:color w:val="auto"/>
        </w:rPr>
      </w:pPr>
      <w:r>
        <w:rPr>
          <w:rFonts w:ascii="Arial" w:cs="Arial" w:eastAsia="Arial" w:hAnsi="Arial"/>
          <w:sz w:val="13"/>
          <w:szCs w:val="13"/>
          <w:color w:val="auto"/>
        </w:rPr>
        <w:t>Date: May 3,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6985</wp:posOffset>
            </wp:positionV>
            <wp:extent cx="2581275"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581275" cy="5715"/>
                    </a:xfrm>
                    <a:prstGeom prst="rect">
                      <a:avLst/>
                    </a:prstGeom>
                    <a:noFill/>
                  </pic:spPr>
                </pic:pic>
              </a:graphicData>
            </a:graphic>
          </wp:anchor>
        </w:drawing>
      </w:r>
    </w:p>
    <w:p>
      <w:pPr>
        <w:spacing w:after="0" w:line="20" w:lineRule="exact"/>
        <w:rPr>
          <w:sz w:val="20"/>
          <w:szCs w:val="20"/>
          <w:color w:val="auto"/>
        </w:rPr>
      </w:pPr>
    </w:p>
    <w:p>
      <w:pPr>
        <w:ind w:left="7220"/>
        <w:spacing w:after="0"/>
        <w:rPr>
          <w:sz w:val="20"/>
          <w:szCs w:val="20"/>
          <w:color w:val="auto"/>
        </w:rPr>
      </w:pPr>
      <w:r>
        <w:rPr>
          <w:rFonts w:ascii="Arial" w:cs="Arial" w:eastAsia="Arial" w:hAnsi="Arial"/>
          <w:sz w:val="13"/>
          <w:szCs w:val="13"/>
          <w:color w:val="auto"/>
        </w:rPr>
        <w:t>Ian Simmonds</w:t>
      </w:r>
    </w:p>
    <w:p>
      <w:pPr>
        <w:spacing w:after="0" w:line="11" w:lineRule="exact"/>
        <w:rPr>
          <w:sz w:val="20"/>
          <w:szCs w:val="20"/>
          <w:color w:val="auto"/>
        </w:rPr>
      </w:pPr>
    </w:p>
    <w:p>
      <w:pPr>
        <w:ind w:left="72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300"/>
          </w:cols>
          <w:pgMar w:left="300" w:top="278" w:right="2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3"/>
          <w:szCs w:val="13"/>
          <w:b w:val="1"/>
          <w:bCs w:val="1"/>
          <w:color w:val="auto"/>
        </w:rPr>
        <w:t>Exhibit 32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CEO and CFO Pursuant to</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18 U.S.C. Section 1350,</w:t>
      </w:r>
    </w:p>
    <w:p>
      <w:pPr>
        <w:spacing w:after="0" w:line="2"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as Adopted Pursuant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44" w:lineRule="exact"/>
        <w:rPr>
          <w:sz w:val="20"/>
          <w:szCs w:val="20"/>
          <w:color w:val="auto"/>
        </w:rPr>
      </w:pPr>
    </w:p>
    <w:p>
      <w:pPr>
        <w:ind w:right="40" w:firstLine="513"/>
        <w:spacing w:after="0" w:line="251" w:lineRule="auto"/>
        <w:rPr>
          <w:sz w:val="20"/>
          <w:szCs w:val="20"/>
          <w:color w:val="auto"/>
        </w:rPr>
      </w:pPr>
      <w:r>
        <w:rPr>
          <w:rFonts w:ascii="Arial" w:cs="Arial" w:eastAsia="Arial" w:hAnsi="Arial"/>
          <w:sz w:val="13"/>
          <w:szCs w:val="13"/>
          <w:color w:val="auto"/>
        </w:rPr>
        <w:t>In connection with the quarterly report on Form 10-Q of Sixth Street Specialty Lending, Inc. (the “Company”) for the quarterly period ended March 31, 2022,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60" w:lineRule="exact"/>
        <w:rPr>
          <w:sz w:val="20"/>
          <w:szCs w:val="20"/>
          <w:color w:val="auto"/>
        </w:rPr>
      </w:pPr>
    </w:p>
    <w:p>
      <w:pPr>
        <w:ind w:left="680" w:hanging="172"/>
        <w:spacing w:after="0"/>
        <w:tabs>
          <w:tab w:leader="none" w:pos="6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77" w:lineRule="exact"/>
        <w:rPr>
          <w:rFonts w:ascii="Arial" w:cs="Arial" w:eastAsia="Arial" w:hAnsi="Arial"/>
          <w:sz w:val="13"/>
          <w:szCs w:val="13"/>
          <w:color w:val="auto"/>
        </w:rPr>
      </w:pPr>
    </w:p>
    <w:p>
      <w:pPr>
        <w:ind w:left="680" w:hanging="172"/>
        <w:spacing w:after="0"/>
        <w:tabs>
          <w:tab w:leader="none" w:pos="68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/s/ Joshua Easterly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0" w:type="dxa"/>
            <w:vAlign w:val="bottom"/>
            <w:tcBorders>
              <w:top w:val="single" w:sz="8" w:color="auto"/>
            </w:tcBorders>
          </w:tcPr>
          <w:p>
            <w:pPr>
              <w:spacing w:after="0" w:line="132" w:lineRule="exact"/>
              <w:rPr>
                <w:sz w:val="20"/>
                <w:szCs w:val="20"/>
                <w:color w:val="auto"/>
              </w:rPr>
            </w:pPr>
            <w:r>
              <w:rPr>
                <w:rFonts w:ascii="Arial" w:cs="Arial" w:eastAsia="Arial" w:hAnsi="Arial"/>
                <w:sz w:val="13"/>
                <w:szCs w:val="13"/>
                <w:color w:val="auto"/>
              </w:rPr>
              <w:t>Name:</w:t>
            </w:r>
          </w:p>
        </w:tc>
        <w:tc>
          <w:tcPr>
            <w:tcW w:w="4020" w:type="dxa"/>
            <w:vAlign w:val="bottom"/>
            <w:tcBorders>
              <w:top w:val="single" w:sz="8" w:color="auto"/>
            </w:tcBorders>
          </w:tcPr>
          <w:p>
            <w:pPr>
              <w:ind w:left="180"/>
              <w:spacing w:after="0" w:line="132" w:lineRule="exact"/>
              <w:rPr>
                <w:sz w:val="20"/>
                <w:szCs w:val="20"/>
                <w:color w:val="auto"/>
              </w:rPr>
            </w:pPr>
            <w:r>
              <w:rPr>
                <w:rFonts w:ascii="Arial" w:cs="Arial" w:eastAsia="Arial" w:hAnsi="Arial"/>
                <w:sz w:val="13"/>
                <w:szCs w:val="13"/>
                <w:color w:val="auto"/>
              </w:rPr>
              <w:t>Joshua Easterly</w:t>
            </w:r>
          </w:p>
        </w:tc>
      </w:tr>
      <w:tr>
        <w:trPr>
          <w:trHeight w:val="151"/>
        </w:trPr>
        <w:tc>
          <w:tcPr>
            <w:tcW w:w="50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ind w:left="180"/>
              <w:spacing w:after="0"/>
              <w:rPr>
                <w:sz w:val="20"/>
                <w:szCs w:val="20"/>
                <w:color w:val="auto"/>
              </w:rPr>
            </w:pPr>
            <w:r>
              <w:rPr>
                <w:rFonts w:ascii="Arial" w:cs="Arial" w:eastAsia="Arial" w:hAnsi="Arial"/>
                <w:sz w:val="13"/>
                <w:szCs w:val="13"/>
                <w:color w:val="auto"/>
              </w:rPr>
              <w:t>Chief Executive Officer</w:t>
            </w:r>
          </w:p>
        </w:tc>
      </w:tr>
      <w:tr>
        <w:trPr>
          <w:trHeight w:val="160"/>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4020" w:type="dxa"/>
            <w:vAlign w:val="bottom"/>
          </w:tcPr>
          <w:p>
            <w:pPr>
              <w:ind w:left="180"/>
              <w:spacing w:after="0"/>
              <w:rPr>
                <w:sz w:val="20"/>
                <w:szCs w:val="20"/>
                <w:color w:val="auto"/>
              </w:rPr>
            </w:pPr>
            <w:r>
              <w:rPr>
                <w:rFonts w:ascii="Arial" w:cs="Arial" w:eastAsia="Arial" w:hAnsi="Arial"/>
                <w:sz w:val="13"/>
                <w:szCs w:val="13"/>
                <w:color w:val="auto"/>
              </w:rPr>
              <w:t>May 3, 2022</w:t>
            </w:r>
          </w:p>
        </w:tc>
      </w:tr>
      <w:tr>
        <w:trPr>
          <w:trHeight w:val="321"/>
        </w:trPr>
        <w:tc>
          <w:tcPr>
            <w:tcW w:w="45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Ian Simmonds</w:t>
            </w:r>
          </w:p>
        </w:tc>
      </w:tr>
      <w:tr>
        <w:trPr>
          <w:trHeight w:val="132"/>
        </w:trPr>
        <w:tc>
          <w:tcPr>
            <w:tcW w:w="500" w:type="dxa"/>
            <w:vAlign w:val="bottom"/>
          </w:tcPr>
          <w:p>
            <w:pPr>
              <w:spacing w:after="0" w:line="132" w:lineRule="exact"/>
              <w:rPr>
                <w:sz w:val="20"/>
                <w:szCs w:val="20"/>
                <w:color w:val="auto"/>
              </w:rPr>
            </w:pPr>
            <w:r>
              <w:rPr>
                <w:rFonts w:ascii="Arial" w:cs="Arial" w:eastAsia="Arial" w:hAnsi="Arial"/>
                <w:sz w:val="13"/>
                <w:szCs w:val="13"/>
                <w:color w:val="auto"/>
              </w:rPr>
              <w:t>Name:</w:t>
            </w:r>
          </w:p>
        </w:tc>
        <w:tc>
          <w:tcPr>
            <w:tcW w:w="4020" w:type="dxa"/>
            <w:vAlign w:val="bottom"/>
          </w:tcPr>
          <w:p>
            <w:pPr>
              <w:ind w:left="260"/>
              <w:spacing w:after="0" w:line="132" w:lineRule="exact"/>
              <w:rPr>
                <w:sz w:val="20"/>
                <w:szCs w:val="20"/>
                <w:color w:val="auto"/>
              </w:rPr>
            </w:pPr>
            <w:r>
              <w:rPr>
                <w:rFonts w:ascii="Arial" w:cs="Arial" w:eastAsia="Arial" w:hAnsi="Arial"/>
                <w:sz w:val="13"/>
                <w:szCs w:val="13"/>
                <w:color w:val="auto"/>
              </w:rPr>
              <w:t>Ian Simmonds</w:t>
            </w:r>
          </w:p>
        </w:tc>
      </w:tr>
      <w:tr>
        <w:trPr>
          <w:trHeight w:val="151"/>
        </w:trPr>
        <w:tc>
          <w:tcPr>
            <w:tcW w:w="500" w:type="dxa"/>
            <w:vAlign w:val="bottom"/>
          </w:tcPr>
          <w:p>
            <w:pPr>
              <w:spacing w:after="0"/>
              <w:rPr>
                <w:sz w:val="20"/>
                <w:szCs w:val="20"/>
                <w:color w:val="auto"/>
              </w:rPr>
            </w:pPr>
            <w:r>
              <w:rPr>
                <w:rFonts w:ascii="Arial" w:cs="Arial" w:eastAsia="Arial" w:hAnsi="Arial"/>
                <w:sz w:val="13"/>
                <w:szCs w:val="13"/>
                <w:color w:val="auto"/>
              </w:rPr>
              <w:t>Title:</w:t>
            </w:r>
          </w:p>
        </w:tc>
        <w:tc>
          <w:tcPr>
            <w:tcW w:w="4020" w:type="dxa"/>
            <w:vAlign w:val="bottom"/>
          </w:tcPr>
          <w:p>
            <w:pPr>
              <w:ind w:left="260"/>
              <w:spacing w:after="0"/>
              <w:rPr>
                <w:sz w:val="20"/>
                <w:szCs w:val="20"/>
                <w:color w:val="auto"/>
              </w:rPr>
            </w:pPr>
            <w:r>
              <w:rPr>
                <w:rFonts w:ascii="Arial" w:cs="Arial" w:eastAsia="Arial" w:hAnsi="Arial"/>
                <w:sz w:val="13"/>
                <w:szCs w:val="13"/>
                <w:color w:val="auto"/>
              </w:rPr>
              <w:t>Chief Financial Officer</w:t>
            </w:r>
          </w:p>
        </w:tc>
      </w:tr>
      <w:tr>
        <w:trPr>
          <w:trHeight w:val="160"/>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4020" w:type="dxa"/>
            <w:vAlign w:val="bottom"/>
          </w:tcPr>
          <w:p>
            <w:pPr>
              <w:ind w:left="260"/>
              <w:spacing w:after="0"/>
              <w:rPr>
                <w:sz w:val="20"/>
                <w:szCs w:val="20"/>
                <w:color w:val="auto"/>
              </w:rPr>
            </w:pPr>
            <w:r>
              <w:rPr>
                <w:rFonts w:ascii="Arial" w:cs="Arial" w:eastAsia="Arial" w:hAnsi="Arial"/>
                <w:sz w:val="13"/>
                <w:szCs w:val="13"/>
                <w:color w:val="auto"/>
              </w:rPr>
              <w:t>May 3, 2022</w:t>
            </w:r>
          </w:p>
        </w:tc>
      </w:tr>
    </w:tbl>
    <w:p>
      <w:pPr>
        <w:spacing w:after="0" w:line="14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foregoing certification is being furnished solely pursuant to 18 U.S.C. §1350 and is not being filed as part of the Report or as a separate disclosure document.</w:t>
      </w:r>
    </w:p>
    <w:sectPr>
      <w:pgSz w:w="11900" w:h="16838" w:orient="portrait"/>
      <w:cols w:equalWidth="0" w:num="1">
        <w:col w:w="11300"/>
      </w:cols>
      <w:pgMar w:left="300"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1"/>
      <w:numFmt w:val="decimal"/>
      <w:start w:val="1"/>
    </w:lvl>
    <w:lvl w:ilvl="1">
      <w:lvlJc w:val="left"/>
      <w:lvlText w:val="(%2)"/>
      <w:numFmt w:val="lowerLetter"/>
      <w:start w:val="1"/>
    </w:lvl>
  </w:abstractNum>
  <w:abstractNum w:abstractNumId="4">
    <w:nsid w:val="74DE0EE3"/>
    <w:multiLevelType w:val="hybridMultilevel"/>
    <w:lvl w:ilvl="0">
      <w:lvlJc w:val="left"/>
      <w:lvlText w:val="(%1)"/>
      <w:numFmt w:val="decimal"/>
      <w:start w:val="1"/>
    </w:lvl>
    <w:lvl w:ilvl="1">
      <w:lvlJc w:val="left"/>
      <w:lvlText w:val="%2"/>
      <w:numFmt w:val="lowerLetter"/>
      <w:start w:val="1"/>
    </w:lvl>
  </w:abstractNum>
  <w:abstractNum w:abstractNumId="5">
    <w:nsid w:val="68EBC550"/>
    <w:multiLevelType w:val="hybridMultilevel"/>
    <w:lvl w:ilvl="0">
      <w:lvlJc w:val="left"/>
      <w:lvlText w:val="%1"/>
      <w:numFmt w:val="decimal"/>
      <w:start w:val="1"/>
    </w:lvl>
    <w:lvl w:ilvl="1">
      <w:lvlJc w:val="left"/>
      <w:lvlText w:val="(%2)"/>
      <w:numFmt w:val="lowerLetter"/>
      <w:start w:val="1"/>
    </w:lvl>
  </w:abstractNum>
  <w:abstractNum w:abstractNumId="6">
    <w:nsid w:val="2DF6D648"/>
    <w:multiLevelType w:val="hybridMultilevel"/>
    <w:lvl w:ilvl="0">
      <w:lvlJc w:val="left"/>
      <w:lvlText w:val="(%1)"/>
      <w:numFmt w:val="decimal"/>
      <w:start w:val="7"/>
    </w:lvl>
    <w:lvl w:ilvl="1">
      <w:lvlJc w:val="left"/>
      <w:lvlText w:val="%2"/>
      <w:numFmt w:val="lowerLetter"/>
      <w:start w:val="1"/>
    </w:lvl>
  </w:abstractNum>
  <w:abstractNum w:abstractNumId="7">
    <w:nsid w:val="46B7D447"/>
    <w:multiLevelType w:val="hybridMultilevel"/>
    <w:lvl w:ilvl="0">
      <w:lvlJc w:val="left"/>
      <w:lvlText w:val="%1"/>
      <w:numFmt w:val="decimal"/>
      <w:start w:val="1"/>
    </w:lvl>
    <w:lvl w:ilvl="1">
      <w:lvlJc w:val="left"/>
      <w:lvlText w:val="(%2)"/>
      <w:numFmt w:val="lowerLetter"/>
      <w:start w:val="1"/>
    </w:lvl>
  </w:abstractNum>
  <w:abstractNum w:abstractNumId="8">
    <w:nsid w:val="4A2AC315"/>
    <w:multiLevelType w:val="hybridMultilevel"/>
    <w:lvl w:ilvl="0">
      <w:lvlJc w:val="left"/>
      <w:lvlText w:val="(%1)"/>
      <w:numFmt w:val="decimal"/>
      <w:start w:val="8"/>
    </w:lvl>
    <w:lvl w:ilvl="1">
      <w:lvlJc w:val="left"/>
      <w:lvlText w:val="%2"/>
      <w:numFmt w:val="lowerLetter"/>
      <w:start w:val="1"/>
    </w:lvl>
  </w:abstractNum>
  <w:abstractNum w:abstractNumId="9">
    <w:nsid w:val="39EE015C"/>
    <w:multiLevelType w:val="hybridMultilevel"/>
    <w:lvl w:ilvl="0">
      <w:lvlJc w:val="left"/>
      <w:lvlText w:val="%1"/>
      <w:numFmt w:val="decimal"/>
      <w:start w:val="1"/>
    </w:lvl>
    <w:lvl w:ilvl="1">
      <w:lvlJc w:val="left"/>
      <w:lvlText w:val="(%2)"/>
      <w:numFmt w:val="lowerLetter"/>
      <w:start w:val="1"/>
    </w:lvl>
  </w:abstractNum>
  <w:abstractNum w:abstractNumId="10">
    <w:nsid w:val="57FC4FBB"/>
    <w:multiLevelType w:val="hybridMultilevel"/>
    <w:lvl w:ilvl="0">
      <w:lvlJc w:val="left"/>
      <w:lvlText w:val="(%1)"/>
      <w:numFmt w:val="decimal"/>
      <w:start w:val="1"/>
    </w:lvl>
    <w:lvl w:ilvl="1">
      <w:lvlJc w:val="left"/>
      <w:lvlText w:val="%2"/>
      <w:numFmt w:val="lowerLetter"/>
      <w:start w:val="1"/>
    </w:lvl>
  </w:abstractNum>
  <w:abstractNum w:abstractNumId="11">
    <w:nsid w:val="CC1016F"/>
    <w:multiLevelType w:val="hybridMultilevel"/>
    <w:lvl w:ilvl="0">
      <w:lvlJc w:val="left"/>
      <w:lvlText w:val="(%1)"/>
      <w:numFmt w:val="decimal"/>
      <w:start w:val="5"/>
    </w:lvl>
  </w:abstractNum>
  <w:abstractNum w:abstractNumId="12">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3">
    <w:nsid w:val="60EF011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4">
    <w:nsid w:val="26F324BA"/>
    <w:multiLevelType w:val="hybridMultilevel"/>
    <w:lvl w:ilvl="0">
      <w:lvlJc w:val="left"/>
      <w:lvlText w:val="%1"/>
      <w:numFmt w:val="decimal"/>
      <w:start w:val="1"/>
    </w:lvl>
    <w:lvl w:ilvl="1">
      <w:lvlJc w:val="left"/>
      <w:lvlText w:val="(%2)"/>
      <w:numFmt w:val="lowerLetter"/>
      <w:start w:val="1"/>
    </w:lvl>
  </w:abstractNum>
  <w:abstractNum w:abstractNumId="15">
    <w:nsid w:val="7F01579B"/>
    <w:multiLevelType w:val="hybridMultilevel"/>
    <w:lvl w:ilvl="0">
      <w:lvlJc w:val="left"/>
      <w:lvlText w:val="(%1)"/>
      <w:numFmt w:val="decimal"/>
      <w:start w:val="8"/>
    </w:lvl>
    <w:lvl w:ilvl="1">
      <w:lvlJc w:val="left"/>
      <w:lvlText w:val="%2"/>
      <w:numFmt w:val="lowerLetter"/>
      <w:start w:val="1"/>
    </w:lvl>
  </w:abstractNum>
  <w:abstractNum w:abstractNumId="16">
    <w:nsid w:val="49DA307D"/>
    <w:multiLevelType w:val="hybridMultilevel"/>
    <w:lvl w:ilvl="0">
      <w:lvlJc w:val="left"/>
      <w:lvlText w:val="(%1)"/>
      <w:numFmt w:val="decimal"/>
      <w:start w:val="10"/>
    </w:lvl>
  </w:abstractNum>
  <w:abstractNum w:abstractNumId="17">
    <w:nsid w:val="7055A5F5"/>
    <w:multiLevelType w:val="hybridMultilevel"/>
    <w:lvl w:ilvl="0">
      <w:lvlJc w:val="left"/>
      <w:lvlText w:val="(%1)"/>
      <w:numFmt w:val="decimal"/>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1)"/>
      <w:numFmt w:val="lowerRoman"/>
      <w:start w:val="1"/>
    </w:lvl>
  </w:abstractNum>
  <w:abstractNum w:abstractNumId="21">
    <w:nsid w:val="5FB8011C"/>
    <w:multiLevelType w:val="hybridMultilevel"/>
    <w:lvl w:ilvl="0">
      <w:lvlJc w:val="left"/>
      <w:lvlText w:val="(%1)"/>
      <w:numFmt w:val="decimal"/>
      <w:start w:val="1"/>
    </w:lvl>
  </w:abstractNum>
  <w:abstractNum w:abstractNumId="22">
    <w:nsid w:val="6AA78F7F"/>
    <w:multiLevelType w:val="hybridMultilevel"/>
    <w:lvl w:ilvl="0">
      <w:lvlJc w:val="left"/>
      <w:lvlText w:val="(%1)"/>
      <w:numFmt w:val="decimal"/>
      <w:start w:val="1"/>
    </w:lvl>
  </w:abstractNum>
  <w:abstractNum w:abstractNumId="23">
    <w:nsid w:val="7672BD23"/>
    <w:multiLevelType w:val="hybridMultilevel"/>
    <w:lvl w:ilvl="0">
      <w:lvlJc w:val="left"/>
      <w:lvlText w:val="(%1)"/>
      <w:numFmt w:val="decimal"/>
      <w:start w:val="1"/>
    </w:lvl>
  </w:abstractNum>
  <w:abstractNum w:abstractNumId="24">
    <w:nsid w:val="6FC75AF8"/>
    <w:multiLevelType w:val="hybridMultilevel"/>
    <w:lvl w:ilvl="0">
      <w:lvlJc w:val="left"/>
      <w:lvlText w:val="(%1)"/>
      <w:numFmt w:val="decimal"/>
      <w:start w:val="1"/>
    </w:lvl>
  </w:abstractNum>
  <w:abstractNum w:abstractNumId="25">
    <w:nsid w:val="6A5F7029"/>
    <w:multiLevelType w:val="hybridMultilevel"/>
    <w:lvl w:ilvl="0">
      <w:lvlJc w:val="left"/>
      <w:lvlText w:val="(%1)"/>
      <w:numFmt w:val="decimal"/>
      <w:start w:val="1"/>
    </w:lvl>
  </w:abstractNum>
  <w:abstractNum w:abstractNumId="26">
    <w:nsid w:val="7D5E18F8"/>
    <w:multiLevelType w:val="hybridMultilevel"/>
    <w:lvl w:ilvl="0">
      <w:lvlJc w:val="left"/>
      <w:lvlText w:val="(%1)"/>
      <w:numFmt w:val="decimal"/>
      <w:start w:val="1"/>
    </w:lvl>
  </w:abstractNum>
  <w:abstractNum w:abstractNumId="27">
    <w:nsid w:val="5F3534A4"/>
    <w:multiLevelType w:val="hybridMultilevel"/>
    <w:lvl w:ilvl="0">
      <w:lvlJc w:val="left"/>
      <w:lvlText w:val="(%1)"/>
      <w:numFmt w:val="decimal"/>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1)"/>
      <w:numFmt w:val="decimal"/>
      <w:start w:val="1"/>
    </w:lvl>
  </w:abstractNum>
  <w:abstractNum w:abstractNumId="30">
    <w:nsid w:val="555C55B5"/>
    <w:multiLevelType w:val="hybridMultilevel"/>
    <w:lvl w:ilvl="0">
      <w:lvlJc w:val="left"/>
      <w:lvlText w:val="(%1)"/>
      <w:numFmt w:val="decimal"/>
      <w:start w:val="2"/>
    </w:lvl>
  </w:abstractNum>
  <w:abstractNum w:abstractNumId="31">
    <w:nsid w:val="3FA62ACA"/>
    <w:multiLevelType w:val="hybridMultilevel"/>
    <w:lvl w:ilvl="0">
      <w:lvlJc w:val="left"/>
      <w:lvlText w:val="(%1)"/>
      <w:numFmt w:val="decimal"/>
      <w:start w:val="1"/>
    </w:lvl>
  </w:abstractNum>
  <w:abstractNum w:abstractNumId="32">
    <w:nsid w:val="14FCE74E"/>
    <w:multiLevelType w:val="hybridMultilevel"/>
    <w:lvl w:ilvl="0">
      <w:lvlJc w:val="left"/>
      <w:lvlText w:val="(%1)"/>
      <w:numFmt w:val="decimal"/>
      <w:start w:val="1"/>
    </w:lvl>
    <w:lvl w:ilvl="1">
      <w:lvlJc w:val="left"/>
      <w:lvlText w:val="(%2)"/>
      <w:numFmt w:val="decimal"/>
      <w:start w:val="3"/>
    </w:lvl>
  </w:abstractNum>
  <w:abstractNum w:abstractNumId="33">
    <w:nsid w:val="6A3DD3E8"/>
    <w:multiLevelType w:val="hybridMultilevel"/>
    <w:lvl w:ilvl="0">
      <w:lvlJc w:val="left"/>
      <w:lvlText w:val="(%1)"/>
      <w:numFmt w:val="decimal"/>
      <w:start w:val="4"/>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1)"/>
      <w:numFmt w:val="decimal"/>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1)"/>
      <w:numFmt w:val="decimal"/>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1)"/>
      <w:numFmt w:val="decimal"/>
      <w:start w:val="1"/>
    </w:lvl>
  </w:abstractNum>
  <w:abstractNum w:abstractNumId="44">
    <w:nsid w:val="97E1B4E"/>
    <w:multiLevelType w:val="hybridMultilevel"/>
    <w:lvl w:ilvl="0">
      <w:lvlJc w:val="left"/>
      <w:lvlText w:val="(%1)"/>
      <w:numFmt w:val="decimal"/>
      <w:start w:val="1"/>
    </w:lvl>
  </w:abstractNum>
  <w:abstractNum w:abstractNumId="45">
    <w:nsid w:val="51088277"/>
    <w:multiLevelType w:val="hybridMultilevel"/>
    <w:lvl w:ilvl="0">
      <w:lvlJc w:val="left"/>
      <w:lvlText w:val="•"/>
      <w:numFmt w:val="bullet"/>
      <w:start w:val="1"/>
    </w:lvl>
  </w:abstractNum>
  <w:abstractNum w:abstractNumId="46">
    <w:nsid w:val="1CA0C5FA"/>
    <w:multiLevelType w:val="hybridMultilevel"/>
    <w:lvl w:ilvl="0">
      <w:lvlJc w:val="left"/>
      <w:lvlText w:val="(%1)"/>
      <w:numFmt w:val="decimal"/>
      <w:start w:val="1"/>
    </w:lvl>
  </w:abstractNum>
  <w:abstractNum w:abstractNumId="47">
    <w:nsid w:val="53584BCB"/>
    <w:multiLevelType w:val="hybridMultilevel"/>
    <w:lvl w:ilvl="0">
      <w:lvlJc w:val="left"/>
      <w:lvlText w:val="•"/>
      <w:numFmt w:val="bullet"/>
      <w:start w:val="1"/>
    </w:lvl>
  </w:abstractNum>
  <w:abstractNum w:abstractNumId="48">
    <w:nsid w:val="415E286C"/>
    <w:multiLevelType w:val="hybridMultilevel"/>
    <w:lvl w:ilvl="0">
      <w:lvlJc w:val="left"/>
      <w:lvlText w:val="•"/>
      <w:numFmt w:val="bullet"/>
      <w:start w:val="1"/>
    </w:lvl>
  </w:abstractNum>
  <w:abstractNum w:abstractNumId="49">
    <w:nsid w:val="7C58FD05"/>
    <w:multiLevelType w:val="hybridMultilevel"/>
    <w:lvl w:ilvl="0">
      <w:lvlJc w:val="left"/>
      <w:lvlText w:val="•"/>
      <w:numFmt w:val="bullet"/>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1)"/>
      <w:numFmt w:val="decimal"/>
      <w:start w:val="1"/>
    </w:lvl>
  </w:abstractNum>
  <w:abstractNum w:abstractNumId="52">
    <w:nsid w:val="5C10FE21"/>
    <w:multiLevelType w:val="hybridMultilevel"/>
    <w:lvl w:ilvl="0">
      <w:lvlJc w:val="left"/>
      <w:lvlText w:val="(%1)"/>
      <w:numFmt w:val="lowerLetter"/>
      <w:start w:val="1"/>
    </w:lvl>
  </w:abstractNum>
  <w:abstractNum w:abstractNumId="53">
    <w:nsid w:val="E7FFA2B"/>
    <w:multiLevelType w:val="hybridMultilevel"/>
    <w:lvl w:ilvl="0">
      <w:lvlJc w:val="left"/>
      <w:lvlText w:val="%1"/>
      <w:numFmt w:val="decimal"/>
      <w:start w:val="32"/>
    </w:lvl>
  </w:abstractNum>
  <w:abstractNum w:abstractNumId="54">
    <w:nsid w:val="3C5991AA"/>
    <w:multiLevelType w:val="hybridMultilevel"/>
    <w:lvl w:ilvl="0">
      <w:lvlJc w:val="left"/>
      <w:lvlText w:val="(%1)"/>
      <w:numFmt w:val="lowerLetter"/>
      <w:start w:val="1"/>
    </w:lvl>
  </w:abstractNum>
  <w:abstractNum w:abstractNumId="55">
    <w:nsid w:val="4BD8591A"/>
    <w:multiLevelType w:val="hybridMultilevel"/>
    <w:lvl w:ilvl="0">
      <w:lvlJc w:val="left"/>
      <w:lvlText w:val="(%1)"/>
      <w:numFmt w:val="lowerLetter"/>
      <w:start w:val="2"/>
    </w:lvl>
  </w:abstractNum>
  <w:abstractNum w:abstractNumId="56">
    <w:nsid w:val="78DF6A55"/>
    <w:multiLevelType w:val="hybridMultilevel"/>
    <w:lvl w:ilvl="0">
      <w:lvlJc w:val="left"/>
      <w:lvlText w:val="(%1)"/>
      <w:numFmt w:val="lowerRoman"/>
      <w:start w:val="2"/>
    </w:lvl>
  </w:abstractNum>
  <w:abstractNum w:abstractNumId="57">
    <w:nsid w:val="39B7AAA2"/>
    <w:multiLevelType w:val="hybridMultilevel"/>
    <w:lvl w:ilvl="0">
      <w:lvlJc w:val="left"/>
      <w:lvlText w:val="(%1)"/>
      <w:numFmt w:val="decimal"/>
      <w:start w:val="1"/>
    </w:lvl>
  </w:abstractNum>
  <w:abstractNum w:abstractNumId="58">
    <w:nsid w:val="2B0D8DBE"/>
    <w:multiLevelType w:val="hybridMultilevel"/>
    <w:lvl w:ilvl="0">
      <w:lvlJc w:val="left"/>
      <w:lvlText w:val="(%1)"/>
      <w:numFmt w:val="decimal"/>
      <w:start w:val="1"/>
    </w:lvl>
  </w:abstractNum>
  <w:abstractNum w:abstractNumId="59">
    <w:nsid w:val="6C80EC70"/>
    <w:multiLevelType w:val="hybridMultilevel"/>
    <w:lvl w:ilvl="0">
      <w:lvlJc w:val="left"/>
      <w:lvlText w:val="(%1)"/>
      <w:numFmt w:val="lowerLetter"/>
      <w:start w:val="1"/>
    </w:lvl>
  </w:abstractNum>
  <w:abstractNum w:abstractNumId="60">
    <w:nsid w:val="379E21B5"/>
    <w:multiLevelType w:val="hybridMultilevel"/>
    <w:lvl w:ilvl="0">
      <w:lvlJc w:val="left"/>
      <w:lvlText w:val="(%1)"/>
      <w:numFmt w:val="lowerLetter"/>
      <w:start w:val="2"/>
    </w:lvl>
  </w:abstractNum>
  <w:abstractNum w:abstractNumId="61">
    <w:nsid w:val="69E373"/>
    <w:multiLevelType w:val="hybridMultilevel"/>
    <w:lvl w:ilvl="0">
      <w:lvlJc w:val="left"/>
      <w:lvlText w:val="(%1)"/>
      <w:numFmt w:val="decimal"/>
      <w:start w:val="2"/>
    </w:lvl>
  </w:abstractNum>
  <w:abstractNum w:abstractNumId="62">
    <w:nsid w:val="2C27173B"/>
    <w:multiLevelType w:val="hybridMultilevel"/>
    <w:lvl w:ilvl="0">
      <w:lvlJc w:val="left"/>
      <w:lvlText w:val="(%1)"/>
      <w:numFmt w:val="decimal"/>
      <w:start w:val="1"/>
    </w:lvl>
  </w:abstractNum>
  <w:abstractNum w:abstractNumId="63">
    <w:nsid w:val="4C9B0904"/>
    <w:multiLevelType w:val="hybridMultilevel"/>
    <w:lvl w:ilvl="0">
      <w:lvlJc w:val="left"/>
      <w:lvlText w:val="(%1)"/>
      <w:numFmt w:val="decimal"/>
      <w:start w:val="3"/>
    </w:lvl>
  </w:abstractNum>
  <w:abstractNum w:abstractNumId="64">
    <w:nsid w:val="6AA7B75C"/>
    <w:multiLevelType w:val="hybridMultilevel"/>
    <w:lvl w:ilvl="0">
      <w:lvlJc w:val="left"/>
      <w:lvlText w:val="%1"/>
      <w:numFmt w:val="lowerLetter"/>
      <w:start w:val="1"/>
    </w:lvl>
    <w:lvl w:ilvl="1">
      <w:lvlJc w:val="left"/>
      <w:lvlText w:val="(%2)"/>
      <w:numFmt w:val="lowerLetter"/>
      <w:start w:val="1"/>
    </w:lvl>
  </w:abstractNum>
  <w:abstractNum w:abstractNumId="65">
    <w:nsid w:val="1DF029D3"/>
    <w:multiLevelType w:val="hybridMultilevel"/>
    <w:lvl w:ilvl="0">
      <w:lvlJc w:val="left"/>
      <w:lvlText w:val="(%1)"/>
      <w:numFmt w:val="lowerLetter"/>
      <w:start w:val="9"/>
    </w:lvl>
    <w:lvl w:ilvl="1">
      <w:lvlJc w:val="left"/>
      <w:lvlText w:val="(%2)"/>
      <w:numFmt w:val="lowerLetter"/>
      <w:start w:val="4"/>
    </w:lvl>
  </w:abstractNum>
  <w:abstractNum w:abstractNumId="66">
    <w:nsid w:val="5675FF36"/>
    <w:multiLevelType w:val="hybridMultilevel"/>
    <w:lvl w:ilvl="0">
      <w:lvlJc w:val="left"/>
      <w:lvlText w:val="(%1)"/>
      <w:numFmt w:val="lowerLetter"/>
      <w:start w:val="5"/>
    </w:lvl>
  </w:abstractNum>
  <w:abstractNum w:abstractNumId="67">
    <w:nsid w:val="3DD15094"/>
    <w:multiLevelType w:val="hybridMultilevel"/>
    <w:lvl w:ilvl="0">
      <w:lvlJc w:val="left"/>
      <w:lvlText w:val="(%1)"/>
      <w:numFmt w:val="lowerRoman"/>
      <w:start w:val="2"/>
    </w:lvl>
  </w:abstractNum>
  <w:abstractNum w:abstractNumId="68">
    <w:nsid w:val="3DB012B3"/>
    <w:multiLevelType w:val="hybridMultilevel"/>
    <w:lvl w:ilvl="0">
      <w:lvlJc w:val="left"/>
      <w:lvlText w:val="(%1)"/>
      <w:numFmt w:val="lowerRoman"/>
      <w:start w:val="2"/>
    </w:lvl>
  </w:abstractNum>
  <w:abstractNum w:abstractNumId="69">
    <w:nsid w:val="2708C9AF"/>
    <w:multiLevelType w:val="hybridMultilevel"/>
    <w:lvl w:ilvl="0">
      <w:lvlJc w:val="left"/>
      <w:lvlText w:val="(%1)"/>
      <w:numFmt w:val="lowerLetter"/>
      <w:start w:val="2"/>
    </w:lvl>
  </w:abstractNum>
  <w:abstractNum w:abstractNumId="70">
    <w:nsid w:val="5B25ACE2"/>
    <w:multiLevelType w:val="hybridMultilevel"/>
    <w:lvl w:ilvl="0">
      <w:lvlJc w:val="left"/>
      <w:lvlText w:val="(%1)"/>
      <w:numFmt w:val="lowerLetter"/>
      <w:start w:val="1"/>
    </w:lvl>
  </w:abstractNum>
  <w:abstractNum w:abstractNumId="71">
    <w:nsid w:val="175DFCF0"/>
    <w:multiLevelType w:val="hybridMultilevel"/>
    <w:lvl w:ilvl="0">
      <w:lvlJc w:val="left"/>
      <w:lvlText w:val="(%1)"/>
      <w:numFmt w:val="lowerLetter"/>
      <w:start w:val="1"/>
    </w:lvl>
  </w:abstractNum>
  <w:abstractNum w:abstractNumId="72">
    <w:nsid w:val="4F97E3E4"/>
    <w:multiLevelType w:val="hybridMultilevel"/>
    <w:lvl w:ilvl="0">
      <w:lvlJc w:val="left"/>
      <w:lvlText w:val="(%1)"/>
      <w:numFmt w:val="lowerLetter"/>
      <w:start w:val="4"/>
    </w:lvl>
  </w:abstractNum>
  <w:abstractNum w:abstractNumId="73">
    <w:nsid w:val="53B0A9E"/>
    <w:multiLevelType w:val="hybridMultilevel"/>
    <w:lvl w:ilvl="0">
      <w:lvlJc w:val="left"/>
      <w:lvlText w:val="(%1)"/>
      <w:numFmt w:val="lowerLetter"/>
      <w:start w:val="1"/>
    </w:lvl>
  </w:abstractNum>
  <w:abstractNum w:abstractNumId="74">
    <w:nsid w:val="34FD6B4F"/>
    <w:multiLevelType w:val="hybridMultilevel"/>
    <w:lvl w:ilvl="0">
      <w:lvlJc w:val="left"/>
      <w:lvlText w:val="%1"/>
      <w:numFmt w:val="lowerLetter"/>
      <w:start w:val="1"/>
    </w:lvl>
    <w:lvl w:ilvl="1">
      <w:lvlJc w:val="left"/>
      <w:lvlText w:val="(%2)"/>
      <w:numFmt w:val="lowerLetter"/>
      <w:start w:val="2"/>
    </w:lvl>
  </w:abstractNum>
  <w:abstractNum w:abstractNumId="75">
    <w:nsid w:val="5915FF32"/>
    <w:multiLevelType w:val="hybridMultilevel"/>
    <w:lvl w:ilvl="0">
      <w:lvlJc w:val="left"/>
      <w:lvlText w:val="(%1)"/>
      <w:numFmt w:val="lowerLetter"/>
      <w:start w:val="35"/>
    </w:lvl>
    <w:lvl w:ilvl="1">
      <w:lvlJc w:val="left"/>
      <w:lvlText w:val="%2"/>
      <w:numFmt w:val="lowerLetter"/>
      <w:start w:val="1"/>
    </w:lvl>
  </w:abstractNum>
  <w:abstractNum w:abstractNumId="76">
    <w:nsid w:val="56438D15"/>
    <w:multiLevelType w:val="hybridMultilevel"/>
    <w:lvl w:ilvl="0">
      <w:lvlJc w:val="left"/>
      <w:lvlText w:val="%1"/>
      <w:numFmt w:val="upperLetter"/>
      <w:start w:val="1"/>
    </w:lvl>
    <w:lvl w:ilvl="1">
      <w:lvlJc w:val="left"/>
      <w:lvlText w:val="(%2)"/>
      <w:numFmt w:val="lowerLetter"/>
      <w:start w:val="1"/>
    </w:lvl>
  </w:abstractNum>
  <w:abstractNum w:abstractNumId="77">
    <w:nsid w:val="519E3149"/>
    <w:multiLevelType w:val="hybridMultilevel"/>
    <w:lvl w:ilvl="0">
      <w:lvlJc w:val="left"/>
      <w:lvlText w:val="(%1)"/>
      <w:numFmt w:val="upperLetter"/>
      <w:start w:val="2"/>
    </w:lvl>
    <w:lvl w:ilvl="1">
      <w:lvlJc w:val="left"/>
      <w:lvlText w:val="(%2)"/>
      <w:numFmt w:val="lowerLetter"/>
      <w:start w:val="2"/>
    </w:lvl>
  </w:abstractNum>
  <w:abstractNum w:abstractNumId="78">
    <w:nsid w:val="2C6E4AFD"/>
    <w:multiLevelType w:val="hybridMultilevel"/>
    <w:lvl w:ilvl="0">
      <w:lvlJc w:val="left"/>
      <w:lvlText w:val="(%1)"/>
      <w:numFmt w:val="upperLetter"/>
      <w:start w:val="2"/>
    </w:lvl>
    <w:lvl w:ilvl="1">
      <w:lvlJc w:val="left"/>
      <w:lvlText w:val="%2"/>
      <w:numFmt w:val="lowerLetter"/>
      <w:start w:val="1"/>
    </w:lvl>
  </w:abstractNum>
  <w:abstractNum w:abstractNumId="79">
    <w:nsid w:val="17A1B582"/>
    <w:multiLevelType w:val="hybridMultilevel"/>
    <w:lvl w:ilvl="0">
      <w:lvlJc w:val="left"/>
      <w:lvlText w:val="(%1)"/>
      <w:numFmt w:val="lowerLetter"/>
      <w:start w:val="4"/>
    </w:lvl>
  </w:abstractNum>
  <w:abstractNum w:abstractNumId="80">
    <w:nsid w:val="4DF72E4E"/>
    <w:multiLevelType w:val="hybridMultilevel"/>
    <w:lvl w:ilvl="0">
      <w:lvlJc w:val="left"/>
      <w:lvlText w:val="(%1)"/>
      <w:numFmt w:val="lowerLetter"/>
      <w:start w:val="1"/>
    </w:lvl>
  </w:abstractNum>
  <w:abstractNum w:abstractNumId="81">
    <w:nsid w:val="5046B5A9"/>
    <w:multiLevelType w:val="hybridMultilevel"/>
    <w:lvl w:ilvl="0">
      <w:lvlJc w:val="left"/>
      <w:lvlText w:val="(%1)"/>
      <w:numFmt w:val="lowerLetter"/>
      <w:start w:val="2"/>
    </w:lvl>
  </w:abstractNum>
  <w:abstractNum w:abstractNumId="82">
    <w:nsid w:val="5D888A08"/>
    <w:multiLevelType w:val="hybridMultilevel"/>
    <w:lvl w:ilvl="0">
      <w:lvlJc w:val="left"/>
      <w:lvlText w:val="(%1)"/>
      <w:numFmt w:val="lowerRoman"/>
      <w:start w:val="2"/>
    </w:lvl>
  </w:abstractNum>
  <w:abstractNum w:abstractNumId="83">
    <w:nsid w:val="2A082C70"/>
    <w:multiLevelType w:val="hybridMultilevel"/>
    <w:lvl w:ilvl="0">
      <w:lvlJc w:val="left"/>
      <w:lvlText w:val="%1"/>
      <w:numFmt w:val="lowerLetter"/>
      <w:start w:val="1"/>
    </w:lvl>
    <w:lvl w:ilvl="1">
      <w:lvlJc w:val="left"/>
      <w:lvlText w:val="(%2)"/>
      <w:numFmt w:val="lowerLetter"/>
      <w:start w:val="1"/>
    </w:lvl>
  </w:abstractNum>
  <w:abstractNum w:abstractNumId="84">
    <w:nsid w:val="5EC6AFD4"/>
    <w:multiLevelType w:val="hybridMultilevel"/>
    <w:lvl w:ilvl="0">
      <w:lvlJc w:val="left"/>
      <w:lvlText w:val="(%1)"/>
      <w:numFmt w:val="lowerLetter"/>
      <w:start w:val="35"/>
    </w:lvl>
    <w:lvl w:ilvl="1">
      <w:lvlJc w:val="left"/>
      <w:lvlText w:val="%2"/>
      <w:numFmt w:val="lowerLetter"/>
      <w:start w:val="1"/>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
      <w:numFmt w:val="bullet"/>
      <w:start w:val="1"/>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1)"/>
      <w:numFmt w:val="lowerRoman"/>
      <w:start w:val="2"/>
    </w:lvl>
  </w:abstractNum>
  <w:abstractNum w:abstractNumId="90">
    <w:nsid w:val="4427069A"/>
    <w:multiLevelType w:val="hybridMultilevel"/>
    <w:lvl w:ilvl="0">
      <w:lvlJc w:val="left"/>
      <w:lvlText w:val="(%1)"/>
      <w:numFmt w:val="lowerRoman"/>
      <w:start w:val="5"/>
    </w:lvl>
  </w:abstractNum>
  <w:abstractNum w:abstractNumId="91">
    <w:nsid w:val="B37E80A"/>
    <w:multiLevelType w:val="hybridMultilevel"/>
    <w:lvl w:ilvl="0">
      <w:lvlJc w:val="left"/>
      <w:lvlText w:val="(%1)"/>
      <w:numFmt w:val="lowerLetter"/>
      <w:start w:val="24"/>
    </w:lvl>
  </w:abstractNum>
  <w:abstractNum w:abstractNumId="92">
    <w:nsid w:val="2157F6BC"/>
    <w:multiLevelType w:val="hybridMultilevel"/>
    <w:lvl w:ilvl="0">
      <w:lvlJc w:val="left"/>
      <w:lvlText w:val="(%1)"/>
      <w:numFmt w:val="lowerRoman"/>
      <w:start w:val="1"/>
    </w:lvl>
  </w:abstractNum>
  <w:abstractNum w:abstractNumId="93">
    <w:nsid w:val="704E1DD5"/>
    <w:multiLevelType w:val="hybridMultilevel"/>
    <w:lvl w:ilvl="0">
      <w:lvlJc w:val="left"/>
      <w:lvlText w:val="(%1)"/>
      <w:numFmt w:val="upperLetter"/>
      <w:start w:val="9"/>
    </w:lvl>
  </w:abstractNum>
  <w:abstractNum w:abstractNumId="94">
    <w:nsid w:val="57D2F10E"/>
    <w:multiLevelType w:val="hybridMultilevel"/>
    <w:lvl w:ilvl="0">
      <w:lvlJc w:val="left"/>
      <w:lvlText w:val="(%1)"/>
      <w:numFmt w:val="lowerRoman"/>
      <w:start w:val="1"/>
    </w:lvl>
  </w:abstractNum>
  <w:abstractNum w:abstractNumId="95">
    <w:nsid w:val="BFFAE18"/>
    <w:multiLevelType w:val="hybridMultilevel"/>
    <w:lvl w:ilvl="0">
      <w:lvlJc w:val="left"/>
      <w:lvlText w:val="(%1)"/>
      <w:numFmt w:val="lowerLetter"/>
      <w:start w:val="2"/>
    </w:lvl>
  </w:abstractNum>
  <w:abstractNum w:abstractNumId="96">
    <w:nsid w:val="E3E47A8"/>
    <w:multiLevelType w:val="hybridMultilevel"/>
    <w:lvl w:ilvl="0">
      <w:lvlJc w:val="left"/>
      <w:lvlText w:val="."/>
      <w:numFmt w:val="bullet"/>
      <w:start w:val="1"/>
    </w:lvl>
  </w:abstractNum>
  <w:abstractNum w:abstractNumId="97">
    <w:nsid w:val="2E48F044"/>
    <w:multiLevelType w:val="hybridMultilevel"/>
    <w:lvl w:ilvl="0">
      <w:lvlJc w:val="left"/>
      <w:lvlText w:val="(%1)"/>
      <w:numFmt w:val="lowerLetter"/>
      <w:start w:val="23"/>
    </w:lvl>
  </w:abstractNum>
  <w:abstractNum w:abstractNumId="98">
    <w:nsid w:val="49D0FEAC"/>
    <w:multiLevelType w:val="hybridMultilevel"/>
    <w:lvl w:ilvl="0">
      <w:lvlJc w:val="left"/>
      <w:lvlText w:val="(%1)"/>
      <w:numFmt w:val="lowerLetter"/>
      <w:start w:val="26"/>
    </w:lvl>
  </w:abstractNum>
  <w:abstractNum w:abstractNumId="99">
    <w:nsid w:val="4BEE5A5B"/>
    <w:multiLevelType w:val="hybridMultilevel"/>
    <w:lvl w:ilvl="0">
      <w:lvlJc w:val="left"/>
      <w:lvlText w:val="(%1)"/>
      <w:numFmt w:val="lowerRoman"/>
      <w:start w:val="1"/>
    </w:lvl>
  </w:abstractNum>
  <w:abstractNum w:abstractNumId="100">
    <w:nsid w:val="5551B9F3"/>
    <w:multiLevelType w:val="hybridMultilevel"/>
    <w:lvl w:ilvl="0">
      <w:lvlJc w:val="left"/>
      <w:lvlText w:val="(%1)"/>
      <w:numFmt w:val="lowerRoman"/>
      <w:start w:val="2"/>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
      <w:numFmt w:val="bullet"/>
      <w:start w:val="1"/>
    </w:lvl>
  </w:abstractNum>
  <w:abstractNum w:abstractNumId="104">
    <w:nsid w:val="2A31B62D"/>
    <w:multiLevelType w:val="hybridMultilevel"/>
    <w:lvl w:ilvl="0">
      <w:lvlJc w:val="left"/>
      <w:lvlText w:val="."/>
      <w:numFmt w:val="bullet"/>
      <w:start w:val="1"/>
    </w:lvl>
  </w:abstractNum>
  <w:abstractNum w:abstractNumId="105">
    <w:nsid w:val="1849C29B"/>
    <w:multiLevelType w:val="hybridMultilevel"/>
    <w:lvl w:ilvl="0">
      <w:lvlJc w:val="left"/>
      <w:lvlText w:val="."/>
      <w:numFmt w:val="bullet"/>
      <w:start w:val="1"/>
    </w:lvl>
  </w:abstractNum>
  <w:abstractNum w:abstractNumId="106">
    <w:nsid w:val="7DFF9D09"/>
    <w:multiLevelType w:val="hybridMultilevel"/>
    <w:lvl w:ilvl="0">
      <w:lvlJc w:val="left"/>
      <w:lvlText w:val="."/>
      <w:numFmt w:val="bullet"/>
      <w:start w:val="1"/>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
      <w:numFmt w:val="bullet"/>
      <w:start w:val="1"/>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abstractNum>
  <w:abstractNum w:abstractNumId="111">
    <w:nsid w:val="37DF2233"/>
    <w:multiLevelType w:val="hybridMultilevel"/>
    <w:lvl w:ilvl="0">
      <w:lvlJc w:val="left"/>
      <w:lvlText w:val="."/>
      <w:numFmt w:val="bullet"/>
      <w:start w:val="1"/>
    </w:lvl>
  </w:abstractNum>
  <w:abstractNum w:abstractNumId="112">
    <w:nsid w:val="7AB49DAF"/>
    <w:multiLevelType w:val="hybridMultilevel"/>
    <w:lvl w:ilvl="0">
      <w:lvlJc w:val="left"/>
      <w:lvlText w:val="(%1)"/>
      <w:numFmt w:val="lowerRoman"/>
      <w:start w:val="2"/>
    </w:lvl>
  </w:abstractNum>
  <w:abstractNum w:abstractNumId="113">
    <w:nsid w:val="759F82CD"/>
    <w:multiLevelType w:val="hybridMultilevel"/>
    <w:lvl w:ilvl="0">
      <w:lvlJc w:val="left"/>
      <w:lvlText w:val="."/>
      <w:numFmt w:val="bullet"/>
      <w:start w:val="1"/>
    </w:lvl>
  </w:abstractNum>
  <w:abstractNum w:abstractNumId="114">
    <w:nsid w:val="61E74EA3"/>
    <w:multiLevelType w:val="hybridMultilevel"/>
    <w:lvl w:ilvl="0">
      <w:lvlJc w:val="left"/>
      <w:lvlText w:val="."/>
      <w:numFmt w:val="bullet"/>
      <w:start w:val="1"/>
    </w:lvl>
  </w:abstractNum>
  <w:abstractNum w:abstractNumId="115">
    <w:nsid w:val="597B4D84"/>
    <w:multiLevelType w:val="hybridMultilevel"/>
    <w:lvl w:ilvl="0">
      <w:lvlJc w:val="left"/>
      <w:lvlText w:val="."/>
      <w:numFmt w:val="bullet"/>
      <w:start w:val="1"/>
    </w:lvl>
  </w:abstractNum>
  <w:abstractNum w:abstractNumId="116">
    <w:nsid w:val="F819E7F"/>
    <w:multiLevelType w:val="hybridMultilevel"/>
    <w:lvl w:ilvl="0">
      <w:lvlJc w:val="left"/>
      <w:lvlText w:val="."/>
      <w:numFmt w:val="bullet"/>
      <w:start w:val="1"/>
    </w:lvl>
  </w:abstractNum>
  <w:abstractNum w:abstractNumId="117">
    <w:nsid w:val="57C7D42D"/>
    <w:multiLevelType w:val="hybridMultilevel"/>
    <w:lvl w:ilvl="0">
      <w:lvlJc w:val="left"/>
      <w:lvlText w:val="."/>
      <w:numFmt w:val="bullet"/>
      <w:start w:val="1"/>
    </w:lvl>
  </w:abstractNum>
  <w:abstractNum w:abstractNumId="118">
    <w:nsid w:val="312167AD"/>
    <w:multiLevelType w:val="hybridMultilevel"/>
    <w:lvl w:ilvl="0">
      <w:lvlJc w:val="left"/>
      <w:lvlText w:val="."/>
      <w:numFmt w:val="bullet"/>
      <w:start w:val="1"/>
    </w:lvl>
  </w:abstractNum>
  <w:abstractNum w:abstractNumId="119">
    <w:nsid w:val="631B64D4"/>
    <w:multiLevelType w:val="hybridMultilevel"/>
    <w:lvl w:ilvl="0">
      <w:lvlJc w:val="left"/>
      <w:lvlText w:val="."/>
      <w:numFmt w:val="bullet"/>
      <w:start w:val="1"/>
    </w:lvl>
  </w:abstractNum>
  <w:abstractNum w:abstractNumId="120">
    <w:nsid w:val="78B5E776"/>
    <w:multiLevelType w:val="hybridMultilevel"/>
    <w:lvl w:ilvl="0">
      <w:lvlJc w:val="left"/>
      <w:lvlText w:val="."/>
      <w:numFmt w:val="bullet"/>
      <w:start w:val="1"/>
    </w:lvl>
  </w:abstractNum>
  <w:abstractNum w:abstractNumId="121">
    <w:nsid w:val="75486E47"/>
    <w:multiLevelType w:val="hybridMultilevel"/>
    <w:lvl w:ilvl="0">
      <w:lvlJc w:val="left"/>
      <w:lvlText w:val="(%1)"/>
      <w:numFmt w:val="lowerLetter"/>
      <w:start w:val="23"/>
    </w:lvl>
  </w:abstractNum>
  <w:abstractNum w:abstractNumId="122">
    <w:nsid w:val="6E534CDE"/>
    <w:multiLevelType w:val="hybridMultilevel"/>
    <w:lvl w:ilvl="0">
      <w:lvlJc w:val="left"/>
      <w:lvlText w:val="(%1)"/>
      <w:numFmt w:val="lowerLetter"/>
      <w:start w:val="24"/>
    </w:lvl>
  </w:abstractNum>
  <w:abstractNum w:abstractNumId="123">
    <w:nsid w:val="1A0DDE32"/>
    <w:multiLevelType w:val="hybridMultilevel"/>
    <w:lvl w:ilvl="0">
      <w:lvlJc w:val="left"/>
      <w:lvlText w:val="(%1)"/>
      <w:numFmt w:val="lowerLetter"/>
      <w:start w:val="26"/>
    </w:lvl>
  </w:abstractNum>
  <w:abstractNum w:abstractNumId="124">
    <w:nsid w:val="65968C1C"/>
    <w:multiLevelType w:val="hybridMultilevel"/>
    <w:lvl w:ilvl="0">
      <w:lvlJc w:val="left"/>
      <w:lvlText w:val="(%1)"/>
      <w:numFmt w:val="lowerRoman"/>
      <w:start w:val="10"/>
    </w:lvl>
  </w:abstractNum>
  <w:abstractNum w:abstractNumId="125">
    <w:nsid w:val="46263DEC"/>
    <w:multiLevelType w:val="hybridMultilevel"/>
    <w:lvl w:ilvl="0">
      <w:lvlJc w:val="left"/>
      <w:lvlText w:val="(%1)"/>
      <w:numFmt w:val="lowerLetter"/>
      <w:start w:val="25"/>
    </w:lvl>
  </w:abstractNum>
  <w:abstractNum w:abstractNumId="126">
    <w:nsid w:val="260D8C4A"/>
    <w:multiLevelType w:val="hybridMultilevel"/>
    <w:lvl w:ilvl="0">
      <w:lvlJc w:val="left"/>
      <w:lvlText w:val="."/>
      <w:numFmt w:val="bullet"/>
      <w:start w:val="1"/>
    </w:lvl>
  </w:abstractNum>
  <w:abstractNum w:abstractNumId="127">
    <w:nsid w:val="73D4D3C4"/>
    <w:multiLevelType w:val="hybridMultilevel"/>
    <w:lvl w:ilvl="0">
      <w:lvlJc w:val="left"/>
      <w:lvlText w:val="."/>
      <w:numFmt w:val="bullet"/>
      <w:start w:val="1"/>
    </w:lvl>
  </w:abstractNum>
  <w:abstractNum w:abstractNumId="128">
    <w:nsid w:val="746F2E30"/>
    <w:multiLevelType w:val="hybridMultilevel"/>
    <w:lvl w:ilvl="0">
      <w:lvlJc w:val="left"/>
      <w:lvlText w:val="."/>
      <w:numFmt w:val="bullet"/>
      <w:start w:val="1"/>
    </w:lvl>
  </w:abstractNum>
  <w:abstractNum w:abstractNumId="129">
    <w:nsid w:val="6FDE8AF6"/>
    <w:multiLevelType w:val="hybridMultilevel"/>
    <w:lvl w:ilvl="0">
      <w:lvlJc w:val="left"/>
      <w:lvlText w:val="(%1)"/>
      <w:numFmt w:val="lowerRoman"/>
      <w:start w:val="2"/>
    </w:lvl>
  </w:abstractNum>
  <w:abstractNum w:abstractNumId="130">
    <w:nsid w:val="3FC32E20"/>
    <w:multiLevelType w:val="hybridMultilevel"/>
    <w:lvl w:ilvl="0">
      <w:lvlJc w:val="left"/>
      <w:lvlText w:val="."/>
      <w:numFmt w:val="bullet"/>
      <w:start w:val="1"/>
    </w:lvl>
  </w:abstractNum>
  <w:abstractNum w:abstractNumId="131">
    <w:nsid w:val="49C0E823"/>
    <w:multiLevelType w:val="hybridMultilevel"/>
    <w:lvl w:ilvl="0">
      <w:lvlJc w:val="left"/>
      <w:lvlText w:val="(%1)"/>
      <w:numFmt w:val="lowerLetter"/>
      <w:start w:val="6"/>
    </w:lvl>
  </w:abstractNum>
  <w:abstractNum w:abstractNumId="132">
    <w:nsid w:val="14D53685"/>
    <w:multiLevelType w:val="hybridMultilevel"/>
    <w:lvl w:ilvl="0">
      <w:lvlJc w:val="left"/>
      <w:lvlText w:val="."/>
      <w:numFmt w:val="bullet"/>
      <w:start w:val="1"/>
    </w:lvl>
  </w:abstractNum>
  <w:abstractNum w:abstractNumId="133">
    <w:nsid w:val="230F856C"/>
    <w:multiLevelType w:val="hybridMultilevel"/>
    <w:lvl w:ilvl="0">
      <w:lvlJc w:val="left"/>
      <w:lvlText w:val="(%1)"/>
      <w:numFmt w:val="lowerLetter"/>
      <w:start w:val="3"/>
    </w:lvl>
  </w:abstractNum>
  <w:abstractNum w:abstractNumId="134">
    <w:nsid w:val="6EAA85FB"/>
    <w:multiLevelType w:val="hybridMultilevel"/>
    <w:lvl w:ilvl="0">
      <w:lvlJc w:val="left"/>
      <w:lvlText w:val="."/>
      <w:numFmt w:val="bullet"/>
      <w:start w:val="1"/>
    </w:lvl>
  </w:abstractNum>
  <w:abstractNum w:abstractNumId="135">
    <w:nsid w:val="3F06ECB2"/>
    <w:multiLevelType w:val="hybridMultilevel"/>
    <w:lvl w:ilvl="0">
      <w:lvlJc w:val="left"/>
      <w:lvlText w:val="."/>
      <w:numFmt w:val="bullet"/>
      <w:start w:val="1"/>
    </w:lvl>
  </w:abstractNum>
  <w:abstractNum w:abstractNumId="136">
    <w:nsid w:val="3B594807"/>
    <w:multiLevelType w:val="hybridMultilevel"/>
    <w:lvl w:ilvl="0">
      <w:lvlJc w:val="left"/>
      <w:lvlText w:val="."/>
      <w:numFmt w:val="bullet"/>
      <w:start w:val="1"/>
    </w:lvl>
  </w:abstractNum>
  <w:abstractNum w:abstractNumId="137">
    <w:nsid w:val="6CAA2304"/>
    <w:multiLevelType w:val="hybridMultilevel"/>
    <w:lvl w:ilvl="0">
      <w:lvlJc w:val="left"/>
      <w:lvlText w:val="."/>
      <w:numFmt w:val="bullet"/>
      <w:start w:val="1"/>
    </w:lvl>
  </w:abstractNum>
  <w:abstractNum w:abstractNumId="138">
    <w:nsid w:val="3F7C2FF4"/>
    <w:multiLevelType w:val="hybridMultilevel"/>
    <w:lvl w:ilvl="0">
      <w:lvlJc w:val="left"/>
      <w:lvlText w:val="(%1)"/>
      <w:numFmt w:val="lowerLetter"/>
      <w:start w:val="2"/>
    </w:lvl>
  </w:abstractNum>
  <w:abstractNum w:abstractNumId="139">
    <w:nsid w:val="25413BEC"/>
    <w:multiLevelType w:val="hybridMultilevel"/>
    <w:lvl w:ilvl="0">
      <w:lvlJc w:val="left"/>
      <w:lvlText w:val="."/>
      <w:numFmt w:val="bullet"/>
      <w:start w:val="1"/>
    </w:lvl>
  </w:abstractNum>
  <w:abstractNum w:abstractNumId="140">
    <w:nsid w:val="17180B0B"/>
    <w:multiLevelType w:val="hybridMultilevel"/>
    <w:lvl w:ilvl="0">
      <w:lvlJc w:val="left"/>
      <w:lvlText w:val="(%1)"/>
      <w:numFmt w:val="lowerLetter"/>
      <w:start w:val="23"/>
    </w:lvl>
  </w:abstractNum>
  <w:abstractNum w:abstractNumId="141">
    <w:nsid w:val="579328B9"/>
    <w:multiLevelType w:val="hybridMultilevel"/>
    <w:lvl w:ilvl="0">
      <w:lvlJc w:val="left"/>
      <w:lvlText w:val="."/>
      <w:numFmt w:val="bullet"/>
      <w:start w:val="1"/>
    </w:lvl>
  </w:abstractNum>
  <w:abstractNum w:abstractNumId="142">
    <w:nsid w:val="5D205E20"/>
    <w:multiLevelType w:val="hybridMultilevel"/>
    <w:lvl w:ilvl="0">
      <w:lvlJc w:val="left"/>
      <w:lvlText w:val="."/>
      <w:numFmt w:val="bullet"/>
      <w:start w:val="1"/>
    </w:lvl>
  </w:abstractNum>
  <w:abstractNum w:abstractNumId="143">
    <w:nsid w:val="11CCA8BA"/>
    <w:multiLevelType w:val="hybridMultilevel"/>
    <w:lvl w:ilvl="0">
      <w:lvlJc w:val="left"/>
      <w:lvlText w:val="(%1)"/>
      <w:numFmt w:val="lowerLetter"/>
      <w:start w:val="1"/>
    </w:lvl>
  </w:abstractNum>
  <w:abstractNum w:abstractNumId="144">
    <w:nsid w:val="4D32AB86"/>
    <w:multiLevelType w:val="hybridMultilevel"/>
    <w:lvl w:ilvl="0">
      <w:lvlJc w:val="left"/>
      <w:lvlText w:val="(%1)"/>
      <w:numFmt w:val="lowerRoman"/>
      <w:start w:val="2"/>
    </w:lvl>
  </w:abstractNum>
  <w:abstractNum w:abstractNumId="145">
    <w:nsid w:val="3F07ACC3"/>
    <w:multiLevelType w:val="hybridMultilevel"/>
    <w:lvl w:ilvl="0">
      <w:lvlJc w:val="left"/>
      <w:lvlText w:val="."/>
      <w:numFmt w:val="bullet"/>
      <w:start w:val="1"/>
    </w:lvl>
  </w:abstractNum>
  <w:abstractNum w:abstractNumId="146">
    <w:nsid w:val="6B47F63E"/>
    <w:multiLevelType w:val="hybridMultilevel"/>
    <w:lvl w:ilvl="0">
      <w:lvlJc w:val="left"/>
      <w:lvlText w:val="."/>
      <w:numFmt w:val="bullet"/>
      <w:start w:val="1"/>
    </w:lvl>
  </w:abstractNum>
  <w:abstractNum w:abstractNumId="147">
    <w:nsid w:val="5CB44A05"/>
    <w:multiLevelType w:val="hybridMultilevel"/>
    <w:lvl w:ilvl="0">
      <w:lvlJc w:val="left"/>
      <w:lvlText w:val="."/>
      <w:numFmt w:val="bullet"/>
      <w:start w:val="1"/>
    </w:lvl>
  </w:abstractNum>
  <w:abstractNum w:abstractNumId="148">
    <w:nsid w:val="16CF80F1"/>
    <w:multiLevelType w:val="hybridMultilevel"/>
    <w:lvl w:ilvl="0">
      <w:lvlJc w:val="left"/>
      <w:lvlText w:val="."/>
      <w:numFmt w:val="bullet"/>
      <w:start w:val="1"/>
    </w:lvl>
  </w:abstractNum>
  <w:abstractNum w:abstractNumId="149">
    <w:nsid w:val="1C695DEC"/>
    <w:multiLevelType w:val="hybridMultilevel"/>
    <w:lvl w:ilvl="0">
      <w:lvlJc w:val="left"/>
      <w:lvlText w:val="."/>
      <w:numFmt w:val="bullet"/>
      <w:start w:val="1"/>
    </w:lvl>
  </w:abstractNum>
  <w:abstractNum w:abstractNumId="150">
    <w:nsid w:val="3FCFAED9"/>
    <w:multiLevelType w:val="hybridMultilevel"/>
    <w:lvl w:ilvl="0">
      <w:lvlJc w:val="left"/>
      <w:lvlText w:val="."/>
      <w:numFmt w:val="bullet"/>
      <w:start w:val="1"/>
    </w:lvl>
  </w:abstractNum>
  <w:abstractNum w:abstractNumId="151">
    <w:nsid w:val="F856867"/>
    <w:multiLevelType w:val="hybridMultilevel"/>
    <w:lvl w:ilvl="0">
      <w:lvlJc w:val="left"/>
      <w:lvlText w:val="."/>
      <w:numFmt w:val="bullet"/>
      <w:start w:val="1"/>
    </w:lvl>
  </w:abstractNum>
  <w:abstractNum w:abstractNumId="152">
    <w:nsid w:val="11B1CC33"/>
    <w:multiLevelType w:val="hybridMultilevel"/>
    <w:lvl w:ilvl="0">
      <w:lvlJc w:val="left"/>
      <w:lvlText w:val="."/>
      <w:numFmt w:val="bullet"/>
      <w:start w:val="1"/>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lowerLetter"/>
      <w:start w:val="1"/>
    </w:lvl>
  </w:abstractNum>
  <w:abstractNum w:abstractNumId="155">
    <w:nsid w:val="77485850"/>
    <w:multiLevelType w:val="hybridMultilevel"/>
    <w:lvl w:ilvl="0">
      <w:lvlJc w:val="left"/>
      <w:lvlText w:val="(%1)"/>
      <w:numFmt w:val="lowerLetter"/>
      <w:start w:val="2"/>
    </w:lvl>
  </w:abstractNum>
  <w:abstractNum w:abstractNumId="156">
    <w:nsid w:val="744939A3"/>
    <w:multiLevelType w:val="hybridMultilevel"/>
    <w:lvl w:ilvl="0">
      <w:lvlJc w:val="left"/>
      <w:lvlText w:val="(%1)"/>
      <w:numFmt w:val="lowerLetter"/>
      <w:start w:val="5"/>
    </w:lvl>
  </w:abstractNum>
  <w:abstractNum w:abstractNumId="157">
    <w:nsid w:val="4FA0D2E3"/>
    <w:multiLevelType w:val="hybridMultilevel"/>
    <w:lvl w:ilvl="0">
      <w:lvlJc w:val="left"/>
      <w:lvlText w:val="(%1)"/>
      <w:numFmt w:val="lowerRoman"/>
      <w:start w:val="1"/>
    </w:lvl>
  </w:abstractNum>
  <w:abstractNum w:abstractNumId="158">
    <w:nsid w:val="6B1D2C14"/>
    <w:multiLevelType w:val="hybridMultilevel"/>
    <w:lvl w:ilvl="0">
      <w:lvlJc w:val="left"/>
      <w:lvlText w:val="."/>
      <w:numFmt w:val="bullet"/>
      <w:start w:val="1"/>
    </w:lvl>
  </w:abstractNum>
  <w:abstractNum w:abstractNumId="159">
    <w:nsid w:val="68B867D3"/>
    <w:multiLevelType w:val="hybridMultilevel"/>
    <w:lvl w:ilvl="0">
      <w:lvlJc w:val="left"/>
      <w:lvlText w:val="."/>
      <w:numFmt w:val="bullet"/>
      <w:start w:val="1"/>
    </w:lvl>
  </w:abstractNum>
  <w:abstractNum w:abstractNumId="160">
    <w:nsid w:val="3F7F5DD9"/>
    <w:multiLevelType w:val="hybridMultilevel"/>
    <w:lvl w:ilvl="0">
      <w:lvlJc w:val="left"/>
      <w:lvlText w:val="."/>
      <w:numFmt w:val="bullet"/>
      <w:start w:val="1"/>
    </w:lvl>
  </w:abstractNum>
  <w:abstractNum w:abstractNumId="161">
    <w:nsid w:val="2AE05A34"/>
    <w:multiLevelType w:val="hybridMultilevel"/>
    <w:lvl w:ilvl="0">
      <w:lvlJc w:val="left"/>
      <w:lvlText w:val="."/>
      <w:numFmt w:val="bullet"/>
      <w:start w:val="1"/>
    </w:lvl>
  </w:abstractNum>
  <w:abstractNum w:abstractNumId="162">
    <w:nsid w:val="32794FF7"/>
    <w:multiLevelType w:val="hybridMultilevel"/>
    <w:lvl w:ilvl="0">
      <w:lvlJc w:val="left"/>
      <w:lvlText w:val="."/>
      <w:numFmt w:val="bullet"/>
      <w:start w:val="1"/>
    </w:lvl>
  </w:abstractNum>
  <w:abstractNum w:abstractNumId="163">
    <w:nsid w:val="5454945E"/>
    <w:multiLevelType w:val="hybridMultilevel"/>
    <w:lvl w:ilvl="0">
      <w:lvlJc w:val="left"/>
      <w:lvlText w:val="."/>
      <w:numFmt w:val="bullet"/>
      <w:start w:val="1"/>
    </w:lvl>
  </w:abstractNum>
  <w:abstractNum w:abstractNumId="164">
    <w:nsid w:val="4DEFDFA0"/>
    <w:multiLevelType w:val="hybridMultilevel"/>
    <w:lvl w:ilvl="0">
      <w:lvlJc w:val="left"/>
      <w:lvlText w:val="(%1)"/>
      <w:numFmt w:val="lowerRoman"/>
      <w:start w:val="1"/>
    </w:lvl>
  </w:abstractNum>
  <w:abstractNum w:abstractNumId="165">
    <w:nsid w:val="2123D5F2"/>
    <w:multiLevelType w:val="hybridMultilevel"/>
    <w:lvl w:ilvl="0">
      <w:lvlJc w:val="left"/>
      <w:lvlText w:val="."/>
      <w:numFmt w:val="bullet"/>
      <w:start w:val="1"/>
    </w:lvl>
  </w:abstractNum>
  <w:abstractNum w:abstractNumId="166">
    <w:nsid w:val="135B8110"/>
    <w:multiLevelType w:val="hybridMultilevel"/>
    <w:lvl w:ilvl="0">
      <w:lvlJc w:val="left"/>
      <w:lvlText w:val="."/>
      <w:numFmt w:val="bullet"/>
      <w:start w:val="1"/>
    </w:lvl>
  </w:abstractNum>
  <w:abstractNum w:abstractNumId="167">
    <w:nsid w:val="94927A8"/>
    <w:multiLevelType w:val="hybridMultilevel"/>
    <w:lvl w:ilvl="0">
      <w:lvlJc w:val="left"/>
      <w:lvlText w:val="."/>
      <w:numFmt w:val="bullet"/>
      <w:start w:val="1"/>
    </w:lvl>
  </w:abstractNum>
  <w:abstractNum w:abstractNumId="168">
    <w:nsid w:val="DCDF8F6"/>
    <w:multiLevelType w:val="hybridMultilevel"/>
    <w:lvl w:ilvl="0">
      <w:lvlJc w:val="left"/>
      <w:lvlText w:val="."/>
      <w:numFmt w:val="bullet"/>
      <w:start w:val="1"/>
    </w:lvl>
  </w:abstractNum>
  <w:abstractNum w:abstractNumId="169">
    <w:nsid w:val="52D7B105"/>
    <w:multiLevelType w:val="hybridMultilevel"/>
    <w:lvl w:ilvl="0">
      <w:lvlJc w:val="left"/>
      <w:lvlText w:val="."/>
      <w:numFmt w:val="bullet"/>
      <w:start w:val="1"/>
    </w:lvl>
  </w:abstractNum>
  <w:abstractNum w:abstractNumId="170">
    <w:nsid w:val="2E8A6394"/>
    <w:multiLevelType w:val="hybridMultilevel"/>
    <w:lvl w:ilvl="0">
      <w:lvlJc w:val="left"/>
      <w:lvlText w:val="%1."/>
      <w:numFmt w:val="decimal"/>
      <w:start w:val="5"/>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lvl w:ilvl="1">
      <w:lvlJc w:val="left"/>
      <w:lvlText w:val="%2."/>
      <w:numFmt w:val="lowerLetter"/>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2022-05-03T15:24:21Z</dcterms:created>
  <dcterms:modified xsi:type="dcterms:W3CDTF">2022-05-03T15:24:21Z</dcterms:modified>
</cp:coreProperties>
</file>