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May 16,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2940" w:type="dxa"/>
            <w:vAlign w:val="bottom"/>
          </w:tcPr>
          <w:p>
            <w:pPr>
              <w:jc w:val="center"/>
              <w:ind w:right="1286"/>
              <w:spacing w:after="0"/>
              <w:rPr>
                <w:sz w:val="20"/>
                <w:szCs w:val="20"/>
                <w:color w:val="auto"/>
              </w:rPr>
            </w:pPr>
            <w:r>
              <w:rPr>
                <w:rFonts w:ascii="Arial" w:cs="Arial" w:eastAsia="Arial" w:hAnsi="Arial"/>
                <w:sz w:val="18"/>
                <w:szCs w:val="18"/>
                <w:b w:val="1"/>
                <w:bCs w:val="1"/>
                <w:color w:val="auto"/>
                <w:w w:val="88"/>
              </w:rPr>
              <w:t>Delaware</w:t>
            </w:r>
          </w:p>
        </w:tc>
        <w:tc>
          <w:tcPr>
            <w:tcW w:w="3540" w:type="dxa"/>
            <w:vAlign w:val="bottom"/>
          </w:tcPr>
          <w:p>
            <w:pPr>
              <w:ind w:left="1360"/>
              <w:spacing w:after="0"/>
              <w:rPr>
                <w:sz w:val="20"/>
                <w:szCs w:val="20"/>
                <w:color w:val="auto"/>
              </w:rPr>
            </w:pPr>
            <w:r>
              <w:rPr>
                <w:rFonts w:ascii="Arial" w:cs="Arial" w:eastAsia="Arial" w:hAnsi="Arial"/>
                <w:sz w:val="18"/>
                <w:szCs w:val="18"/>
                <w:b w:val="1"/>
                <w:bCs w:val="1"/>
                <w:color w:val="auto"/>
              </w:rPr>
              <w:t>814-00854</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27-3380000</w:t>
            </w:r>
          </w:p>
        </w:tc>
      </w:tr>
      <w:tr>
        <w:trPr>
          <w:trHeight w:val="149"/>
        </w:trPr>
        <w:tc>
          <w:tcPr>
            <w:tcW w:w="2940" w:type="dxa"/>
            <w:vAlign w:val="bottom"/>
          </w:tcPr>
          <w:p>
            <w:pPr>
              <w:jc w:val="center"/>
              <w:ind w:right="1266"/>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540" w:type="dxa"/>
            <w:vAlign w:val="bottom"/>
          </w:tcPr>
          <w:p>
            <w:pPr>
              <w:ind w:left="136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40" w:type="dxa"/>
            <w:vAlign w:val="bottom"/>
          </w:tcPr>
          <w:p>
            <w:pPr>
              <w:jc w:val="center"/>
              <w:ind w:right="1266"/>
              <w:spacing w:after="0"/>
              <w:rPr>
                <w:sz w:val="20"/>
                <w:szCs w:val="20"/>
                <w:color w:val="auto"/>
              </w:rPr>
            </w:pPr>
            <w:r>
              <w:rPr>
                <w:rFonts w:ascii="Arial" w:cs="Arial" w:eastAsia="Arial" w:hAnsi="Arial"/>
                <w:sz w:val="14"/>
                <w:szCs w:val="14"/>
                <w:b w:val="1"/>
                <w:bCs w:val="1"/>
                <w:color w:val="auto"/>
                <w:w w:val="89"/>
              </w:rPr>
              <w:t>of Incorporation)</w:t>
            </w:r>
          </w:p>
        </w:tc>
        <w:tc>
          <w:tcPr>
            <w:tcW w:w="3540" w:type="dxa"/>
            <w:vAlign w:val="bottom"/>
          </w:tcPr>
          <w:p>
            <w:pPr>
              <w:ind w:left="136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89" w:lineRule="exact"/>
        <w:rPr>
          <w:sz w:val="24"/>
          <w:szCs w:val="24"/>
          <w:color w:val="auto"/>
        </w:rPr>
      </w:pPr>
    </w:p>
    <w:p>
      <w:pPr>
        <w:sectPr>
          <w:pgSz w:w="11900" w:h="16838" w:orient="portrait"/>
          <w:cols w:equalWidth="0" w:num="1">
            <w:col w:w="11020"/>
          </w:cols>
          <w:pgMar w:left="240" w:top="314" w:right="639" w:bottom="1440" w:gutter="0" w:footer="0" w:header="0"/>
        </w:sectPr>
      </w:pPr>
    </w:p>
    <w:p>
      <w:pPr>
        <w:jc w:val="center"/>
        <w:ind w:right="2060"/>
        <w:spacing w:after="0"/>
        <w:rPr>
          <w:sz w:val="20"/>
          <w:szCs w:val="20"/>
          <w:color w:val="auto"/>
        </w:rPr>
      </w:pPr>
      <w:r>
        <w:rPr>
          <w:rFonts w:ascii="Arial" w:cs="Arial" w:eastAsia="Arial" w:hAnsi="Arial"/>
          <w:sz w:val="15"/>
          <w:szCs w:val="15"/>
          <w:b w:val="1"/>
          <w:bCs w:val="1"/>
          <w:color w:val="auto"/>
        </w:rPr>
        <w:t>301 Commerce Street, Suite 3300</w:t>
      </w:r>
    </w:p>
    <w:p>
      <w:pPr>
        <w:spacing w:after="0" w:line="56"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76102</w:t>
      </w:r>
    </w:p>
    <w:p>
      <w:pPr>
        <w:spacing w:after="0" w:line="56" w:lineRule="exact"/>
        <w:rPr>
          <w:sz w:val="24"/>
          <w:szCs w:val="24"/>
          <w:color w:val="auto"/>
        </w:rPr>
      </w:pPr>
    </w:p>
    <w:p>
      <w:pPr>
        <w:sectPr>
          <w:pgSz w:w="11900" w:h="16838" w:orient="portrait"/>
          <w:cols w:equalWidth="0" w:num="2">
            <w:col w:w="7680" w:space="720"/>
            <w:col w:w="2620"/>
          </w:cols>
          <w:pgMar w:left="240" w:top="314" w:right="63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00" w:space="720"/>
            <w:col w:w="2700"/>
          </w:cols>
          <w:pgMar w:left="240" w:top="314" w:right="63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3.02. Unregistered Sales of Equity Securities.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On May 16, 2012, TPG Specialty Lending, Inc. (the “Company”) delivered a capital drawdown notice to certain of its investors relating to the issuance of 13,379 shares of the Company’s common stock, par value $0.01 per share (the “Common Stock”) for an aggregate offering price of $13.5 million. The shares are expected to be issued on or around May 31, 2012.</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issuance of Common Stock is being made pursuant to subscription agreements entered into by the Company and the above-mentioned investors. Under the terms of the subscription agreements, the investors are required to fund drawdowns to purchase shares of Common Stock up to the amount of their respective capital commitments on an as-needed basis with a minimum of 10 business days’ prior notice.</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subscriptions and any issuance pursuant to such subscriptions are exempt from the registration requirements of the Securities Act of 1933, as amended, pursuant to Section 4(2) thereof. The Company has not engaged in general solicitation or advertising with regard to the subscriptions and issuance of the Common Stock and has not offered securities to the public in connection with such issuance and sale.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Date: May 17, 2012</w:t>
            </w:r>
          </w:p>
        </w:tc>
        <w:tc>
          <w:tcPr>
            <w:tcW w:w="7900" w:type="dxa"/>
            <w:vAlign w:val="bottom"/>
            <w:gridSpan w:val="2"/>
          </w:tcPr>
          <w:p>
            <w:pPr>
              <w:ind w:left="2400"/>
              <w:spacing w:after="0"/>
              <w:rPr>
                <w:sz w:val="20"/>
                <w:szCs w:val="20"/>
                <w:color w:val="auto"/>
              </w:rPr>
            </w:pPr>
            <w:r>
              <w:rPr>
                <w:rFonts w:ascii="Arial" w:cs="Arial" w:eastAsia="Arial" w:hAnsi="Arial"/>
                <w:sz w:val="18"/>
                <w:szCs w:val="18"/>
                <w:color w:val="auto"/>
              </w:rPr>
              <w:t>By: /s/ Ronald Cami</w:t>
            </w:r>
          </w:p>
        </w:tc>
      </w:tr>
      <w:tr>
        <w:trPr>
          <w:trHeight w:val="202"/>
        </w:trPr>
        <w:tc>
          <w:tcPr>
            <w:tcW w:w="35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Ronald Cami</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365"/>
        </w:trPr>
        <w:tc>
          <w:tcPr>
            <w:tcW w:w="3520" w:type="dxa"/>
            <w:vAlign w:val="bottom"/>
          </w:tcPr>
          <w:p>
            <w:pPr>
              <w:spacing w:after="0"/>
              <w:rPr>
                <w:sz w:val="24"/>
                <w:szCs w:val="24"/>
                <w:color w:val="auto"/>
              </w:rPr>
            </w:pPr>
          </w:p>
        </w:tc>
        <w:tc>
          <w:tcPr>
            <w:tcW w:w="2660" w:type="dxa"/>
            <w:vAlign w:val="bottom"/>
          </w:tcPr>
          <w:p>
            <w:pPr>
              <w:jc w:val="right"/>
              <w:ind w:right="272"/>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2019-12-09T20:50:34Z</dcterms:created>
  <dcterms:modified xsi:type="dcterms:W3CDTF">2019-12-09T20:50:34Z</dcterms:modified>
</cp:coreProperties>
</file>