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tbl>
      <w:tblPr>
        <w:tblLayout w:type="fixed"/>
        <w:tblInd w:w="120" w:type="dxa"/>
        <w:tblCellMar>
          <w:top w:w="0" w:type="dxa"/>
          <w:left w:w="0" w:type="dxa"/>
          <w:bottom w:w="0" w:type="dxa"/>
          <w:right w:w="0" w:type="dxa"/>
        </w:tblCellMar>
      </w:tblPr>
      <w:tr>
        <w:trPr>
          <w:trHeight w:val="380"/>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286"/>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Times New Roman" w:cs="Times New Roman" w:eastAsia="Times New Roman" w:hAnsi="Times New Roman"/>
                <w:sz w:val="22"/>
                <w:szCs w:val="22"/>
                <w:b w:val="1"/>
                <w:bCs w:val="1"/>
                <w:color w:val="auto"/>
                <w:w w:val="98"/>
              </w:rPr>
              <w:t>(RULE 14a-101)</w:t>
            </w:r>
          </w:p>
        </w:tc>
      </w:tr>
      <w:tr>
        <w:trPr>
          <w:trHeight w:val="218"/>
        </w:trPr>
        <w:tc>
          <w:tcPr>
            <w:tcW w:w="2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00" w:type="dxa"/>
            <w:vAlign w:val="bottom"/>
          </w:tcPr>
          <w:p>
            <w:pPr>
              <w:spacing w:after="0"/>
              <w:rPr>
                <w:sz w:val="18"/>
                <w:szCs w:val="18"/>
                <w:color w:val="auto"/>
              </w:rPr>
            </w:pPr>
          </w:p>
        </w:tc>
      </w:tr>
      <w:tr>
        <w:trPr>
          <w:trHeight w:val="313"/>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Times New Roman" w:cs="Times New Roman" w:eastAsia="Times New Roman" w:hAnsi="Times New Roman"/>
                <w:sz w:val="22"/>
                <w:szCs w:val="22"/>
                <w:b w:val="1"/>
                <w:bCs w:val="1"/>
                <w:color w:val="auto"/>
                <w:w w:val="98"/>
              </w:rPr>
              <w:t>Proxy Statement Pursuant to Section 14(a) of the</w:t>
            </w:r>
          </w:p>
        </w:tc>
      </w:tr>
      <w:tr>
        <w:trPr>
          <w:trHeight w:val="286"/>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332"/>
        </w:trPr>
        <w:tc>
          <w:tcPr>
            <w:tcW w:w="23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3"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780" w:hanging="664"/>
        <w:spacing w:after="0"/>
        <w:tabs>
          <w:tab w:leader="none" w:pos="7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780" w:hanging="664"/>
        <w:spacing w:after="0"/>
        <w:tabs>
          <w:tab w:leader="none" w:pos="7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120015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Sixth Street Specialty Lending, Inc. to be held on May 26, 2022, 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a.m., Eastern Time, on the internet via live webcast at www.virtualshareholdermeeting.com/TSLX2022. To support the health and well-being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shareholders and other meeting participants, the Special Meeting of Stockholders will be a completely virtual meeting, and stockholders will not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able to attend in person.</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Please read these materials so that you will know what we plan to do at the meeting. It is important that your shares be represented at the special meeting, regardless of whether you plan to attend the meeting virtually. Please vote your shares as soon as possible through any of the voting options available to you as described in the Notice of Internet Availability of Proxy Materials and this proxy statement.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will also receive separate proxy materials for the Annual Meeting of Stockholders, which will be held virtually and on the same date stated above, but not at the same time. Please be certain to vote separately each proxy card that you receive from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2022</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 for the Special Meeting of Stockholders to Be Held on May 26, 2022.</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proxy statement is available online at www.proxyvote.com.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information applicable to the Special Meeting of Stockholders may be found in the proxy statement and accompanying proxy card:</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 to attend and vote at the virtual meeting;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virtually.</w:t>
      </w:r>
    </w:p>
    <w:p>
      <w:pPr>
        <w:spacing w:after="0" w:line="22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Please keep any control/identification number located on your proxy card in a safe place so it is available for the meeting, as you will need to attend and vote at the virtual meeting.</w:t>
      </w:r>
    </w:p>
    <w:p>
      <w:pPr>
        <w:sectPr>
          <w:pgSz w:w="11900" w:h="16838" w:orient="portrait"/>
          <w:cols w:equalWidth="0" w:num="1">
            <w:col w:w="11100"/>
          </w:cols>
          <w:pgMar w:left="32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Sixth Street Specialty Lending, Inc. will be held on the internet via live webcast at www.virtualshareholdermeeting.com/TSLX2022 on May 26, 2022, at 10:00 a.m., Eastern Time. To support the health and well-being of our shareholders and other meeting participants, the Special Meeting of Stockholders will be a completely virtual meeting, and stockholders will not be able to attend in person. The Special Meeting of Stockholders is being held for the following purpose:</w:t>
      </w:r>
    </w:p>
    <w:p>
      <w:pPr>
        <w:spacing w:after="0" w:line="72" w:lineRule="exact"/>
        <w:rPr>
          <w:sz w:val="20"/>
          <w:szCs w:val="20"/>
          <w:color w:val="auto"/>
        </w:rPr>
      </w:pPr>
    </w:p>
    <w:p>
      <w:pPr>
        <w:jc w:val="both"/>
        <w:ind w:left="560" w:right="80" w:firstLine="419"/>
        <w:spacing w:after="0" w:line="261" w:lineRule="auto"/>
        <w:tabs>
          <w:tab w:leader="none" w:pos="11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31, 2022, are entitled to notice of and to vote at the Special Meeting of Stockholders or any postponement or adjournment thereof.</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Special Meeting of Stockholders virtually,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7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INCLUDING THE INDEPENDENT DIRECTORS, UNANIMOUSLY RECOMMENDS THAT YOU VOTE “FOR” THE PROPOSAL.</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2022</w:t>
      </w:r>
    </w:p>
    <w:p>
      <w:pPr>
        <w:spacing w:after="0" w:line="221"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VIRTUALLY.</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2"/>
            <w:vMerge w:val="restart"/>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Proxy Statement for a Special Meeting of Stockholders</w:t>
              </w:r>
            </w:hyperlink>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2"/>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Security Ownership of Certain Beneficial Owners and Management</w:t>
              </w:r>
            </w:hyperlink>
          </w:p>
        </w:tc>
        <w:tc>
          <w:tcPr>
            <w:tcW w:w="57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Proposal No. 1—Authorization of the Company to Sell or Otherwise Issue Shares of its Common Stock at a Price Below its Then-Current Net</w:t>
              </w:r>
            </w:hyperlink>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Asset Value Per Share in One or More Offerings, in Each Case Subject to the Approval of its Board of Directors and Subject to the</w:t>
              </w:r>
            </w:hyperlink>
          </w:p>
        </w:tc>
        <w:tc>
          <w:tcPr>
            <w:tcW w:w="10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1"/>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Conditions Set Forth in this Proposal</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Other Business</w:t>
              </w:r>
            </w:hyperlink>
          </w:p>
        </w:tc>
        <w:tc>
          <w:tcPr>
            <w:tcW w:w="95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Stockholder Proposals and Nominations for the 2022 Annual Meeting of Stockholders</w:t>
              </w:r>
            </w:hyperlink>
          </w:p>
        </w:tc>
        <w:tc>
          <w:tcPr>
            <w:tcW w:w="44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Annual Report</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Householding of Proxy Materials</w:t>
              </w:r>
            </w:hyperlink>
          </w:p>
        </w:tc>
        <w:tc>
          <w:tcPr>
            <w:tcW w:w="8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Privacy Principles</w:t>
              </w:r>
            </w:hyperlink>
          </w:p>
        </w:tc>
        <w:tc>
          <w:tcPr>
            <w:tcW w:w="93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A</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on the internet via live webcast at www.virtualshareholdermeeting.com/TSLX2022 on May 26, 2022, at 10:00 a.m., Eastern Time. To support the health and well-being of our shareholders and other meeting participants, the Special Meeting of Stockholders will be a completely virtual meeting, and stockholders will not be able to attend in person. Only holders of record of our common stock at the close of business on March 31, 2022, which is the record date, will be entitled to vote at the Meeting. At the close of business on the record date, we had 76,070,680 shares of common stock outstanding and entitled to vote.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April 13, 2022. This proxy statement, including the accompanying form of proxy (collectively, the “Proxy Statement”), will first be made available to stockholders on or about April 13, 2022. The Proxy Statement can be accessed online at www.proxyvote.com.</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of Stockholders is being held for the following purpose:</w:t>
      </w:r>
    </w:p>
    <w:p>
      <w:pPr>
        <w:spacing w:after="0" w:line="225" w:lineRule="exact"/>
        <w:rPr>
          <w:sz w:val="20"/>
          <w:szCs w:val="20"/>
          <w:color w:val="auto"/>
        </w:rPr>
      </w:pPr>
    </w:p>
    <w:p>
      <w:pPr>
        <w:jc w:val="both"/>
        <w:ind w:left="120" w:right="80" w:firstLine="436"/>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060"/>
          </w:cols>
          <w:pgMar w:left="320" w:top="455"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Times New Roman" w:cs="Times New Roman" w:eastAsia="Times New Roman" w:hAnsi="Times New Roman"/>
          <w:sz w:val="18"/>
          <w:szCs w:val="18"/>
          <w:b w:val="1"/>
          <w:bCs w:val="1"/>
          <w:color w:val="auto"/>
        </w:rPr>
        <w:t>For this reason, it is imperative that stockholders vote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provide instructions to their broker as to how to vote.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virtually or represented by proxy, the stockholders entitled to vote at the Meeting (present virtually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virtually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Jennifer Gordon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 Regarding This Proxy</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$75,000, plus reimbursement of expenses.</w:t>
      </w:r>
    </w:p>
    <w:p>
      <w:pPr>
        <w:spacing w:after="0" w:line="176"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virtually. However, the mere presence of the stockholder at the Meeting does not revoke the proxy.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Ian Simmonds, Sixth Street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Floor, New York, NY 10106, or by email at ISimmonds@sixthstreet.com. You can call us by dialing 469-621-2033. You can access our proxy materials online at www.proxyvote.com.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Meeting will be conducted virtually on the internet via live webcast at www.virtualshareholdermeeting.com/TSLX2022. Stockholders will not be able to attend the Meeting in person. Stockholders as of the close of business on March 31, 2022, the record date, are entitled to participate in and vote at the Meeting by logging into the webcast. If you have a question pertaining to the business of the Meeting, please submit it in accordance with the procedures described below.</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webcast will begin promptly at 9:30 a.m., Eastern Time, and the Special Meeting of Stockholders webcast will begin promptly at 10:00 a.m., Eastern Time. Participants should allow plenty of time to log in prior to the start of the meetings. Online access and check-in will begin at 9:15 a.m., Eastern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part of the virtual Meeting, we will hold a live Q&amp;A session, during which we intend to answer questions as time permits. Questions must comply with the Meeting procedures and be pertinent to the Company, our shareholders and the Meeting matters.</w:t>
      </w:r>
    </w:p>
    <w:p>
      <w:pPr>
        <w:spacing w:after="0" w:line="63" w:lineRule="exact"/>
        <w:rPr>
          <w:sz w:val="20"/>
          <w:szCs w:val="20"/>
          <w:color w:val="auto"/>
        </w:rPr>
      </w:pPr>
    </w:p>
    <w:p>
      <w:pPr>
        <w:ind w:left="1080" w:right="8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you wish to submit a question in advance of the virtual Meeting, </w:t>
      </w:r>
      <w:r>
        <w:rPr>
          <w:rFonts w:ascii="Times New Roman" w:cs="Times New Roman" w:eastAsia="Times New Roman" w:hAnsi="Times New Roman"/>
          <w:sz w:val="18"/>
          <w:szCs w:val="18"/>
          <w:color w:val="auto"/>
        </w:rPr>
        <w:t>you may do so by visiting www.proxyvote.com. You should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proxy card, voting instruction form or Notice of Internet Availability of Proxy Materials in hand when you access the website and follow the instructions. Questions may be submitted beginning on April 13, 2022.</w:t>
      </w:r>
    </w:p>
    <w:p>
      <w:pPr>
        <w:spacing w:after="0" w:line="76" w:lineRule="exact"/>
        <w:rPr>
          <w:rFonts w:ascii="Times New Roman" w:cs="Times New Roman" w:eastAsia="Times New Roman" w:hAnsi="Times New Roman"/>
          <w:sz w:val="18"/>
          <w:szCs w:val="18"/>
          <w:color w:val="auto"/>
        </w:rPr>
      </w:pPr>
    </w:p>
    <w:p>
      <w:pPr>
        <w:ind w:left="1080" w:right="36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you wish to ask a question during the virtual Meeting, </w:t>
      </w:r>
      <w:r>
        <w:rPr>
          <w:rFonts w:ascii="Times New Roman" w:cs="Times New Roman" w:eastAsia="Times New Roman" w:hAnsi="Times New Roman"/>
          <w:sz w:val="18"/>
          <w:szCs w:val="18"/>
          <w:color w:val="auto"/>
        </w:rPr>
        <w:t>log in to the virtual Meeting website using your 16-digit control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on your proxy card and follow the instructions on the website.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Questions pertinent to the business of the Meeting will be read aloud and answered during the virtual Meeting, subject to time constraints.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for any purpose germane to the Meeting. Beginning 15 minutes prior to, and during, the Meeting, the stockholder list will be viewable at www.virtualshareholdermeeting.com/TSLX2022.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Technical Difficulties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Technical support will be available on the virtual meeting platform at www.virtualshareholdermeeting.com/TSLX2022 beginning at 9:15 a.m., Eastern Time on May 26, 2022 through the conclusion of the Meeting. You may also contact technical service (toll-free) at 844-986-0822 (US) or 303-562-9302 (International).</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455" w:right="5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2022,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76,070,680 shares of common stock outstanding as of March 31, 2022.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7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5660" w:type="dxa"/>
            <w:vAlign w:val="bottom"/>
            <w:vMerge w:val="restart"/>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72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0"/>
        </w:trPr>
        <w:tc>
          <w:tcPr>
            <w:tcW w:w="8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Joshua Easterly</w:t>
            </w:r>
            <w:r>
              <w:rPr>
                <w:rFonts w:ascii="Times New Roman" w:cs="Times New Roman" w:eastAsia="Times New Roman" w:hAnsi="Times New Roman"/>
                <w:sz w:val="15"/>
                <w:szCs w:val="15"/>
                <w:color w:val="auto"/>
              </w:rPr>
              <w:t>(2)</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53,690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Fishman</w:t>
            </w:r>
            <w:r>
              <w:rPr>
                <w:rFonts w:ascii="Times New Roman" w:cs="Times New Roman" w:eastAsia="Times New Roman" w:hAnsi="Times New Roman"/>
                <w:sz w:val="15"/>
                <w:szCs w:val="15"/>
                <w:color w:val="auto"/>
              </w:rPr>
              <w:t>(3)</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36,366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Gordon (Director Nominee)</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David Stiepleman</w:t>
            </w:r>
            <w:r>
              <w:rPr>
                <w:rFonts w:ascii="Times New Roman" w:cs="Times New Roman" w:eastAsia="Times New Roman" w:hAnsi="Times New Roman"/>
                <w:sz w:val="15"/>
                <w:szCs w:val="15"/>
                <w:color w:val="auto"/>
              </w:rPr>
              <w:t>(4)</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11,079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15,532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John Ross (Director Nominee)</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35,000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Judy Slotkin (Director Nominee)</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9,008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86,516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Ian Simmonds</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3,806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Robert (Bo) Stanley</w:t>
            </w:r>
            <w:r>
              <w:rPr>
                <w:rFonts w:ascii="Times New Roman" w:cs="Times New Roman" w:eastAsia="Times New Roman" w:hAnsi="Times New Roman"/>
                <w:sz w:val="15"/>
                <w:szCs w:val="15"/>
                <w:color w:val="auto"/>
              </w:rPr>
              <w:t>(5)</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14,907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(15 persons)</w:t>
            </w:r>
            <w:r>
              <w:rPr>
                <w:rFonts w:ascii="Times New Roman" w:cs="Times New Roman" w:eastAsia="Times New Roman" w:hAnsi="Times New Roman"/>
                <w:sz w:val="15"/>
                <w:szCs w:val="15"/>
                <w:color w:val="auto"/>
              </w:rPr>
              <w:t>(6)(7)</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2,973,772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15"/>
                <w:szCs w:val="15"/>
                <w:color w:val="auto"/>
              </w:rPr>
              <w:t>(8)</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4,018,756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540" w:right="20" w:hanging="424"/>
        <w:spacing w:after="0" w:line="25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18,792 shares of common stock beneficially owned by Mr. Easterly have been pledged as security in connection with a line of credit with a third party financial institution unaffiliated with the Company.</w:t>
      </w:r>
    </w:p>
    <w:p>
      <w:pPr>
        <w:ind w:left="540" w:right="2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right="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30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3,907 shares of common stock beneficially owned by Mr. Stanley have been pledged as security in connection with a line of credit with a third party financial institution unaffiliated with the Company.</w:t>
      </w:r>
    </w:p>
    <w:p>
      <w:pPr>
        <w:ind w:left="540" w:right="18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2,716,977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February 9, 2022 by FMR LLC and Abigail P. Johnson. FMR LLC had (i) sole power to vote or to direct the vote of 806,698 shares and (ii) sole power to dispose or direct the disposition of 4,018,756 shares. Abigail P. Johnson had sole power to dispose of 4,018,756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OF ITS BOARD OF DIRECTORS AND SUBJECT TO THE CONDITIONS SET FORTH IN THIS PROPOSAL</w:t>
      </w:r>
    </w:p>
    <w:p>
      <w:pPr>
        <w:spacing w:after="0" w:line="20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cs="Times New Roman" w:eastAsia="Times New Roman" w:hAnsi="Times New Roman"/>
          <w:sz w:val="18"/>
          <w:szCs w:val="18"/>
          <w:b w:val="1"/>
          <w:bCs w:val="1"/>
          <w:color w:val="auto"/>
        </w:rPr>
        <w:t>There will be no limit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9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To date, the Company has not issued shares below NAV under prior authorization granted from stockholders, but it may do so in the future pursuant to the authority granted in this proxy.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Sales Below NAV</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1" w:lineRule="exact"/>
        <w:rPr>
          <w:sz w:val="20"/>
          <w:szCs w:val="20"/>
          <w:color w:val="auto"/>
        </w:rPr>
      </w:pPr>
    </w:p>
    <w:p>
      <w:pPr>
        <w:ind w:left="1080" w:right="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have determined that any such sale would be in the best interests of the Company and its stockholders;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the Company’s then-outstanding common stock immediately prior to each such offering.</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Approval</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Have Created, and May in the Future Create, Attractive Investment and Acquisition Opportunities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Since the events of 2008 and 2009, there have been continuing periods of volatility, some lasting longer and with a greater degree of magnitude than others, including recent market conditions that have been driven by the impact of COVID-19, and the widespread interruption to the functioning of the U.S. and global economies. In addition to the recent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Greater Investment Opportunities Due to Larger Capital Resources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Higher Market Capitalization and Liquidity May Make the Company’s Common Stock More Attractive to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Maintenance or Possible Increase of Dividends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2021, the Company declared total dividends of $1.95 per share of its common stock (including a fourth quarter variable supplemental dividend of $0.11 declared in the first quarter of 2021). The Company also declared and paid special dividends totaling $1.75 per share during the year ended December 31, 2021.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Reduced Expenses Per Share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Status as a BDC and RIC and Maintaining a Favorable Debt-to-Equity Ratio</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Trading History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March 31, 2022, the last reported closing sales price of the Company’s common stock on the NYSE was $23.29 per share, which represented a premium of approximately 38.3% to the NAV reported by the Company as of December 31, 2021.</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80" w:type="dxa"/>
            <w:vAlign w:val="bottom"/>
            <w:vMerge w:val="restart"/>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1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0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NAV</w:t>
            </w:r>
            <w:r>
              <w:rPr>
                <w:rFonts w:ascii="Times New Roman" w:cs="Times New Roman" w:eastAsia="Times New Roman" w:hAnsi="Times New Roman"/>
                <w:sz w:val="12"/>
                <w:szCs w:val="12"/>
                <w:b w:val="1"/>
                <w:bCs w:val="1"/>
                <w:color w:val="auto"/>
                <w:w w:val="99"/>
              </w:rPr>
              <w:t>(1)</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0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20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66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rPr>
              <w:t>$16.34</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$20.99</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$18.44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660" w:type="dxa"/>
            <w:vAlign w:val="bottom"/>
            <w:gridSpan w:val="3"/>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$16.68</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$19.49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66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rPr>
              <w:t>$16.72</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$21.01</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$19.36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660" w:type="dxa"/>
            <w:vAlign w:val="bottom"/>
            <w:gridSpan w:val="3"/>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$16.83</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$21.83</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$20.01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60" w:type="dxa"/>
            <w:vAlign w:val="bottom"/>
            <w:vMerge w:val="restart"/>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5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0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590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NAV</w:t>
            </w:r>
            <w:r>
              <w:rPr>
                <w:rFonts w:ascii="Times New Roman" w:cs="Times New Roman" w:eastAsia="Times New Roman" w:hAnsi="Times New Roman"/>
                <w:sz w:val="12"/>
                <w:szCs w:val="12"/>
                <w:b w:val="1"/>
                <w:bCs w:val="1"/>
                <w:color w:val="auto"/>
                <w:w w:val="99"/>
              </w:rPr>
              <w:t>(1)</w:t>
            </w: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1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08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$15.57</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$23.28</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$11.30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$16.08</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$19.51</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$12.57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$16.87</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$18.48</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$15.68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$17.16</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$21.24</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$16.31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$16.47</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$22.76</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$20.46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$16.85</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$22.67</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$20.86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$17.18</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$23.82</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$21.59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$16.84</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$24.72</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$22.25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$24.27</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$22.40</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540" w:right="360" w:hanging="424"/>
        <w:spacing w:after="0" w:line="26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has not yet been calculated for this period. NAV for the first quarter of 2022 will be available with the filing of the Company’s Quarterly Report on Form 10-Q for such quarter, which the Company estimates will be filed on or about May 3, 2022.</w:t>
      </w:r>
    </w:p>
    <w:p>
      <w:pPr>
        <w:spacing w:after="0" w:line="18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cs="Times New Roman" w:eastAsia="Times New Roman" w:hAnsi="Times New Roman"/>
          <w:sz w:val="18"/>
          <w:szCs w:val="18"/>
          <w:b w:val="1"/>
          <w:bCs w:val="1"/>
          <w:color w:val="auto"/>
        </w:rPr>
        <w:t>There will be no limit on the percentage below net asset value per share at which shares may be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the Company or number of offerings, each for up to 25% of the Company’s then-outstanding common stock, that the Company may conduct under this proposal for the one-year period that authorization is granted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common stock at a price less than NAV on two different types of investors:</w:t>
      </w:r>
    </w:p>
    <w:p>
      <w:pPr>
        <w:spacing w:after="0" w:line="112"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example assumes that the issuer has 75.8 million shares outstanding, $2.6 billion in total assets and $1.3 billion in total liabilities (all figures correspond to actual data for the Company as of December 31, 2021). The net asset value and NAV per share are thus $1.3 billion and $16.84 per share as of December 31, 2021.</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chart illustrates the dilutive effect on Stockholder A of (a) an offering of 3.8 million shares of common stock (5% of the outstanding shares) at</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$16.00 per share after offering expenses and commissions (a 5% discount from NAV per share), (b) an offering of 7.6 million shares of common stock (10% of the outstanding shares) at $15.16 per share after offering expenses and commissions (a 10% discount from NAV per share), (c) an offering of 15.2 million shares of common stock (20% of the outstanding shares) at $13.47 per share after offering expenses and commissions (a 20% discount from NAV per share), and (d) an offering of 18.9 million shares of common stock (25% of the outstanding shares) at $12.63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17"/>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Sale Below</w:t>
            </w: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NAV</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7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15.16</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12.63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3,788,577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7,577,154</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15,154,308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18,942,886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75,771,542</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79,560,119</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83,348,696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90,925,850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94,714,428</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(0.92%)</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 to Nonparticipating Stockholder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75,772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75,772</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75,772</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75,772</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75,772</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1,275,848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1,272,824</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1,264,268</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1,233,346</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1,212,084</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1,275,848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1,275,848</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1,275,848</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1,275,848</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1,275,848</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$16.84 per Share)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(3,023)</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(11,579)</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(42,501)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(63,763)</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(Assumed to be $16.84 per Share 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16.84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16.84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16.84</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16.84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16.84</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16.80</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16.69</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16.28</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16.00</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(0.56)</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(0.84)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9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15.2 million shares) rather than its 0.10% proportionate share and (b) 150% of such percentage (i.e., 0.15% of an offering of 15.2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460" w:type="dxa"/>
            <w:vAlign w:val="bottom"/>
            <w:tcBorders>
              <w:top w:val="single" w:sz="8" w:color="auto"/>
            </w:tcBorders>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480" w:type="dxa"/>
            <w:vAlign w:val="bottom"/>
            <w:tcBorders>
              <w:top w:val="single" w:sz="8" w:color="auto"/>
            </w:tcBorders>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Below NAV</w:t>
            </w:r>
          </w:p>
        </w:tc>
        <w:tc>
          <w:tcPr>
            <w:tcW w:w="1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14.18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14.18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13.47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13.47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75,771,542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90,925,850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90,925,850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16.84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16.28</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16.28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83,349</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98,503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1,275,848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1,356,680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1,603,348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$16.84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1,275,848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1,383,300</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1,598,204</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(26,620)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5,144</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04"/>
        </w:trPr>
        <w:tc>
          <w:tcPr>
            <w:tcW w:w="53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Sale</w:t>
            </w:r>
          </w:p>
        </w:tc>
        <w:tc>
          <w:tcPr>
            <w:tcW w:w="15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c>
          <w:tcPr>
            <w:tcW w:w="15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Below</w:t>
            </w:r>
          </w:p>
        </w:tc>
        <w:tc>
          <w:tcPr>
            <w:tcW w:w="1580" w:type="dxa"/>
            <w:vAlign w:val="bottom"/>
            <w:gridSpan w:val="4"/>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8"/>
        </w:trPr>
        <w:tc>
          <w:tcPr>
            <w:tcW w:w="5360" w:type="dxa"/>
            <w:vAlign w:val="bottom"/>
            <w:tcBorders>
              <w:top w:val="single" w:sz="8" w:color="CCEEFF"/>
            </w:tcBorders>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Investment per Share Held by Stockholder A (Assumed to be</w:t>
            </w: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$16.84 per Share on Shares Held Prior to Sale)</w:t>
            </w:r>
          </w:p>
        </w:tc>
        <w:tc>
          <w:tcPr>
            <w:tcW w:w="8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$16.84</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16.60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16.22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16.28</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16.28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(0.32)</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Underwritten Offerings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Consideration of Potential Conflicts of Interest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85" w:lineRule="exact"/>
        <w:rPr>
          <w:sz w:val="20"/>
          <w:szCs w:val="20"/>
          <w:color w:val="auto"/>
        </w:rPr>
      </w:pPr>
    </w:p>
    <w:p>
      <w:pPr>
        <w:ind w:left="1080" w:right="2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stock offering below NAV compared to other possible means for raising capital or concluding not to raise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stock offering in relation to the number of shares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common stock are present or represented by proxy or (b) more than 50% of the outstanding shares of the Company’s common stock.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Abstentions and broker non-votes, if any, will have the effect of a vote against this proposal.</w:t>
      </w:r>
    </w:p>
    <w:p>
      <w:pPr>
        <w:spacing w:after="0" w:line="20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2022 ANNUAL MEETING OF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2023 annual meeting of stockholders pursuant to Rule 14a-8 of the SEC’s rules must be received by us at our principal executive offices no later than December 14, 2022.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Ian Simmonds, Sixth Street Specialty Lending, Inc., 2100 McKinney Avenue, Suite 1500, Dallas, TX 75201.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2023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February 25, 2023, unless the date of our 2023 annual meeting is more than 30 days before or more than 60 days after May 26, 2023, the anniversary of our 2022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a copy of our Annual Report on Form 10-K for the fiscal year ended December 31, 2021 to any stockholder upon request. Requests should be directed to the Secretary of the Company, Ian Simmonds, Sixth Street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Floor, New York, NY 10106, Attention: TSLX Investor Relations, or by emailing us at IRTSLX@sixthstreet.com.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Floor, New York, NY 10106,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VIRTUALLY,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514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Chief Financial Officer, Chief Compliance Officer and</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2022-04-14T07:39:10Z</dcterms:created>
  <dcterms:modified xsi:type="dcterms:W3CDTF">2022-04-14T07:39:10Z</dcterms:modified>
</cp:coreProperties>
</file>